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0E53" w14:textId="77777777" w:rsidR="00846AEE" w:rsidRDefault="00846AEE" w:rsidP="002E023D">
      <w:pPr>
        <w:spacing w:line="276" w:lineRule="auto"/>
        <w:jc w:val="both"/>
        <w:rPr>
          <w:rFonts w:cs="Arial"/>
        </w:rPr>
      </w:pPr>
      <w:r>
        <w:rPr>
          <w:rFonts w:cs="Arial"/>
        </w:rPr>
        <w:t>[</w:t>
      </w:r>
      <w:r w:rsidRPr="0012632B">
        <w:rPr>
          <w:rFonts w:cs="Arial"/>
          <w:highlight w:val="lightGray"/>
        </w:rPr>
        <w:t>Insert DD Month YYYY</w:t>
      </w:r>
      <w:r>
        <w:rPr>
          <w:rFonts w:cs="Arial"/>
        </w:rPr>
        <w:t>]</w:t>
      </w:r>
    </w:p>
    <w:p w14:paraId="26B2453E" w14:textId="77777777" w:rsidR="00846AEE" w:rsidRDefault="00846AEE" w:rsidP="002E023D">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846AEE" w14:paraId="3510C656" w14:textId="77777777" w:rsidTr="00154566">
        <w:tc>
          <w:tcPr>
            <w:tcW w:w="9289" w:type="dxa"/>
            <w:tcBorders>
              <w:top w:val="nil"/>
              <w:left w:val="nil"/>
              <w:bottom w:val="nil"/>
              <w:right w:val="nil"/>
            </w:tcBorders>
          </w:tcPr>
          <w:p w14:paraId="2017331E" w14:textId="77777777" w:rsidR="00846AEE" w:rsidRDefault="00846AEE" w:rsidP="002E023D">
            <w:pPr>
              <w:spacing w:line="276" w:lineRule="auto"/>
              <w:rPr>
                <w:rFonts w:cs="Arial"/>
                <w:b/>
                <w:bCs/>
              </w:rPr>
            </w:pPr>
            <w:bookmarkStart w:id="0" w:name="Confidential"/>
            <w:bookmarkEnd w:id="0"/>
          </w:p>
        </w:tc>
      </w:tr>
    </w:tbl>
    <w:p w14:paraId="5F95B32C" w14:textId="77777777" w:rsidR="00846AEE" w:rsidRDefault="00846AEE" w:rsidP="002E023D">
      <w:pPr>
        <w:spacing w:line="276" w:lineRule="auto"/>
        <w:jc w:val="both"/>
        <w:rPr>
          <w:rFonts w:cs="Arial"/>
        </w:rPr>
      </w:pPr>
      <w:bookmarkStart w:id="1" w:name="Name1"/>
      <w:bookmarkEnd w:id="1"/>
      <w:r>
        <w:rPr>
          <w:rFonts w:cs="Arial"/>
        </w:rPr>
        <w:t>[</w:t>
      </w:r>
      <w:r w:rsidRPr="0012632B">
        <w:rPr>
          <w:rFonts w:cs="Arial"/>
          <w:highlight w:val="lightGray"/>
        </w:rPr>
        <w:t>Insert Client Name</w:t>
      </w:r>
      <w:r>
        <w:rPr>
          <w:rFonts w:cs="Arial"/>
        </w:rPr>
        <w:t>]</w:t>
      </w:r>
    </w:p>
    <w:p w14:paraId="0D078856" w14:textId="77777777" w:rsidR="00846AEE" w:rsidRDefault="00846AEE" w:rsidP="002E023D">
      <w:pPr>
        <w:spacing w:line="276" w:lineRule="auto"/>
        <w:jc w:val="both"/>
        <w:rPr>
          <w:rFonts w:cs="Arial"/>
        </w:rPr>
      </w:pPr>
      <w:bookmarkStart w:id="2" w:name="Position"/>
      <w:bookmarkEnd w:id="2"/>
      <w:r>
        <w:rPr>
          <w:rFonts w:cs="Arial"/>
        </w:rPr>
        <w:t>[</w:t>
      </w:r>
      <w:r w:rsidRPr="0012632B">
        <w:rPr>
          <w:rFonts w:cs="Arial"/>
          <w:highlight w:val="lightGray"/>
        </w:rPr>
        <w:t>Insert Client Position</w:t>
      </w:r>
      <w:r>
        <w:rPr>
          <w:rFonts w:cs="Arial"/>
        </w:rPr>
        <w:t>]</w:t>
      </w:r>
    </w:p>
    <w:p w14:paraId="75060D8D" w14:textId="77777777" w:rsidR="00846AEE" w:rsidRDefault="00846AEE" w:rsidP="002E023D">
      <w:pPr>
        <w:spacing w:line="276" w:lineRule="auto"/>
        <w:jc w:val="both"/>
        <w:rPr>
          <w:rFonts w:cs="Arial"/>
        </w:rPr>
      </w:pPr>
      <w:bookmarkStart w:id="3" w:name="Company1"/>
      <w:bookmarkEnd w:id="3"/>
      <w:r>
        <w:rPr>
          <w:rFonts w:cs="Arial"/>
        </w:rPr>
        <w:t>[</w:t>
      </w:r>
      <w:r w:rsidRPr="0012632B">
        <w:rPr>
          <w:rFonts w:cs="Arial"/>
          <w:highlight w:val="lightGray"/>
        </w:rPr>
        <w:t>Insert Company Name</w:t>
      </w:r>
      <w:r>
        <w:rPr>
          <w:rFonts w:cs="Arial"/>
        </w:rPr>
        <w:t>]</w:t>
      </w:r>
    </w:p>
    <w:p w14:paraId="0442D0EA" w14:textId="77777777" w:rsidR="00846AEE" w:rsidRDefault="00846AEE" w:rsidP="002E023D">
      <w:pPr>
        <w:spacing w:line="276" w:lineRule="auto"/>
        <w:jc w:val="both"/>
        <w:rPr>
          <w:rFonts w:cs="Arial"/>
        </w:rPr>
      </w:pPr>
      <w:bookmarkStart w:id="4" w:name="Address1"/>
      <w:bookmarkEnd w:id="4"/>
      <w:r>
        <w:rPr>
          <w:rFonts w:cs="Arial"/>
        </w:rPr>
        <w:t>[</w:t>
      </w:r>
      <w:r w:rsidRPr="0012632B">
        <w:rPr>
          <w:rFonts w:cs="Arial"/>
          <w:highlight w:val="lightGray"/>
        </w:rPr>
        <w:t>Insert Company Address</w:t>
      </w:r>
      <w:r>
        <w:rPr>
          <w:rFonts w:cs="Arial"/>
        </w:rPr>
        <w:t>]</w:t>
      </w:r>
    </w:p>
    <w:p w14:paraId="125549B2" w14:textId="77777777" w:rsidR="00846AEE" w:rsidRDefault="00846AEE" w:rsidP="002E023D">
      <w:pPr>
        <w:spacing w:line="276" w:lineRule="auto"/>
        <w:jc w:val="both"/>
        <w:rPr>
          <w:rFonts w:cs="Arial"/>
        </w:rPr>
      </w:pPr>
      <w:bookmarkStart w:id="5" w:name="Suburb"/>
      <w:bookmarkEnd w:id="5"/>
      <w:r>
        <w:rPr>
          <w:rFonts w:cs="Arial"/>
        </w:rPr>
        <w:t>[</w:t>
      </w:r>
      <w:smartTag w:uri="urn:schemas-microsoft-com:office:smarttags" w:element="place">
        <w:smartTag w:uri="urn:schemas-microsoft-com:office:smarttags" w:element="PlaceName">
          <w:r w:rsidRPr="0012632B">
            <w:rPr>
              <w:rFonts w:cs="Arial"/>
              <w:highlight w:val="lightGray"/>
            </w:rPr>
            <w:t>Suburb</w:t>
          </w:r>
        </w:smartTag>
        <w:r w:rsidRPr="0012632B">
          <w:rPr>
            <w:rFonts w:cs="Arial"/>
            <w:highlight w:val="lightGray"/>
          </w:rPr>
          <w:t xml:space="preserve"> </w:t>
        </w:r>
        <w:smartTag w:uri="urn:schemas-microsoft-com:office:smarttags" w:element="PlaceType">
          <w:r w:rsidRPr="0012632B">
            <w:rPr>
              <w:rFonts w:cs="Arial"/>
              <w:highlight w:val="lightGray"/>
            </w:rPr>
            <w:t>State</w:t>
          </w:r>
        </w:smartTag>
      </w:smartTag>
      <w:r w:rsidRPr="0012632B">
        <w:rPr>
          <w:rFonts w:cs="Arial"/>
          <w:highlight w:val="lightGray"/>
        </w:rPr>
        <w:t xml:space="preserve"> Post Code</w:t>
      </w:r>
      <w:r>
        <w:rPr>
          <w:rFonts w:cs="Arial"/>
        </w:rPr>
        <w:t>]</w:t>
      </w:r>
    </w:p>
    <w:p w14:paraId="6CF8FD57" w14:textId="77777777" w:rsidR="00846AEE" w:rsidRDefault="00846AEE" w:rsidP="002E023D">
      <w:pPr>
        <w:spacing w:line="276" w:lineRule="auto"/>
        <w:jc w:val="both"/>
        <w:rPr>
          <w:rFonts w:cs="Arial"/>
        </w:rPr>
      </w:pPr>
    </w:p>
    <w:p w14:paraId="271BDDFB" w14:textId="77777777" w:rsidR="00846AEE" w:rsidRDefault="00846AEE" w:rsidP="002E023D">
      <w:pPr>
        <w:spacing w:line="276" w:lineRule="auto"/>
        <w:jc w:val="both"/>
        <w:rPr>
          <w:rFonts w:cs="Arial"/>
          <w:bCs/>
        </w:rPr>
      </w:pPr>
    </w:p>
    <w:p w14:paraId="731FA4E5" w14:textId="77777777" w:rsidR="00846AEE" w:rsidRDefault="00846AEE" w:rsidP="002E023D">
      <w:pPr>
        <w:spacing w:line="276" w:lineRule="auto"/>
        <w:jc w:val="both"/>
        <w:rPr>
          <w:rFonts w:cs="Arial"/>
        </w:rPr>
      </w:pPr>
      <w:r>
        <w:rPr>
          <w:rFonts w:cs="Arial"/>
        </w:rPr>
        <w:t xml:space="preserve">Dear </w:t>
      </w:r>
      <w:bookmarkStart w:id="6" w:name="Salutation"/>
      <w:bookmarkEnd w:id="6"/>
      <w:r>
        <w:rPr>
          <w:rFonts w:cs="Arial"/>
        </w:rPr>
        <w:t>[</w:t>
      </w:r>
      <w:r w:rsidRPr="0012632B">
        <w:rPr>
          <w:rFonts w:cs="Arial"/>
          <w:highlight w:val="lightGray"/>
        </w:rPr>
        <w:t>Insert Client Name</w:t>
      </w:r>
      <w:r>
        <w:rPr>
          <w:rFonts w:cs="Arial"/>
        </w:rPr>
        <w:t>]</w:t>
      </w:r>
    </w:p>
    <w:p w14:paraId="2005E6AB" w14:textId="77777777" w:rsidR="00846AEE" w:rsidRDefault="00846AEE" w:rsidP="002E023D">
      <w:pPr>
        <w:spacing w:line="276" w:lineRule="auto"/>
        <w:jc w:val="both"/>
        <w:rPr>
          <w:rFonts w:cs="Arial"/>
          <w:bCs/>
        </w:rPr>
      </w:pPr>
    </w:p>
    <w:p w14:paraId="1D6F032B" w14:textId="77777777" w:rsidR="00846AEE" w:rsidRDefault="00846AEE" w:rsidP="002E023D">
      <w:pPr>
        <w:spacing w:line="276" w:lineRule="auto"/>
        <w:jc w:val="both"/>
        <w:rPr>
          <w:rFonts w:cs="Arial"/>
          <w:bCs/>
        </w:rPr>
      </w:pPr>
    </w:p>
    <w:p w14:paraId="46D94251" w14:textId="77777777" w:rsidR="00846AEE" w:rsidRPr="004479B6" w:rsidRDefault="00846AEE" w:rsidP="002E023D">
      <w:pPr>
        <w:spacing w:line="276" w:lineRule="auto"/>
        <w:jc w:val="both"/>
        <w:rPr>
          <w:rFonts w:cs="Arial"/>
          <w:b/>
          <w:bCs/>
          <w:sz w:val="21"/>
          <w:szCs w:val="21"/>
        </w:rPr>
      </w:pPr>
      <w:bookmarkStart w:id="7" w:name="Subject"/>
      <w:bookmarkEnd w:id="7"/>
      <w:r w:rsidRPr="004479B6">
        <w:rPr>
          <w:rFonts w:cs="Arial"/>
          <w:b/>
          <w:bCs/>
          <w:sz w:val="21"/>
          <w:szCs w:val="21"/>
        </w:rPr>
        <w:t>Re:</w:t>
      </w:r>
      <w:r w:rsidRPr="004479B6">
        <w:rPr>
          <w:rFonts w:cs="Arial"/>
          <w:b/>
          <w:bCs/>
          <w:sz w:val="21"/>
          <w:szCs w:val="21"/>
        </w:rPr>
        <w:tab/>
      </w:r>
      <w:r w:rsidR="004479B6">
        <w:rPr>
          <w:rFonts w:cs="Arial"/>
          <w:b/>
          <w:bCs/>
          <w:sz w:val="21"/>
          <w:szCs w:val="21"/>
        </w:rPr>
        <w:t>TFN w</w:t>
      </w:r>
      <w:r w:rsidRPr="004479B6">
        <w:rPr>
          <w:rFonts w:cs="Arial"/>
          <w:b/>
          <w:bCs/>
          <w:sz w:val="21"/>
          <w:szCs w:val="21"/>
        </w:rPr>
        <w:t>ithholding regime for closely held trusts</w:t>
      </w:r>
    </w:p>
    <w:p w14:paraId="17D1F206" w14:textId="77777777" w:rsidR="00846AEE" w:rsidRDefault="00846AEE" w:rsidP="002E023D">
      <w:pPr>
        <w:spacing w:line="276" w:lineRule="auto"/>
        <w:jc w:val="both"/>
      </w:pPr>
    </w:p>
    <w:p w14:paraId="6C3E866D" w14:textId="61DFB3C1" w:rsidR="004479B6" w:rsidRDefault="004479B6" w:rsidP="002E023D">
      <w:pPr>
        <w:spacing w:line="276" w:lineRule="auto"/>
      </w:pPr>
      <w:r>
        <w:t xml:space="preserve">A trustee of a resident closely held trust is required to withhold tax where an eligible resident beneficiary fails to quote </w:t>
      </w:r>
      <w:r w:rsidR="00166A77">
        <w:t>its</w:t>
      </w:r>
      <w:r>
        <w:t xml:space="preserve"> Tax File Number (</w:t>
      </w:r>
      <w:r w:rsidRPr="002C554A">
        <w:rPr>
          <w:b/>
          <w:bCs/>
        </w:rPr>
        <w:t>TFN</w:t>
      </w:r>
      <w:r>
        <w:t xml:space="preserve">) to the trustee prior to receiving a trust distribution or becoming presently entitled to a share of the income of the trust estate. </w:t>
      </w:r>
    </w:p>
    <w:p w14:paraId="35B7F0EB" w14:textId="77777777" w:rsidR="004479B6" w:rsidRDefault="004479B6" w:rsidP="002E023D">
      <w:pPr>
        <w:spacing w:line="276" w:lineRule="auto"/>
      </w:pPr>
    </w:p>
    <w:p w14:paraId="6CA241CF" w14:textId="5DFFE35B" w:rsidR="004479B6" w:rsidRDefault="004479B6" w:rsidP="002E023D">
      <w:pPr>
        <w:spacing w:line="276" w:lineRule="auto"/>
      </w:pPr>
      <w:r>
        <w:t>Where withholding is required, trustees must withhold tax from the distribution or the share of net income to which the beneficiary has been made presently entitled at the highest marginal tax rate plu</w:t>
      </w:r>
      <w:r w:rsidR="002E023D">
        <w:t>s the Medicare levy, which is 47</w:t>
      </w:r>
      <w:r w:rsidR="000E102F">
        <w:t>%</w:t>
      </w:r>
      <w:r w:rsidR="00332689">
        <w:t xml:space="preserve"> for the year ended 30 June 20</w:t>
      </w:r>
      <w:r w:rsidR="009119CA">
        <w:t>20</w:t>
      </w:r>
      <w:r>
        <w:t xml:space="preserve">. </w:t>
      </w:r>
    </w:p>
    <w:p w14:paraId="27C38542" w14:textId="77777777" w:rsidR="004479B6" w:rsidRDefault="004479B6" w:rsidP="002E023D">
      <w:pPr>
        <w:spacing w:line="276" w:lineRule="auto"/>
      </w:pPr>
    </w:p>
    <w:p w14:paraId="12DBED8D" w14:textId="784649C2" w:rsidR="004479B6" w:rsidRDefault="004479B6" w:rsidP="002E023D">
      <w:pPr>
        <w:spacing w:line="276" w:lineRule="auto"/>
      </w:pPr>
      <w:r>
        <w:t xml:space="preserve">Such tax is withheld if the beneficiary did not quote </w:t>
      </w:r>
      <w:r w:rsidR="00166A77">
        <w:t xml:space="preserve">its </w:t>
      </w:r>
      <w:r>
        <w:t xml:space="preserve">TFN before the distribution is made by the trustee, or before the end of the year in which the beneficiary’s present entitlement to trust income arose. The beneficiary can claim a credit for the amount of tax withheld by the trustee in </w:t>
      </w:r>
      <w:r w:rsidR="00BB0076">
        <w:t>its</w:t>
      </w:r>
      <w:r>
        <w:t xml:space="preserve"> income tax return.  </w:t>
      </w:r>
    </w:p>
    <w:p w14:paraId="1A34F305" w14:textId="77777777" w:rsidR="004479B6" w:rsidRDefault="004479B6" w:rsidP="002E023D">
      <w:pPr>
        <w:spacing w:line="276" w:lineRule="auto"/>
      </w:pPr>
    </w:p>
    <w:p w14:paraId="7C5BD484" w14:textId="4CC0924E" w:rsidR="00846AEE" w:rsidRDefault="004479B6" w:rsidP="002E023D">
      <w:pPr>
        <w:spacing w:line="276" w:lineRule="auto"/>
      </w:pPr>
      <w:r>
        <w:t xml:space="preserve">However, once a trustee has provided a beneficiary’s TFN details to the </w:t>
      </w:r>
      <w:r w:rsidR="000262A3">
        <w:t>Australian Taxation Office (</w:t>
      </w:r>
      <w:r w:rsidRPr="002C554A">
        <w:rPr>
          <w:b/>
          <w:bCs/>
        </w:rPr>
        <w:t>ATO</w:t>
      </w:r>
      <w:r w:rsidR="000262A3">
        <w:t>)</w:t>
      </w:r>
      <w:r>
        <w:t xml:space="preserve"> it will not be necessary for th</w:t>
      </w:r>
      <w:bookmarkStart w:id="8" w:name="_GoBack"/>
      <w:bookmarkEnd w:id="8"/>
      <w:r>
        <w:t>e TFN to be provided again by that trustee for that beneficiary as it is in effect a ‘once-only’ reporting obligation.</w:t>
      </w:r>
    </w:p>
    <w:p w14:paraId="09317AF0" w14:textId="4A45F791" w:rsidR="00FF0FB8" w:rsidRDefault="00FF0FB8" w:rsidP="002E023D">
      <w:pPr>
        <w:spacing w:line="276" w:lineRule="auto"/>
      </w:pPr>
    </w:p>
    <w:p w14:paraId="6B9CF67E" w14:textId="77777777" w:rsidR="00536011" w:rsidRDefault="00536011" w:rsidP="002E023D">
      <w:pPr>
        <w:spacing w:line="276" w:lineRule="auto"/>
        <w:rPr>
          <w:b/>
        </w:rPr>
      </w:pPr>
      <w:r>
        <w:rPr>
          <w:b/>
        </w:rPr>
        <w:t>Which beneficiaries are excluded?</w:t>
      </w:r>
    </w:p>
    <w:p w14:paraId="7FA91E08" w14:textId="77777777" w:rsidR="00536011" w:rsidRDefault="00536011" w:rsidP="002E023D">
      <w:pPr>
        <w:spacing w:line="276" w:lineRule="auto"/>
      </w:pPr>
    </w:p>
    <w:p w14:paraId="15F2063B" w14:textId="77777777" w:rsidR="00846AEE" w:rsidRDefault="00846AEE" w:rsidP="002E023D">
      <w:pPr>
        <w:spacing w:line="276" w:lineRule="auto"/>
      </w:pPr>
      <w:r>
        <w:t xml:space="preserve">Importantly, the </w:t>
      </w:r>
      <w:r w:rsidR="00536011">
        <w:t xml:space="preserve">TFN </w:t>
      </w:r>
      <w:r>
        <w:t>withholding regime does not apply in relation to present entitlements and distributions made in the following circumstances:</w:t>
      </w:r>
    </w:p>
    <w:p w14:paraId="00E5B983" w14:textId="77777777" w:rsidR="002E023D" w:rsidRDefault="002E023D" w:rsidP="002E023D">
      <w:pPr>
        <w:spacing w:line="276" w:lineRule="auto"/>
      </w:pPr>
    </w:p>
    <w:p w14:paraId="080A9349" w14:textId="77777777" w:rsidR="00846AEE" w:rsidRDefault="00846AEE" w:rsidP="002E023D">
      <w:pPr>
        <w:pStyle w:val="ListParagraph"/>
        <w:numPr>
          <w:ilvl w:val="0"/>
          <w:numId w:val="1"/>
        </w:numPr>
        <w:spacing w:line="276" w:lineRule="auto"/>
        <w:ind w:left="714" w:hanging="357"/>
        <w:contextualSpacing w:val="0"/>
      </w:pPr>
      <w:r>
        <w:t>to beneficiaries that are tax exempt</w:t>
      </w:r>
    </w:p>
    <w:p w14:paraId="18C10FF2" w14:textId="77777777" w:rsidR="00846AEE" w:rsidRDefault="00846AEE" w:rsidP="002E023D">
      <w:pPr>
        <w:pStyle w:val="ListParagraph"/>
        <w:numPr>
          <w:ilvl w:val="0"/>
          <w:numId w:val="1"/>
        </w:numPr>
        <w:spacing w:line="276" w:lineRule="auto"/>
        <w:contextualSpacing w:val="0"/>
      </w:pPr>
      <w:r>
        <w:t>to beneficiaries whose tax liability is ordinarily assessed to the trustee</w:t>
      </w:r>
      <w:r w:rsidR="00C622ED">
        <w:t xml:space="preserve"> </w:t>
      </w:r>
      <w:r>
        <w:t>e.g. minors and foreign residents</w:t>
      </w:r>
      <w:r w:rsidR="00536011">
        <w:t xml:space="preserve"> or</w:t>
      </w:r>
    </w:p>
    <w:p w14:paraId="418D6D46" w14:textId="77777777" w:rsidR="00846AEE" w:rsidRDefault="00846AEE" w:rsidP="002E023D">
      <w:pPr>
        <w:pStyle w:val="ListParagraph"/>
        <w:numPr>
          <w:ilvl w:val="0"/>
          <w:numId w:val="1"/>
        </w:numPr>
        <w:spacing w:line="276" w:lineRule="auto"/>
        <w:contextualSpacing w:val="0"/>
      </w:pPr>
      <w:r>
        <w:t>where the distribution ha</w:t>
      </w:r>
      <w:r w:rsidR="00536011">
        <w:t>s</w:t>
      </w:r>
      <w:r>
        <w:t xml:space="preserve"> already given rise to Family Trust Distributions Tax</w:t>
      </w:r>
      <w:r w:rsidR="00536011">
        <w:t xml:space="preserve"> or the distribution is subject to the Trustee Beneficiary Reporting rules</w:t>
      </w:r>
      <w:r>
        <w:t>.</w:t>
      </w:r>
    </w:p>
    <w:p w14:paraId="69A5FB05" w14:textId="77777777" w:rsidR="00846AEE" w:rsidRDefault="00846AEE" w:rsidP="002E023D">
      <w:pPr>
        <w:spacing w:line="276" w:lineRule="auto"/>
      </w:pPr>
    </w:p>
    <w:p w14:paraId="1F9BD638" w14:textId="77777777" w:rsidR="00846AEE" w:rsidRDefault="00846AEE" w:rsidP="002E023D">
      <w:pPr>
        <w:spacing w:line="276" w:lineRule="auto"/>
        <w:rPr>
          <w:b/>
        </w:rPr>
      </w:pPr>
      <w:r>
        <w:rPr>
          <w:b/>
        </w:rPr>
        <w:t>What trustees are impacted?</w:t>
      </w:r>
    </w:p>
    <w:p w14:paraId="3875EF4C" w14:textId="77777777" w:rsidR="00846AEE" w:rsidRDefault="00846AEE" w:rsidP="002E023D">
      <w:pPr>
        <w:pStyle w:val="ListParagraph"/>
        <w:spacing w:line="276" w:lineRule="auto"/>
        <w:ind w:left="0"/>
        <w:contextualSpacing w:val="0"/>
      </w:pPr>
    </w:p>
    <w:p w14:paraId="1F69FEFE" w14:textId="77777777" w:rsidR="00536011" w:rsidRDefault="00846AEE" w:rsidP="002E023D">
      <w:pPr>
        <w:pStyle w:val="ListParagraph"/>
        <w:spacing w:line="276" w:lineRule="auto"/>
        <w:ind w:left="0"/>
        <w:contextualSpacing w:val="0"/>
      </w:pPr>
      <w:r>
        <w:t xml:space="preserve">The </w:t>
      </w:r>
      <w:r w:rsidR="00536011">
        <w:t xml:space="preserve">TFN </w:t>
      </w:r>
      <w:r>
        <w:t xml:space="preserve">withholding regime applies to trustees of closely held trusts, including family trusts. </w:t>
      </w:r>
    </w:p>
    <w:p w14:paraId="40681B95" w14:textId="77777777" w:rsidR="00536011" w:rsidRDefault="00536011" w:rsidP="002E023D">
      <w:pPr>
        <w:pStyle w:val="ListParagraph"/>
        <w:spacing w:line="276" w:lineRule="auto"/>
        <w:ind w:left="0"/>
        <w:contextualSpacing w:val="0"/>
      </w:pPr>
    </w:p>
    <w:p w14:paraId="74F6FDA4" w14:textId="3B8888FE" w:rsidR="00536011" w:rsidRDefault="00846AEE" w:rsidP="002E023D">
      <w:pPr>
        <w:pStyle w:val="ListParagraph"/>
        <w:spacing w:line="276" w:lineRule="auto"/>
        <w:ind w:left="0"/>
        <w:contextualSpacing w:val="0"/>
      </w:pPr>
      <w:r>
        <w:t>Closely held trusts are discretionary trusts</w:t>
      </w:r>
      <w:r w:rsidR="00222CBA">
        <w:t>,</w:t>
      </w:r>
      <w:r>
        <w:t xml:space="preserve"> </w:t>
      </w:r>
      <w:r w:rsidR="00222CBA">
        <w:t xml:space="preserve">or </w:t>
      </w:r>
      <w:r>
        <w:t xml:space="preserve">any fixed trusts where up to 20 individuals have fixed entitlements (either directly or indirectly) to a 75 per cent or greater share of the income or capital of the trust. </w:t>
      </w:r>
    </w:p>
    <w:p w14:paraId="426D669A" w14:textId="77777777" w:rsidR="00536011" w:rsidRDefault="00536011" w:rsidP="002E023D">
      <w:pPr>
        <w:pStyle w:val="ListParagraph"/>
        <w:spacing w:line="276" w:lineRule="auto"/>
        <w:ind w:left="0"/>
        <w:contextualSpacing w:val="0"/>
      </w:pPr>
    </w:p>
    <w:p w14:paraId="7A05FCAE" w14:textId="4A9B244C" w:rsidR="00846AEE" w:rsidRDefault="00846AEE" w:rsidP="002E023D">
      <w:pPr>
        <w:pStyle w:val="ListParagraph"/>
        <w:spacing w:line="276" w:lineRule="auto"/>
        <w:ind w:left="0"/>
        <w:contextualSpacing w:val="0"/>
      </w:pPr>
      <w:r>
        <w:lastRenderedPageBreak/>
        <w:t xml:space="preserve">While the definition of </w:t>
      </w:r>
      <w:r w:rsidR="00222CBA">
        <w:t xml:space="preserve">a </w:t>
      </w:r>
      <w:r>
        <w:t xml:space="preserve">closely held trust ordinarily excludes </w:t>
      </w:r>
      <w:r w:rsidR="00222CBA">
        <w:t xml:space="preserve">a </w:t>
      </w:r>
      <w:r>
        <w:t>family trust</w:t>
      </w:r>
      <w:r w:rsidR="00222CBA">
        <w:t>,</w:t>
      </w:r>
      <w:r>
        <w:t xml:space="preserve"> the </w:t>
      </w:r>
      <w:r w:rsidR="00536011">
        <w:t xml:space="preserve">TFN </w:t>
      </w:r>
      <w:r>
        <w:t xml:space="preserve">withholding regime </w:t>
      </w:r>
      <w:r w:rsidR="00536011">
        <w:t xml:space="preserve">specifically includes </w:t>
      </w:r>
      <w:r>
        <w:t xml:space="preserve">family trusts (i.e. </w:t>
      </w:r>
      <w:r w:rsidR="00536011">
        <w:t>a discretionary trust is a closely held trust for the purposes of the TFN withholding regime even where the trustee of such a trust has made a family trust election</w:t>
      </w:r>
      <w:r>
        <w:t>).</w:t>
      </w:r>
      <w:r w:rsidR="00536011">
        <w:t xml:space="preserve"> The provisions similarly apply to a trustee who has made an interposed entity election and related trusts </w:t>
      </w:r>
      <w:r w:rsidR="00222CBA">
        <w:t>of</w:t>
      </w:r>
      <w:r w:rsidR="00536011">
        <w:t xml:space="preserve"> family group members of the individual specified in a family trust election.</w:t>
      </w:r>
      <w:r>
        <w:t xml:space="preserve">  </w:t>
      </w:r>
    </w:p>
    <w:p w14:paraId="52BB9E23" w14:textId="77777777" w:rsidR="00846AEE" w:rsidRDefault="00846AEE" w:rsidP="002E023D">
      <w:pPr>
        <w:spacing w:line="276" w:lineRule="auto"/>
      </w:pPr>
    </w:p>
    <w:p w14:paraId="02AE9988" w14:textId="7FE8FD46" w:rsidR="00846AEE" w:rsidRDefault="00536011" w:rsidP="002E023D">
      <w:pPr>
        <w:spacing w:line="276" w:lineRule="auto"/>
      </w:pPr>
      <w:r>
        <w:t>However, t</w:t>
      </w:r>
      <w:r w:rsidR="00846AEE">
        <w:t xml:space="preserve">he following </w:t>
      </w:r>
      <w:r>
        <w:t xml:space="preserve">categories of </w:t>
      </w:r>
      <w:r w:rsidR="00846AEE">
        <w:t xml:space="preserve">trusts are excluded from the </w:t>
      </w:r>
      <w:r>
        <w:t>TFN withholding regime</w:t>
      </w:r>
      <w:r w:rsidR="00B37476">
        <w:t>:</w:t>
      </w:r>
    </w:p>
    <w:p w14:paraId="7F44B0B2" w14:textId="77777777" w:rsidR="00846AEE" w:rsidRDefault="00846AEE" w:rsidP="002E023D">
      <w:pPr>
        <w:spacing w:line="276" w:lineRule="auto"/>
      </w:pPr>
    </w:p>
    <w:p w14:paraId="093BA903" w14:textId="77777777" w:rsidR="00846AEE" w:rsidRDefault="00536011" w:rsidP="002E023D">
      <w:pPr>
        <w:pStyle w:val="ListParagraph"/>
        <w:numPr>
          <w:ilvl w:val="0"/>
          <w:numId w:val="2"/>
        </w:numPr>
        <w:spacing w:line="276" w:lineRule="auto"/>
        <w:ind w:left="714" w:hanging="357"/>
        <w:contextualSpacing w:val="0"/>
      </w:pPr>
      <w:r>
        <w:t>C</w:t>
      </w:r>
      <w:r w:rsidR="00846AEE">
        <w:t>omplying superannuation funds</w:t>
      </w:r>
    </w:p>
    <w:p w14:paraId="50CF845F" w14:textId="77777777" w:rsidR="00846AEE" w:rsidRDefault="00536011" w:rsidP="002E023D">
      <w:pPr>
        <w:pStyle w:val="ListParagraph"/>
        <w:numPr>
          <w:ilvl w:val="0"/>
          <w:numId w:val="2"/>
        </w:numPr>
        <w:spacing w:line="276" w:lineRule="auto"/>
        <w:contextualSpacing w:val="0"/>
      </w:pPr>
      <w:r>
        <w:t>C</w:t>
      </w:r>
      <w:r w:rsidR="00846AEE">
        <w:t>omplying approved deposit funds</w:t>
      </w:r>
    </w:p>
    <w:p w14:paraId="441617C3" w14:textId="37A4ADB6" w:rsidR="00846AEE" w:rsidRDefault="00536011" w:rsidP="002E023D">
      <w:pPr>
        <w:pStyle w:val="ListParagraph"/>
        <w:numPr>
          <w:ilvl w:val="0"/>
          <w:numId w:val="2"/>
        </w:numPr>
        <w:spacing w:line="276" w:lineRule="auto"/>
        <w:contextualSpacing w:val="0"/>
      </w:pPr>
      <w:r>
        <w:t>P</w:t>
      </w:r>
      <w:r w:rsidR="00846AEE">
        <w:t xml:space="preserve">ooled </w:t>
      </w:r>
      <w:r w:rsidR="003D3F95">
        <w:t>superannuation trusts</w:t>
      </w:r>
    </w:p>
    <w:p w14:paraId="1E9A7938" w14:textId="77777777" w:rsidR="00846AEE" w:rsidRDefault="00536011" w:rsidP="002E023D">
      <w:pPr>
        <w:pStyle w:val="ListParagraph"/>
        <w:numPr>
          <w:ilvl w:val="0"/>
          <w:numId w:val="2"/>
        </w:numPr>
        <w:spacing w:line="276" w:lineRule="auto"/>
        <w:contextualSpacing w:val="0"/>
      </w:pPr>
      <w:r>
        <w:t>D</w:t>
      </w:r>
      <w:r w:rsidR="00846AEE">
        <w:t>eceased estates</w:t>
      </w:r>
      <w:r w:rsidR="00C622ED">
        <w:t xml:space="preserve"> (up until the end of the income year in which the fifth anniversary of the </w:t>
      </w:r>
      <w:r>
        <w:t>deceased</w:t>
      </w:r>
      <w:r w:rsidR="00C622ED">
        <w:t>’s death occurs)</w:t>
      </w:r>
    </w:p>
    <w:p w14:paraId="272929F8" w14:textId="75501997" w:rsidR="00846AEE" w:rsidRDefault="00536011" w:rsidP="002E023D">
      <w:pPr>
        <w:pStyle w:val="ListParagraph"/>
        <w:numPr>
          <w:ilvl w:val="0"/>
          <w:numId w:val="2"/>
        </w:numPr>
        <w:spacing w:line="276" w:lineRule="auto"/>
        <w:contextualSpacing w:val="0"/>
      </w:pPr>
      <w:r>
        <w:t>F</w:t>
      </w:r>
      <w:r w:rsidR="00846AEE">
        <w:t xml:space="preserve">ixed trusts that are unit trusts where exempt entities have fixed entitlements to all </w:t>
      </w:r>
      <w:r w:rsidR="00222CBA">
        <w:t xml:space="preserve">of </w:t>
      </w:r>
      <w:r w:rsidR="00846AEE">
        <w:t>the income and capital of the trust</w:t>
      </w:r>
    </w:p>
    <w:p w14:paraId="713BD3A7" w14:textId="1CF2ABB8" w:rsidR="00C622ED" w:rsidRDefault="00536011" w:rsidP="002E023D">
      <w:pPr>
        <w:pStyle w:val="ListParagraph"/>
        <w:numPr>
          <w:ilvl w:val="0"/>
          <w:numId w:val="2"/>
        </w:numPr>
        <w:spacing w:line="276" w:lineRule="auto"/>
        <w:contextualSpacing w:val="0"/>
      </w:pPr>
      <w:r>
        <w:t>U</w:t>
      </w:r>
      <w:r w:rsidR="00C622ED">
        <w:t>nit trust</w:t>
      </w:r>
      <w:r w:rsidR="00222CBA">
        <w:t>s</w:t>
      </w:r>
      <w:r w:rsidR="00C622ED">
        <w:t xml:space="preserve"> whose units are listed on the Australian Securities Exchange</w:t>
      </w:r>
    </w:p>
    <w:p w14:paraId="1F338F3A" w14:textId="77777777" w:rsidR="00C622ED" w:rsidRDefault="00536011" w:rsidP="002E023D">
      <w:pPr>
        <w:pStyle w:val="ListParagraph"/>
        <w:numPr>
          <w:ilvl w:val="0"/>
          <w:numId w:val="2"/>
        </w:numPr>
        <w:spacing w:line="276" w:lineRule="auto"/>
        <w:contextualSpacing w:val="0"/>
      </w:pPr>
      <w:r>
        <w:t>E</w:t>
      </w:r>
      <w:r w:rsidR="00C622ED">
        <w:t>mployee share trust</w:t>
      </w:r>
      <w:r>
        <w:t>s</w:t>
      </w:r>
      <w:r w:rsidR="00C622ED">
        <w:t xml:space="preserve"> for employee share scheme</w:t>
      </w:r>
      <w:r>
        <w:t>s</w:t>
      </w:r>
    </w:p>
    <w:p w14:paraId="180A6ABB" w14:textId="43A8EE77" w:rsidR="00846AEE" w:rsidRDefault="00536011" w:rsidP="002E023D">
      <w:pPr>
        <w:pStyle w:val="ListParagraph"/>
        <w:numPr>
          <w:ilvl w:val="0"/>
          <w:numId w:val="2"/>
        </w:numPr>
        <w:spacing w:line="276" w:lineRule="auto"/>
        <w:contextualSpacing w:val="0"/>
      </w:pPr>
      <w:r>
        <w:t>L</w:t>
      </w:r>
      <w:r w:rsidR="00846AEE">
        <w:t>aw practice trust</w:t>
      </w:r>
      <w:r>
        <w:t>s</w:t>
      </w:r>
      <w:r w:rsidR="00846AEE">
        <w:t xml:space="preserve">, which </w:t>
      </w:r>
      <w:r>
        <w:t>are</w:t>
      </w:r>
      <w:r w:rsidR="00846AEE">
        <w:t xml:space="preserve"> trust</w:t>
      </w:r>
      <w:r>
        <w:t>s</w:t>
      </w:r>
      <w:r w:rsidR="00846AEE">
        <w:t xml:space="preserve"> regulated by </w:t>
      </w:r>
      <w:r>
        <w:t>a S</w:t>
      </w:r>
      <w:r w:rsidR="00846AEE">
        <w:t xml:space="preserve">tate or </w:t>
      </w:r>
      <w:r>
        <w:t>T</w:t>
      </w:r>
      <w:r w:rsidR="00846AEE">
        <w:t>erritory law for the regulation of legal practices</w:t>
      </w:r>
    </w:p>
    <w:p w14:paraId="42D132C8" w14:textId="08AA6BFB" w:rsidR="003D3F95" w:rsidRDefault="003D3F95" w:rsidP="002E023D">
      <w:pPr>
        <w:pStyle w:val="ListParagraph"/>
        <w:numPr>
          <w:ilvl w:val="0"/>
          <w:numId w:val="2"/>
        </w:numPr>
        <w:spacing w:line="276" w:lineRule="auto"/>
        <w:contextualSpacing w:val="0"/>
      </w:pPr>
      <w:r>
        <w:t xml:space="preserve">Discretionary mutual trusts as defined under sections 5(5) and 5(6) of the </w:t>
      </w:r>
      <w:r w:rsidRPr="003D3F95">
        <w:rPr>
          <w:i/>
          <w:iCs/>
        </w:rPr>
        <w:t>Financial Sector (Collection of Data) Act 20</w:t>
      </w:r>
      <w:r>
        <w:rPr>
          <w:i/>
          <w:iCs/>
        </w:rPr>
        <w:t>0</w:t>
      </w:r>
      <w:r w:rsidRPr="003D3F95">
        <w:rPr>
          <w:i/>
          <w:iCs/>
        </w:rPr>
        <w:t xml:space="preserve">1  </w:t>
      </w:r>
      <w:r>
        <w:t xml:space="preserve">  </w:t>
      </w:r>
    </w:p>
    <w:p w14:paraId="62AD466C" w14:textId="77777777" w:rsidR="00846AEE" w:rsidRDefault="00536011" w:rsidP="002E023D">
      <w:pPr>
        <w:pStyle w:val="ListParagraph"/>
        <w:numPr>
          <w:ilvl w:val="0"/>
          <w:numId w:val="2"/>
        </w:numPr>
        <w:spacing w:line="276" w:lineRule="auto"/>
        <w:contextualSpacing w:val="0"/>
      </w:pPr>
      <w:r>
        <w:t>N</w:t>
      </w:r>
      <w:r w:rsidR="00846AEE">
        <w:t>on-resident trusts.</w:t>
      </w:r>
    </w:p>
    <w:p w14:paraId="2C7389CF" w14:textId="77777777" w:rsidR="00846AEE" w:rsidRDefault="00846AEE" w:rsidP="002E023D">
      <w:pPr>
        <w:spacing w:line="276" w:lineRule="auto"/>
      </w:pPr>
    </w:p>
    <w:p w14:paraId="677A853E" w14:textId="77777777" w:rsidR="00846AEE" w:rsidRDefault="00846AEE" w:rsidP="002E023D">
      <w:pPr>
        <w:keepNext/>
        <w:spacing w:line="276" w:lineRule="auto"/>
        <w:rPr>
          <w:b/>
        </w:rPr>
      </w:pPr>
      <w:r>
        <w:rPr>
          <w:b/>
        </w:rPr>
        <w:t>Amounts to be withheld</w:t>
      </w:r>
    </w:p>
    <w:p w14:paraId="62567A75" w14:textId="77777777" w:rsidR="00846AEE" w:rsidRDefault="00846AEE" w:rsidP="002E023D">
      <w:pPr>
        <w:keepNext/>
        <w:spacing w:line="276" w:lineRule="auto"/>
      </w:pPr>
    </w:p>
    <w:p w14:paraId="2AA4B9AA" w14:textId="28495AA5" w:rsidR="00846AEE" w:rsidRDefault="00846AEE" w:rsidP="002E023D">
      <w:pPr>
        <w:keepNext/>
        <w:spacing w:line="276" w:lineRule="auto"/>
      </w:pPr>
      <w:r>
        <w:t>The withholding obligation arises when the trustee of the trust makes a distribution of an amount that includes ordinary or statutory income to an eligible beneficiary</w:t>
      </w:r>
      <w:r w:rsidR="00B3210A" w:rsidRPr="00B3210A">
        <w:t xml:space="preserve"> who has not quoted a </w:t>
      </w:r>
      <w:r w:rsidR="002E023D">
        <w:t>T</w:t>
      </w:r>
      <w:r w:rsidR="00B3210A" w:rsidRPr="00B3210A">
        <w:t>FN by th</w:t>
      </w:r>
      <w:r w:rsidR="00B3210A">
        <w:t>e time the distribution is made,</w:t>
      </w:r>
      <w:r>
        <w:t xml:space="preserve"> or when an eligible beneficiary becomes presently entitled to a share of income of the trust and the beneficiary has failed to quote </w:t>
      </w:r>
      <w:r w:rsidR="00B37476">
        <w:t xml:space="preserve">its </w:t>
      </w:r>
      <w:r>
        <w:t>TFN</w:t>
      </w:r>
      <w:r w:rsidR="00B3210A">
        <w:t xml:space="preserve"> by the end of the income year</w:t>
      </w:r>
      <w:r>
        <w:t xml:space="preserve">.  </w:t>
      </w:r>
    </w:p>
    <w:p w14:paraId="0C737C76" w14:textId="77777777" w:rsidR="00846AEE" w:rsidRDefault="00846AEE" w:rsidP="002E023D">
      <w:pPr>
        <w:spacing w:line="276" w:lineRule="auto"/>
      </w:pPr>
    </w:p>
    <w:p w14:paraId="457A7C34" w14:textId="77777777" w:rsidR="00846AEE" w:rsidRDefault="00846AEE" w:rsidP="002E023D">
      <w:pPr>
        <w:keepNext/>
        <w:spacing w:line="276" w:lineRule="auto"/>
      </w:pPr>
      <w:r>
        <w:t>The amounts to be withheld are:</w:t>
      </w:r>
    </w:p>
    <w:p w14:paraId="06FBBFB8" w14:textId="77777777" w:rsidR="002E023D" w:rsidRDefault="002E023D" w:rsidP="002E023D">
      <w:pPr>
        <w:keepNext/>
        <w:spacing w:line="276" w:lineRule="auto"/>
      </w:pPr>
    </w:p>
    <w:p w14:paraId="02F6ADBF" w14:textId="77777777" w:rsidR="00846AEE" w:rsidRDefault="00846AEE" w:rsidP="002E023D">
      <w:pPr>
        <w:pStyle w:val="ListParagraph"/>
        <w:numPr>
          <w:ilvl w:val="0"/>
          <w:numId w:val="2"/>
        </w:numPr>
        <w:spacing w:line="276" w:lineRule="auto"/>
        <w:ind w:left="714" w:hanging="357"/>
        <w:contextualSpacing w:val="0"/>
      </w:pPr>
      <w:r>
        <w:t xml:space="preserve">where amounts have been </w:t>
      </w:r>
      <w:r w:rsidR="00B3210A">
        <w:t>distributed during the year – 4</w:t>
      </w:r>
      <w:r w:rsidR="002E023D">
        <w:t>7</w:t>
      </w:r>
      <w:r w:rsidR="00B3210A">
        <w:t>% of the</w:t>
      </w:r>
      <w:r>
        <w:t xml:space="preserve"> amount of the distribut</w:t>
      </w:r>
      <w:r w:rsidR="00B3210A">
        <w:t>ion</w:t>
      </w:r>
      <w:r>
        <w:t xml:space="preserve"> to the eligible benefi</w:t>
      </w:r>
      <w:r w:rsidR="00B3210A">
        <w:t xml:space="preserve">ciary </w:t>
      </w:r>
    </w:p>
    <w:p w14:paraId="4C7418D5" w14:textId="77777777" w:rsidR="00846AEE" w:rsidRDefault="00846AEE" w:rsidP="002E023D">
      <w:pPr>
        <w:pStyle w:val="ListParagraph"/>
        <w:numPr>
          <w:ilvl w:val="0"/>
          <w:numId w:val="2"/>
        </w:numPr>
        <w:spacing w:line="276" w:lineRule="auto"/>
        <w:ind w:left="714" w:hanging="357"/>
        <w:contextualSpacing w:val="0"/>
      </w:pPr>
      <w:r>
        <w:t xml:space="preserve">where the beneficiary becomes </w:t>
      </w:r>
      <w:r w:rsidR="00B3210A">
        <w:t xml:space="preserve">presently </w:t>
      </w:r>
      <w:r>
        <w:t xml:space="preserve">entitled to a share of the trust income at the end of the year – </w:t>
      </w:r>
      <w:r w:rsidR="00B3210A">
        <w:t>4</w:t>
      </w:r>
      <w:r w:rsidR="002E023D">
        <w:t>7</w:t>
      </w:r>
      <w:r w:rsidR="00B3210A">
        <w:t xml:space="preserve">% of the beneficiary’s </w:t>
      </w:r>
      <w:r w:rsidR="00C622ED">
        <w:t xml:space="preserve">share of the net </w:t>
      </w:r>
      <w:r>
        <w:t xml:space="preserve">income for the year. This amount is adjusted for </w:t>
      </w:r>
      <w:r w:rsidR="00B3210A">
        <w:t>amounts withheld from any distributions made to the beneficiary earlier during the year to ensure that tax is not withheld twice</w:t>
      </w:r>
      <w:r>
        <w:t>.</w:t>
      </w:r>
    </w:p>
    <w:p w14:paraId="1CE96FD0" w14:textId="77777777" w:rsidR="00846AEE" w:rsidRDefault="00846AEE" w:rsidP="002E023D">
      <w:pPr>
        <w:spacing w:line="276" w:lineRule="auto"/>
      </w:pPr>
    </w:p>
    <w:p w14:paraId="42732D2B" w14:textId="77777777" w:rsidR="00FD476A" w:rsidRDefault="00FD476A" w:rsidP="002E023D">
      <w:pPr>
        <w:spacing w:line="276" w:lineRule="auto"/>
      </w:pPr>
      <w:r>
        <w:t>In addition, the trustee must:</w:t>
      </w:r>
    </w:p>
    <w:p w14:paraId="5798A3B6" w14:textId="77777777" w:rsidR="00FD476A" w:rsidRDefault="00FD476A" w:rsidP="002E023D">
      <w:pPr>
        <w:spacing w:line="276" w:lineRule="auto"/>
      </w:pPr>
    </w:p>
    <w:p w14:paraId="15CD55D6" w14:textId="77777777" w:rsidR="00FD476A" w:rsidRDefault="00FD476A" w:rsidP="002E023D">
      <w:pPr>
        <w:pStyle w:val="ListParagraph"/>
        <w:numPr>
          <w:ilvl w:val="0"/>
          <w:numId w:val="2"/>
        </w:numPr>
        <w:spacing w:line="276" w:lineRule="auto"/>
        <w:ind w:left="714" w:hanging="357"/>
        <w:contextualSpacing w:val="0"/>
      </w:pPr>
      <w:r>
        <w:t>register for Pay As You Go (PAYG) withholding for closely held trusts</w:t>
      </w:r>
    </w:p>
    <w:p w14:paraId="0162A89F" w14:textId="63B5F5FE" w:rsidR="00FD476A" w:rsidRDefault="00FD476A" w:rsidP="002E023D">
      <w:pPr>
        <w:pStyle w:val="ListParagraph"/>
        <w:numPr>
          <w:ilvl w:val="0"/>
          <w:numId w:val="2"/>
        </w:numPr>
        <w:spacing w:line="276" w:lineRule="auto"/>
        <w:ind w:left="714" w:hanging="357"/>
        <w:contextualSpacing w:val="0"/>
      </w:pPr>
      <w:r>
        <w:t>lodge an Annual TFN withholding report containing details of a</w:t>
      </w:r>
      <w:r w:rsidR="003D3F95">
        <w:t>ny</w:t>
      </w:r>
      <w:r>
        <w:t xml:space="preserve"> withheld amounts by 30 September in respect of the preceding 30 June year end</w:t>
      </w:r>
    </w:p>
    <w:p w14:paraId="40EB7FE1" w14:textId="21273B4B" w:rsidR="00FD476A" w:rsidRDefault="00FD476A" w:rsidP="002E023D">
      <w:pPr>
        <w:pStyle w:val="ListParagraph"/>
        <w:numPr>
          <w:ilvl w:val="0"/>
          <w:numId w:val="2"/>
        </w:numPr>
        <w:spacing w:line="276" w:lineRule="auto"/>
        <w:ind w:left="714" w:hanging="357"/>
        <w:contextualSpacing w:val="0"/>
      </w:pPr>
      <w:r>
        <w:t xml:space="preserve">provide an annual payment summary to the beneficiary </w:t>
      </w:r>
      <w:r w:rsidR="00B37476">
        <w:t xml:space="preserve">by 14 October </w:t>
      </w:r>
      <w:r>
        <w:t xml:space="preserve">where tax has been withheld </w:t>
      </w:r>
    </w:p>
    <w:p w14:paraId="2595A359" w14:textId="29691A10" w:rsidR="00FD476A" w:rsidRDefault="00FD476A" w:rsidP="002E023D">
      <w:pPr>
        <w:pStyle w:val="ListParagraph"/>
        <w:numPr>
          <w:ilvl w:val="0"/>
          <w:numId w:val="2"/>
        </w:numPr>
        <w:spacing w:line="276" w:lineRule="auto"/>
        <w:ind w:left="714" w:hanging="357"/>
        <w:contextualSpacing w:val="0"/>
      </w:pPr>
      <w:r>
        <w:t>remit</w:t>
      </w:r>
      <w:r w:rsidR="003D3F95">
        <w:t xml:space="preserve"> any</w:t>
      </w:r>
      <w:r>
        <w:t xml:space="preserve"> tax withheld to the ATO by 28 October</w:t>
      </w:r>
    </w:p>
    <w:p w14:paraId="78A84CA5" w14:textId="77777777" w:rsidR="00FD476A" w:rsidRDefault="00FD476A" w:rsidP="002E023D">
      <w:pPr>
        <w:pStyle w:val="ListParagraph"/>
        <w:numPr>
          <w:ilvl w:val="0"/>
          <w:numId w:val="2"/>
        </w:numPr>
        <w:spacing w:line="276" w:lineRule="auto"/>
        <w:ind w:left="714" w:hanging="357"/>
        <w:contextualSpacing w:val="0"/>
      </w:pPr>
      <w:r>
        <w:t>withhold tax in respect of future amounts unless a TFN is quoted.</w:t>
      </w:r>
    </w:p>
    <w:p w14:paraId="6B91426F" w14:textId="77777777" w:rsidR="00FD476A" w:rsidRDefault="00FD476A" w:rsidP="002E023D">
      <w:pPr>
        <w:spacing w:line="276" w:lineRule="auto"/>
      </w:pPr>
    </w:p>
    <w:p w14:paraId="3EAE9D20" w14:textId="12B98CAF" w:rsidR="00846AEE" w:rsidRDefault="00846AEE" w:rsidP="002E023D">
      <w:pPr>
        <w:spacing w:line="276" w:lineRule="auto"/>
      </w:pPr>
      <w:r>
        <w:t>If a trustee fails to withhold and remit the amounts required, the trustee will be subject</w:t>
      </w:r>
      <w:r w:rsidR="00FD476A">
        <w:t xml:space="preserve"> to administrative penalties.</w:t>
      </w:r>
      <w:r>
        <w:t xml:space="preserve"> </w:t>
      </w:r>
    </w:p>
    <w:p w14:paraId="7356E0F3" w14:textId="77777777" w:rsidR="000262A3" w:rsidRDefault="000262A3" w:rsidP="002E023D">
      <w:pPr>
        <w:spacing w:line="276" w:lineRule="auto"/>
      </w:pPr>
    </w:p>
    <w:p w14:paraId="59CDADC0" w14:textId="77777777" w:rsidR="00846AEE" w:rsidRDefault="00846AEE" w:rsidP="002E023D">
      <w:pPr>
        <w:spacing w:line="276" w:lineRule="auto"/>
        <w:rPr>
          <w:rFonts w:cs="Arial"/>
          <w:b/>
        </w:rPr>
      </w:pPr>
      <w:r>
        <w:rPr>
          <w:rFonts w:cs="Arial"/>
          <w:b/>
        </w:rPr>
        <w:lastRenderedPageBreak/>
        <w:t>Reporting Requirements for Trustees</w:t>
      </w:r>
    </w:p>
    <w:p w14:paraId="428F7511" w14:textId="77777777" w:rsidR="00846AEE" w:rsidRDefault="00846AEE" w:rsidP="002E023D">
      <w:pPr>
        <w:spacing w:line="276" w:lineRule="auto"/>
      </w:pPr>
    </w:p>
    <w:p w14:paraId="148AF09C" w14:textId="791A6D6E" w:rsidR="00846AEE" w:rsidRDefault="00846AEE" w:rsidP="002E023D">
      <w:pPr>
        <w:spacing w:line="276" w:lineRule="auto"/>
      </w:pPr>
      <w:r>
        <w:t xml:space="preserve">Where a beneficiary provides their TFN to a trustee, the trustee will be required to lodge a </w:t>
      </w:r>
      <w:r w:rsidRPr="00937D6D">
        <w:t>TFN</w:t>
      </w:r>
      <w:r w:rsidRPr="003E2971">
        <w:rPr>
          <w:i/>
        </w:rPr>
        <w:t xml:space="preserve"> </w:t>
      </w:r>
      <w:r w:rsidRPr="00937D6D">
        <w:t>Report</w:t>
      </w:r>
      <w:r w:rsidRPr="003E2971">
        <w:rPr>
          <w:i/>
        </w:rPr>
        <w:t xml:space="preserve"> </w:t>
      </w:r>
      <w:r w:rsidR="000262A3">
        <w:t xml:space="preserve">with </w:t>
      </w:r>
      <w:r w:rsidR="00FD476A">
        <w:t xml:space="preserve">the ATO for the </w:t>
      </w:r>
      <w:r>
        <w:t>quarter</w:t>
      </w:r>
      <w:r w:rsidR="00FD476A">
        <w:t xml:space="preserve"> in which the TFN was quoted</w:t>
      </w:r>
      <w:r>
        <w:t xml:space="preserve">. </w:t>
      </w:r>
      <w:r>
        <w:rPr>
          <w:rStyle w:val="resizable-content"/>
        </w:rPr>
        <w:t>The report is due by the last day of the month following the end of the quarter.</w:t>
      </w:r>
      <w:r>
        <w:t xml:space="preserve"> </w:t>
      </w:r>
    </w:p>
    <w:p w14:paraId="313D4593" w14:textId="77777777" w:rsidR="00846AEE" w:rsidRDefault="00846AEE" w:rsidP="002E023D">
      <w:pPr>
        <w:spacing w:line="276" w:lineRule="auto"/>
      </w:pPr>
    </w:p>
    <w:p w14:paraId="16A2D506" w14:textId="77777777" w:rsidR="00846AEE" w:rsidRDefault="00846AEE" w:rsidP="002E023D">
      <w:pPr>
        <w:spacing w:line="276" w:lineRule="auto"/>
      </w:pPr>
      <w:r>
        <w:t xml:space="preserve">The trustee is only required to notify the ATO once of the beneficiary’s TFN. Accordingly, a </w:t>
      </w:r>
      <w:r w:rsidRPr="00937D6D">
        <w:t xml:space="preserve">TFN Report </w:t>
      </w:r>
      <w:r>
        <w:t xml:space="preserve">will only be required to report new TFNs provided to the trustee. This means that a trustee that has already disclosed all known beneficiary TFNs to the ATO will only ever need to lodge a further </w:t>
      </w:r>
      <w:r w:rsidR="00FD476A">
        <w:t xml:space="preserve">TFN </w:t>
      </w:r>
      <w:r>
        <w:t xml:space="preserve">report if new beneficiaries are added or existing beneficiaries are provided with a TFN. </w:t>
      </w:r>
    </w:p>
    <w:p w14:paraId="7FD2F8A1" w14:textId="77777777" w:rsidR="00846AEE" w:rsidRDefault="00846AEE" w:rsidP="002E023D">
      <w:pPr>
        <w:spacing w:line="276" w:lineRule="auto"/>
      </w:pPr>
    </w:p>
    <w:p w14:paraId="5B993432" w14:textId="36495CDE" w:rsidR="00846AEE" w:rsidRDefault="00846AEE" w:rsidP="002E023D">
      <w:pPr>
        <w:spacing w:line="276" w:lineRule="auto"/>
      </w:pPr>
      <w:r>
        <w:rPr>
          <w:rFonts w:cs="Arial"/>
        </w:rPr>
        <w:t xml:space="preserve">Failure to lodge any </w:t>
      </w:r>
      <w:r w:rsidR="00C622ED">
        <w:rPr>
          <w:rFonts w:cs="Arial"/>
        </w:rPr>
        <w:t xml:space="preserve">required </w:t>
      </w:r>
      <w:r>
        <w:rPr>
          <w:rFonts w:cs="Arial"/>
        </w:rPr>
        <w:t>reports on time</w:t>
      </w:r>
      <w:r>
        <w:t xml:space="preserve"> may attract administrative penalties.  </w:t>
      </w:r>
    </w:p>
    <w:p w14:paraId="377C901C" w14:textId="40B14562" w:rsidR="00FF0FB8" w:rsidRDefault="00FF0FB8" w:rsidP="002E023D">
      <w:pPr>
        <w:spacing w:line="276" w:lineRule="auto"/>
      </w:pPr>
    </w:p>
    <w:p w14:paraId="488DCB47" w14:textId="5AC4BE28" w:rsidR="00846AEE" w:rsidRDefault="00846AEE" w:rsidP="002E023D">
      <w:pPr>
        <w:spacing w:line="276" w:lineRule="auto"/>
      </w:pPr>
      <w:bookmarkStart w:id="9" w:name="Signoff"/>
      <w:bookmarkEnd w:id="9"/>
      <w:r>
        <w:rPr>
          <w:rFonts w:cs="Arial"/>
        </w:rPr>
        <w:t>To arrange a meeting to discuss the above or any other tax issues, please do not hesitate to contact me on [</w:t>
      </w:r>
      <w:r w:rsidRPr="0012632B">
        <w:rPr>
          <w:rFonts w:cs="Arial"/>
          <w:highlight w:val="lightGray"/>
        </w:rPr>
        <w:t>insert telephone number of partner</w:t>
      </w:r>
      <w:r>
        <w:rPr>
          <w:rFonts w:cs="Arial"/>
        </w:rPr>
        <w:t>].</w:t>
      </w:r>
    </w:p>
    <w:p w14:paraId="02BC3CC9" w14:textId="77777777" w:rsidR="00846AEE" w:rsidRDefault="00846AEE" w:rsidP="002E023D">
      <w:pPr>
        <w:pStyle w:val="ListParagraph"/>
        <w:spacing w:line="276" w:lineRule="auto"/>
        <w:contextualSpacing w:val="0"/>
        <w:rPr>
          <w:rFonts w:cs="Arial"/>
        </w:rPr>
      </w:pPr>
    </w:p>
    <w:p w14:paraId="0A74A445" w14:textId="77777777" w:rsidR="00FD476A" w:rsidRDefault="00FD476A" w:rsidP="002E023D">
      <w:pPr>
        <w:pStyle w:val="ListParagraph"/>
        <w:spacing w:line="276" w:lineRule="auto"/>
        <w:contextualSpacing w:val="0"/>
        <w:rPr>
          <w:rFonts w:cs="Arial"/>
        </w:rPr>
      </w:pPr>
    </w:p>
    <w:p w14:paraId="37CE95DB" w14:textId="77777777" w:rsidR="00846AEE" w:rsidRDefault="00846AEE" w:rsidP="002E023D">
      <w:pPr>
        <w:pStyle w:val="ListParagraph"/>
        <w:spacing w:line="276" w:lineRule="auto"/>
        <w:contextualSpacing w:val="0"/>
        <w:rPr>
          <w:rFonts w:cs="Arial"/>
        </w:rPr>
      </w:pPr>
    </w:p>
    <w:p w14:paraId="0B57B22B" w14:textId="77777777" w:rsidR="00846AEE" w:rsidRDefault="00846AEE" w:rsidP="002E023D">
      <w:pPr>
        <w:spacing w:line="276" w:lineRule="auto"/>
        <w:rPr>
          <w:rFonts w:cs="Arial"/>
        </w:rPr>
      </w:pPr>
      <w:r>
        <w:rPr>
          <w:rFonts w:cs="Arial"/>
        </w:rPr>
        <w:t>Yours faithfully</w:t>
      </w:r>
    </w:p>
    <w:p w14:paraId="3E5AC7FB" w14:textId="77777777" w:rsidR="00846AEE" w:rsidRDefault="00846AEE" w:rsidP="002E023D">
      <w:pPr>
        <w:spacing w:line="276" w:lineRule="auto"/>
        <w:rPr>
          <w:rFonts w:cs="Arial"/>
        </w:rPr>
      </w:pPr>
    </w:p>
    <w:p w14:paraId="3BB6B00A" w14:textId="77777777" w:rsidR="00846AEE" w:rsidRDefault="00846AEE" w:rsidP="002E023D">
      <w:pPr>
        <w:spacing w:line="276" w:lineRule="auto"/>
        <w:rPr>
          <w:rFonts w:cs="Arial"/>
          <w:b/>
          <w:bCs/>
        </w:rPr>
      </w:pPr>
      <w:bookmarkStart w:id="10" w:name="Partner"/>
      <w:bookmarkEnd w:id="10"/>
    </w:p>
    <w:p w14:paraId="6A8C50E3" w14:textId="77777777" w:rsidR="00FD476A" w:rsidRDefault="00FD476A" w:rsidP="002E023D">
      <w:pPr>
        <w:spacing w:line="276" w:lineRule="auto"/>
        <w:rPr>
          <w:rFonts w:cs="Arial"/>
          <w:b/>
          <w:bCs/>
        </w:rPr>
      </w:pPr>
    </w:p>
    <w:p w14:paraId="24080BD4" w14:textId="77777777" w:rsidR="00FD476A" w:rsidRDefault="00FD476A" w:rsidP="002E023D">
      <w:pPr>
        <w:spacing w:line="276" w:lineRule="auto"/>
        <w:rPr>
          <w:rFonts w:cs="Arial"/>
          <w:b/>
          <w:bCs/>
        </w:rPr>
      </w:pPr>
    </w:p>
    <w:p w14:paraId="63BA850D" w14:textId="77777777" w:rsidR="00846AEE" w:rsidRDefault="00846AEE" w:rsidP="002E023D">
      <w:pPr>
        <w:spacing w:line="276" w:lineRule="auto"/>
        <w:rPr>
          <w:rFonts w:cs="Arial"/>
          <w:b/>
          <w:bCs/>
        </w:rPr>
      </w:pPr>
    </w:p>
    <w:p w14:paraId="058F370B" w14:textId="77777777" w:rsidR="00846AEE" w:rsidRDefault="00846AEE" w:rsidP="002E023D">
      <w:pPr>
        <w:spacing w:line="276" w:lineRule="auto"/>
      </w:pPr>
      <w:r>
        <w:rPr>
          <w:rFonts w:cs="Arial"/>
          <w:b/>
          <w:bCs/>
        </w:rPr>
        <w:t>[</w:t>
      </w:r>
      <w:r w:rsidRPr="0012632B">
        <w:rPr>
          <w:rFonts w:cs="Arial"/>
          <w:b/>
          <w:bCs/>
          <w:highlight w:val="lightGray"/>
        </w:rPr>
        <w:t>Insert name of Partner]</w:t>
      </w:r>
    </w:p>
    <w:p w14:paraId="623F4303" w14:textId="77777777" w:rsidR="00846AEE" w:rsidRDefault="00846AEE" w:rsidP="002E023D">
      <w:pPr>
        <w:spacing w:line="276" w:lineRule="auto"/>
      </w:pPr>
    </w:p>
    <w:p w14:paraId="2FFAB5C3" w14:textId="77777777" w:rsidR="00846AEE" w:rsidRDefault="00846AEE" w:rsidP="002E023D">
      <w:pPr>
        <w:spacing w:line="276" w:lineRule="auto"/>
      </w:pPr>
    </w:p>
    <w:p w14:paraId="401BD45B" w14:textId="77777777" w:rsidR="00F7466A" w:rsidRDefault="00F7466A" w:rsidP="002E023D">
      <w:pPr>
        <w:spacing w:line="276" w:lineRule="auto"/>
      </w:pPr>
    </w:p>
    <w:sectPr w:rsidR="00F7466A" w:rsidSect="002D7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D0E"/>
    <w:multiLevelType w:val="hybridMultilevel"/>
    <w:tmpl w:val="BB80D2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3D977C72"/>
    <w:multiLevelType w:val="hybridMultilevel"/>
    <w:tmpl w:val="D78EE6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EE"/>
    <w:rsid w:val="000262A3"/>
    <w:rsid w:val="000E102F"/>
    <w:rsid w:val="00166A77"/>
    <w:rsid w:val="001B0BC9"/>
    <w:rsid w:val="00222CBA"/>
    <w:rsid w:val="002C554A"/>
    <w:rsid w:val="002E023D"/>
    <w:rsid w:val="00332689"/>
    <w:rsid w:val="003D3F95"/>
    <w:rsid w:val="004479B6"/>
    <w:rsid w:val="00536011"/>
    <w:rsid w:val="00583D6B"/>
    <w:rsid w:val="00846AEE"/>
    <w:rsid w:val="008552EA"/>
    <w:rsid w:val="0085746B"/>
    <w:rsid w:val="008E55A1"/>
    <w:rsid w:val="009119CA"/>
    <w:rsid w:val="009216B6"/>
    <w:rsid w:val="00937D6D"/>
    <w:rsid w:val="00B3210A"/>
    <w:rsid w:val="00B37476"/>
    <w:rsid w:val="00BB0076"/>
    <w:rsid w:val="00C450A4"/>
    <w:rsid w:val="00C622ED"/>
    <w:rsid w:val="00C8650E"/>
    <w:rsid w:val="00D034B3"/>
    <w:rsid w:val="00E31804"/>
    <w:rsid w:val="00F17692"/>
    <w:rsid w:val="00F55E29"/>
    <w:rsid w:val="00F7466A"/>
    <w:rsid w:val="00FC5B7A"/>
    <w:rsid w:val="00FD476A"/>
    <w:rsid w:val="00FF0F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0EF81"/>
  <w15:docId w15:val="{16E8B427-EF14-4FEC-9509-3DF0D75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6AEE"/>
    <w:pPr>
      <w:spacing w:after="0" w:line="240" w:lineRule="auto"/>
    </w:pPr>
    <w:rPr>
      <w:rFonts w:ascii="Arial" w:eastAsia="SimSu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6AEE"/>
    <w:pPr>
      <w:ind w:left="720"/>
      <w:contextualSpacing/>
    </w:pPr>
  </w:style>
  <w:style w:type="character" w:customStyle="1" w:styleId="resizable-content">
    <w:name w:val="resizable-content"/>
    <w:rsid w:val="00846AEE"/>
  </w:style>
  <w:style w:type="paragraph" w:styleId="BalloonText">
    <w:name w:val="Balloon Text"/>
    <w:basedOn w:val="Normal"/>
    <w:link w:val="BalloonTextChar"/>
    <w:uiPriority w:val="99"/>
    <w:semiHidden/>
    <w:unhideWhenUsed/>
    <w:rsid w:val="008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E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D034B3"/>
    <w:rPr>
      <w:sz w:val="16"/>
      <w:szCs w:val="16"/>
    </w:rPr>
  </w:style>
  <w:style w:type="paragraph" w:styleId="CommentText">
    <w:name w:val="annotation text"/>
    <w:basedOn w:val="Normal"/>
    <w:link w:val="CommentTextChar"/>
    <w:uiPriority w:val="99"/>
    <w:semiHidden/>
    <w:unhideWhenUsed/>
    <w:rsid w:val="00D034B3"/>
  </w:style>
  <w:style w:type="character" w:customStyle="1" w:styleId="CommentTextChar">
    <w:name w:val="Comment Text Char"/>
    <w:basedOn w:val="DefaultParagraphFont"/>
    <w:link w:val="CommentText"/>
    <w:uiPriority w:val="99"/>
    <w:semiHidden/>
    <w:rsid w:val="00D034B3"/>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34B3"/>
    <w:rPr>
      <w:b/>
      <w:bCs/>
    </w:rPr>
  </w:style>
  <w:style w:type="character" w:customStyle="1" w:styleId="CommentSubjectChar">
    <w:name w:val="Comment Subject Char"/>
    <w:basedOn w:val="CommentTextChar"/>
    <w:link w:val="CommentSubject"/>
    <w:uiPriority w:val="99"/>
    <w:semiHidden/>
    <w:rsid w:val="00D034B3"/>
    <w:rPr>
      <w:rFonts w:ascii="Arial" w:eastAsia="SimSun" w:hAnsi="Arial" w:cs="Times New Roman"/>
      <w:b/>
      <w:bCs/>
      <w:sz w:val="20"/>
      <w:szCs w:val="20"/>
    </w:rPr>
  </w:style>
  <w:style w:type="character" w:styleId="Hyperlink">
    <w:name w:val="Hyperlink"/>
    <w:basedOn w:val="DefaultParagraphFont"/>
    <w:uiPriority w:val="99"/>
    <w:semiHidden/>
    <w:unhideWhenUsed/>
    <w:rsid w:val="00D03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TFN Withholding Regime Client Letter</vt:lpstr>
    </vt:vector>
  </TitlesOfParts>
  <Company>CPA Australia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TFN Withholding Regime Client Letter</dc:title>
  <dc:creator>Michelle Webb</dc:creator>
  <cp:keywords>client letters, tax file number, trusts, trust distributions</cp:keywords>
  <cp:lastModifiedBy>Michelle Webb</cp:lastModifiedBy>
  <cp:revision>4</cp:revision>
  <cp:lastPrinted>2019-06-26T01:15:00Z</cp:lastPrinted>
  <dcterms:created xsi:type="dcterms:W3CDTF">2020-06-23T09:55:00Z</dcterms:created>
  <dcterms:modified xsi:type="dcterms:W3CDTF">2020-07-01T01:46:00Z</dcterms:modified>
</cp:coreProperties>
</file>