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65F8" w14:textId="77777777" w:rsidR="0040681F" w:rsidRDefault="0040681F" w:rsidP="00BA1F43">
      <w:pPr>
        <w:adjustRightInd w:val="0"/>
        <w:snapToGrid w:val="0"/>
        <w:spacing w:line="276" w:lineRule="auto"/>
        <w:rPr>
          <w:rFonts w:ascii="Arial" w:hAnsi="Arial" w:cs="Arial"/>
          <w:sz w:val="20"/>
        </w:rPr>
      </w:pPr>
      <w:r>
        <w:rPr>
          <w:rFonts w:ascii="Arial" w:hAnsi="Arial" w:cs="Arial"/>
          <w:sz w:val="20"/>
          <w:highlight w:val="lightGray"/>
        </w:rPr>
        <w:t>[</w:t>
      </w:r>
      <w:r w:rsidRPr="00B75A9C">
        <w:rPr>
          <w:rFonts w:ascii="Arial" w:hAnsi="Arial" w:cs="Arial"/>
          <w:sz w:val="20"/>
          <w:highlight w:val="lightGray"/>
        </w:rPr>
        <w:t>Insert DD month YYYY</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40681F" w14:paraId="002B0CB5" w14:textId="77777777" w:rsidTr="00807FC3">
        <w:tc>
          <w:tcPr>
            <w:tcW w:w="9289" w:type="dxa"/>
            <w:tcBorders>
              <w:top w:val="nil"/>
              <w:left w:val="nil"/>
              <w:bottom w:val="nil"/>
              <w:right w:val="nil"/>
            </w:tcBorders>
          </w:tcPr>
          <w:p w14:paraId="5607B156" w14:textId="77777777" w:rsidR="0040681F" w:rsidRDefault="0040681F" w:rsidP="00BA1F43">
            <w:pPr>
              <w:adjustRightInd w:val="0"/>
              <w:snapToGrid w:val="0"/>
              <w:spacing w:line="276" w:lineRule="auto"/>
              <w:rPr>
                <w:rFonts w:ascii="Arial" w:hAnsi="Arial" w:cs="Arial"/>
                <w:b/>
                <w:bCs/>
                <w:sz w:val="20"/>
              </w:rPr>
            </w:pPr>
            <w:bookmarkStart w:id="0" w:name="Confidential"/>
            <w:bookmarkEnd w:id="0"/>
          </w:p>
        </w:tc>
      </w:tr>
    </w:tbl>
    <w:p w14:paraId="0E9334C7" w14:textId="77777777" w:rsidR="0040681F" w:rsidRDefault="0040681F" w:rsidP="00BA1F43">
      <w:pPr>
        <w:adjustRightInd w:val="0"/>
        <w:snapToGrid w:val="0"/>
        <w:spacing w:line="276" w:lineRule="auto"/>
        <w:jc w:val="left"/>
        <w:rPr>
          <w:rFonts w:ascii="Arial" w:hAnsi="Arial" w:cs="Arial"/>
          <w:sz w:val="20"/>
        </w:rPr>
      </w:pPr>
      <w:bookmarkStart w:id="1" w:name="Name1"/>
      <w:bookmarkEnd w:id="1"/>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405C7289" w14:textId="77777777" w:rsidR="0040681F" w:rsidRDefault="0040681F" w:rsidP="00BA1F43">
      <w:pPr>
        <w:adjustRightInd w:val="0"/>
        <w:snapToGrid w:val="0"/>
        <w:spacing w:line="276" w:lineRule="auto"/>
        <w:jc w:val="left"/>
        <w:rPr>
          <w:rFonts w:ascii="Arial" w:hAnsi="Arial" w:cs="Arial"/>
          <w:sz w:val="20"/>
        </w:rPr>
      </w:pPr>
      <w:bookmarkStart w:id="2" w:name="Position"/>
      <w:bookmarkEnd w:id="2"/>
      <w:r>
        <w:rPr>
          <w:rFonts w:ascii="Arial" w:hAnsi="Arial" w:cs="Arial"/>
          <w:sz w:val="20"/>
        </w:rPr>
        <w:t>[</w:t>
      </w:r>
      <w:r w:rsidRPr="00B75A9C">
        <w:rPr>
          <w:rFonts w:ascii="Arial" w:hAnsi="Arial" w:cs="Arial"/>
          <w:sz w:val="20"/>
          <w:highlight w:val="lightGray"/>
        </w:rPr>
        <w:t>Insert client position</w:t>
      </w:r>
      <w:r>
        <w:rPr>
          <w:rFonts w:ascii="Arial" w:hAnsi="Arial" w:cs="Arial"/>
          <w:sz w:val="20"/>
        </w:rPr>
        <w:t>]</w:t>
      </w:r>
    </w:p>
    <w:p w14:paraId="35A2DB7A" w14:textId="77777777" w:rsidR="0040681F" w:rsidRDefault="0040681F" w:rsidP="00BA1F43">
      <w:pPr>
        <w:adjustRightInd w:val="0"/>
        <w:snapToGrid w:val="0"/>
        <w:spacing w:line="276" w:lineRule="auto"/>
        <w:jc w:val="left"/>
        <w:rPr>
          <w:rFonts w:ascii="Arial" w:hAnsi="Arial" w:cs="Arial"/>
          <w:sz w:val="20"/>
        </w:rPr>
      </w:pPr>
      <w:bookmarkStart w:id="3" w:name="Company1"/>
      <w:bookmarkEnd w:id="3"/>
      <w:r w:rsidRPr="00B75A9C">
        <w:rPr>
          <w:rFonts w:ascii="Arial" w:hAnsi="Arial" w:cs="Arial"/>
          <w:sz w:val="20"/>
          <w:highlight w:val="lightGray"/>
        </w:rPr>
        <w:t>[Insert company name</w:t>
      </w:r>
      <w:r>
        <w:rPr>
          <w:rFonts w:ascii="Arial" w:hAnsi="Arial" w:cs="Arial"/>
          <w:sz w:val="20"/>
        </w:rPr>
        <w:t>]</w:t>
      </w:r>
    </w:p>
    <w:p w14:paraId="43CA9DFA" w14:textId="77777777" w:rsidR="0040681F" w:rsidRDefault="0040681F" w:rsidP="00BA1F43">
      <w:pPr>
        <w:adjustRightInd w:val="0"/>
        <w:snapToGrid w:val="0"/>
        <w:spacing w:line="276" w:lineRule="auto"/>
        <w:jc w:val="left"/>
        <w:rPr>
          <w:rFonts w:ascii="Arial" w:hAnsi="Arial" w:cs="Arial"/>
          <w:sz w:val="20"/>
        </w:rPr>
      </w:pPr>
      <w:bookmarkStart w:id="4" w:name="Address1"/>
      <w:bookmarkEnd w:id="4"/>
      <w:r>
        <w:rPr>
          <w:rFonts w:ascii="Arial" w:hAnsi="Arial" w:cs="Arial"/>
          <w:sz w:val="20"/>
        </w:rPr>
        <w:t>[</w:t>
      </w:r>
      <w:r w:rsidRPr="00B75A9C">
        <w:rPr>
          <w:rFonts w:ascii="Arial" w:hAnsi="Arial" w:cs="Arial"/>
          <w:sz w:val="20"/>
          <w:highlight w:val="lightGray"/>
        </w:rPr>
        <w:t>Insert client address</w:t>
      </w:r>
      <w:r>
        <w:rPr>
          <w:rFonts w:ascii="Arial" w:hAnsi="Arial" w:cs="Arial"/>
          <w:sz w:val="20"/>
        </w:rPr>
        <w:t>]</w:t>
      </w:r>
    </w:p>
    <w:p w14:paraId="4F1B64AC" w14:textId="77777777" w:rsidR="0040681F" w:rsidRDefault="0040681F" w:rsidP="00BA1F43">
      <w:pPr>
        <w:adjustRightInd w:val="0"/>
        <w:snapToGrid w:val="0"/>
        <w:spacing w:line="276" w:lineRule="auto"/>
        <w:jc w:val="left"/>
        <w:rPr>
          <w:rFonts w:ascii="Arial" w:hAnsi="Arial" w:cs="Arial"/>
          <w:sz w:val="20"/>
        </w:rPr>
      </w:pPr>
      <w:bookmarkStart w:id="5" w:name="Suburb"/>
      <w:bookmarkEnd w:id="5"/>
      <w:r>
        <w:rPr>
          <w:rFonts w:ascii="Arial" w:hAnsi="Arial" w:cs="Arial"/>
          <w:sz w:val="20"/>
        </w:rPr>
        <w:t>[</w:t>
      </w:r>
      <w:smartTag w:uri="urn:schemas-microsoft-com:office:smarttags" w:element="PlaceName">
        <w:r w:rsidRPr="00B75A9C">
          <w:rPr>
            <w:rFonts w:ascii="Arial" w:hAnsi="Arial" w:cs="Arial"/>
            <w:sz w:val="20"/>
            <w:highlight w:val="lightGray"/>
          </w:rPr>
          <w:t>Suburb</w:t>
        </w:r>
      </w:smartTag>
      <w:r w:rsidRPr="00B75A9C">
        <w:rPr>
          <w:rFonts w:ascii="Arial" w:hAnsi="Arial" w:cs="Arial"/>
          <w:sz w:val="20"/>
          <w:highlight w:val="lightGray"/>
        </w:rPr>
        <w:t xml:space="preserve"> state </w:t>
      </w:r>
      <w:bookmarkStart w:id="6" w:name="PostCode"/>
      <w:bookmarkEnd w:id="6"/>
      <w:r w:rsidRPr="00B75A9C">
        <w:rPr>
          <w:rFonts w:ascii="Arial" w:hAnsi="Arial" w:cs="Arial"/>
          <w:sz w:val="20"/>
          <w:highlight w:val="lightGray"/>
        </w:rPr>
        <w:t>postcode</w:t>
      </w:r>
      <w:r>
        <w:rPr>
          <w:rFonts w:ascii="Arial" w:hAnsi="Arial" w:cs="Arial"/>
          <w:sz w:val="20"/>
        </w:rPr>
        <w:t>]</w:t>
      </w:r>
    </w:p>
    <w:p w14:paraId="68F2070E" w14:textId="77777777" w:rsidR="0040681F" w:rsidRDefault="0040681F" w:rsidP="00BA1F43">
      <w:pPr>
        <w:adjustRightInd w:val="0"/>
        <w:snapToGrid w:val="0"/>
        <w:spacing w:line="276" w:lineRule="auto"/>
        <w:jc w:val="left"/>
        <w:rPr>
          <w:rFonts w:ascii="Arial" w:hAnsi="Arial" w:cs="Arial"/>
          <w:sz w:val="20"/>
        </w:rPr>
      </w:pPr>
    </w:p>
    <w:p w14:paraId="2805857F" w14:textId="77777777" w:rsidR="0040681F" w:rsidRDefault="0040681F" w:rsidP="00BA1F43">
      <w:pPr>
        <w:adjustRightInd w:val="0"/>
        <w:snapToGrid w:val="0"/>
        <w:spacing w:line="276" w:lineRule="auto"/>
        <w:jc w:val="left"/>
        <w:rPr>
          <w:rFonts w:ascii="Arial" w:hAnsi="Arial" w:cs="Arial"/>
          <w:bCs/>
          <w:sz w:val="20"/>
        </w:rPr>
      </w:pPr>
    </w:p>
    <w:p w14:paraId="76DF11B4" w14:textId="77777777" w:rsidR="0040681F" w:rsidRDefault="0040681F" w:rsidP="00BA1F43">
      <w:pPr>
        <w:adjustRightInd w:val="0"/>
        <w:snapToGrid w:val="0"/>
        <w:spacing w:line="276" w:lineRule="auto"/>
        <w:jc w:val="left"/>
        <w:rPr>
          <w:rFonts w:ascii="Arial" w:hAnsi="Arial" w:cs="Arial"/>
          <w:sz w:val="20"/>
        </w:rPr>
      </w:pPr>
      <w:r>
        <w:rPr>
          <w:rFonts w:ascii="Arial" w:hAnsi="Arial" w:cs="Arial"/>
          <w:sz w:val="20"/>
        </w:rPr>
        <w:t xml:space="preserve">Dear </w:t>
      </w:r>
      <w:bookmarkStart w:id="7" w:name="Salutation"/>
      <w:bookmarkEnd w:id="7"/>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66B72BE9" w14:textId="77777777" w:rsidR="0040681F" w:rsidRDefault="0040681F" w:rsidP="00BA1F43">
      <w:pPr>
        <w:adjustRightInd w:val="0"/>
        <w:snapToGrid w:val="0"/>
        <w:spacing w:line="276" w:lineRule="auto"/>
        <w:jc w:val="left"/>
        <w:rPr>
          <w:rFonts w:ascii="Arial" w:hAnsi="Arial" w:cs="Arial"/>
          <w:b/>
          <w:bCs/>
          <w:sz w:val="20"/>
        </w:rPr>
      </w:pPr>
    </w:p>
    <w:p w14:paraId="1C1C7DDC" w14:textId="77777777" w:rsidR="0040681F" w:rsidRDefault="0040681F" w:rsidP="00BA1F43">
      <w:pPr>
        <w:adjustRightInd w:val="0"/>
        <w:snapToGrid w:val="0"/>
        <w:spacing w:line="276" w:lineRule="auto"/>
        <w:jc w:val="left"/>
        <w:rPr>
          <w:rFonts w:ascii="Arial" w:hAnsi="Arial" w:cs="Arial"/>
          <w:b/>
          <w:bCs/>
          <w:sz w:val="20"/>
        </w:rPr>
      </w:pPr>
    </w:p>
    <w:p w14:paraId="0C153033" w14:textId="49980675" w:rsidR="0040681F" w:rsidRPr="00B1361D" w:rsidRDefault="0040681F" w:rsidP="00BA1F43">
      <w:pPr>
        <w:adjustRightInd w:val="0"/>
        <w:snapToGrid w:val="0"/>
        <w:spacing w:line="276" w:lineRule="auto"/>
        <w:jc w:val="left"/>
        <w:rPr>
          <w:rFonts w:ascii="Arial" w:hAnsi="Arial" w:cs="Arial"/>
          <w:b/>
          <w:bCs/>
          <w:sz w:val="21"/>
          <w:szCs w:val="21"/>
        </w:rPr>
      </w:pPr>
      <w:r w:rsidRPr="00B1361D">
        <w:rPr>
          <w:rFonts w:ascii="Arial" w:hAnsi="Arial" w:cs="Arial"/>
          <w:b/>
          <w:bCs/>
          <w:sz w:val="21"/>
          <w:szCs w:val="21"/>
        </w:rPr>
        <w:t>Re:</w:t>
      </w:r>
      <w:r w:rsidRPr="00B1361D">
        <w:rPr>
          <w:rFonts w:ascii="Arial" w:hAnsi="Arial" w:cs="Arial"/>
          <w:b/>
          <w:bCs/>
          <w:sz w:val="21"/>
          <w:szCs w:val="21"/>
        </w:rPr>
        <w:tab/>
      </w:r>
      <w:bookmarkStart w:id="8" w:name="Subject"/>
      <w:bookmarkEnd w:id="8"/>
      <w:r w:rsidR="004C5C7B">
        <w:rPr>
          <w:rFonts w:ascii="Arial" w:hAnsi="Arial" w:cs="Arial"/>
          <w:b/>
          <w:bCs/>
          <w:sz w:val="21"/>
          <w:szCs w:val="21"/>
        </w:rPr>
        <w:t xml:space="preserve">Thin capitalisation and debt deduction creation </w:t>
      </w:r>
      <w:r w:rsidR="007D45BB">
        <w:rPr>
          <w:rFonts w:ascii="Arial" w:hAnsi="Arial" w:cs="Arial"/>
          <w:b/>
          <w:bCs/>
          <w:sz w:val="21"/>
          <w:szCs w:val="21"/>
        </w:rPr>
        <w:t>rules</w:t>
      </w:r>
    </w:p>
    <w:p w14:paraId="23E6CEC0" w14:textId="77777777" w:rsidR="0040681F" w:rsidRPr="005F3589" w:rsidRDefault="0040681F" w:rsidP="00BA1F43">
      <w:pPr>
        <w:adjustRightInd w:val="0"/>
        <w:snapToGrid w:val="0"/>
        <w:spacing w:line="276" w:lineRule="auto"/>
        <w:jc w:val="left"/>
        <w:rPr>
          <w:rFonts w:ascii="Arial" w:hAnsi="Arial" w:cs="Arial"/>
          <w:b/>
          <w:bCs/>
          <w:sz w:val="20"/>
        </w:rPr>
      </w:pPr>
    </w:p>
    <w:p w14:paraId="0D2907D8" w14:textId="2D72EC02" w:rsidR="00E75B66" w:rsidRDefault="00E75B66" w:rsidP="00BA1F43">
      <w:pPr>
        <w:adjustRightInd w:val="0"/>
        <w:snapToGrid w:val="0"/>
        <w:spacing w:line="276" w:lineRule="auto"/>
        <w:jc w:val="left"/>
        <w:rPr>
          <w:rFonts w:ascii="Arial" w:hAnsi="Arial" w:cs="Arial"/>
          <w:bCs/>
          <w:sz w:val="20"/>
        </w:rPr>
      </w:pPr>
      <w:r>
        <w:rPr>
          <w:rFonts w:ascii="Arial" w:hAnsi="Arial" w:cs="Arial"/>
          <w:bCs/>
          <w:sz w:val="20"/>
        </w:rPr>
        <w:t xml:space="preserve">Following enactment of the </w:t>
      </w:r>
      <w:r w:rsidRPr="00E56A7F">
        <w:rPr>
          <w:rFonts w:ascii="Arial" w:hAnsi="Arial" w:cs="Arial"/>
          <w:bCs/>
          <w:i/>
          <w:iCs/>
          <w:sz w:val="20"/>
        </w:rPr>
        <w:t>Treasury Laws Amendment</w:t>
      </w:r>
      <w:r>
        <w:rPr>
          <w:rFonts w:ascii="Arial" w:hAnsi="Arial" w:cs="Arial"/>
          <w:bCs/>
          <w:sz w:val="20"/>
        </w:rPr>
        <w:t xml:space="preserve"> </w:t>
      </w:r>
      <w:r w:rsidRPr="0035397D">
        <w:rPr>
          <w:rFonts w:ascii="Arial" w:hAnsi="Arial" w:cs="Arial"/>
          <w:bCs/>
          <w:i/>
          <w:iCs/>
          <w:sz w:val="20"/>
        </w:rPr>
        <w:t>(Making Multi</w:t>
      </w:r>
      <w:r w:rsidR="00C776FB" w:rsidRPr="0035397D">
        <w:rPr>
          <w:rFonts w:ascii="Arial" w:hAnsi="Arial" w:cs="Arial"/>
          <w:bCs/>
          <w:i/>
          <w:iCs/>
          <w:sz w:val="20"/>
        </w:rPr>
        <w:t xml:space="preserve">nationals Pay Their Fair Share – Integrity and Transparency) </w:t>
      </w:r>
      <w:r w:rsidR="00170EAF">
        <w:rPr>
          <w:rFonts w:ascii="Arial" w:hAnsi="Arial" w:cs="Arial"/>
          <w:bCs/>
          <w:i/>
          <w:iCs/>
          <w:sz w:val="20"/>
        </w:rPr>
        <w:t>Act</w:t>
      </w:r>
      <w:r w:rsidR="00170EAF" w:rsidRPr="0035397D">
        <w:rPr>
          <w:rFonts w:ascii="Arial" w:hAnsi="Arial" w:cs="Arial"/>
          <w:bCs/>
          <w:i/>
          <w:iCs/>
          <w:sz w:val="20"/>
        </w:rPr>
        <w:t xml:space="preserve"> 202</w:t>
      </w:r>
      <w:r w:rsidR="00170EAF">
        <w:rPr>
          <w:rFonts w:ascii="Arial" w:hAnsi="Arial" w:cs="Arial"/>
          <w:bCs/>
          <w:i/>
          <w:iCs/>
          <w:sz w:val="20"/>
        </w:rPr>
        <w:t>4</w:t>
      </w:r>
      <w:r w:rsidR="00ED3E58">
        <w:rPr>
          <w:rFonts w:ascii="Arial" w:hAnsi="Arial" w:cs="Arial"/>
          <w:bCs/>
          <w:sz w:val="20"/>
        </w:rPr>
        <w:t>:</w:t>
      </w:r>
    </w:p>
    <w:p w14:paraId="6364822F" w14:textId="4CC9A076" w:rsidR="00C776FB" w:rsidRDefault="00C776FB" w:rsidP="00C776FB">
      <w:pPr>
        <w:pStyle w:val="ListParagraph"/>
        <w:numPr>
          <w:ilvl w:val="0"/>
          <w:numId w:val="11"/>
        </w:numPr>
        <w:adjustRightInd w:val="0"/>
        <w:snapToGrid w:val="0"/>
        <w:spacing w:line="276" w:lineRule="auto"/>
        <w:jc w:val="left"/>
        <w:rPr>
          <w:bCs/>
          <w:sz w:val="20"/>
        </w:rPr>
      </w:pPr>
      <w:r>
        <w:rPr>
          <w:bCs/>
          <w:sz w:val="20"/>
        </w:rPr>
        <w:t>new thin capitalisation</w:t>
      </w:r>
      <w:r w:rsidR="00C039F2">
        <w:rPr>
          <w:bCs/>
          <w:sz w:val="20"/>
        </w:rPr>
        <w:t xml:space="preserve"> (‘thin cap’)</w:t>
      </w:r>
      <w:r>
        <w:rPr>
          <w:bCs/>
          <w:sz w:val="20"/>
        </w:rPr>
        <w:t xml:space="preserve"> rules will apply</w:t>
      </w:r>
      <w:r w:rsidR="006A61AB">
        <w:rPr>
          <w:bCs/>
          <w:sz w:val="20"/>
        </w:rPr>
        <w:t xml:space="preserve"> </w:t>
      </w:r>
      <w:r w:rsidR="00ED3E58">
        <w:rPr>
          <w:bCs/>
          <w:sz w:val="20"/>
        </w:rPr>
        <w:t>to income years on or after 1 July 2023</w:t>
      </w:r>
      <w:r w:rsidR="00313773">
        <w:rPr>
          <w:bCs/>
          <w:sz w:val="20"/>
        </w:rPr>
        <w:t xml:space="preserve"> </w:t>
      </w:r>
      <w:r w:rsidR="006A61AB">
        <w:rPr>
          <w:bCs/>
          <w:sz w:val="20"/>
        </w:rPr>
        <w:t>and</w:t>
      </w:r>
    </w:p>
    <w:p w14:paraId="6AA48E08" w14:textId="4623ACFD" w:rsidR="006A61AB" w:rsidRPr="00C776FB" w:rsidRDefault="00313773" w:rsidP="00C776FB">
      <w:pPr>
        <w:pStyle w:val="ListParagraph"/>
        <w:numPr>
          <w:ilvl w:val="0"/>
          <w:numId w:val="11"/>
        </w:numPr>
        <w:adjustRightInd w:val="0"/>
        <w:snapToGrid w:val="0"/>
        <w:spacing w:line="276" w:lineRule="auto"/>
        <w:jc w:val="left"/>
        <w:rPr>
          <w:bCs/>
          <w:sz w:val="20"/>
        </w:rPr>
      </w:pPr>
      <w:r>
        <w:rPr>
          <w:bCs/>
          <w:sz w:val="20"/>
        </w:rPr>
        <w:t>debt deduction creation rules will apply to income years commencing on or after 1 July 2024</w:t>
      </w:r>
      <w:r w:rsidR="00003D3E">
        <w:rPr>
          <w:bCs/>
          <w:sz w:val="20"/>
        </w:rPr>
        <w:t xml:space="preserve">. </w:t>
      </w:r>
    </w:p>
    <w:p w14:paraId="5B03676E" w14:textId="77777777" w:rsidR="0035397D" w:rsidRDefault="0035397D" w:rsidP="00BA1F43">
      <w:pPr>
        <w:adjustRightInd w:val="0"/>
        <w:snapToGrid w:val="0"/>
        <w:spacing w:line="276" w:lineRule="auto"/>
        <w:jc w:val="left"/>
        <w:rPr>
          <w:rFonts w:ascii="Arial" w:hAnsi="Arial" w:cs="Arial"/>
          <w:bCs/>
          <w:sz w:val="20"/>
        </w:rPr>
      </w:pPr>
    </w:p>
    <w:p w14:paraId="15349C91" w14:textId="3CA8EFAB" w:rsidR="009104CB" w:rsidRDefault="007701E9" w:rsidP="00737303">
      <w:pPr>
        <w:adjustRightInd w:val="0"/>
        <w:snapToGrid w:val="0"/>
        <w:spacing w:line="276" w:lineRule="auto"/>
        <w:jc w:val="left"/>
        <w:rPr>
          <w:rFonts w:ascii="Arial" w:hAnsi="Arial" w:cs="Arial"/>
          <w:bCs/>
          <w:sz w:val="20"/>
        </w:rPr>
      </w:pPr>
      <w:r>
        <w:rPr>
          <w:rFonts w:ascii="Arial" w:hAnsi="Arial" w:cs="Arial"/>
          <w:bCs/>
          <w:sz w:val="20"/>
        </w:rPr>
        <w:t xml:space="preserve">The </w:t>
      </w:r>
      <w:r w:rsidR="00036C4D">
        <w:rPr>
          <w:rFonts w:ascii="Arial" w:hAnsi="Arial" w:cs="Arial"/>
          <w:bCs/>
          <w:sz w:val="20"/>
        </w:rPr>
        <w:t xml:space="preserve">new thin </w:t>
      </w:r>
      <w:r w:rsidR="00C039F2">
        <w:rPr>
          <w:rFonts w:ascii="Arial" w:hAnsi="Arial" w:cs="Arial"/>
          <w:bCs/>
          <w:sz w:val="20"/>
        </w:rPr>
        <w:t>cap</w:t>
      </w:r>
      <w:r w:rsidR="00036C4D">
        <w:rPr>
          <w:rFonts w:ascii="Arial" w:hAnsi="Arial" w:cs="Arial"/>
          <w:bCs/>
          <w:sz w:val="20"/>
        </w:rPr>
        <w:t xml:space="preserve"> and debt deduction creation rules </w:t>
      </w:r>
      <w:r w:rsidR="00B5477F">
        <w:rPr>
          <w:rFonts w:ascii="Arial" w:hAnsi="Arial" w:cs="Arial"/>
          <w:bCs/>
          <w:sz w:val="20"/>
        </w:rPr>
        <w:t xml:space="preserve">replaces the </w:t>
      </w:r>
      <w:r w:rsidR="009871D3">
        <w:rPr>
          <w:rFonts w:ascii="Arial" w:hAnsi="Arial" w:cs="Arial"/>
          <w:bCs/>
          <w:sz w:val="20"/>
        </w:rPr>
        <w:t>old</w:t>
      </w:r>
      <w:r w:rsidR="00C039F2">
        <w:rPr>
          <w:rFonts w:ascii="Arial" w:hAnsi="Arial" w:cs="Arial"/>
          <w:bCs/>
          <w:sz w:val="20"/>
        </w:rPr>
        <w:t xml:space="preserve"> thin cap regime </w:t>
      </w:r>
      <w:r w:rsidR="00CA2D76">
        <w:rPr>
          <w:rFonts w:ascii="Arial" w:hAnsi="Arial" w:cs="Arial"/>
          <w:bCs/>
          <w:sz w:val="20"/>
        </w:rPr>
        <w:t xml:space="preserve">for ‘general class investors’ </w:t>
      </w:r>
      <w:r w:rsidR="00C039F2">
        <w:rPr>
          <w:rFonts w:ascii="Arial" w:hAnsi="Arial" w:cs="Arial"/>
          <w:bCs/>
          <w:sz w:val="20"/>
        </w:rPr>
        <w:t>set out in Division 820</w:t>
      </w:r>
      <w:r w:rsidR="00C26EAD" w:rsidRPr="00C26EAD">
        <w:rPr>
          <w:rFonts w:ascii="Arial" w:hAnsi="Arial" w:cs="Arial"/>
          <w:bCs/>
          <w:sz w:val="20"/>
        </w:rPr>
        <w:t xml:space="preserve"> of the </w:t>
      </w:r>
      <w:r w:rsidR="00C26EAD" w:rsidRPr="00C26EAD">
        <w:rPr>
          <w:rFonts w:ascii="Arial" w:hAnsi="Arial" w:cs="Arial"/>
          <w:bCs/>
          <w:i/>
          <w:sz w:val="20"/>
        </w:rPr>
        <w:t>Income Tax Assessment Act</w:t>
      </w:r>
      <w:r w:rsidR="00B1361D">
        <w:rPr>
          <w:rFonts w:ascii="Arial" w:hAnsi="Arial" w:cs="Arial"/>
          <w:bCs/>
          <w:sz w:val="20"/>
        </w:rPr>
        <w:t xml:space="preserve"> </w:t>
      </w:r>
      <w:r w:rsidR="00C26EAD" w:rsidRPr="00C26EAD">
        <w:rPr>
          <w:rFonts w:ascii="Arial" w:hAnsi="Arial" w:cs="Arial"/>
          <w:bCs/>
          <w:sz w:val="20"/>
        </w:rPr>
        <w:t>1997</w:t>
      </w:r>
      <w:r w:rsidR="00B1361D">
        <w:rPr>
          <w:rFonts w:ascii="Arial" w:hAnsi="Arial" w:cs="Arial"/>
          <w:bCs/>
          <w:sz w:val="20"/>
        </w:rPr>
        <w:t xml:space="preserve"> (</w:t>
      </w:r>
      <w:r w:rsidR="00250209" w:rsidRPr="00927FE2">
        <w:rPr>
          <w:rFonts w:ascii="Arial" w:hAnsi="Arial" w:cs="Arial"/>
          <w:bCs/>
          <w:sz w:val="20"/>
        </w:rPr>
        <w:t>ITAA 1997</w:t>
      </w:r>
      <w:r w:rsidR="00C26EAD" w:rsidRPr="00C26EAD">
        <w:rPr>
          <w:rFonts w:ascii="Arial" w:hAnsi="Arial" w:cs="Arial"/>
          <w:bCs/>
          <w:sz w:val="20"/>
        </w:rPr>
        <w:t>)</w:t>
      </w:r>
      <w:r w:rsidR="009E5283">
        <w:rPr>
          <w:rFonts w:ascii="Arial" w:hAnsi="Arial" w:cs="Arial"/>
          <w:bCs/>
          <w:sz w:val="20"/>
        </w:rPr>
        <w:t>.</w:t>
      </w:r>
      <w:r w:rsidR="00C039F2">
        <w:rPr>
          <w:rFonts w:ascii="Arial" w:hAnsi="Arial" w:cs="Arial"/>
          <w:bCs/>
          <w:sz w:val="20"/>
        </w:rPr>
        <w:t xml:space="preserve"> </w:t>
      </w:r>
      <w:r w:rsidR="009104CB">
        <w:rPr>
          <w:rFonts w:ascii="Arial" w:hAnsi="Arial" w:cs="Arial"/>
          <w:bCs/>
          <w:sz w:val="20"/>
        </w:rPr>
        <w:t xml:space="preserve">In particular, the new thin cap rules </w:t>
      </w:r>
      <w:r w:rsidR="00B41D73">
        <w:rPr>
          <w:rFonts w:ascii="Arial" w:hAnsi="Arial" w:cs="Arial"/>
          <w:bCs/>
          <w:sz w:val="20"/>
        </w:rPr>
        <w:t>introduce the following new tests:</w:t>
      </w:r>
    </w:p>
    <w:p w14:paraId="29286CA4" w14:textId="3608BFD2" w:rsidR="00B41D73" w:rsidRDefault="00B41D73" w:rsidP="00B41D73">
      <w:pPr>
        <w:pStyle w:val="ListParagraph"/>
        <w:numPr>
          <w:ilvl w:val="0"/>
          <w:numId w:val="13"/>
        </w:numPr>
        <w:adjustRightInd w:val="0"/>
        <w:snapToGrid w:val="0"/>
        <w:spacing w:line="276" w:lineRule="auto"/>
        <w:jc w:val="left"/>
        <w:rPr>
          <w:bCs/>
          <w:sz w:val="20"/>
        </w:rPr>
      </w:pPr>
      <w:r>
        <w:rPr>
          <w:bCs/>
          <w:sz w:val="20"/>
        </w:rPr>
        <w:t>Fixed Ratio Test (FRT)</w:t>
      </w:r>
    </w:p>
    <w:p w14:paraId="1AA67CEF" w14:textId="5951E69B" w:rsidR="00B41D73" w:rsidRDefault="00B41D73" w:rsidP="00B41D73">
      <w:pPr>
        <w:pStyle w:val="ListParagraph"/>
        <w:numPr>
          <w:ilvl w:val="0"/>
          <w:numId w:val="13"/>
        </w:numPr>
        <w:adjustRightInd w:val="0"/>
        <w:snapToGrid w:val="0"/>
        <w:spacing w:line="276" w:lineRule="auto"/>
        <w:jc w:val="left"/>
        <w:rPr>
          <w:bCs/>
          <w:sz w:val="20"/>
        </w:rPr>
      </w:pPr>
      <w:r>
        <w:rPr>
          <w:bCs/>
          <w:sz w:val="20"/>
        </w:rPr>
        <w:t>Group Ratio Test (GRT)</w:t>
      </w:r>
    </w:p>
    <w:p w14:paraId="29E4D48B" w14:textId="009A2C93" w:rsidR="00B41D73" w:rsidRPr="00B41D73" w:rsidRDefault="00B41D73" w:rsidP="00B41D73">
      <w:pPr>
        <w:pStyle w:val="ListParagraph"/>
        <w:numPr>
          <w:ilvl w:val="0"/>
          <w:numId w:val="13"/>
        </w:numPr>
        <w:adjustRightInd w:val="0"/>
        <w:snapToGrid w:val="0"/>
        <w:spacing w:line="276" w:lineRule="auto"/>
        <w:jc w:val="left"/>
        <w:rPr>
          <w:bCs/>
          <w:sz w:val="20"/>
        </w:rPr>
      </w:pPr>
      <w:r>
        <w:rPr>
          <w:bCs/>
          <w:sz w:val="20"/>
        </w:rPr>
        <w:t>Third Party Debt Test (TPDT)</w:t>
      </w:r>
    </w:p>
    <w:p w14:paraId="3EE40781" w14:textId="77777777" w:rsidR="00B41D73" w:rsidRDefault="00B41D73" w:rsidP="00737303">
      <w:pPr>
        <w:adjustRightInd w:val="0"/>
        <w:snapToGrid w:val="0"/>
        <w:spacing w:line="276" w:lineRule="auto"/>
        <w:jc w:val="left"/>
        <w:rPr>
          <w:rFonts w:ascii="Arial" w:hAnsi="Arial" w:cs="Arial"/>
          <w:bCs/>
          <w:sz w:val="20"/>
        </w:rPr>
      </w:pPr>
    </w:p>
    <w:p w14:paraId="4B0FA40C" w14:textId="6C1A6A95" w:rsidR="00E61628" w:rsidRDefault="00875CDD" w:rsidP="009E4805">
      <w:pPr>
        <w:adjustRightInd w:val="0"/>
        <w:snapToGrid w:val="0"/>
        <w:spacing w:line="276" w:lineRule="auto"/>
        <w:jc w:val="left"/>
        <w:rPr>
          <w:rFonts w:ascii="Arial" w:hAnsi="Arial" w:cs="Arial"/>
          <w:bCs/>
          <w:sz w:val="20"/>
        </w:rPr>
      </w:pPr>
      <w:r>
        <w:rPr>
          <w:rFonts w:ascii="Arial" w:hAnsi="Arial" w:cs="Arial"/>
          <w:bCs/>
          <w:sz w:val="20"/>
        </w:rPr>
        <w:t xml:space="preserve">The above tests disallow an entity’s debt deductions by reference to their earnings, which </w:t>
      </w:r>
      <w:r w:rsidR="009E4805">
        <w:rPr>
          <w:rFonts w:ascii="Arial" w:hAnsi="Arial" w:cs="Arial"/>
          <w:bCs/>
          <w:sz w:val="20"/>
        </w:rPr>
        <w:t>replaces the previous assets-based tests</w:t>
      </w:r>
      <w:r w:rsidR="00096D61">
        <w:rPr>
          <w:rFonts w:ascii="Arial" w:hAnsi="Arial" w:cs="Arial"/>
          <w:bCs/>
          <w:sz w:val="20"/>
        </w:rPr>
        <w:t xml:space="preserve"> for general class investors</w:t>
      </w:r>
      <w:r w:rsidR="009E4805">
        <w:rPr>
          <w:rFonts w:ascii="Arial" w:hAnsi="Arial" w:cs="Arial"/>
          <w:bCs/>
          <w:sz w:val="20"/>
        </w:rPr>
        <w:t xml:space="preserve">. </w:t>
      </w:r>
      <w:r w:rsidR="00737303">
        <w:rPr>
          <w:rFonts w:ascii="Arial" w:hAnsi="Arial" w:cs="Arial"/>
          <w:bCs/>
          <w:sz w:val="20"/>
        </w:rPr>
        <w:t>T</w:t>
      </w:r>
      <w:r w:rsidR="006459AB">
        <w:rPr>
          <w:rFonts w:ascii="Arial" w:hAnsi="Arial" w:cs="Arial"/>
          <w:bCs/>
          <w:sz w:val="20"/>
        </w:rPr>
        <w:t xml:space="preserve">he introduction of the debt deduction creation rules </w:t>
      </w:r>
      <w:r w:rsidR="007B0A28">
        <w:rPr>
          <w:rFonts w:ascii="Arial" w:hAnsi="Arial" w:cs="Arial"/>
          <w:bCs/>
          <w:sz w:val="20"/>
        </w:rPr>
        <w:t>is</w:t>
      </w:r>
      <w:r w:rsidR="006459AB">
        <w:rPr>
          <w:rFonts w:ascii="Arial" w:hAnsi="Arial" w:cs="Arial"/>
          <w:bCs/>
          <w:sz w:val="20"/>
        </w:rPr>
        <w:t xml:space="preserve"> </w:t>
      </w:r>
      <w:r w:rsidR="00737303">
        <w:rPr>
          <w:rFonts w:ascii="Arial" w:hAnsi="Arial" w:cs="Arial"/>
          <w:bCs/>
          <w:sz w:val="20"/>
        </w:rPr>
        <w:t xml:space="preserve">also </w:t>
      </w:r>
      <w:r w:rsidR="006459AB">
        <w:rPr>
          <w:rFonts w:ascii="Arial" w:hAnsi="Arial" w:cs="Arial"/>
          <w:bCs/>
          <w:sz w:val="20"/>
        </w:rPr>
        <w:t xml:space="preserve">a new concept introduced that did not exist in the </w:t>
      </w:r>
      <w:r w:rsidR="009E4805">
        <w:rPr>
          <w:rFonts w:ascii="Arial" w:hAnsi="Arial" w:cs="Arial"/>
          <w:bCs/>
          <w:sz w:val="20"/>
        </w:rPr>
        <w:t>previous</w:t>
      </w:r>
      <w:r w:rsidR="006459AB">
        <w:rPr>
          <w:rFonts w:ascii="Arial" w:hAnsi="Arial" w:cs="Arial"/>
          <w:bCs/>
          <w:sz w:val="20"/>
        </w:rPr>
        <w:t xml:space="preserve"> thin cap regime.</w:t>
      </w:r>
      <w:r w:rsidR="00E61628">
        <w:rPr>
          <w:rFonts w:ascii="Arial" w:hAnsi="Arial" w:cs="Arial"/>
          <w:bCs/>
          <w:sz w:val="20"/>
        </w:rPr>
        <w:t xml:space="preserve"> </w:t>
      </w:r>
    </w:p>
    <w:p w14:paraId="7363A853" w14:textId="77777777" w:rsidR="00E61628" w:rsidRDefault="00E61628" w:rsidP="009A48EA">
      <w:pPr>
        <w:adjustRightInd w:val="0"/>
        <w:snapToGrid w:val="0"/>
        <w:spacing w:line="276" w:lineRule="auto"/>
        <w:jc w:val="left"/>
        <w:rPr>
          <w:rFonts w:ascii="Arial" w:hAnsi="Arial" w:cs="Arial"/>
          <w:bCs/>
          <w:sz w:val="20"/>
        </w:rPr>
      </w:pPr>
    </w:p>
    <w:p w14:paraId="79D07F8E" w14:textId="034D413E" w:rsidR="00B20696" w:rsidRDefault="009A48EA" w:rsidP="009A48EA">
      <w:pPr>
        <w:adjustRightInd w:val="0"/>
        <w:snapToGrid w:val="0"/>
        <w:spacing w:line="276" w:lineRule="auto"/>
        <w:jc w:val="left"/>
        <w:rPr>
          <w:rFonts w:ascii="Arial" w:hAnsi="Arial" w:cs="Arial"/>
          <w:bCs/>
          <w:sz w:val="20"/>
        </w:rPr>
      </w:pPr>
      <w:r>
        <w:rPr>
          <w:rFonts w:ascii="Arial" w:hAnsi="Arial" w:cs="Arial"/>
          <w:bCs/>
          <w:sz w:val="20"/>
        </w:rPr>
        <w:t>The changes are aimed at reducing risks to the Australian domestic tax base from the use of excess debt deductions</w:t>
      </w:r>
      <w:r w:rsidR="00E017BB">
        <w:rPr>
          <w:rFonts w:ascii="Arial" w:hAnsi="Arial" w:cs="Arial"/>
          <w:bCs/>
          <w:sz w:val="20"/>
        </w:rPr>
        <w:t xml:space="preserve">, which are more restrictive than the </w:t>
      </w:r>
      <w:r w:rsidR="001C495B">
        <w:rPr>
          <w:rFonts w:ascii="Arial" w:hAnsi="Arial" w:cs="Arial"/>
          <w:bCs/>
          <w:sz w:val="20"/>
        </w:rPr>
        <w:t>old</w:t>
      </w:r>
      <w:r w:rsidR="00E017BB">
        <w:rPr>
          <w:rFonts w:ascii="Arial" w:hAnsi="Arial" w:cs="Arial"/>
          <w:bCs/>
          <w:sz w:val="20"/>
        </w:rPr>
        <w:t xml:space="preserve"> thin cap rules </w:t>
      </w:r>
      <w:r w:rsidR="004637E9">
        <w:rPr>
          <w:rFonts w:ascii="Arial" w:hAnsi="Arial" w:cs="Arial"/>
          <w:bCs/>
          <w:sz w:val="20"/>
        </w:rPr>
        <w:t>and likely to result in a greater denial of debt deductions</w:t>
      </w:r>
      <w:r w:rsidR="00815C3A">
        <w:rPr>
          <w:rFonts w:ascii="Arial" w:hAnsi="Arial" w:cs="Arial"/>
          <w:bCs/>
          <w:sz w:val="20"/>
        </w:rPr>
        <w:t xml:space="preserve"> especially for groups with little or no profits</w:t>
      </w:r>
      <w:r w:rsidR="00E61628">
        <w:rPr>
          <w:rFonts w:ascii="Arial" w:hAnsi="Arial" w:cs="Arial"/>
          <w:bCs/>
          <w:sz w:val="20"/>
        </w:rPr>
        <w:t>.</w:t>
      </w:r>
    </w:p>
    <w:p w14:paraId="2D3261AC" w14:textId="77777777" w:rsidR="00FB595A" w:rsidRDefault="00FB595A" w:rsidP="00C039F2">
      <w:pPr>
        <w:adjustRightInd w:val="0"/>
        <w:snapToGrid w:val="0"/>
        <w:spacing w:line="276" w:lineRule="auto"/>
        <w:jc w:val="left"/>
        <w:rPr>
          <w:rFonts w:ascii="Arial" w:hAnsi="Arial" w:cs="Arial"/>
          <w:bCs/>
          <w:sz w:val="20"/>
        </w:rPr>
      </w:pPr>
    </w:p>
    <w:p w14:paraId="4DA30280" w14:textId="041A0E21" w:rsidR="0094584C" w:rsidRPr="00C26EAD" w:rsidRDefault="006F2103" w:rsidP="00C039F2">
      <w:pPr>
        <w:adjustRightInd w:val="0"/>
        <w:snapToGrid w:val="0"/>
        <w:spacing w:line="276" w:lineRule="auto"/>
        <w:jc w:val="left"/>
        <w:rPr>
          <w:rFonts w:ascii="Arial" w:hAnsi="Arial" w:cs="Arial"/>
          <w:bCs/>
          <w:sz w:val="20"/>
        </w:rPr>
      </w:pPr>
      <w:r>
        <w:rPr>
          <w:rFonts w:ascii="Arial" w:hAnsi="Arial" w:cs="Arial"/>
          <w:bCs/>
          <w:sz w:val="20"/>
        </w:rPr>
        <w:t xml:space="preserve">As taxpayers may have </w:t>
      </w:r>
      <w:r w:rsidR="00E9546F">
        <w:rPr>
          <w:rFonts w:ascii="Arial" w:hAnsi="Arial" w:cs="Arial"/>
          <w:bCs/>
          <w:sz w:val="20"/>
        </w:rPr>
        <w:t xml:space="preserve">different tax outcomes depending on which </w:t>
      </w:r>
      <w:r w:rsidR="002869DB">
        <w:rPr>
          <w:rFonts w:ascii="Arial" w:hAnsi="Arial" w:cs="Arial"/>
          <w:bCs/>
          <w:sz w:val="20"/>
        </w:rPr>
        <w:t xml:space="preserve">test </w:t>
      </w:r>
      <w:r w:rsidR="004D067A">
        <w:rPr>
          <w:rFonts w:ascii="Arial" w:hAnsi="Arial" w:cs="Arial"/>
          <w:bCs/>
          <w:sz w:val="20"/>
        </w:rPr>
        <w:t>they</w:t>
      </w:r>
      <w:r w:rsidR="002869DB">
        <w:rPr>
          <w:rFonts w:ascii="Arial" w:hAnsi="Arial" w:cs="Arial"/>
          <w:bCs/>
          <w:sz w:val="20"/>
        </w:rPr>
        <w:t xml:space="preserve"> choose to apply, it is important for taxpayers to review their debt financing arrangements </w:t>
      </w:r>
      <w:r w:rsidR="004D067A">
        <w:rPr>
          <w:rFonts w:ascii="Arial" w:hAnsi="Arial" w:cs="Arial"/>
          <w:bCs/>
          <w:sz w:val="20"/>
        </w:rPr>
        <w:t>and consult with their tax advisors on the best test to apply</w:t>
      </w:r>
      <w:r w:rsidR="001D2E6D">
        <w:rPr>
          <w:rFonts w:ascii="Arial" w:hAnsi="Arial" w:cs="Arial"/>
          <w:bCs/>
          <w:sz w:val="20"/>
        </w:rPr>
        <w:t xml:space="preserve"> under the new thin cap regime. Further</w:t>
      </w:r>
      <w:r w:rsidR="008B3DE3">
        <w:rPr>
          <w:rFonts w:ascii="Arial" w:hAnsi="Arial" w:cs="Arial"/>
          <w:bCs/>
          <w:sz w:val="20"/>
        </w:rPr>
        <w:t>,</w:t>
      </w:r>
      <w:r w:rsidR="007C25BE">
        <w:rPr>
          <w:rFonts w:ascii="Arial" w:hAnsi="Arial" w:cs="Arial"/>
          <w:bCs/>
          <w:sz w:val="20"/>
        </w:rPr>
        <w:t xml:space="preserve"> </w:t>
      </w:r>
      <w:r w:rsidR="00FD7411">
        <w:rPr>
          <w:rFonts w:ascii="Arial" w:hAnsi="Arial" w:cs="Arial"/>
          <w:bCs/>
          <w:sz w:val="20"/>
        </w:rPr>
        <w:t xml:space="preserve">taxpayers with </w:t>
      </w:r>
      <w:r w:rsidR="007C25BE">
        <w:rPr>
          <w:rFonts w:ascii="Arial" w:hAnsi="Arial" w:cs="Arial"/>
          <w:bCs/>
          <w:sz w:val="20"/>
        </w:rPr>
        <w:t>any related party debt</w:t>
      </w:r>
      <w:r w:rsidR="001E2A70">
        <w:rPr>
          <w:rFonts w:ascii="Arial" w:hAnsi="Arial" w:cs="Arial"/>
          <w:bCs/>
          <w:sz w:val="20"/>
        </w:rPr>
        <w:t xml:space="preserve"> arrangements </w:t>
      </w:r>
      <w:r w:rsidR="000869CD">
        <w:rPr>
          <w:rFonts w:ascii="Arial" w:hAnsi="Arial" w:cs="Arial"/>
          <w:bCs/>
          <w:sz w:val="20"/>
        </w:rPr>
        <w:t>used for the purpose of acquiring assets from associates or to make a prohibited payment (</w:t>
      </w:r>
      <w:proofErr w:type="gramStart"/>
      <w:r w:rsidR="000869CD">
        <w:rPr>
          <w:rFonts w:ascii="Arial" w:hAnsi="Arial" w:cs="Arial"/>
          <w:bCs/>
          <w:sz w:val="20"/>
        </w:rPr>
        <w:t>i.e.</w:t>
      </w:r>
      <w:proofErr w:type="gramEnd"/>
      <w:r w:rsidR="000869CD">
        <w:rPr>
          <w:rFonts w:ascii="Arial" w:hAnsi="Arial" w:cs="Arial"/>
          <w:bCs/>
          <w:sz w:val="20"/>
        </w:rPr>
        <w:t xml:space="preserve"> a dividend or capital return) should consult their tax advisors</w:t>
      </w:r>
      <w:r w:rsidR="00FD7411">
        <w:rPr>
          <w:rFonts w:ascii="Arial" w:hAnsi="Arial" w:cs="Arial"/>
          <w:bCs/>
          <w:sz w:val="20"/>
        </w:rPr>
        <w:t>,</w:t>
      </w:r>
      <w:r w:rsidR="000869CD">
        <w:rPr>
          <w:rFonts w:ascii="Arial" w:hAnsi="Arial" w:cs="Arial"/>
          <w:bCs/>
          <w:sz w:val="20"/>
        </w:rPr>
        <w:t xml:space="preserve"> </w:t>
      </w:r>
      <w:r w:rsidR="00AC0807">
        <w:rPr>
          <w:rFonts w:ascii="Arial" w:hAnsi="Arial" w:cs="Arial"/>
          <w:bCs/>
          <w:sz w:val="20"/>
        </w:rPr>
        <w:t xml:space="preserve">as the debt deduction creation rules may apply to disallow </w:t>
      </w:r>
      <w:r w:rsidR="00FD7411">
        <w:rPr>
          <w:rFonts w:ascii="Arial" w:hAnsi="Arial" w:cs="Arial"/>
          <w:bCs/>
          <w:sz w:val="20"/>
        </w:rPr>
        <w:t xml:space="preserve">all of the </w:t>
      </w:r>
      <w:r w:rsidR="0066075E">
        <w:rPr>
          <w:rFonts w:ascii="Arial" w:hAnsi="Arial" w:cs="Arial"/>
          <w:bCs/>
          <w:sz w:val="20"/>
        </w:rPr>
        <w:t xml:space="preserve">related party </w:t>
      </w:r>
      <w:r w:rsidR="00AC0807">
        <w:rPr>
          <w:rFonts w:ascii="Arial" w:hAnsi="Arial" w:cs="Arial"/>
          <w:bCs/>
          <w:sz w:val="20"/>
        </w:rPr>
        <w:t>debt deductions</w:t>
      </w:r>
      <w:r w:rsidR="00FD7411">
        <w:rPr>
          <w:rFonts w:ascii="Arial" w:hAnsi="Arial" w:cs="Arial"/>
          <w:bCs/>
          <w:sz w:val="20"/>
        </w:rPr>
        <w:t>.</w:t>
      </w:r>
    </w:p>
    <w:p w14:paraId="65C990CC" w14:textId="77777777" w:rsidR="00C26EAD" w:rsidRDefault="00C26EAD" w:rsidP="00BA1F43">
      <w:pPr>
        <w:adjustRightInd w:val="0"/>
        <w:snapToGrid w:val="0"/>
        <w:spacing w:line="276" w:lineRule="auto"/>
        <w:jc w:val="left"/>
        <w:rPr>
          <w:rFonts w:ascii="Arial" w:hAnsi="Arial" w:cs="Arial"/>
          <w:bCs/>
          <w:sz w:val="20"/>
        </w:rPr>
      </w:pPr>
    </w:p>
    <w:p w14:paraId="56A395F5" w14:textId="76879E74" w:rsidR="00C26EAD" w:rsidRPr="00C26EAD" w:rsidRDefault="00212711" w:rsidP="00212711">
      <w:pPr>
        <w:adjustRightInd w:val="0"/>
        <w:snapToGrid w:val="0"/>
        <w:spacing w:line="276" w:lineRule="auto"/>
        <w:jc w:val="left"/>
        <w:rPr>
          <w:bCs/>
          <w:sz w:val="20"/>
        </w:rPr>
      </w:pPr>
      <w:r>
        <w:rPr>
          <w:rFonts w:ascii="Arial" w:hAnsi="Arial" w:cs="Arial"/>
          <w:bCs/>
          <w:sz w:val="20"/>
        </w:rPr>
        <w:t>I</w:t>
      </w:r>
      <w:r w:rsidR="00C26EAD" w:rsidRPr="00C26EAD">
        <w:rPr>
          <w:rFonts w:ascii="Arial" w:hAnsi="Arial" w:cs="Arial"/>
          <w:bCs/>
          <w:sz w:val="20"/>
        </w:rPr>
        <w:t xml:space="preserve">n this letter, we provide an overview of the </w:t>
      </w:r>
      <w:r>
        <w:rPr>
          <w:rFonts w:ascii="Arial" w:hAnsi="Arial" w:cs="Arial"/>
          <w:bCs/>
          <w:sz w:val="20"/>
        </w:rPr>
        <w:t xml:space="preserve">new thin cap rules and </w:t>
      </w:r>
      <w:r w:rsidR="00186757">
        <w:rPr>
          <w:rFonts w:ascii="Arial" w:hAnsi="Arial" w:cs="Arial"/>
          <w:bCs/>
          <w:sz w:val="20"/>
        </w:rPr>
        <w:t xml:space="preserve">debt deduction creation rules, eligibility requirements for the new rules to apply to our debt financing arrangements, </w:t>
      </w:r>
      <w:r w:rsidR="009C6B18">
        <w:rPr>
          <w:rFonts w:ascii="Arial" w:hAnsi="Arial" w:cs="Arial"/>
          <w:bCs/>
          <w:sz w:val="20"/>
        </w:rPr>
        <w:t>and available exemptions.</w:t>
      </w:r>
    </w:p>
    <w:p w14:paraId="5CBCC4A6" w14:textId="77777777" w:rsidR="0040681F" w:rsidRDefault="0040681F" w:rsidP="00BA1F43">
      <w:pPr>
        <w:adjustRightInd w:val="0"/>
        <w:snapToGrid w:val="0"/>
        <w:spacing w:line="276" w:lineRule="auto"/>
        <w:jc w:val="left"/>
        <w:rPr>
          <w:rFonts w:ascii="Arial" w:hAnsi="Arial" w:cs="Arial"/>
          <w:bCs/>
          <w:sz w:val="20"/>
        </w:rPr>
      </w:pPr>
    </w:p>
    <w:p w14:paraId="50D0FCAE" w14:textId="059DE95B" w:rsidR="0057116B" w:rsidRPr="00484A7A" w:rsidRDefault="005C365F" w:rsidP="00BA1F43">
      <w:pPr>
        <w:adjustRightInd w:val="0"/>
        <w:snapToGrid w:val="0"/>
        <w:spacing w:line="276" w:lineRule="auto"/>
        <w:jc w:val="left"/>
        <w:rPr>
          <w:rFonts w:ascii="Arial" w:hAnsi="Arial" w:cs="Arial"/>
          <w:b/>
          <w:bCs/>
          <w:sz w:val="20"/>
        </w:rPr>
      </w:pPr>
      <w:r>
        <w:rPr>
          <w:rFonts w:ascii="Arial" w:hAnsi="Arial" w:cs="Arial"/>
          <w:b/>
          <w:bCs/>
          <w:sz w:val="20"/>
        </w:rPr>
        <w:t>NEW THIN CAP RULES</w:t>
      </w:r>
    </w:p>
    <w:p w14:paraId="7C7A7A05" w14:textId="77777777" w:rsidR="0057116B" w:rsidRPr="00063154" w:rsidRDefault="0057116B" w:rsidP="00BA1F43">
      <w:pPr>
        <w:pStyle w:val="ListParagraph"/>
        <w:adjustRightInd w:val="0"/>
        <w:snapToGrid w:val="0"/>
        <w:spacing w:line="276" w:lineRule="auto"/>
        <w:contextualSpacing w:val="0"/>
        <w:jc w:val="left"/>
        <w:rPr>
          <w:bCs/>
          <w:sz w:val="20"/>
        </w:rPr>
      </w:pPr>
    </w:p>
    <w:p w14:paraId="041B9F9A" w14:textId="56E825D8" w:rsidR="00332740" w:rsidRPr="0060373A" w:rsidRDefault="0060373A" w:rsidP="00BA1F43">
      <w:pPr>
        <w:adjustRightInd w:val="0"/>
        <w:snapToGrid w:val="0"/>
        <w:spacing w:line="276" w:lineRule="auto"/>
        <w:jc w:val="left"/>
        <w:rPr>
          <w:rFonts w:ascii="Arial" w:hAnsi="Arial" w:cs="Arial"/>
          <w:b/>
          <w:sz w:val="20"/>
        </w:rPr>
      </w:pPr>
      <w:r w:rsidRPr="0060373A">
        <w:rPr>
          <w:rFonts w:ascii="Arial" w:hAnsi="Arial" w:cs="Arial"/>
          <w:b/>
          <w:sz w:val="20"/>
        </w:rPr>
        <w:t>Entities subject to the new thin cap rules</w:t>
      </w:r>
    </w:p>
    <w:p w14:paraId="0499AFD8" w14:textId="77777777" w:rsidR="00332740" w:rsidRDefault="00332740" w:rsidP="00BA1F43">
      <w:pPr>
        <w:adjustRightInd w:val="0"/>
        <w:snapToGrid w:val="0"/>
        <w:spacing w:line="276" w:lineRule="auto"/>
        <w:jc w:val="left"/>
        <w:rPr>
          <w:rFonts w:ascii="Arial" w:hAnsi="Arial" w:cs="Arial"/>
          <w:bCs/>
          <w:sz w:val="20"/>
        </w:rPr>
      </w:pPr>
    </w:p>
    <w:p w14:paraId="5890AD4F" w14:textId="7E82B104" w:rsidR="004143F9" w:rsidRDefault="00C7295B" w:rsidP="00BA1F43">
      <w:pPr>
        <w:adjustRightInd w:val="0"/>
        <w:snapToGrid w:val="0"/>
        <w:spacing w:line="276" w:lineRule="auto"/>
        <w:jc w:val="left"/>
        <w:rPr>
          <w:rFonts w:ascii="Arial" w:hAnsi="Arial" w:cs="Arial"/>
          <w:bCs/>
          <w:sz w:val="20"/>
        </w:rPr>
      </w:pPr>
      <w:r>
        <w:rPr>
          <w:rFonts w:ascii="Arial" w:hAnsi="Arial" w:cs="Arial"/>
          <w:bCs/>
          <w:sz w:val="20"/>
        </w:rPr>
        <w:t xml:space="preserve">The new thin cap rules apply to ‘general class investors’, </w:t>
      </w:r>
      <w:r w:rsidR="00883DAC">
        <w:rPr>
          <w:rFonts w:ascii="Arial" w:hAnsi="Arial" w:cs="Arial"/>
          <w:bCs/>
          <w:sz w:val="20"/>
        </w:rPr>
        <w:t xml:space="preserve">which </w:t>
      </w:r>
      <w:r w:rsidR="00073472">
        <w:rPr>
          <w:rFonts w:ascii="Arial" w:hAnsi="Arial" w:cs="Arial"/>
          <w:bCs/>
          <w:sz w:val="20"/>
        </w:rPr>
        <w:t xml:space="preserve">is a consolidation of the </w:t>
      </w:r>
      <w:r w:rsidR="006E2DEB">
        <w:rPr>
          <w:rFonts w:ascii="Arial" w:hAnsi="Arial" w:cs="Arial"/>
          <w:bCs/>
          <w:sz w:val="20"/>
        </w:rPr>
        <w:t>previous general classes of entities</w:t>
      </w:r>
      <w:r w:rsidR="00423FCF">
        <w:rPr>
          <w:rFonts w:ascii="Arial" w:hAnsi="Arial" w:cs="Arial"/>
          <w:bCs/>
          <w:sz w:val="20"/>
        </w:rPr>
        <w:t xml:space="preserve">. </w:t>
      </w:r>
      <w:r w:rsidR="00740754">
        <w:rPr>
          <w:rFonts w:ascii="Arial" w:hAnsi="Arial" w:cs="Arial"/>
          <w:bCs/>
          <w:sz w:val="20"/>
        </w:rPr>
        <w:t xml:space="preserve">Broadly, </w:t>
      </w:r>
      <w:r w:rsidR="00BB77E8">
        <w:rPr>
          <w:rFonts w:ascii="Arial" w:hAnsi="Arial" w:cs="Arial"/>
          <w:bCs/>
          <w:sz w:val="20"/>
        </w:rPr>
        <w:t>this includes:</w:t>
      </w:r>
    </w:p>
    <w:p w14:paraId="7514AD8A" w14:textId="5B2A82FF" w:rsidR="00740754" w:rsidRDefault="00BB77E8" w:rsidP="00AF1796">
      <w:pPr>
        <w:pStyle w:val="ListParagraph"/>
        <w:numPr>
          <w:ilvl w:val="0"/>
          <w:numId w:val="12"/>
        </w:numPr>
        <w:adjustRightInd w:val="0"/>
        <w:snapToGrid w:val="0"/>
        <w:spacing w:line="276" w:lineRule="auto"/>
        <w:jc w:val="left"/>
        <w:rPr>
          <w:bCs/>
          <w:sz w:val="20"/>
        </w:rPr>
      </w:pPr>
      <w:r>
        <w:rPr>
          <w:bCs/>
          <w:sz w:val="20"/>
        </w:rPr>
        <w:t>foreign controlled Australian entities</w:t>
      </w:r>
    </w:p>
    <w:p w14:paraId="1ECF0DAA" w14:textId="69BD8299" w:rsidR="00EA0517" w:rsidRDefault="00BB77E8" w:rsidP="00AF1796">
      <w:pPr>
        <w:pStyle w:val="ListParagraph"/>
        <w:numPr>
          <w:ilvl w:val="0"/>
          <w:numId w:val="12"/>
        </w:numPr>
        <w:adjustRightInd w:val="0"/>
        <w:snapToGrid w:val="0"/>
        <w:spacing w:line="276" w:lineRule="auto"/>
        <w:jc w:val="left"/>
        <w:rPr>
          <w:bCs/>
          <w:sz w:val="20"/>
        </w:rPr>
      </w:pPr>
      <w:r>
        <w:rPr>
          <w:bCs/>
          <w:sz w:val="20"/>
        </w:rPr>
        <w:lastRenderedPageBreak/>
        <w:t>foreign entities with Australian permanent establishments, and</w:t>
      </w:r>
    </w:p>
    <w:p w14:paraId="0A6DEB52" w14:textId="26BBE979" w:rsidR="00BB77E8" w:rsidRDefault="00BB77E8" w:rsidP="00AF1796">
      <w:pPr>
        <w:pStyle w:val="ListParagraph"/>
        <w:numPr>
          <w:ilvl w:val="0"/>
          <w:numId w:val="12"/>
        </w:numPr>
        <w:adjustRightInd w:val="0"/>
        <w:snapToGrid w:val="0"/>
        <w:spacing w:line="276" w:lineRule="auto"/>
        <w:jc w:val="left"/>
        <w:rPr>
          <w:bCs/>
          <w:sz w:val="20"/>
        </w:rPr>
      </w:pPr>
      <w:r>
        <w:rPr>
          <w:bCs/>
          <w:sz w:val="20"/>
        </w:rPr>
        <w:t>Australian controllers of controlled foreign entities (and their associates).</w:t>
      </w:r>
    </w:p>
    <w:p w14:paraId="01005490" w14:textId="77777777" w:rsidR="0081695A" w:rsidRDefault="0081695A" w:rsidP="00182303">
      <w:pPr>
        <w:adjustRightInd w:val="0"/>
        <w:snapToGrid w:val="0"/>
        <w:spacing w:line="276" w:lineRule="auto"/>
        <w:jc w:val="left"/>
        <w:rPr>
          <w:rFonts w:ascii="Arial" w:hAnsi="Arial" w:cs="Arial"/>
          <w:bCs/>
          <w:sz w:val="20"/>
        </w:rPr>
      </w:pPr>
    </w:p>
    <w:p w14:paraId="3EBB098E" w14:textId="18CB8701" w:rsidR="00E919BC" w:rsidRDefault="00D30EA0" w:rsidP="00182303">
      <w:pPr>
        <w:adjustRightInd w:val="0"/>
        <w:snapToGrid w:val="0"/>
        <w:spacing w:line="276" w:lineRule="auto"/>
        <w:jc w:val="left"/>
        <w:rPr>
          <w:rFonts w:ascii="Arial" w:hAnsi="Arial" w:cs="Arial"/>
          <w:bCs/>
          <w:sz w:val="20"/>
        </w:rPr>
      </w:pPr>
      <w:r>
        <w:rPr>
          <w:rFonts w:ascii="Arial" w:hAnsi="Arial" w:cs="Arial"/>
          <w:bCs/>
          <w:sz w:val="20"/>
        </w:rPr>
        <w:t xml:space="preserve">However, general class investors do not include a ‘financial entity’ (as defined in the tax law) and </w:t>
      </w:r>
      <w:proofErr w:type="gramStart"/>
      <w:r>
        <w:rPr>
          <w:rFonts w:ascii="Arial" w:hAnsi="Arial" w:cs="Arial"/>
          <w:bCs/>
          <w:sz w:val="20"/>
        </w:rPr>
        <w:t>authorised-deposit</w:t>
      </w:r>
      <w:proofErr w:type="gramEnd"/>
      <w:r>
        <w:rPr>
          <w:rFonts w:ascii="Arial" w:hAnsi="Arial" w:cs="Arial"/>
          <w:bCs/>
          <w:sz w:val="20"/>
        </w:rPr>
        <w:t xml:space="preserve"> taking institutions (ADIs).</w:t>
      </w:r>
    </w:p>
    <w:p w14:paraId="11983B6C" w14:textId="77777777" w:rsidR="00E919BC" w:rsidRDefault="00E919BC" w:rsidP="00182303">
      <w:pPr>
        <w:adjustRightInd w:val="0"/>
        <w:snapToGrid w:val="0"/>
        <w:spacing w:line="276" w:lineRule="auto"/>
        <w:jc w:val="left"/>
        <w:rPr>
          <w:rFonts w:ascii="Arial" w:hAnsi="Arial" w:cs="Arial"/>
          <w:bCs/>
          <w:sz w:val="20"/>
        </w:rPr>
      </w:pPr>
    </w:p>
    <w:p w14:paraId="640470FE" w14:textId="14259636" w:rsidR="00182303" w:rsidRPr="0081695A" w:rsidRDefault="0081695A" w:rsidP="00182303">
      <w:pPr>
        <w:adjustRightInd w:val="0"/>
        <w:snapToGrid w:val="0"/>
        <w:spacing w:line="276" w:lineRule="auto"/>
        <w:jc w:val="left"/>
        <w:rPr>
          <w:rFonts w:ascii="Arial" w:hAnsi="Arial" w:cs="Arial"/>
          <w:b/>
          <w:sz w:val="20"/>
        </w:rPr>
      </w:pPr>
      <w:r w:rsidRPr="0081695A">
        <w:rPr>
          <w:rFonts w:ascii="Arial" w:hAnsi="Arial" w:cs="Arial"/>
          <w:b/>
          <w:sz w:val="20"/>
        </w:rPr>
        <w:t>Exclusions from the new thin cap rules</w:t>
      </w:r>
    </w:p>
    <w:p w14:paraId="0565B03A" w14:textId="77777777" w:rsidR="0081695A" w:rsidRPr="00D55180" w:rsidRDefault="0081695A" w:rsidP="00182303">
      <w:pPr>
        <w:adjustRightInd w:val="0"/>
        <w:snapToGrid w:val="0"/>
        <w:spacing w:line="276" w:lineRule="auto"/>
        <w:jc w:val="left"/>
        <w:rPr>
          <w:rFonts w:ascii="Arial" w:hAnsi="Arial" w:cs="Arial"/>
          <w:bCs/>
          <w:sz w:val="20"/>
        </w:rPr>
      </w:pPr>
    </w:p>
    <w:p w14:paraId="06D5D5C6" w14:textId="13E7EB4E" w:rsidR="00D55180" w:rsidRDefault="00EA68E7" w:rsidP="00182303">
      <w:pPr>
        <w:adjustRightInd w:val="0"/>
        <w:snapToGrid w:val="0"/>
        <w:spacing w:line="276" w:lineRule="auto"/>
        <w:jc w:val="left"/>
        <w:rPr>
          <w:rFonts w:ascii="Arial" w:hAnsi="Arial" w:cs="Arial"/>
          <w:bCs/>
          <w:sz w:val="20"/>
        </w:rPr>
      </w:pPr>
      <w:r>
        <w:rPr>
          <w:rFonts w:ascii="Arial" w:hAnsi="Arial" w:cs="Arial"/>
          <w:bCs/>
          <w:sz w:val="20"/>
        </w:rPr>
        <w:t>A</w:t>
      </w:r>
      <w:r w:rsidR="000E73DE">
        <w:rPr>
          <w:rFonts w:ascii="Arial" w:hAnsi="Arial" w:cs="Arial"/>
          <w:bCs/>
          <w:sz w:val="20"/>
        </w:rPr>
        <w:t xml:space="preserve"> general class investor will be exempt from the new thin cap rules if any of the following exemptions apply:</w:t>
      </w:r>
    </w:p>
    <w:p w14:paraId="23430242" w14:textId="6B4BE6BD" w:rsidR="000E73DE" w:rsidRDefault="001E4405" w:rsidP="000E73DE">
      <w:pPr>
        <w:pStyle w:val="ListParagraph"/>
        <w:numPr>
          <w:ilvl w:val="0"/>
          <w:numId w:val="14"/>
        </w:numPr>
        <w:adjustRightInd w:val="0"/>
        <w:snapToGrid w:val="0"/>
        <w:spacing w:line="276" w:lineRule="auto"/>
        <w:jc w:val="left"/>
        <w:rPr>
          <w:bCs/>
          <w:sz w:val="20"/>
        </w:rPr>
      </w:pPr>
      <w:r>
        <w:rPr>
          <w:bCs/>
          <w:sz w:val="20"/>
        </w:rPr>
        <w:t>The</w:t>
      </w:r>
      <w:r w:rsidR="00345174">
        <w:rPr>
          <w:bCs/>
          <w:sz w:val="20"/>
        </w:rPr>
        <w:t xml:space="preserve"> </w:t>
      </w:r>
      <w:r>
        <w:rPr>
          <w:bCs/>
          <w:sz w:val="20"/>
        </w:rPr>
        <w:t>‘</w:t>
      </w:r>
      <w:r w:rsidR="00345174">
        <w:rPr>
          <w:bCs/>
          <w:sz w:val="20"/>
        </w:rPr>
        <w:t>de</w:t>
      </w:r>
      <w:r w:rsidR="0081695A">
        <w:rPr>
          <w:bCs/>
          <w:sz w:val="20"/>
        </w:rPr>
        <w:t>-</w:t>
      </w:r>
      <w:r w:rsidR="00345174">
        <w:rPr>
          <w:bCs/>
          <w:sz w:val="20"/>
        </w:rPr>
        <w:t>minimis</w:t>
      </w:r>
      <w:r>
        <w:rPr>
          <w:bCs/>
          <w:sz w:val="20"/>
        </w:rPr>
        <w:t>’</w:t>
      </w:r>
      <w:r w:rsidR="00345174">
        <w:rPr>
          <w:bCs/>
          <w:sz w:val="20"/>
        </w:rPr>
        <w:t xml:space="preserve"> exemption</w:t>
      </w:r>
      <w:r>
        <w:rPr>
          <w:bCs/>
          <w:sz w:val="20"/>
        </w:rPr>
        <w:t xml:space="preserve"> (where </w:t>
      </w:r>
      <w:r w:rsidR="00C37AE3">
        <w:rPr>
          <w:bCs/>
          <w:sz w:val="20"/>
        </w:rPr>
        <w:t xml:space="preserve">the taxpayer </w:t>
      </w:r>
      <w:r w:rsidR="00521B84">
        <w:rPr>
          <w:bCs/>
          <w:sz w:val="20"/>
        </w:rPr>
        <w:t xml:space="preserve">has </w:t>
      </w:r>
      <w:r w:rsidR="00C37AE3">
        <w:rPr>
          <w:bCs/>
          <w:sz w:val="20"/>
        </w:rPr>
        <w:t>less than $2 million debt deductions on an associate inclusive basis).</w:t>
      </w:r>
    </w:p>
    <w:p w14:paraId="4EFFF276" w14:textId="517E01C7" w:rsidR="00345174" w:rsidRDefault="00345174" w:rsidP="000E73DE">
      <w:pPr>
        <w:pStyle w:val="ListParagraph"/>
        <w:numPr>
          <w:ilvl w:val="0"/>
          <w:numId w:val="14"/>
        </w:numPr>
        <w:adjustRightInd w:val="0"/>
        <w:snapToGrid w:val="0"/>
        <w:spacing w:line="276" w:lineRule="auto"/>
        <w:jc w:val="left"/>
        <w:rPr>
          <w:bCs/>
          <w:sz w:val="20"/>
        </w:rPr>
      </w:pPr>
      <w:r>
        <w:rPr>
          <w:bCs/>
          <w:sz w:val="20"/>
        </w:rPr>
        <w:t>90% Australian asset exemption (i.e. outward entity with 90% or more of their assets based in Australia)</w:t>
      </w:r>
    </w:p>
    <w:p w14:paraId="011874B8" w14:textId="36FC5921" w:rsidR="009871D3" w:rsidRPr="000E73DE" w:rsidRDefault="009871D3" w:rsidP="000E73DE">
      <w:pPr>
        <w:pStyle w:val="ListParagraph"/>
        <w:numPr>
          <w:ilvl w:val="0"/>
          <w:numId w:val="14"/>
        </w:numPr>
        <w:adjustRightInd w:val="0"/>
        <w:snapToGrid w:val="0"/>
        <w:spacing w:line="276" w:lineRule="auto"/>
        <w:jc w:val="left"/>
        <w:rPr>
          <w:bCs/>
          <w:sz w:val="20"/>
        </w:rPr>
      </w:pPr>
      <w:r>
        <w:rPr>
          <w:bCs/>
          <w:sz w:val="20"/>
        </w:rPr>
        <w:t>Securitisation vehicle exemption.</w:t>
      </w:r>
    </w:p>
    <w:p w14:paraId="257FDEC5" w14:textId="07029B3C" w:rsidR="00024934" w:rsidRPr="00856098" w:rsidRDefault="00024934" w:rsidP="00856098">
      <w:pPr>
        <w:adjustRightInd w:val="0"/>
        <w:snapToGrid w:val="0"/>
        <w:spacing w:line="276" w:lineRule="auto"/>
        <w:jc w:val="left"/>
        <w:rPr>
          <w:bCs/>
          <w:sz w:val="20"/>
        </w:rPr>
      </w:pPr>
    </w:p>
    <w:p w14:paraId="2EC7F92F" w14:textId="0BA95E91" w:rsidR="00C141EE" w:rsidRDefault="00A71D9F" w:rsidP="00BA1F43">
      <w:pPr>
        <w:adjustRightInd w:val="0"/>
        <w:snapToGrid w:val="0"/>
        <w:spacing w:line="276" w:lineRule="auto"/>
        <w:jc w:val="left"/>
        <w:rPr>
          <w:rFonts w:ascii="Arial" w:hAnsi="Arial" w:cs="Arial"/>
          <w:bCs/>
          <w:sz w:val="20"/>
        </w:rPr>
      </w:pPr>
      <w:r>
        <w:rPr>
          <w:rFonts w:ascii="Arial" w:hAnsi="Arial" w:cs="Arial"/>
          <w:bCs/>
          <w:sz w:val="20"/>
        </w:rPr>
        <w:t>The new thin cap rules will also not apply to Australian plantation forestry entities, which are entities that solely or predominately carry on a business of establishing and tending trees for felling in Australia. Th</w:t>
      </w:r>
      <w:r w:rsidR="001F7DBF">
        <w:rPr>
          <w:rFonts w:ascii="Arial" w:hAnsi="Arial" w:cs="Arial"/>
          <w:bCs/>
          <w:sz w:val="20"/>
        </w:rPr>
        <w:t>is means that the old thin cap rules in Division 820 prior to the introduction of the new thin cap rules will continue to apply to these entities.</w:t>
      </w:r>
    </w:p>
    <w:p w14:paraId="003DE390" w14:textId="77777777" w:rsidR="009871D3" w:rsidRDefault="009871D3" w:rsidP="00BA1F43">
      <w:pPr>
        <w:adjustRightInd w:val="0"/>
        <w:snapToGrid w:val="0"/>
        <w:spacing w:line="276" w:lineRule="auto"/>
        <w:jc w:val="left"/>
        <w:rPr>
          <w:rFonts w:ascii="Arial" w:hAnsi="Arial" w:cs="Arial"/>
          <w:bCs/>
          <w:sz w:val="20"/>
        </w:rPr>
      </w:pPr>
    </w:p>
    <w:p w14:paraId="0E32D9C2" w14:textId="3DD81308" w:rsidR="00AF49EE" w:rsidRPr="0068745A" w:rsidRDefault="0068745A" w:rsidP="00BA1F43">
      <w:pPr>
        <w:adjustRightInd w:val="0"/>
        <w:snapToGrid w:val="0"/>
        <w:spacing w:line="276" w:lineRule="auto"/>
        <w:jc w:val="left"/>
        <w:rPr>
          <w:rFonts w:ascii="Arial" w:hAnsi="Arial" w:cs="Arial"/>
          <w:b/>
          <w:sz w:val="20"/>
        </w:rPr>
      </w:pPr>
      <w:r>
        <w:rPr>
          <w:rFonts w:ascii="Arial" w:hAnsi="Arial" w:cs="Arial"/>
          <w:b/>
          <w:sz w:val="20"/>
        </w:rPr>
        <w:t>NEW</w:t>
      </w:r>
      <w:r w:rsidRPr="0068745A">
        <w:rPr>
          <w:rFonts w:ascii="Arial" w:hAnsi="Arial" w:cs="Arial"/>
          <w:b/>
          <w:sz w:val="20"/>
        </w:rPr>
        <w:t xml:space="preserve"> THIN CAP TESTS</w:t>
      </w:r>
    </w:p>
    <w:p w14:paraId="607F7382" w14:textId="77777777" w:rsidR="0068745A" w:rsidRDefault="0068745A" w:rsidP="00BA1F43">
      <w:pPr>
        <w:adjustRightInd w:val="0"/>
        <w:snapToGrid w:val="0"/>
        <w:spacing w:line="276" w:lineRule="auto"/>
        <w:jc w:val="left"/>
        <w:rPr>
          <w:rFonts w:ascii="Arial" w:hAnsi="Arial" w:cs="Arial"/>
          <w:bCs/>
          <w:sz w:val="20"/>
        </w:rPr>
      </w:pPr>
    </w:p>
    <w:p w14:paraId="0C2AE68C" w14:textId="4C20E507" w:rsidR="004143F9" w:rsidRDefault="00865AA1" w:rsidP="00BA1F43">
      <w:pPr>
        <w:adjustRightInd w:val="0"/>
        <w:snapToGrid w:val="0"/>
        <w:spacing w:line="276" w:lineRule="auto"/>
        <w:jc w:val="left"/>
        <w:rPr>
          <w:rFonts w:ascii="Arial" w:hAnsi="Arial" w:cs="Arial"/>
          <w:bCs/>
          <w:sz w:val="20"/>
        </w:rPr>
      </w:pPr>
      <w:r>
        <w:rPr>
          <w:rFonts w:ascii="Arial" w:hAnsi="Arial" w:cs="Arial"/>
          <w:bCs/>
          <w:sz w:val="20"/>
        </w:rPr>
        <w:t>We have provided an outline of the new thin cap test in the table below.</w:t>
      </w:r>
    </w:p>
    <w:tbl>
      <w:tblPr>
        <w:tblStyle w:val="ListTable3-Accent1"/>
        <w:tblW w:w="0" w:type="auto"/>
        <w:tblLook w:val="04A0" w:firstRow="1" w:lastRow="0" w:firstColumn="1" w:lastColumn="0" w:noHBand="0" w:noVBand="1"/>
      </w:tblPr>
      <w:tblGrid>
        <w:gridCol w:w="1129"/>
        <w:gridCol w:w="7655"/>
      </w:tblGrid>
      <w:tr w:rsidR="00DF1EDC" w14:paraId="7A26F80D" w14:textId="77777777" w:rsidTr="00DF1E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4C8EB44E" w14:textId="5908363F" w:rsidR="00DF1EDC" w:rsidRDefault="00DF1EDC" w:rsidP="00BA1F43">
            <w:pPr>
              <w:adjustRightInd w:val="0"/>
              <w:snapToGrid w:val="0"/>
              <w:spacing w:line="276" w:lineRule="auto"/>
              <w:jc w:val="left"/>
              <w:rPr>
                <w:rFonts w:ascii="Arial" w:hAnsi="Arial" w:cs="Arial"/>
                <w:bCs w:val="0"/>
                <w:sz w:val="20"/>
              </w:rPr>
            </w:pPr>
            <w:r>
              <w:rPr>
                <w:rFonts w:ascii="Arial" w:hAnsi="Arial" w:cs="Arial"/>
                <w:bCs w:val="0"/>
                <w:sz w:val="20"/>
              </w:rPr>
              <w:t>Test</w:t>
            </w:r>
          </w:p>
        </w:tc>
        <w:tc>
          <w:tcPr>
            <w:tcW w:w="7655" w:type="dxa"/>
          </w:tcPr>
          <w:p w14:paraId="5B8E38D4" w14:textId="738B488E" w:rsidR="00DF1EDC" w:rsidRDefault="00DF1EDC" w:rsidP="00BA1F43">
            <w:pPr>
              <w:adjustRightInd w:val="0"/>
              <w:snapToGrid w:val="0"/>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Pr>
                <w:rFonts w:ascii="Arial" w:hAnsi="Arial" w:cs="Arial"/>
                <w:bCs w:val="0"/>
                <w:sz w:val="20"/>
              </w:rPr>
              <w:t>Application</w:t>
            </w:r>
          </w:p>
        </w:tc>
      </w:tr>
      <w:tr w:rsidR="00DF1EDC" w14:paraId="1EF03E2E" w14:textId="77777777" w:rsidTr="00DF1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406FF29" w14:textId="569689E0" w:rsidR="00DF1EDC" w:rsidRDefault="00DF1EDC" w:rsidP="00BA1F43">
            <w:pPr>
              <w:adjustRightInd w:val="0"/>
              <w:snapToGrid w:val="0"/>
              <w:spacing w:line="276" w:lineRule="auto"/>
              <w:jc w:val="left"/>
              <w:rPr>
                <w:rFonts w:ascii="Arial" w:hAnsi="Arial" w:cs="Arial"/>
                <w:bCs w:val="0"/>
                <w:sz w:val="20"/>
              </w:rPr>
            </w:pPr>
            <w:r>
              <w:rPr>
                <w:rFonts w:ascii="Arial" w:hAnsi="Arial" w:cs="Arial"/>
                <w:bCs w:val="0"/>
                <w:sz w:val="20"/>
              </w:rPr>
              <w:t>FRT</w:t>
            </w:r>
          </w:p>
        </w:tc>
        <w:tc>
          <w:tcPr>
            <w:tcW w:w="7655" w:type="dxa"/>
          </w:tcPr>
          <w:p w14:paraId="74DFDFFC" w14:textId="6655905E" w:rsidR="00DF1EDC" w:rsidRDefault="00DF1EDC" w:rsidP="00815EEF">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The FRT disallows debt deductions to the extent that net debt deductions exceed 30% of tax EBITDA</w:t>
            </w:r>
            <w:r w:rsidR="00815EEF">
              <w:rPr>
                <w:rFonts w:ascii="Arial" w:hAnsi="Arial" w:cs="Arial"/>
                <w:bCs/>
                <w:sz w:val="20"/>
              </w:rPr>
              <w:t xml:space="preserve"> (</w:t>
            </w:r>
            <w:r w:rsidR="000D091A">
              <w:rPr>
                <w:rFonts w:ascii="Arial" w:hAnsi="Arial" w:cs="Arial"/>
                <w:bCs/>
                <w:sz w:val="20"/>
              </w:rPr>
              <w:t>explained further below</w:t>
            </w:r>
            <w:r w:rsidR="00815EEF">
              <w:rPr>
                <w:rFonts w:ascii="Arial" w:hAnsi="Arial" w:cs="Arial"/>
                <w:bCs/>
                <w:sz w:val="20"/>
              </w:rPr>
              <w:t>).</w:t>
            </w:r>
            <w:r>
              <w:rPr>
                <w:rFonts w:ascii="Arial" w:hAnsi="Arial" w:cs="Arial"/>
                <w:bCs/>
                <w:sz w:val="20"/>
              </w:rPr>
              <w:t xml:space="preserve"> </w:t>
            </w:r>
          </w:p>
          <w:p w14:paraId="72E41AD6" w14:textId="77777777" w:rsidR="00DF1EDC" w:rsidRDefault="00DF1EDC" w:rsidP="00BA1F43">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2A21F21D" w14:textId="61353384" w:rsidR="00DF1EDC" w:rsidRDefault="00DF1EDC" w:rsidP="00BA1F43">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To the extent that deductions are denied under the FRT, they may be carried forward and claimed in a subsequent income year (up to 15 years) subject to satisfying the relevant loss tests (i.e. continuity of ownership, business continuity test) (being the ‘</w:t>
            </w:r>
            <w:r w:rsidRPr="00B85152">
              <w:rPr>
                <w:rFonts w:ascii="Arial" w:hAnsi="Arial" w:cs="Arial"/>
                <w:bCs/>
                <w:sz w:val="20"/>
              </w:rPr>
              <w:t>15-year carry forward rule</w:t>
            </w:r>
            <w:r>
              <w:rPr>
                <w:rFonts w:ascii="Arial" w:hAnsi="Arial" w:cs="Arial"/>
                <w:bCs/>
                <w:sz w:val="20"/>
              </w:rPr>
              <w:t xml:space="preserve">’). However, the FRT must </w:t>
            </w:r>
            <w:r w:rsidR="00300466">
              <w:rPr>
                <w:rFonts w:ascii="Arial" w:hAnsi="Arial" w:cs="Arial"/>
                <w:bCs/>
                <w:sz w:val="20"/>
              </w:rPr>
              <w:t>continue</w:t>
            </w:r>
            <w:r>
              <w:rPr>
                <w:rFonts w:ascii="Arial" w:hAnsi="Arial" w:cs="Arial"/>
                <w:bCs/>
                <w:sz w:val="20"/>
              </w:rPr>
              <w:t xml:space="preserve"> to be applied in future income years for the denied deductions to be carried forward.</w:t>
            </w:r>
          </w:p>
          <w:p w14:paraId="1FBB7273" w14:textId="77777777" w:rsidR="00DF1EDC" w:rsidRDefault="00DF1EDC" w:rsidP="00C351BC">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47398493" w14:textId="0ABA92D8" w:rsidR="003F3778" w:rsidRDefault="003F3778" w:rsidP="00C351BC">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Where an</w:t>
            </w:r>
            <w:r w:rsidR="003C5AA0">
              <w:rPr>
                <w:rFonts w:ascii="Arial" w:hAnsi="Arial" w:cs="Arial"/>
                <w:bCs/>
                <w:sz w:val="20"/>
              </w:rPr>
              <w:t>’</w:t>
            </w:r>
            <w:r>
              <w:rPr>
                <w:rFonts w:ascii="Arial" w:hAnsi="Arial" w:cs="Arial"/>
                <w:bCs/>
                <w:sz w:val="20"/>
              </w:rPr>
              <w:t xml:space="preserve"> </w:t>
            </w:r>
            <w:r w:rsidR="00486EA2">
              <w:rPr>
                <w:rFonts w:ascii="Arial" w:hAnsi="Arial" w:cs="Arial"/>
                <w:bCs/>
                <w:sz w:val="20"/>
              </w:rPr>
              <w:t xml:space="preserve">Australian </w:t>
            </w:r>
            <w:r w:rsidR="00EF4178">
              <w:rPr>
                <w:rFonts w:ascii="Arial" w:hAnsi="Arial" w:cs="Arial"/>
                <w:bCs/>
                <w:sz w:val="20"/>
              </w:rPr>
              <w:t>entity</w:t>
            </w:r>
            <w:r w:rsidR="003C5AA0">
              <w:rPr>
                <w:rFonts w:ascii="Arial" w:hAnsi="Arial" w:cs="Arial"/>
                <w:bCs/>
                <w:sz w:val="20"/>
              </w:rPr>
              <w:t>’</w:t>
            </w:r>
            <w:r w:rsidR="00EF4178">
              <w:rPr>
                <w:rFonts w:ascii="Arial" w:hAnsi="Arial" w:cs="Arial"/>
                <w:bCs/>
                <w:sz w:val="20"/>
              </w:rPr>
              <w:t xml:space="preserve"> (i.e. </w:t>
            </w:r>
            <w:r w:rsidR="003C5AA0">
              <w:rPr>
                <w:rFonts w:ascii="Arial" w:hAnsi="Arial" w:cs="Arial"/>
                <w:bCs/>
                <w:sz w:val="20"/>
              </w:rPr>
              <w:t xml:space="preserve">Australian </w:t>
            </w:r>
            <w:r w:rsidR="003C5AA0" w:rsidRPr="003C5AA0">
              <w:rPr>
                <w:rFonts w:ascii="Arial" w:hAnsi="Arial" w:cs="Arial"/>
                <w:bCs/>
                <w:sz w:val="20"/>
              </w:rPr>
              <w:t>resident company, Australian resident unit trust, a managed investment trust, or Australian resident partnership</w:t>
            </w:r>
            <w:r w:rsidR="00EF4178">
              <w:rPr>
                <w:rFonts w:ascii="Arial" w:hAnsi="Arial" w:cs="Arial"/>
                <w:bCs/>
                <w:sz w:val="20"/>
              </w:rPr>
              <w:t>)</w:t>
            </w:r>
            <w:r w:rsidR="00FF7846">
              <w:rPr>
                <w:rFonts w:ascii="Arial" w:hAnsi="Arial" w:cs="Arial"/>
                <w:bCs/>
                <w:sz w:val="20"/>
              </w:rPr>
              <w:t xml:space="preserve"> has applied the FRT and its net debt deductions are less than 30% of its tax EBITDA, the excess tax EBITDA can be transferred up the chain to its </w:t>
            </w:r>
            <w:r w:rsidR="00BC2534">
              <w:rPr>
                <w:rFonts w:ascii="Arial" w:hAnsi="Arial" w:cs="Arial"/>
                <w:bCs/>
                <w:sz w:val="20"/>
              </w:rPr>
              <w:t>‘</w:t>
            </w:r>
            <w:r w:rsidR="00FF7846">
              <w:rPr>
                <w:rFonts w:ascii="Arial" w:hAnsi="Arial" w:cs="Arial"/>
                <w:bCs/>
                <w:sz w:val="20"/>
              </w:rPr>
              <w:t>controlling entity</w:t>
            </w:r>
            <w:r w:rsidR="00BC2534">
              <w:rPr>
                <w:rFonts w:ascii="Arial" w:hAnsi="Arial" w:cs="Arial"/>
                <w:bCs/>
                <w:sz w:val="20"/>
              </w:rPr>
              <w:t>’</w:t>
            </w:r>
            <w:r w:rsidR="00E25D26">
              <w:rPr>
                <w:rFonts w:ascii="Arial" w:hAnsi="Arial" w:cs="Arial"/>
                <w:bCs/>
                <w:sz w:val="20"/>
              </w:rPr>
              <w:t>.</w:t>
            </w:r>
            <w:r w:rsidR="00264F54">
              <w:rPr>
                <w:rFonts w:ascii="Arial" w:hAnsi="Arial" w:cs="Arial"/>
                <w:bCs/>
                <w:sz w:val="20"/>
              </w:rPr>
              <w:t xml:space="preserve"> The excess tax EBITDA </w:t>
            </w:r>
            <w:r w:rsidR="002C51D9">
              <w:rPr>
                <w:rFonts w:ascii="Arial" w:hAnsi="Arial" w:cs="Arial"/>
                <w:bCs/>
                <w:sz w:val="20"/>
              </w:rPr>
              <w:t>amount is added to its tax EBITDA.</w:t>
            </w:r>
          </w:p>
          <w:p w14:paraId="047C0296" w14:textId="77777777" w:rsidR="00E25D26" w:rsidRDefault="00E25D26" w:rsidP="00C351BC">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5C407A1C" w14:textId="57890743" w:rsidR="00DF1EDC" w:rsidRPr="00053692" w:rsidRDefault="00E4587B" w:rsidP="00C351BC">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 xml:space="preserve">We note that only certain types of entities may be ‘controlling </w:t>
            </w:r>
            <w:proofErr w:type="gramStart"/>
            <w:r>
              <w:rPr>
                <w:rFonts w:ascii="Arial" w:hAnsi="Arial" w:cs="Arial"/>
                <w:bCs/>
                <w:sz w:val="20"/>
              </w:rPr>
              <w:t>entities’</w:t>
            </w:r>
            <w:proofErr w:type="gramEnd"/>
            <w:r>
              <w:rPr>
                <w:rFonts w:ascii="Arial" w:hAnsi="Arial" w:cs="Arial"/>
                <w:bCs/>
                <w:sz w:val="20"/>
              </w:rPr>
              <w:t xml:space="preserve"> and excess tax EBITDA can</w:t>
            </w:r>
            <w:r w:rsidR="00BB4B14">
              <w:rPr>
                <w:rFonts w:ascii="Arial" w:hAnsi="Arial" w:cs="Arial"/>
                <w:bCs/>
                <w:sz w:val="20"/>
              </w:rPr>
              <w:t>’t be passed up to non-eligible entities, such as discretionary trusts.</w:t>
            </w:r>
            <w:r>
              <w:rPr>
                <w:rFonts w:ascii="Arial" w:hAnsi="Arial" w:cs="Arial"/>
                <w:bCs/>
                <w:sz w:val="20"/>
              </w:rPr>
              <w:t xml:space="preserve"> </w:t>
            </w:r>
          </w:p>
          <w:p w14:paraId="1916E8DE" w14:textId="68BF3DE2" w:rsidR="00DF1EDC" w:rsidRPr="00C351BC" w:rsidRDefault="00DF1EDC" w:rsidP="00C351BC">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bCs/>
                <w:sz w:val="20"/>
              </w:rPr>
            </w:pPr>
            <w:r w:rsidRPr="00053692">
              <w:rPr>
                <w:rFonts w:ascii="Arial" w:hAnsi="Arial" w:cs="Arial"/>
                <w:bCs/>
                <w:sz w:val="20"/>
              </w:rPr>
              <w:t>The FRT is the default test that will apply unless the taxpayer chooses to apply another method.</w:t>
            </w:r>
          </w:p>
        </w:tc>
      </w:tr>
      <w:tr w:rsidR="00DF1EDC" w14:paraId="73EFB4B1" w14:textId="77777777" w:rsidTr="00DF1EDC">
        <w:tc>
          <w:tcPr>
            <w:cnfStyle w:val="001000000000" w:firstRow="0" w:lastRow="0" w:firstColumn="1" w:lastColumn="0" w:oddVBand="0" w:evenVBand="0" w:oddHBand="0" w:evenHBand="0" w:firstRowFirstColumn="0" w:firstRowLastColumn="0" w:lastRowFirstColumn="0" w:lastRowLastColumn="0"/>
            <w:tcW w:w="1129" w:type="dxa"/>
          </w:tcPr>
          <w:p w14:paraId="018E20AA" w14:textId="2A3FF9B1" w:rsidR="00DF1EDC" w:rsidRDefault="00DF1EDC" w:rsidP="00BA1F43">
            <w:pPr>
              <w:adjustRightInd w:val="0"/>
              <w:snapToGrid w:val="0"/>
              <w:spacing w:line="276" w:lineRule="auto"/>
              <w:jc w:val="left"/>
              <w:rPr>
                <w:rFonts w:ascii="Arial" w:hAnsi="Arial" w:cs="Arial"/>
                <w:bCs w:val="0"/>
                <w:sz w:val="20"/>
              </w:rPr>
            </w:pPr>
            <w:r>
              <w:rPr>
                <w:rFonts w:ascii="Arial" w:hAnsi="Arial" w:cs="Arial"/>
                <w:bCs w:val="0"/>
                <w:sz w:val="20"/>
              </w:rPr>
              <w:t>GRT</w:t>
            </w:r>
          </w:p>
        </w:tc>
        <w:tc>
          <w:tcPr>
            <w:tcW w:w="7655" w:type="dxa"/>
          </w:tcPr>
          <w:p w14:paraId="6958A40F" w14:textId="4328B37F" w:rsidR="00DF1EDC" w:rsidRDefault="00DF1EDC" w:rsidP="00BA1F43">
            <w:p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The GRT may be used as an alternative to the FRT to permit highly leveraged multinational groups to claim higher debt deductions, based on the relevant financial ratio of the worldwide group.</w:t>
            </w:r>
          </w:p>
          <w:p w14:paraId="35E788A7" w14:textId="77777777" w:rsidR="00DF1EDC" w:rsidRDefault="00DF1EDC" w:rsidP="00BA1F43">
            <w:p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657A373F" w14:textId="43590B8F" w:rsidR="00DF1EDC" w:rsidRDefault="00DF1EDC" w:rsidP="00BA1F43">
            <w:p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A choice to apply the GRT can only be made by a general class investor where:</w:t>
            </w:r>
          </w:p>
          <w:p w14:paraId="5EDB7471" w14:textId="622897E4" w:rsidR="00DF1EDC" w:rsidRDefault="00DF1EDC" w:rsidP="00CD4BB7">
            <w:pPr>
              <w:pStyle w:val="ListParagraph"/>
              <w:numPr>
                <w:ilvl w:val="0"/>
                <w:numId w:val="17"/>
              </w:num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bCs/>
                <w:sz w:val="20"/>
              </w:rPr>
            </w:pPr>
            <w:r>
              <w:rPr>
                <w:bCs/>
                <w:sz w:val="20"/>
              </w:rPr>
              <w:t xml:space="preserve">the entity is a ‘GR group member’ (being, there is a worldwide </w:t>
            </w:r>
            <w:proofErr w:type="gramStart"/>
            <w:r>
              <w:rPr>
                <w:bCs/>
                <w:sz w:val="20"/>
              </w:rPr>
              <w:t>group</w:t>
            </w:r>
            <w:proofErr w:type="gramEnd"/>
            <w:r>
              <w:rPr>
                <w:bCs/>
                <w:sz w:val="20"/>
              </w:rPr>
              <w:t xml:space="preserve"> and the entity is consolidated in the GR group’s audited consolidated financial statements on a line by line basis)</w:t>
            </w:r>
          </w:p>
          <w:p w14:paraId="27148DEC" w14:textId="1C34AF5C" w:rsidR="00DF1EDC" w:rsidRDefault="00DF1EDC" w:rsidP="00CD4BB7">
            <w:pPr>
              <w:pStyle w:val="ListParagraph"/>
              <w:numPr>
                <w:ilvl w:val="0"/>
                <w:numId w:val="17"/>
              </w:num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bCs/>
                <w:sz w:val="20"/>
              </w:rPr>
            </w:pPr>
            <w:r>
              <w:rPr>
                <w:bCs/>
                <w:sz w:val="20"/>
              </w:rPr>
              <w:lastRenderedPageBreak/>
              <w:t>the ‘GR group’ does not comprise of one entity and</w:t>
            </w:r>
          </w:p>
          <w:p w14:paraId="7EB3E18E" w14:textId="7B2B5B2B" w:rsidR="00DF1EDC" w:rsidRPr="00CD4BB7" w:rsidRDefault="00DF1EDC" w:rsidP="00CD4BB7">
            <w:pPr>
              <w:pStyle w:val="ListParagraph"/>
              <w:numPr>
                <w:ilvl w:val="0"/>
                <w:numId w:val="17"/>
              </w:num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bCs/>
                <w:sz w:val="20"/>
              </w:rPr>
            </w:pPr>
            <w:r>
              <w:rPr>
                <w:bCs/>
                <w:sz w:val="20"/>
              </w:rPr>
              <w:t>the ‘GR group EDITDA’ is more than zero.</w:t>
            </w:r>
          </w:p>
          <w:p w14:paraId="3382AE96" w14:textId="77777777" w:rsidR="00DF1EDC" w:rsidRDefault="00DF1EDC" w:rsidP="00BA1F43">
            <w:p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3D02DE7A" w14:textId="726E0D5D" w:rsidR="00DF1EDC" w:rsidRDefault="00DF1EDC" w:rsidP="00BA1F43">
            <w:p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If the GRT is chosen, debt deductions of an entity for an income year exceeding the ratio of the group’s third-party interest expense to its financial EBITDA (based on the audited consolidated financial statements) is disallowed. This is known as the ‘group ratio earnings limit’, which is essentially a group-based EBITDA concept.</w:t>
            </w:r>
          </w:p>
          <w:p w14:paraId="53C75A42" w14:textId="77777777" w:rsidR="00DF1EDC" w:rsidRDefault="00DF1EDC" w:rsidP="00BA1F43">
            <w:p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351863EB" w14:textId="77777777" w:rsidR="00DF1EDC" w:rsidRDefault="00DF1EDC" w:rsidP="00BA1F43">
            <w:p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This ratio is applied to the tested group entity’s tax EBITDA to determine the maximum amount of debt deductions allowable. The excess debt deductions exceeding the maximum amount under the GRT is disallowed.</w:t>
            </w:r>
          </w:p>
          <w:p w14:paraId="28CA19C5" w14:textId="77777777" w:rsidR="00DF1EDC" w:rsidRDefault="00DF1EDC" w:rsidP="00BA1F43">
            <w:p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279756F5" w14:textId="01BE4D8A" w:rsidR="00DF1EDC" w:rsidRDefault="00DF1EDC" w:rsidP="00BA1F43">
            <w:pPr>
              <w:adjustRightInd w:val="0"/>
              <w:snapToGrid w:val="0"/>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There is no ability to carry forward debt deductions denied under the GRT (compared to the FRT) and the taxpayer must elect to apply the GRT.</w:t>
            </w:r>
          </w:p>
        </w:tc>
      </w:tr>
      <w:tr w:rsidR="00DF1EDC" w14:paraId="2F55E327" w14:textId="77777777" w:rsidTr="00DF1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F3D346" w14:textId="2B7C7166" w:rsidR="00DF1EDC" w:rsidRDefault="00DF1EDC" w:rsidP="00BA1F43">
            <w:pPr>
              <w:adjustRightInd w:val="0"/>
              <w:snapToGrid w:val="0"/>
              <w:spacing w:line="276" w:lineRule="auto"/>
              <w:jc w:val="left"/>
              <w:rPr>
                <w:rFonts w:ascii="Arial" w:hAnsi="Arial" w:cs="Arial"/>
                <w:bCs w:val="0"/>
                <w:sz w:val="20"/>
              </w:rPr>
            </w:pPr>
            <w:r>
              <w:rPr>
                <w:rFonts w:ascii="Arial" w:hAnsi="Arial" w:cs="Arial"/>
                <w:bCs w:val="0"/>
                <w:sz w:val="20"/>
              </w:rPr>
              <w:lastRenderedPageBreak/>
              <w:t>TDPT</w:t>
            </w:r>
          </w:p>
        </w:tc>
        <w:tc>
          <w:tcPr>
            <w:tcW w:w="7655" w:type="dxa"/>
          </w:tcPr>
          <w:p w14:paraId="081FF636" w14:textId="77777777" w:rsidR="00DF1EDC" w:rsidRDefault="00DF1EDC" w:rsidP="00BA1F43">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The TDPT is available to financial entities and general class investors, which will not disallow any third-party debt interest provided the debt satisfies certain conditions. However, if the TDPT is applied then all other debt deductions (i.e. those not attributable to qualifying third-party debt) will be denied.</w:t>
            </w:r>
          </w:p>
          <w:p w14:paraId="0D5659CC" w14:textId="77777777" w:rsidR="00DF1EDC" w:rsidRDefault="00DF1EDC" w:rsidP="00BA1F43">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4A48E7E7" w14:textId="59873852" w:rsidR="00DF1EDC" w:rsidRDefault="00DF1EDC" w:rsidP="00BA1F43">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The TDPT also allows for conduit financier arrangements, where a group member borrows from an external third party and on lends to another group member. In these cases, the recipient group member can treat the intra-group loan as a third-party debt, provided certain conditions are met.</w:t>
            </w:r>
            <w:r w:rsidR="00B71C2B">
              <w:rPr>
                <w:rFonts w:ascii="Arial" w:hAnsi="Arial" w:cs="Arial"/>
                <w:bCs/>
                <w:sz w:val="20"/>
              </w:rPr>
              <w:t xml:space="preserve"> </w:t>
            </w:r>
            <w:r w:rsidR="0002707D">
              <w:rPr>
                <w:rFonts w:ascii="Arial" w:hAnsi="Arial" w:cs="Arial"/>
                <w:bCs/>
                <w:sz w:val="20"/>
              </w:rPr>
              <w:t xml:space="preserve">The </w:t>
            </w:r>
            <w:r w:rsidR="004817BF">
              <w:rPr>
                <w:rFonts w:ascii="Arial" w:hAnsi="Arial" w:cs="Arial"/>
                <w:bCs/>
                <w:sz w:val="20"/>
              </w:rPr>
              <w:t>conditions to access the conduit financier rule are incredibly strict</w:t>
            </w:r>
            <w:r w:rsidR="00035BD7">
              <w:rPr>
                <w:rFonts w:ascii="Arial" w:hAnsi="Arial" w:cs="Arial"/>
                <w:bCs/>
                <w:sz w:val="20"/>
              </w:rPr>
              <w:t xml:space="preserve">, including the requirement that the cost of the on-lent funds </w:t>
            </w:r>
            <w:proofErr w:type="gramStart"/>
            <w:r w:rsidR="00035BD7">
              <w:rPr>
                <w:rFonts w:ascii="Arial" w:hAnsi="Arial" w:cs="Arial"/>
                <w:bCs/>
                <w:sz w:val="20"/>
              </w:rPr>
              <w:t>are</w:t>
            </w:r>
            <w:proofErr w:type="gramEnd"/>
            <w:r w:rsidR="00035BD7">
              <w:rPr>
                <w:rFonts w:ascii="Arial" w:hAnsi="Arial" w:cs="Arial"/>
                <w:bCs/>
                <w:sz w:val="20"/>
              </w:rPr>
              <w:t xml:space="preserve"> on the same terms as the ultimate third party loan.</w:t>
            </w:r>
            <w:r w:rsidR="00B71C2B">
              <w:rPr>
                <w:rFonts w:ascii="Arial" w:hAnsi="Arial" w:cs="Arial"/>
                <w:bCs/>
                <w:sz w:val="20"/>
              </w:rPr>
              <w:t xml:space="preserve"> </w:t>
            </w:r>
          </w:p>
          <w:p w14:paraId="088C5F1D" w14:textId="77777777" w:rsidR="00DF1EDC" w:rsidRDefault="00DF1EDC" w:rsidP="00BA1F43">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10768EED" w14:textId="2B3AD89A" w:rsidR="00DF1EDC" w:rsidRDefault="00DF1EDC" w:rsidP="00BA1F43">
            <w:pPr>
              <w:adjustRightInd w:val="0"/>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 xml:space="preserve">The TDPT will may be beneficial to taxpayers in circumstances where external lenders have adopted a more highly geared position than allowed for under the FRT. </w:t>
            </w:r>
          </w:p>
        </w:tc>
      </w:tr>
    </w:tbl>
    <w:p w14:paraId="3B54BBD3" w14:textId="77777777" w:rsidR="000D091A" w:rsidRDefault="000D091A" w:rsidP="00F73D53">
      <w:pPr>
        <w:adjustRightInd w:val="0"/>
        <w:snapToGrid w:val="0"/>
        <w:spacing w:line="276" w:lineRule="auto"/>
        <w:jc w:val="left"/>
        <w:rPr>
          <w:rFonts w:ascii="Arial" w:hAnsi="Arial" w:cs="Arial"/>
          <w:bCs/>
          <w:sz w:val="20"/>
        </w:rPr>
      </w:pPr>
    </w:p>
    <w:p w14:paraId="5B08CFCC" w14:textId="4C1CB6A9" w:rsidR="00F73D53" w:rsidRDefault="00F73D53" w:rsidP="00F73D53">
      <w:pPr>
        <w:adjustRightInd w:val="0"/>
        <w:snapToGrid w:val="0"/>
        <w:spacing w:line="276" w:lineRule="auto"/>
        <w:jc w:val="left"/>
        <w:rPr>
          <w:rFonts w:ascii="Arial" w:hAnsi="Arial" w:cs="Arial"/>
          <w:bCs/>
          <w:sz w:val="20"/>
        </w:rPr>
      </w:pPr>
    </w:p>
    <w:p w14:paraId="78717F38" w14:textId="265D0EAD" w:rsidR="006A0429" w:rsidRPr="00BB4B14" w:rsidRDefault="006A0429" w:rsidP="006A0429">
      <w:pPr>
        <w:adjustRightInd w:val="0"/>
        <w:snapToGrid w:val="0"/>
        <w:spacing w:line="276" w:lineRule="auto"/>
        <w:jc w:val="left"/>
        <w:rPr>
          <w:rFonts w:ascii="Arial" w:hAnsi="Arial" w:cs="Arial"/>
          <w:b/>
          <w:sz w:val="20"/>
        </w:rPr>
      </w:pPr>
      <w:r w:rsidRPr="00BB4B14">
        <w:rPr>
          <w:rFonts w:ascii="Arial" w:hAnsi="Arial" w:cs="Arial"/>
          <w:b/>
          <w:sz w:val="20"/>
        </w:rPr>
        <w:t>Tax EBITDA</w:t>
      </w:r>
    </w:p>
    <w:p w14:paraId="12874DEF" w14:textId="77777777" w:rsidR="006A0429" w:rsidRDefault="006A0429" w:rsidP="00F73D53">
      <w:pPr>
        <w:adjustRightInd w:val="0"/>
        <w:snapToGrid w:val="0"/>
        <w:spacing w:line="276" w:lineRule="auto"/>
        <w:jc w:val="left"/>
        <w:rPr>
          <w:rFonts w:ascii="Arial" w:hAnsi="Arial" w:cs="Arial"/>
          <w:bCs/>
          <w:sz w:val="20"/>
        </w:rPr>
      </w:pPr>
    </w:p>
    <w:p w14:paraId="79735984" w14:textId="09A964C5" w:rsidR="00BE6C00" w:rsidRDefault="006A0429" w:rsidP="00F73D53">
      <w:pPr>
        <w:adjustRightInd w:val="0"/>
        <w:snapToGrid w:val="0"/>
        <w:spacing w:line="276" w:lineRule="auto"/>
        <w:jc w:val="left"/>
        <w:rPr>
          <w:rFonts w:ascii="Arial" w:hAnsi="Arial" w:cs="Arial"/>
          <w:bCs/>
          <w:sz w:val="20"/>
        </w:rPr>
      </w:pPr>
      <w:r>
        <w:rPr>
          <w:rFonts w:ascii="Arial" w:hAnsi="Arial" w:cs="Arial"/>
          <w:bCs/>
          <w:sz w:val="20"/>
        </w:rPr>
        <w:t>Broadly, tax EBITDA</w:t>
      </w:r>
      <w:r w:rsidR="00162530">
        <w:rPr>
          <w:rFonts w:ascii="Arial" w:hAnsi="Arial" w:cs="Arial"/>
          <w:bCs/>
          <w:sz w:val="20"/>
        </w:rPr>
        <w:t xml:space="preserve"> is calculated starting with the entity’s taxable income or loss for the year and disregarding the application of the thin cap </w:t>
      </w:r>
      <w:r w:rsidR="00BE6C00">
        <w:rPr>
          <w:rFonts w:ascii="Arial" w:hAnsi="Arial" w:cs="Arial"/>
          <w:bCs/>
          <w:sz w:val="20"/>
        </w:rPr>
        <w:t>rules. The following specific adjustments are then required:</w:t>
      </w:r>
    </w:p>
    <w:p w14:paraId="332A77A6" w14:textId="77777777" w:rsidR="00BE6C00" w:rsidRDefault="00BE6C00" w:rsidP="00F73D53">
      <w:pPr>
        <w:adjustRightInd w:val="0"/>
        <w:snapToGrid w:val="0"/>
        <w:spacing w:line="276" w:lineRule="auto"/>
        <w:jc w:val="left"/>
        <w:rPr>
          <w:rFonts w:ascii="Arial" w:hAnsi="Arial" w:cs="Arial"/>
          <w:bCs/>
          <w:sz w:val="20"/>
        </w:rPr>
      </w:pPr>
    </w:p>
    <w:p w14:paraId="66006239" w14:textId="366693D5" w:rsidR="00BE6C00" w:rsidRPr="00BB4B14" w:rsidRDefault="00BE6C00" w:rsidP="00F73D53">
      <w:pPr>
        <w:adjustRightInd w:val="0"/>
        <w:snapToGrid w:val="0"/>
        <w:spacing w:line="276" w:lineRule="auto"/>
        <w:jc w:val="left"/>
        <w:rPr>
          <w:rFonts w:ascii="Arial" w:hAnsi="Arial" w:cs="Arial"/>
          <w:b/>
          <w:i/>
          <w:sz w:val="20"/>
        </w:rPr>
      </w:pPr>
      <w:r w:rsidRPr="00BB4B14">
        <w:rPr>
          <w:rFonts w:ascii="Arial" w:hAnsi="Arial" w:cs="Arial"/>
          <w:b/>
          <w:i/>
          <w:sz w:val="20"/>
        </w:rPr>
        <w:t>Add:</w:t>
      </w:r>
    </w:p>
    <w:p w14:paraId="5D3A49AD" w14:textId="483552AB" w:rsidR="00BE6C00" w:rsidRDefault="00BE6C00" w:rsidP="00BE6C00">
      <w:pPr>
        <w:pStyle w:val="ListParagraph"/>
        <w:numPr>
          <w:ilvl w:val="0"/>
          <w:numId w:val="22"/>
        </w:numPr>
        <w:adjustRightInd w:val="0"/>
        <w:snapToGrid w:val="0"/>
        <w:spacing w:line="276" w:lineRule="auto"/>
        <w:jc w:val="left"/>
        <w:rPr>
          <w:bCs/>
          <w:sz w:val="20"/>
        </w:rPr>
      </w:pPr>
      <w:r>
        <w:rPr>
          <w:bCs/>
          <w:sz w:val="20"/>
        </w:rPr>
        <w:t>Net debt deductions for the year</w:t>
      </w:r>
    </w:p>
    <w:p w14:paraId="72E8507C" w14:textId="61C03A5E" w:rsidR="00BE6C00" w:rsidRDefault="00BE6C00" w:rsidP="00BE6C00">
      <w:pPr>
        <w:pStyle w:val="ListParagraph"/>
        <w:numPr>
          <w:ilvl w:val="0"/>
          <w:numId w:val="22"/>
        </w:numPr>
        <w:adjustRightInd w:val="0"/>
        <w:snapToGrid w:val="0"/>
        <w:spacing w:line="276" w:lineRule="auto"/>
        <w:jc w:val="left"/>
        <w:rPr>
          <w:bCs/>
          <w:sz w:val="20"/>
        </w:rPr>
      </w:pPr>
      <w:r>
        <w:rPr>
          <w:bCs/>
          <w:sz w:val="20"/>
        </w:rPr>
        <w:t>Division 40 deductions (excluding immediately deductible expenses)</w:t>
      </w:r>
    </w:p>
    <w:p w14:paraId="22AB961F" w14:textId="516C8342" w:rsidR="00BE6C00" w:rsidRDefault="00BE6C00" w:rsidP="00BE6C00">
      <w:pPr>
        <w:pStyle w:val="ListParagraph"/>
        <w:numPr>
          <w:ilvl w:val="0"/>
          <w:numId w:val="22"/>
        </w:numPr>
        <w:adjustRightInd w:val="0"/>
        <w:snapToGrid w:val="0"/>
        <w:spacing w:line="276" w:lineRule="auto"/>
        <w:jc w:val="left"/>
        <w:rPr>
          <w:bCs/>
          <w:sz w:val="20"/>
        </w:rPr>
      </w:pPr>
      <w:r>
        <w:rPr>
          <w:bCs/>
          <w:sz w:val="20"/>
        </w:rPr>
        <w:t xml:space="preserve">Division 43 claims </w:t>
      </w:r>
    </w:p>
    <w:p w14:paraId="4F500419" w14:textId="7AA87E38" w:rsidR="00BE6C00" w:rsidRDefault="00315F69" w:rsidP="00BE6C00">
      <w:pPr>
        <w:pStyle w:val="ListParagraph"/>
        <w:numPr>
          <w:ilvl w:val="0"/>
          <w:numId w:val="22"/>
        </w:numPr>
        <w:adjustRightInd w:val="0"/>
        <w:snapToGrid w:val="0"/>
        <w:spacing w:line="276" w:lineRule="auto"/>
        <w:jc w:val="left"/>
        <w:rPr>
          <w:bCs/>
          <w:sz w:val="20"/>
        </w:rPr>
      </w:pPr>
      <w:r w:rsidRPr="00315F69">
        <w:rPr>
          <w:sz w:val="20"/>
        </w:rPr>
        <w:t>For specific types of entities, t</w:t>
      </w:r>
      <w:r w:rsidR="00BE6C00" w:rsidRPr="00315F69">
        <w:rPr>
          <w:sz w:val="20"/>
        </w:rPr>
        <w:t>he</w:t>
      </w:r>
      <w:r w:rsidR="00BE6C00">
        <w:rPr>
          <w:bCs/>
          <w:sz w:val="20"/>
        </w:rPr>
        <w:t xml:space="preserve"> excess tax EBITDA amount transferred from </w:t>
      </w:r>
      <w:r w:rsidR="00CB405F">
        <w:rPr>
          <w:bCs/>
          <w:sz w:val="20"/>
        </w:rPr>
        <w:t>at least 50% controlled entities</w:t>
      </w:r>
      <w:r w:rsidR="00035BD7" w:rsidRPr="00315F69">
        <w:rPr>
          <w:sz w:val="20"/>
        </w:rPr>
        <w:t xml:space="preserve"> (noting only specific entities </w:t>
      </w:r>
      <w:r w:rsidRPr="00315F69">
        <w:rPr>
          <w:sz w:val="20"/>
        </w:rPr>
        <w:t>can be controlled)</w:t>
      </w:r>
    </w:p>
    <w:p w14:paraId="1244EBEC" w14:textId="0FE8C835" w:rsidR="00CB405F" w:rsidRPr="00BB4B14" w:rsidRDefault="00CB405F" w:rsidP="00BB4B14">
      <w:pPr>
        <w:pStyle w:val="ListParagraph"/>
        <w:numPr>
          <w:ilvl w:val="0"/>
          <w:numId w:val="22"/>
        </w:numPr>
        <w:adjustRightInd w:val="0"/>
        <w:snapToGrid w:val="0"/>
        <w:spacing w:line="276" w:lineRule="auto"/>
        <w:jc w:val="left"/>
        <w:rPr>
          <w:sz w:val="20"/>
        </w:rPr>
      </w:pPr>
      <w:r>
        <w:rPr>
          <w:bCs/>
          <w:sz w:val="20"/>
        </w:rPr>
        <w:t>General deductions under section 8-1 that relate to forestry and preparation costs and deductions under section 70-120 of the ITAA 1997 (capital costs of acquiring trees)</w:t>
      </w:r>
    </w:p>
    <w:p w14:paraId="6E816D42" w14:textId="77777777" w:rsidR="006A0429" w:rsidRPr="000019B0" w:rsidRDefault="006A0429" w:rsidP="00F73D53">
      <w:pPr>
        <w:adjustRightInd w:val="0"/>
        <w:snapToGrid w:val="0"/>
        <w:spacing w:line="276" w:lineRule="auto"/>
        <w:jc w:val="left"/>
        <w:rPr>
          <w:rFonts w:ascii="Arial" w:hAnsi="Arial" w:cs="Arial"/>
          <w:b/>
          <w:sz w:val="20"/>
        </w:rPr>
      </w:pPr>
    </w:p>
    <w:p w14:paraId="5DD508F3" w14:textId="46E6202E" w:rsidR="00F73D53" w:rsidRPr="00BB4B14" w:rsidRDefault="00CB405F" w:rsidP="00C16F3C">
      <w:pPr>
        <w:adjustRightInd w:val="0"/>
        <w:snapToGrid w:val="0"/>
        <w:spacing w:line="276" w:lineRule="auto"/>
        <w:jc w:val="left"/>
        <w:rPr>
          <w:rFonts w:ascii="Arial" w:hAnsi="Arial" w:cs="Arial"/>
          <w:b/>
          <w:i/>
          <w:sz w:val="20"/>
        </w:rPr>
      </w:pPr>
      <w:r w:rsidRPr="00BB4B14">
        <w:rPr>
          <w:rFonts w:ascii="Arial" w:hAnsi="Arial" w:cs="Arial"/>
          <w:b/>
          <w:i/>
          <w:sz w:val="20"/>
        </w:rPr>
        <w:t>Deduct:</w:t>
      </w:r>
    </w:p>
    <w:p w14:paraId="0CE80B49" w14:textId="3B07C9BA" w:rsidR="00CB405F" w:rsidRDefault="00B66908" w:rsidP="00CB405F">
      <w:pPr>
        <w:pStyle w:val="ListParagraph"/>
        <w:numPr>
          <w:ilvl w:val="0"/>
          <w:numId w:val="22"/>
        </w:numPr>
        <w:adjustRightInd w:val="0"/>
        <w:snapToGrid w:val="0"/>
        <w:spacing w:line="276" w:lineRule="auto"/>
        <w:jc w:val="left"/>
        <w:rPr>
          <w:bCs/>
          <w:sz w:val="20"/>
        </w:rPr>
      </w:pPr>
      <w:r>
        <w:rPr>
          <w:bCs/>
          <w:sz w:val="20"/>
        </w:rPr>
        <w:t>If the entity is a corporate tax entity that has made a choice under section 36-17 of the ITAA 1997 not to claim all prior year tax losses, the amount of the unclaimed prior year tax losses (</w:t>
      </w:r>
      <w:r w:rsidR="009D4A0A">
        <w:rPr>
          <w:bCs/>
          <w:sz w:val="20"/>
        </w:rPr>
        <w:t xml:space="preserve">ie assume </w:t>
      </w:r>
      <w:r w:rsidR="004213CB">
        <w:rPr>
          <w:bCs/>
          <w:sz w:val="20"/>
        </w:rPr>
        <w:t>that is has made a choice to utilise all prior year tax losses)</w:t>
      </w:r>
    </w:p>
    <w:p w14:paraId="4C7AAFD9" w14:textId="34D1A464" w:rsidR="004213CB" w:rsidRDefault="004213CB" w:rsidP="00CB405F">
      <w:pPr>
        <w:pStyle w:val="ListParagraph"/>
        <w:numPr>
          <w:ilvl w:val="0"/>
          <w:numId w:val="22"/>
        </w:numPr>
        <w:adjustRightInd w:val="0"/>
        <w:snapToGrid w:val="0"/>
        <w:spacing w:line="276" w:lineRule="auto"/>
        <w:jc w:val="left"/>
        <w:rPr>
          <w:bCs/>
          <w:sz w:val="20"/>
        </w:rPr>
      </w:pPr>
      <w:r>
        <w:rPr>
          <w:bCs/>
          <w:sz w:val="20"/>
        </w:rPr>
        <w:t xml:space="preserve">Notional </w:t>
      </w:r>
      <w:r w:rsidR="00214641">
        <w:rPr>
          <w:bCs/>
          <w:sz w:val="20"/>
        </w:rPr>
        <w:t xml:space="preserve">research and development (R&amp;D) deductions that have been added back in the calculation of taxable </w:t>
      </w:r>
      <w:proofErr w:type="gramStart"/>
      <w:r w:rsidR="00214641">
        <w:rPr>
          <w:bCs/>
          <w:sz w:val="20"/>
        </w:rPr>
        <w:t>income</w:t>
      </w:r>
      <w:proofErr w:type="gramEnd"/>
    </w:p>
    <w:p w14:paraId="7EBFA842" w14:textId="3D9D4A4B" w:rsidR="00214641" w:rsidRDefault="00214641" w:rsidP="00CB405F">
      <w:pPr>
        <w:pStyle w:val="ListParagraph"/>
        <w:numPr>
          <w:ilvl w:val="0"/>
          <w:numId w:val="22"/>
        </w:numPr>
        <w:adjustRightInd w:val="0"/>
        <w:snapToGrid w:val="0"/>
        <w:spacing w:line="276" w:lineRule="auto"/>
        <w:jc w:val="left"/>
        <w:rPr>
          <w:bCs/>
          <w:sz w:val="20"/>
        </w:rPr>
      </w:pPr>
      <w:r>
        <w:rPr>
          <w:bCs/>
          <w:sz w:val="20"/>
        </w:rPr>
        <w:lastRenderedPageBreak/>
        <w:t>Franking credits included in assessable income under Division 207 of the ITAA 1997</w:t>
      </w:r>
    </w:p>
    <w:p w14:paraId="6262ED97" w14:textId="52D8E7E6" w:rsidR="00214641" w:rsidRDefault="00214641" w:rsidP="00CB405F">
      <w:pPr>
        <w:pStyle w:val="ListParagraph"/>
        <w:numPr>
          <w:ilvl w:val="0"/>
          <w:numId w:val="22"/>
        </w:numPr>
        <w:adjustRightInd w:val="0"/>
        <w:snapToGrid w:val="0"/>
        <w:spacing w:line="276" w:lineRule="auto"/>
        <w:jc w:val="left"/>
        <w:rPr>
          <w:bCs/>
          <w:sz w:val="20"/>
        </w:rPr>
      </w:pPr>
      <w:r>
        <w:rPr>
          <w:bCs/>
          <w:sz w:val="20"/>
        </w:rPr>
        <w:t>Dividends, trust distributions or partnership distributions received from an ‘associate entity’ (where the entity has a thin capitalisation control interest of 10% or more in the ‘associate entity’)</w:t>
      </w:r>
    </w:p>
    <w:p w14:paraId="2E50A004" w14:textId="77777777" w:rsidR="00214641" w:rsidRPr="00BB4B14" w:rsidRDefault="00214641" w:rsidP="00214641">
      <w:pPr>
        <w:adjustRightInd w:val="0"/>
        <w:snapToGrid w:val="0"/>
        <w:spacing w:line="276" w:lineRule="auto"/>
        <w:jc w:val="left"/>
        <w:rPr>
          <w:rFonts w:ascii="Arial" w:hAnsi="Arial" w:cs="Arial"/>
          <w:sz w:val="20"/>
        </w:rPr>
      </w:pPr>
    </w:p>
    <w:p w14:paraId="0789625A" w14:textId="720F8609" w:rsidR="00214641" w:rsidRDefault="00214641" w:rsidP="00214641">
      <w:pPr>
        <w:adjustRightInd w:val="0"/>
        <w:snapToGrid w:val="0"/>
        <w:spacing w:line="276" w:lineRule="auto"/>
        <w:jc w:val="left"/>
        <w:rPr>
          <w:rFonts w:ascii="Arial" w:hAnsi="Arial" w:cs="Arial"/>
          <w:bCs/>
          <w:sz w:val="20"/>
        </w:rPr>
      </w:pPr>
      <w:r w:rsidRPr="00BB4B14">
        <w:rPr>
          <w:rFonts w:ascii="Arial" w:hAnsi="Arial" w:cs="Arial"/>
          <w:sz w:val="20"/>
        </w:rPr>
        <w:t xml:space="preserve">The </w:t>
      </w:r>
      <w:r>
        <w:rPr>
          <w:rFonts w:ascii="Arial" w:hAnsi="Arial" w:cs="Arial"/>
          <w:bCs/>
          <w:sz w:val="20"/>
        </w:rPr>
        <w:t>result of this calculation is the ‘tax EBITDA’. If it is negative, the tax EBITDA is regarded as being zero.</w:t>
      </w:r>
    </w:p>
    <w:p w14:paraId="512BE502" w14:textId="77777777" w:rsidR="00302E6C" w:rsidRDefault="00302E6C" w:rsidP="00214641">
      <w:pPr>
        <w:adjustRightInd w:val="0"/>
        <w:snapToGrid w:val="0"/>
        <w:spacing w:line="276" w:lineRule="auto"/>
        <w:jc w:val="left"/>
        <w:rPr>
          <w:rFonts w:ascii="Arial" w:hAnsi="Arial" w:cs="Arial"/>
          <w:bCs/>
          <w:sz w:val="20"/>
        </w:rPr>
      </w:pPr>
    </w:p>
    <w:p w14:paraId="1D74D461" w14:textId="3E683529" w:rsidR="00302E6C" w:rsidRDefault="00302E6C" w:rsidP="00214641">
      <w:pPr>
        <w:adjustRightInd w:val="0"/>
        <w:snapToGrid w:val="0"/>
        <w:spacing w:line="276" w:lineRule="auto"/>
        <w:jc w:val="left"/>
        <w:rPr>
          <w:rFonts w:ascii="Arial" w:hAnsi="Arial" w:cs="Arial"/>
          <w:bCs/>
          <w:sz w:val="20"/>
        </w:rPr>
      </w:pPr>
      <w:r>
        <w:rPr>
          <w:rFonts w:ascii="Arial" w:hAnsi="Arial" w:cs="Arial"/>
          <w:bCs/>
          <w:sz w:val="20"/>
        </w:rPr>
        <w:t>Where an entity’s net debt deductions are more than 30% of the tax EBITDA, the excess amount is a disallowed tax deduction under the FRT.</w:t>
      </w:r>
    </w:p>
    <w:p w14:paraId="753D6CCE" w14:textId="77777777" w:rsidR="00C93FB9" w:rsidRPr="00BB4B14" w:rsidRDefault="00C93FB9" w:rsidP="00214641">
      <w:pPr>
        <w:adjustRightInd w:val="0"/>
        <w:snapToGrid w:val="0"/>
        <w:spacing w:line="276" w:lineRule="auto"/>
        <w:jc w:val="left"/>
        <w:rPr>
          <w:rFonts w:ascii="Arial" w:hAnsi="Arial" w:cs="Arial"/>
          <w:sz w:val="20"/>
        </w:rPr>
      </w:pPr>
    </w:p>
    <w:p w14:paraId="2EE64EA5" w14:textId="77777777" w:rsidR="00302E6C" w:rsidRDefault="00302E6C" w:rsidP="00302E6C">
      <w:pPr>
        <w:adjustRightInd w:val="0"/>
        <w:snapToGrid w:val="0"/>
        <w:spacing w:line="276" w:lineRule="auto"/>
        <w:jc w:val="left"/>
        <w:rPr>
          <w:rFonts w:ascii="Arial" w:hAnsi="Arial" w:cs="Arial"/>
          <w:bCs/>
          <w:sz w:val="20"/>
        </w:rPr>
      </w:pPr>
      <w:r>
        <w:rPr>
          <w:rFonts w:ascii="Arial" w:hAnsi="Arial" w:cs="Arial"/>
          <w:bCs/>
          <w:sz w:val="20"/>
        </w:rPr>
        <w:t xml:space="preserve">Depending on taxpayers’ debt arrangements, they may be able to claim a higher amount of debt deductions under the GRT or TDPT, than what would be available under the default test (being FRT). </w:t>
      </w:r>
    </w:p>
    <w:p w14:paraId="5463D3E7" w14:textId="77777777" w:rsidR="00302E6C" w:rsidRDefault="00302E6C" w:rsidP="00302E6C">
      <w:pPr>
        <w:adjustRightInd w:val="0"/>
        <w:snapToGrid w:val="0"/>
        <w:spacing w:line="276" w:lineRule="auto"/>
        <w:jc w:val="left"/>
        <w:rPr>
          <w:rFonts w:ascii="Arial" w:hAnsi="Arial" w:cs="Arial"/>
          <w:bCs/>
          <w:sz w:val="20"/>
        </w:rPr>
      </w:pPr>
    </w:p>
    <w:p w14:paraId="14C51518" w14:textId="77777777" w:rsidR="00302E6C" w:rsidRDefault="00302E6C" w:rsidP="00302E6C">
      <w:pPr>
        <w:adjustRightInd w:val="0"/>
        <w:snapToGrid w:val="0"/>
        <w:spacing w:line="276" w:lineRule="auto"/>
        <w:jc w:val="left"/>
        <w:rPr>
          <w:rFonts w:ascii="Arial" w:hAnsi="Arial" w:cs="Arial"/>
          <w:bCs/>
          <w:sz w:val="20"/>
        </w:rPr>
      </w:pPr>
      <w:r>
        <w:rPr>
          <w:rFonts w:ascii="Arial" w:hAnsi="Arial" w:cs="Arial"/>
          <w:bCs/>
          <w:sz w:val="20"/>
        </w:rPr>
        <w:t>As such, it is recommended that taxpayers seek specific advice from their tax advisors on the most appropriate thin cap test to apply for their debt arrangements.</w:t>
      </w:r>
    </w:p>
    <w:p w14:paraId="0661BD94" w14:textId="77777777" w:rsidR="00CB405F" w:rsidRDefault="00CB405F" w:rsidP="00C16F3C">
      <w:pPr>
        <w:adjustRightInd w:val="0"/>
        <w:snapToGrid w:val="0"/>
        <w:spacing w:line="276" w:lineRule="auto"/>
        <w:jc w:val="left"/>
        <w:rPr>
          <w:bCs/>
          <w:sz w:val="20"/>
        </w:rPr>
      </w:pPr>
    </w:p>
    <w:p w14:paraId="07DB9D88" w14:textId="16F96B71" w:rsidR="00FE400C" w:rsidRPr="00FE400C" w:rsidRDefault="008B56BA" w:rsidP="00C16F3C">
      <w:pPr>
        <w:adjustRightInd w:val="0"/>
        <w:snapToGrid w:val="0"/>
        <w:spacing w:line="276" w:lineRule="auto"/>
        <w:jc w:val="left"/>
        <w:rPr>
          <w:b/>
          <w:sz w:val="20"/>
        </w:rPr>
      </w:pPr>
      <w:r>
        <w:rPr>
          <w:rFonts w:ascii="Arial" w:hAnsi="Arial" w:cs="Arial"/>
          <w:b/>
          <w:sz w:val="20"/>
        </w:rPr>
        <w:t>DEBT DEDUCTION CREATION RULES</w:t>
      </w:r>
    </w:p>
    <w:p w14:paraId="4F34C7C6" w14:textId="77777777" w:rsidR="00FE400C" w:rsidRPr="008B56BA" w:rsidRDefault="00FE400C" w:rsidP="00C16F3C">
      <w:pPr>
        <w:adjustRightInd w:val="0"/>
        <w:snapToGrid w:val="0"/>
        <w:spacing w:line="276" w:lineRule="auto"/>
        <w:jc w:val="left"/>
        <w:rPr>
          <w:rFonts w:ascii="Arial" w:hAnsi="Arial" w:cs="Arial"/>
          <w:bCs/>
          <w:sz w:val="20"/>
        </w:rPr>
      </w:pPr>
    </w:p>
    <w:p w14:paraId="0F3E7EB5" w14:textId="5EA70E65" w:rsidR="00FE400C" w:rsidRDefault="008B56BA" w:rsidP="00C16F3C">
      <w:pPr>
        <w:adjustRightInd w:val="0"/>
        <w:snapToGrid w:val="0"/>
        <w:spacing w:line="276" w:lineRule="auto"/>
        <w:jc w:val="left"/>
        <w:rPr>
          <w:rFonts w:ascii="Arial" w:hAnsi="Arial" w:cs="Arial"/>
          <w:bCs/>
          <w:sz w:val="20"/>
        </w:rPr>
      </w:pPr>
      <w:r w:rsidRPr="008B56BA">
        <w:rPr>
          <w:rFonts w:ascii="Arial" w:hAnsi="Arial" w:cs="Arial"/>
          <w:bCs/>
          <w:sz w:val="20"/>
        </w:rPr>
        <w:t>The new debt</w:t>
      </w:r>
      <w:r>
        <w:rPr>
          <w:rFonts w:ascii="Arial" w:hAnsi="Arial" w:cs="Arial"/>
          <w:bCs/>
          <w:sz w:val="20"/>
        </w:rPr>
        <w:t xml:space="preserve"> deduction creation rules </w:t>
      </w:r>
      <w:r w:rsidR="002B7448">
        <w:rPr>
          <w:rFonts w:ascii="Arial" w:hAnsi="Arial" w:cs="Arial"/>
          <w:bCs/>
          <w:sz w:val="20"/>
        </w:rPr>
        <w:t>will apply to income years commencing on or after 1 July 2024. These rules apply to both pre-existing arrangements and new arrangements after the start date.</w:t>
      </w:r>
    </w:p>
    <w:p w14:paraId="61A2F1F9" w14:textId="676DD07D" w:rsidR="00727CD8" w:rsidRDefault="00727CD8" w:rsidP="00C16F3C">
      <w:pPr>
        <w:adjustRightInd w:val="0"/>
        <w:snapToGrid w:val="0"/>
        <w:spacing w:line="276" w:lineRule="auto"/>
        <w:jc w:val="left"/>
        <w:rPr>
          <w:rFonts w:ascii="Arial" w:hAnsi="Arial" w:cs="Arial"/>
          <w:bCs/>
          <w:sz w:val="20"/>
        </w:rPr>
      </w:pPr>
    </w:p>
    <w:p w14:paraId="2010BBEC" w14:textId="50DB44A1" w:rsidR="00727CD8" w:rsidRDefault="00727CD8" w:rsidP="00C16F3C">
      <w:pPr>
        <w:adjustRightInd w:val="0"/>
        <w:snapToGrid w:val="0"/>
        <w:spacing w:line="276" w:lineRule="auto"/>
        <w:jc w:val="left"/>
        <w:rPr>
          <w:rFonts w:ascii="Arial" w:hAnsi="Arial" w:cs="Arial"/>
          <w:bCs/>
          <w:sz w:val="20"/>
        </w:rPr>
      </w:pPr>
      <w:r>
        <w:rPr>
          <w:rFonts w:ascii="Arial" w:hAnsi="Arial" w:cs="Arial"/>
          <w:bCs/>
          <w:sz w:val="20"/>
        </w:rPr>
        <w:t>The debt deduction creation rules apply to deny debt deductions before applying the above thin cap rules. They apply to all taxpayers subject to the thin cap rules, with the exception of:</w:t>
      </w:r>
    </w:p>
    <w:p w14:paraId="0F484F73" w14:textId="466D7F5D" w:rsidR="00727CD8" w:rsidRDefault="0033515B" w:rsidP="00727CD8">
      <w:pPr>
        <w:pStyle w:val="ListParagraph"/>
        <w:numPr>
          <w:ilvl w:val="0"/>
          <w:numId w:val="14"/>
        </w:numPr>
        <w:adjustRightInd w:val="0"/>
        <w:snapToGrid w:val="0"/>
        <w:spacing w:line="276" w:lineRule="auto"/>
        <w:jc w:val="left"/>
        <w:rPr>
          <w:bCs/>
          <w:sz w:val="20"/>
        </w:rPr>
      </w:pPr>
      <w:r>
        <w:rPr>
          <w:bCs/>
          <w:sz w:val="20"/>
        </w:rPr>
        <w:t>taxpayers who qualify for the ‘de minimus’ exception</w:t>
      </w:r>
    </w:p>
    <w:p w14:paraId="50C50F8E" w14:textId="26E7B25B" w:rsidR="0033515B" w:rsidRDefault="00691B5D" w:rsidP="00727CD8">
      <w:pPr>
        <w:pStyle w:val="ListParagraph"/>
        <w:numPr>
          <w:ilvl w:val="0"/>
          <w:numId w:val="14"/>
        </w:numPr>
        <w:adjustRightInd w:val="0"/>
        <w:snapToGrid w:val="0"/>
        <w:spacing w:line="276" w:lineRule="auto"/>
        <w:jc w:val="left"/>
        <w:rPr>
          <w:bCs/>
          <w:sz w:val="20"/>
        </w:rPr>
      </w:pPr>
      <w:r>
        <w:rPr>
          <w:bCs/>
          <w:sz w:val="20"/>
        </w:rPr>
        <w:t>taxpayers who use the TPDT</w:t>
      </w:r>
    </w:p>
    <w:p w14:paraId="7ED2BB33" w14:textId="6CBEB54F" w:rsidR="008A2F27" w:rsidRDefault="008A2F27" w:rsidP="00727CD8">
      <w:pPr>
        <w:pStyle w:val="ListParagraph"/>
        <w:numPr>
          <w:ilvl w:val="0"/>
          <w:numId w:val="14"/>
        </w:numPr>
        <w:adjustRightInd w:val="0"/>
        <w:snapToGrid w:val="0"/>
        <w:spacing w:line="276" w:lineRule="auto"/>
        <w:jc w:val="left"/>
        <w:rPr>
          <w:bCs/>
          <w:sz w:val="20"/>
        </w:rPr>
      </w:pPr>
      <w:r>
        <w:rPr>
          <w:bCs/>
          <w:sz w:val="20"/>
        </w:rPr>
        <w:t>taxpayers that use insolvency remote special purpose entities</w:t>
      </w:r>
    </w:p>
    <w:p w14:paraId="5B536ADE" w14:textId="4796C41D" w:rsidR="008A2F27" w:rsidRDefault="008A2F27" w:rsidP="00727CD8">
      <w:pPr>
        <w:pStyle w:val="ListParagraph"/>
        <w:numPr>
          <w:ilvl w:val="0"/>
          <w:numId w:val="14"/>
        </w:numPr>
        <w:adjustRightInd w:val="0"/>
        <w:snapToGrid w:val="0"/>
        <w:spacing w:line="276" w:lineRule="auto"/>
        <w:jc w:val="left"/>
        <w:rPr>
          <w:bCs/>
          <w:sz w:val="20"/>
        </w:rPr>
      </w:pPr>
      <w:r>
        <w:rPr>
          <w:bCs/>
          <w:sz w:val="20"/>
        </w:rPr>
        <w:t>securitisation vehicles, or</w:t>
      </w:r>
    </w:p>
    <w:p w14:paraId="3CF72CC4" w14:textId="42EF6692" w:rsidR="008A2F27" w:rsidRPr="008B56BA" w:rsidRDefault="008A2F27" w:rsidP="00727CD8">
      <w:pPr>
        <w:pStyle w:val="ListParagraph"/>
        <w:numPr>
          <w:ilvl w:val="0"/>
          <w:numId w:val="14"/>
        </w:numPr>
        <w:adjustRightInd w:val="0"/>
        <w:snapToGrid w:val="0"/>
        <w:spacing w:line="276" w:lineRule="auto"/>
        <w:jc w:val="left"/>
        <w:rPr>
          <w:bCs/>
          <w:sz w:val="20"/>
        </w:rPr>
      </w:pPr>
      <w:r>
        <w:rPr>
          <w:bCs/>
          <w:sz w:val="20"/>
        </w:rPr>
        <w:t>ADIs.</w:t>
      </w:r>
    </w:p>
    <w:p w14:paraId="7F1E87CB" w14:textId="3E863036" w:rsidR="00FE400C" w:rsidRDefault="00FE400C" w:rsidP="00C16F3C">
      <w:pPr>
        <w:adjustRightInd w:val="0"/>
        <w:snapToGrid w:val="0"/>
        <w:spacing w:line="276" w:lineRule="auto"/>
        <w:jc w:val="left"/>
        <w:rPr>
          <w:rFonts w:ascii="Arial" w:hAnsi="Arial" w:cs="Arial"/>
          <w:bCs/>
          <w:sz w:val="20"/>
        </w:rPr>
      </w:pPr>
    </w:p>
    <w:p w14:paraId="705B1BBB" w14:textId="77777777" w:rsidR="00776932" w:rsidRDefault="00776932" w:rsidP="00C16F3C">
      <w:pPr>
        <w:adjustRightInd w:val="0"/>
        <w:snapToGrid w:val="0"/>
        <w:spacing w:line="276" w:lineRule="auto"/>
        <w:jc w:val="left"/>
        <w:rPr>
          <w:rFonts w:ascii="Arial" w:hAnsi="Arial" w:cs="Arial"/>
          <w:bCs/>
          <w:sz w:val="20"/>
        </w:rPr>
      </w:pPr>
    </w:p>
    <w:p w14:paraId="0884BD93" w14:textId="71B577D9" w:rsidR="00D8508A" w:rsidRDefault="00D8508A" w:rsidP="00C16F3C">
      <w:pPr>
        <w:adjustRightInd w:val="0"/>
        <w:snapToGrid w:val="0"/>
        <w:spacing w:line="276" w:lineRule="auto"/>
        <w:jc w:val="left"/>
        <w:rPr>
          <w:rFonts w:ascii="Arial" w:hAnsi="Arial" w:cs="Arial"/>
          <w:bCs/>
          <w:sz w:val="20"/>
        </w:rPr>
      </w:pPr>
      <w:r>
        <w:rPr>
          <w:rFonts w:ascii="Arial" w:hAnsi="Arial" w:cs="Arial"/>
          <w:bCs/>
          <w:sz w:val="20"/>
        </w:rPr>
        <w:t xml:space="preserve">Broadly, the debt deduction creation rules may apply to deny deductions on related party debt in </w:t>
      </w:r>
      <w:r w:rsidR="0032412A">
        <w:rPr>
          <w:rFonts w:ascii="Arial" w:hAnsi="Arial" w:cs="Arial"/>
          <w:bCs/>
          <w:sz w:val="20"/>
        </w:rPr>
        <w:t xml:space="preserve">the </w:t>
      </w:r>
      <w:r w:rsidR="00A56D4E">
        <w:rPr>
          <w:rFonts w:ascii="Arial" w:hAnsi="Arial" w:cs="Arial"/>
          <w:bCs/>
          <w:sz w:val="20"/>
        </w:rPr>
        <w:t>two below cases.</w:t>
      </w:r>
    </w:p>
    <w:p w14:paraId="2F02B4BC" w14:textId="77777777" w:rsidR="00D8508A" w:rsidRDefault="00D8508A" w:rsidP="00C16F3C">
      <w:pPr>
        <w:adjustRightInd w:val="0"/>
        <w:snapToGrid w:val="0"/>
        <w:spacing w:line="276" w:lineRule="auto"/>
        <w:jc w:val="left"/>
        <w:rPr>
          <w:rFonts w:ascii="Arial" w:hAnsi="Arial" w:cs="Arial"/>
          <w:bCs/>
          <w:sz w:val="20"/>
        </w:rPr>
      </w:pPr>
    </w:p>
    <w:p w14:paraId="427C226C" w14:textId="76CA3059" w:rsidR="00D8508A" w:rsidRPr="00DC014C" w:rsidRDefault="00D8508A" w:rsidP="00C16F3C">
      <w:pPr>
        <w:adjustRightInd w:val="0"/>
        <w:snapToGrid w:val="0"/>
        <w:spacing w:line="276" w:lineRule="auto"/>
        <w:jc w:val="left"/>
        <w:rPr>
          <w:rFonts w:ascii="Arial" w:hAnsi="Arial" w:cs="Arial"/>
          <w:b/>
          <w:sz w:val="20"/>
        </w:rPr>
      </w:pPr>
      <w:r w:rsidRPr="00DC014C">
        <w:rPr>
          <w:rFonts w:ascii="Arial" w:hAnsi="Arial" w:cs="Arial"/>
          <w:b/>
          <w:sz w:val="20"/>
        </w:rPr>
        <w:t>Asset acquired from an associat</w:t>
      </w:r>
      <w:r w:rsidR="00DC014C" w:rsidRPr="00DC014C">
        <w:rPr>
          <w:rFonts w:ascii="Arial" w:hAnsi="Arial" w:cs="Arial"/>
          <w:b/>
          <w:sz w:val="20"/>
        </w:rPr>
        <w:t>e</w:t>
      </w:r>
    </w:p>
    <w:p w14:paraId="309AEC84" w14:textId="77777777" w:rsidR="00F73D53" w:rsidRDefault="00F73D53" w:rsidP="00BA1F43">
      <w:pPr>
        <w:adjustRightInd w:val="0"/>
        <w:snapToGrid w:val="0"/>
        <w:spacing w:line="276" w:lineRule="auto"/>
        <w:jc w:val="left"/>
        <w:rPr>
          <w:rFonts w:ascii="Arial" w:hAnsi="Arial" w:cs="Arial"/>
          <w:bCs/>
          <w:sz w:val="20"/>
        </w:rPr>
      </w:pPr>
    </w:p>
    <w:p w14:paraId="24F78104" w14:textId="4B7113EF" w:rsidR="00A56D4E" w:rsidRDefault="00A56D4E" w:rsidP="00A56D4E">
      <w:pPr>
        <w:adjustRightInd w:val="0"/>
        <w:snapToGrid w:val="0"/>
        <w:spacing w:line="276" w:lineRule="auto"/>
        <w:jc w:val="left"/>
        <w:rPr>
          <w:rFonts w:ascii="Arial" w:hAnsi="Arial" w:cs="Arial"/>
          <w:bCs/>
          <w:sz w:val="20"/>
        </w:rPr>
      </w:pPr>
      <w:r w:rsidRPr="00A56D4E">
        <w:rPr>
          <w:rFonts w:ascii="Arial" w:hAnsi="Arial" w:cs="Arial"/>
          <w:bCs/>
          <w:sz w:val="20"/>
        </w:rPr>
        <w:t>The first case is where related part</w:t>
      </w:r>
      <w:r>
        <w:rPr>
          <w:rFonts w:ascii="Arial" w:hAnsi="Arial" w:cs="Arial"/>
          <w:bCs/>
          <w:sz w:val="20"/>
        </w:rPr>
        <w:t>y</w:t>
      </w:r>
      <w:r w:rsidRPr="00A56D4E">
        <w:rPr>
          <w:rFonts w:ascii="Arial" w:hAnsi="Arial" w:cs="Arial"/>
          <w:bCs/>
          <w:sz w:val="20"/>
        </w:rPr>
        <w:t xml:space="preserve"> related party debt </w:t>
      </w:r>
      <w:r w:rsidR="004C730B">
        <w:rPr>
          <w:rFonts w:ascii="Arial" w:hAnsi="Arial" w:cs="Arial"/>
          <w:bCs/>
          <w:sz w:val="20"/>
        </w:rPr>
        <w:t xml:space="preserve">is </w:t>
      </w:r>
      <w:r w:rsidRPr="00A56D4E">
        <w:rPr>
          <w:rFonts w:ascii="Arial" w:hAnsi="Arial" w:cs="Arial"/>
          <w:bCs/>
          <w:sz w:val="20"/>
        </w:rPr>
        <w:t>used to fund the acquisition of a capital gains tax (</w:t>
      </w:r>
      <w:r w:rsidRPr="004C730B">
        <w:rPr>
          <w:rFonts w:ascii="Arial" w:hAnsi="Arial" w:cs="Arial"/>
          <w:b/>
          <w:sz w:val="20"/>
        </w:rPr>
        <w:t>CGT</w:t>
      </w:r>
      <w:r w:rsidRPr="00A56D4E">
        <w:rPr>
          <w:rFonts w:ascii="Arial" w:hAnsi="Arial" w:cs="Arial"/>
          <w:bCs/>
          <w:sz w:val="20"/>
        </w:rPr>
        <w:t>) asset or a legal or equitable obligation from an associate</w:t>
      </w:r>
      <w:r w:rsidR="004C730B">
        <w:rPr>
          <w:rFonts w:ascii="Arial" w:hAnsi="Arial" w:cs="Arial"/>
          <w:bCs/>
          <w:sz w:val="20"/>
        </w:rPr>
        <w:t>.</w:t>
      </w:r>
    </w:p>
    <w:p w14:paraId="3DDE5A4B" w14:textId="77777777" w:rsidR="00AF1976" w:rsidRDefault="00AF1976" w:rsidP="00A56D4E">
      <w:pPr>
        <w:adjustRightInd w:val="0"/>
        <w:snapToGrid w:val="0"/>
        <w:spacing w:line="276" w:lineRule="auto"/>
        <w:jc w:val="left"/>
        <w:rPr>
          <w:rFonts w:ascii="Arial" w:hAnsi="Arial" w:cs="Arial"/>
          <w:bCs/>
          <w:sz w:val="20"/>
        </w:rPr>
      </w:pPr>
    </w:p>
    <w:p w14:paraId="64AE13C5" w14:textId="0FEACCBA" w:rsidR="004C730B" w:rsidRDefault="004C730B" w:rsidP="00A56D4E">
      <w:pPr>
        <w:adjustRightInd w:val="0"/>
        <w:snapToGrid w:val="0"/>
        <w:spacing w:line="276" w:lineRule="auto"/>
        <w:jc w:val="left"/>
        <w:rPr>
          <w:rFonts w:ascii="Arial" w:hAnsi="Arial" w:cs="Arial"/>
          <w:bCs/>
          <w:sz w:val="20"/>
        </w:rPr>
      </w:pPr>
      <w:r>
        <w:rPr>
          <w:rFonts w:ascii="Arial" w:hAnsi="Arial" w:cs="Arial"/>
          <w:bCs/>
          <w:sz w:val="20"/>
        </w:rPr>
        <w:t>The debt deductions are disallowed to the extent that they were incurred in relation to the acquisition, or subs</w:t>
      </w:r>
      <w:r w:rsidR="00B05EB4">
        <w:rPr>
          <w:rFonts w:ascii="Arial" w:hAnsi="Arial" w:cs="Arial"/>
          <w:bCs/>
          <w:sz w:val="20"/>
        </w:rPr>
        <w:t>equent holding, of the asset. An example is where assets are acquired by a foreign associate that is vendor financed.</w:t>
      </w:r>
    </w:p>
    <w:p w14:paraId="5F5D6B5C" w14:textId="461D2DFA" w:rsidR="008B56BA" w:rsidRDefault="008B56BA" w:rsidP="00BA1F43">
      <w:pPr>
        <w:adjustRightInd w:val="0"/>
        <w:snapToGrid w:val="0"/>
        <w:spacing w:line="276" w:lineRule="auto"/>
        <w:jc w:val="left"/>
        <w:rPr>
          <w:rFonts w:ascii="Arial" w:hAnsi="Arial" w:cs="Arial"/>
          <w:bCs/>
          <w:sz w:val="20"/>
        </w:rPr>
      </w:pPr>
    </w:p>
    <w:p w14:paraId="605CEBD7" w14:textId="01FA0099" w:rsidR="008B56BA" w:rsidRDefault="001503C7" w:rsidP="00BA1F43">
      <w:pPr>
        <w:adjustRightInd w:val="0"/>
        <w:snapToGrid w:val="0"/>
        <w:spacing w:line="276" w:lineRule="auto"/>
        <w:jc w:val="left"/>
        <w:rPr>
          <w:rFonts w:ascii="Arial" w:hAnsi="Arial" w:cs="Arial"/>
          <w:bCs/>
          <w:sz w:val="20"/>
        </w:rPr>
      </w:pPr>
      <w:r>
        <w:rPr>
          <w:rFonts w:ascii="Arial" w:hAnsi="Arial" w:cs="Arial"/>
          <w:bCs/>
          <w:sz w:val="20"/>
        </w:rPr>
        <w:t>However, the following exceptions apply to assets acquired from associates:</w:t>
      </w:r>
    </w:p>
    <w:p w14:paraId="5E1FA5EB" w14:textId="6073B3B9" w:rsidR="001503C7" w:rsidRDefault="007F501C" w:rsidP="004068C4">
      <w:pPr>
        <w:pStyle w:val="ListParagraph"/>
        <w:numPr>
          <w:ilvl w:val="0"/>
          <w:numId w:val="20"/>
        </w:numPr>
        <w:adjustRightInd w:val="0"/>
        <w:snapToGrid w:val="0"/>
        <w:spacing w:line="276" w:lineRule="auto"/>
        <w:jc w:val="left"/>
        <w:rPr>
          <w:bCs/>
          <w:sz w:val="20"/>
        </w:rPr>
      </w:pPr>
      <w:r>
        <w:rPr>
          <w:bCs/>
          <w:sz w:val="20"/>
        </w:rPr>
        <w:t>T</w:t>
      </w:r>
      <w:r w:rsidR="004068C4">
        <w:rPr>
          <w:bCs/>
          <w:sz w:val="20"/>
        </w:rPr>
        <w:t>he acquisition of a newly issued membership interest in an Australian entity or a foreign entity</w:t>
      </w:r>
      <w:r w:rsidR="00455504">
        <w:rPr>
          <w:bCs/>
          <w:sz w:val="20"/>
        </w:rPr>
        <w:t xml:space="preserve"> that is a company</w:t>
      </w:r>
      <w:r w:rsidR="000103B1">
        <w:rPr>
          <w:bCs/>
          <w:sz w:val="20"/>
        </w:rPr>
        <w:t>, which has not previously been held by any entity</w:t>
      </w:r>
      <w:r>
        <w:rPr>
          <w:bCs/>
          <w:sz w:val="20"/>
        </w:rPr>
        <w:t>.</w:t>
      </w:r>
    </w:p>
    <w:p w14:paraId="4B01AC31" w14:textId="45D5DC2B" w:rsidR="000103B1" w:rsidRDefault="007F501C" w:rsidP="004068C4">
      <w:pPr>
        <w:pStyle w:val="ListParagraph"/>
        <w:numPr>
          <w:ilvl w:val="0"/>
          <w:numId w:val="20"/>
        </w:numPr>
        <w:adjustRightInd w:val="0"/>
        <w:snapToGrid w:val="0"/>
        <w:spacing w:line="276" w:lineRule="auto"/>
        <w:jc w:val="left"/>
        <w:rPr>
          <w:bCs/>
          <w:sz w:val="20"/>
        </w:rPr>
      </w:pPr>
      <w:r>
        <w:rPr>
          <w:bCs/>
          <w:sz w:val="20"/>
        </w:rPr>
        <w:t>The acquisition of certain new</w:t>
      </w:r>
      <w:r w:rsidR="005A49EF">
        <w:rPr>
          <w:bCs/>
          <w:sz w:val="20"/>
        </w:rPr>
        <w:t xml:space="preserve"> tangible depreciating assets that are expected to be used for a taxable purpose within Australia within 12 months. This exception is broadly intended to allow an entity to bulk-acquire tangible depreciating assets on behalf of its associates.</w:t>
      </w:r>
    </w:p>
    <w:p w14:paraId="2AC61D76" w14:textId="5DA0C01D" w:rsidR="005A49EF" w:rsidRDefault="005A49EF" w:rsidP="004068C4">
      <w:pPr>
        <w:pStyle w:val="ListParagraph"/>
        <w:numPr>
          <w:ilvl w:val="0"/>
          <w:numId w:val="20"/>
        </w:numPr>
        <w:adjustRightInd w:val="0"/>
        <w:snapToGrid w:val="0"/>
        <w:spacing w:line="276" w:lineRule="auto"/>
        <w:jc w:val="left"/>
        <w:rPr>
          <w:bCs/>
          <w:sz w:val="20"/>
        </w:rPr>
      </w:pPr>
      <w:r>
        <w:rPr>
          <w:bCs/>
          <w:sz w:val="20"/>
        </w:rPr>
        <w:t xml:space="preserve">The acquisition of </w:t>
      </w:r>
      <w:r w:rsidR="006C5C44">
        <w:rPr>
          <w:bCs/>
          <w:sz w:val="20"/>
        </w:rPr>
        <w:t xml:space="preserve">certain debt interest is disregarded. This ensures mere related party lending is not caught </w:t>
      </w:r>
      <w:r w:rsidR="00EE20CF">
        <w:rPr>
          <w:bCs/>
          <w:sz w:val="20"/>
        </w:rPr>
        <w:t>under the first case of the debt deduction creation rules.</w:t>
      </w:r>
    </w:p>
    <w:p w14:paraId="3E7AE467" w14:textId="77777777" w:rsidR="00CB5459" w:rsidRDefault="00CB5459" w:rsidP="00CB5459">
      <w:pPr>
        <w:adjustRightInd w:val="0"/>
        <w:snapToGrid w:val="0"/>
        <w:spacing w:line="276" w:lineRule="auto"/>
        <w:jc w:val="left"/>
        <w:rPr>
          <w:bCs/>
          <w:sz w:val="20"/>
        </w:rPr>
      </w:pPr>
    </w:p>
    <w:p w14:paraId="114B6018" w14:textId="77777777" w:rsidR="00CB5459" w:rsidRDefault="00CB5459" w:rsidP="00CB5459">
      <w:pPr>
        <w:adjustRightInd w:val="0"/>
        <w:snapToGrid w:val="0"/>
        <w:spacing w:line="276" w:lineRule="auto"/>
        <w:jc w:val="left"/>
        <w:rPr>
          <w:rFonts w:ascii="Arial" w:hAnsi="Arial" w:cs="Arial"/>
          <w:bCs/>
          <w:sz w:val="20"/>
        </w:rPr>
      </w:pPr>
      <w:r w:rsidRPr="00CB5459">
        <w:rPr>
          <w:rFonts w:ascii="Arial" w:hAnsi="Arial" w:cs="Arial"/>
          <w:bCs/>
          <w:sz w:val="20"/>
        </w:rPr>
        <w:lastRenderedPageBreak/>
        <w:t xml:space="preserve">Section 318 of the Income Tax Assessment Act 1936 (ITAA 1936) provides the meaning of an ‘associate’, which broadly determined by the degree of control or interest an entity has in the other entity. </w:t>
      </w:r>
    </w:p>
    <w:p w14:paraId="3473418E" w14:textId="77777777" w:rsidR="00CB5459" w:rsidRDefault="00CB5459" w:rsidP="00CB5459">
      <w:pPr>
        <w:adjustRightInd w:val="0"/>
        <w:snapToGrid w:val="0"/>
        <w:spacing w:line="276" w:lineRule="auto"/>
        <w:jc w:val="left"/>
        <w:rPr>
          <w:rFonts w:ascii="Arial" w:hAnsi="Arial" w:cs="Arial"/>
          <w:bCs/>
          <w:sz w:val="20"/>
        </w:rPr>
      </w:pPr>
    </w:p>
    <w:p w14:paraId="523AF640" w14:textId="13B22648" w:rsidR="00CB5459" w:rsidRPr="00CB5459" w:rsidRDefault="00CB5459" w:rsidP="00CB5459">
      <w:pPr>
        <w:adjustRightInd w:val="0"/>
        <w:snapToGrid w:val="0"/>
        <w:spacing w:line="276" w:lineRule="auto"/>
        <w:jc w:val="left"/>
        <w:rPr>
          <w:rFonts w:ascii="Arial" w:hAnsi="Arial" w:cs="Arial"/>
          <w:bCs/>
          <w:sz w:val="20"/>
        </w:rPr>
      </w:pPr>
      <w:r w:rsidRPr="00CB5459">
        <w:rPr>
          <w:rFonts w:ascii="Arial" w:hAnsi="Arial" w:cs="Arial"/>
          <w:bCs/>
          <w:sz w:val="20"/>
        </w:rPr>
        <w:t xml:space="preserve">Further, an ‘associate pair’ is a concept introduced in the debt deduction creation rules that modifies the meaning of an associate under section 820-423E of the ITAA 1997. </w:t>
      </w:r>
    </w:p>
    <w:p w14:paraId="171AC94D" w14:textId="77777777" w:rsidR="00CB5459" w:rsidRDefault="00CB5459" w:rsidP="00BA1F43">
      <w:pPr>
        <w:adjustRightInd w:val="0"/>
        <w:snapToGrid w:val="0"/>
        <w:spacing w:line="276" w:lineRule="auto"/>
        <w:jc w:val="left"/>
        <w:rPr>
          <w:rFonts w:ascii="Arial" w:hAnsi="Arial" w:cs="Arial"/>
          <w:bCs/>
          <w:sz w:val="20"/>
        </w:rPr>
      </w:pPr>
    </w:p>
    <w:p w14:paraId="3F6651CB" w14:textId="4A78E7C3" w:rsidR="004D3E4B" w:rsidRPr="004D3E4B" w:rsidRDefault="004D3E4B" w:rsidP="00BA1F43">
      <w:pPr>
        <w:adjustRightInd w:val="0"/>
        <w:snapToGrid w:val="0"/>
        <w:spacing w:line="276" w:lineRule="auto"/>
        <w:jc w:val="left"/>
        <w:rPr>
          <w:rFonts w:ascii="Arial" w:hAnsi="Arial" w:cs="Arial"/>
          <w:b/>
          <w:sz w:val="20"/>
        </w:rPr>
      </w:pPr>
      <w:r w:rsidRPr="004D3E4B">
        <w:rPr>
          <w:rFonts w:ascii="Arial" w:hAnsi="Arial" w:cs="Arial"/>
          <w:b/>
          <w:sz w:val="20"/>
        </w:rPr>
        <w:t>Prohibited payment rule</w:t>
      </w:r>
    </w:p>
    <w:p w14:paraId="25B4DC3F" w14:textId="77777777" w:rsidR="004D3E4B" w:rsidRDefault="004D3E4B" w:rsidP="00BA1F43">
      <w:pPr>
        <w:adjustRightInd w:val="0"/>
        <w:snapToGrid w:val="0"/>
        <w:spacing w:line="276" w:lineRule="auto"/>
        <w:jc w:val="left"/>
        <w:rPr>
          <w:rFonts w:ascii="Arial" w:hAnsi="Arial" w:cs="Arial"/>
          <w:bCs/>
          <w:sz w:val="20"/>
        </w:rPr>
      </w:pPr>
    </w:p>
    <w:p w14:paraId="232C3399" w14:textId="31E5DC04" w:rsidR="004D3E4B" w:rsidRDefault="004D3E4B" w:rsidP="00BA1F43">
      <w:pPr>
        <w:adjustRightInd w:val="0"/>
        <w:snapToGrid w:val="0"/>
        <w:spacing w:line="276" w:lineRule="auto"/>
        <w:jc w:val="left"/>
        <w:rPr>
          <w:rFonts w:ascii="Arial" w:hAnsi="Arial" w:cs="Arial"/>
          <w:bCs/>
          <w:sz w:val="20"/>
        </w:rPr>
      </w:pPr>
      <w:r>
        <w:rPr>
          <w:rFonts w:ascii="Arial" w:hAnsi="Arial" w:cs="Arial"/>
          <w:bCs/>
          <w:sz w:val="20"/>
        </w:rPr>
        <w:t>The second case is where related party debt has been used (in the current and prior years) to pay to an associate:</w:t>
      </w:r>
    </w:p>
    <w:p w14:paraId="16B7F083" w14:textId="78C17DB9" w:rsidR="00224032" w:rsidRDefault="003A4CB2" w:rsidP="00224032">
      <w:pPr>
        <w:pStyle w:val="ListParagraph"/>
        <w:numPr>
          <w:ilvl w:val="0"/>
          <w:numId w:val="20"/>
        </w:numPr>
        <w:adjustRightInd w:val="0"/>
        <w:snapToGrid w:val="0"/>
        <w:spacing w:line="276" w:lineRule="auto"/>
        <w:jc w:val="left"/>
        <w:rPr>
          <w:bCs/>
          <w:sz w:val="20"/>
        </w:rPr>
      </w:pPr>
      <w:r>
        <w:rPr>
          <w:bCs/>
          <w:sz w:val="20"/>
        </w:rPr>
        <w:t>a dividend or other profit-like distribution</w:t>
      </w:r>
    </w:p>
    <w:p w14:paraId="713000DA" w14:textId="52C381E8" w:rsidR="003A4CB2" w:rsidRDefault="003A4CB2" w:rsidP="00224032">
      <w:pPr>
        <w:pStyle w:val="ListParagraph"/>
        <w:numPr>
          <w:ilvl w:val="0"/>
          <w:numId w:val="20"/>
        </w:numPr>
        <w:adjustRightInd w:val="0"/>
        <w:snapToGrid w:val="0"/>
        <w:spacing w:line="276" w:lineRule="auto"/>
        <w:jc w:val="left"/>
        <w:rPr>
          <w:bCs/>
          <w:sz w:val="20"/>
        </w:rPr>
      </w:pPr>
      <w:r>
        <w:rPr>
          <w:bCs/>
          <w:sz w:val="20"/>
        </w:rPr>
        <w:t>a capital return or</w:t>
      </w:r>
    </w:p>
    <w:p w14:paraId="63366E7F" w14:textId="60F0CF8B" w:rsidR="008C029A" w:rsidRPr="00BC39F2" w:rsidRDefault="003A4CB2" w:rsidP="00497262">
      <w:pPr>
        <w:pStyle w:val="ListParagraph"/>
        <w:numPr>
          <w:ilvl w:val="0"/>
          <w:numId w:val="20"/>
        </w:numPr>
        <w:adjustRightInd w:val="0"/>
        <w:snapToGrid w:val="0"/>
        <w:spacing w:line="276" w:lineRule="auto"/>
        <w:jc w:val="left"/>
        <w:rPr>
          <w:sz w:val="20"/>
        </w:rPr>
      </w:pPr>
      <w:r w:rsidRPr="00BC39F2">
        <w:rPr>
          <w:bCs/>
          <w:sz w:val="20"/>
        </w:rPr>
        <w:t xml:space="preserve">a royalty or similar payment for the </w:t>
      </w:r>
      <w:r w:rsidR="007870DE" w:rsidRPr="00BC39F2">
        <w:rPr>
          <w:bCs/>
          <w:sz w:val="20"/>
        </w:rPr>
        <w:t xml:space="preserve">use of, or right to use, an </w:t>
      </w:r>
      <w:proofErr w:type="gramStart"/>
      <w:r w:rsidR="007870DE" w:rsidRPr="00BC39F2">
        <w:rPr>
          <w:bCs/>
          <w:sz w:val="20"/>
        </w:rPr>
        <w:t>asset</w:t>
      </w:r>
      <w:proofErr w:type="gramEnd"/>
      <w:r w:rsidR="00E04EB4" w:rsidRPr="00BC39F2">
        <w:rPr>
          <w:bCs/>
          <w:sz w:val="20"/>
        </w:rPr>
        <w:t xml:space="preserve"> </w:t>
      </w:r>
    </w:p>
    <w:p w14:paraId="6C82F5AA" w14:textId="15326A37" w:rsidR="00497262" w:rsidRPr="00497262" w:rsidRDefault="00497262" w:rsidP="00497262">
      <w:pPr>
        <w:adjustRightInd w:val="0"/>
        <w:snapToGrid w:val="0"/>
        <w:spacing w:line="276" w:lineRule="auto"/>
        <w:jc w:val="left"/>
        <w:rPr>
          <w:rFonts w:ascii="Arial" w:hAnsi="Arial" w:cs="Arial"/>
          <w:bCs/>
          <w:sz w:val="20"/>
        </w:rPr>
      </w:pPr>
      <w:r w:rsidRPr="00BC39F2">
        <w:rPr>
          <w:rFonts w:ascii="Arial" w:hAnsi="Arial" w:cs="Arial"/>
          <w:bCs/>
          <w:sz w:val="20"/>
        </w:rPr>
        <w:t>Please note that the above list is not an exhaustive list of payments which could be caught by the new rules.</w:t>
      </w:r>
    </w:p>
    <w:p w14:paraId="6A376953" w14:textId="77777777" w:rsidR="00497262" w:rsidRPr="00497262" w:rsidRDefault="00497262" w:rsidP="00497262">
      <w:pPr>
        <w:adjustRightInd w:val="0"/>
        <w:snapToGrid w:val="0"/>
        <w:spacing w:line="276" w:lineRule="auto"/>
        <w:jc w:val="left"/>
        <w:rPr>
          <w:bCs/>
          <w:sz w:val="20"/>
        </w:rPr>
      </w:pPr>
    </w:p>
    <w:p w14:paraId="76542914" w14:textId="386BD972" w:rsidR="0040681F" w:rsidRPr="00F26A51" w:rsidRDefault="006239CD" w:rsidP="00BA1F43">
      <w:pPr>
        <w:adjustRightInd w:val="0"/>
        <w:snapToGrid w:val="0"/>
        <w:spacing w:line="276" w:lineRule="auto"/>
        <w:jc w:val="left"/>
        <w:rPr>
          <w:rFonts w:ascii="Arial" w:hAnsi="Arial" w:cs="Arial"/>
          <w:b/>
          <w:sz w:val="20"/>
        </w:rPr>
      </w:pPr>
      <w:r w:rsidRPr="00F26A51">
        <w:rPr>
          <w:rFonts w:ascii="Arial" w:hAnsi="Arial" w:cs="Arial"/>
          <w:b/>
          <w:sz w:val="20"/>
        </w:rPr>
        <w:t>Anti-avoidance rule</w:t>
      </w:r>
    </w:p>
    <w:p w14:paraId="6FB4C852" w14:textId="77777777" w:rsidR="006239CD" w:rsidRDefault="006239CD" w:rsidP="00BA1F43">
      <w:pPr>
        <w:adjustRightInd w:val="0"/>
        <w:snapToGrid w:val="0"/>
        <w:spacing w:line="276" w:lineRule="auto"/>
        <w:jc w:val="left"/>
        <w:rPr>
          <w:rFonts w:ascii="Arial" w:hAnsi="Arial" w:cs="Arial"/>
          <w:bCs/>
          <w:sz w:val="20"/>
        </w:rPr>
      </w:pPr>
    </w:p>
    <w:p w14:paraId="68ED3939" w14:textId="671ECF1F" w:rsidR="00906454" w:rsidRDefault="00A24EFB" w:rsidP="00BA1F43">
      <w:pPr>
        <w:adjustRightInd w:val="0"/>
        <w:snapToGrid w:val="0"/>
        <w:spacing w:line="276" w:lineRule="auto"/>
        <w:jc w:val="left"/>
        <w:rPr>
          <w:rFonts w:ascii="Arial" w:hAnsi="Arial" w:cs="Arial"/>
          <w:bCs/>
          <w:sz w:val="20"/>
        </w:rPr>
      </w:pPr>
      <w:r>
        <w:rPr>
          <w:rFonts w:ascii="Arial" w:hAnsi="Arial" w:cs="Arial"/>
          <w:bCs/>
          <w:sz w:val="20"/>
        </w:rPr>
        <w:t xml:space="preserve">The debt deduction creation rules also contain a specific anti-avoidance rule that allows the Commissioner to disallow debt deductions </w:t>
      </w:r>
      <w:r w:rsidR="00906454">
        <w:rPr>
          <w:rFonts w:ascii="Arial" w:hAnsi="Arial" w:cs="Arial"/>
          <w:bCs/>
          <w:sz w:val="20"/>
        </w:rPr>
        <w:t xml:space="preserve">where </w:t>
      </w:r>
      <w:r w:rsidR="00B45FA0">
        <w:rPr>
          <w:rFonts w:ascii="Arial" w:hAnsi="Arial" w:cs="Arial"/>
          <w:bCs/>
          <w:sz w:val="20"/>
        </w:rPr>
        <w:t>they are</w:t>
      </w:r>
      <w:r w:rsidR="00906454">
        <w:rPr>
          <w:rFonts w:ascii="Arial" w:hAnsi="Arial" w:cs="Arial"/>
          <w:bCs/>
          <w:sz w:val="20"/>
        </w:rPr>
        <w:t xml:space="preserve"> satisfied that:</w:t>
      </w:r>
    </w:p>
    <w:p w14:paraId="7687D1CE" w14:textId="28B62721" w:rsidR="00F26A51" w:rsidRDefault="00B45FA0" w:rsidP="00906454">
      <w:pPr>
        <w:pStyle w:val="ListParagraph"/>
        <w:numPr>
          <w:ilvl w:val="0"/>
          <w:numId w:val="21"/>
        </w:numPr>
        <w:adjustRightInd w:val="0"/>
        <w:snapToGrid w:val="0"/>
        <w:spacing w:line="276" w:lineRule="auto"/>
        <w:jc w:val="left"/>
        <w:rPr>
          <w:bCs/>
          <w:sz w:val="20"/>
        </w:rPr>
      </w:pPr>
      <w:r>
        <w:rPr>
          <w:bCs/>
          <w:sz w:val="20"/>
        </w:rPr>
        <w:t xml:space="preserve">it is reasonable to conclude that one or more entities entered into or carried out a scheme for the </w:t>
      </w:r>
      <w:proofErr w:type="gramStart"/>
      <w:r>
        <w:rPr>
          <w:bCs/>
          <w:sz w:val="20"/>
        </w:rPr>
        <w:t>principle</w:t>
      </w:r>
      <w:proofErr w:type="gramEnd"/>
      <w:r>
        <w:rPr>
          <w:bCs/>
          <w:sz w:val="20"/>
        </w:rPr>
        <w:t xml:space="preserve"> purpose of, or for more than one principle purpose that included </w:t>
      </w:r>
      <w:r w:rsidR="00322D6A">
        <w:rPr>
          <w:bCs/>
          <w:sz w:val="20"/>
        </w:rPr>
        <w:t>the purpose of, having the debt deduction creation rules not apply, and</w:t>
      </w:r>
    </w:p>
    <w:p w14:paraId="1ACF4BA7" w14:textId="502467C8" w:rsidR="00322D6A" w:rsidRPr="00906454" w:rsidRDefault="00322D6A" w:rsidP="00906454">
      <w:pPr>
        <w:pStyle w:val="ListParagraph"/>
        <w:numPr>
          <w:ilvl w:val="0"/>
          <w:numId w:val="21"/>
        </w:numPr>
        <w:adjustRightInd w:val="0"/>
        <w:snapToGrid w:val="0"/>
        <w:spacing w:line="276" w:lineRule="auto"/>
        <w:jc w:val="left"/>
        <w:rPr>
          <w:bCs/>
          <w:sz w:val="20"/>
        </w:rPr>
      </w:pPr>
      <w:r>
        <w:rPr>
          <w:bCs/>
          <w:sz w:val="20"/>
        </w:rPr>
        <w:t>the scheme has achieved, apart from the specific anti-avoidance rule, that purpose.</w:t>
      </w:r>
    </w:p>
    <w:p w14:paraId="141D0523" w14:textId="77777777" w:rsidR="006239CD" w:rsidRPr="00B34EFF" w:rsidRDefault="006239CD" w:rsidP="00BA1F43">
      <w:pPr>
        <w:adjustRightInd w:val="0"/>
        <w:snapToGrid w:val="0"/>
        <w:spacing w:line="276" w:lineRule="auto"/>
        <w:jc w:val="left"/>
        <w:rPr>
          <w:rFonts w:ascii="Arial" w:hAnsi="Arial" w:cs="Arial"/>
          <w:bCs/>
          <w:sz w:val="20"/>
        </w:rPr>
      </w:pPr>
    </w:p>
    <w:p w14:paraId="15B8CFDE" w14:textId="77777777" w:rsidR="0040681F" w:rsidRPr="00B34EFF" w:rsidRDefault="0040681F" w:rsidP="00BA1F43">
      <w:pPr>
        <w:adjustRightInd w:val="0"/>
        <w:snapToGrid w:val="0"/>
        <w:spacing w:line="276" w:lineRule="auto"/>
        <w:jc w:val="left"/>
        <w:rPr>
          <w:rFonts w:ascii="Arial" w:hAnsi="Arial" w:cs="Arial"/>
          <w:sz w:val="20"/>
        </w:rPr>
      </w:pPr>
      <w:r w:rsidRPr="00B34EFF">
        <w:rPr>
          <w:rFonts w:ascii="Arial" w:hAnsi="Arial" w:cs="Arial"/>
          <w:bCs/>
          <w:sz w:val="20"/>
        </w:rPr>
        <w:t xml:space="preserve">If you have further queries on any details contained within this letter or on any other matter, please do not hesitate to contact me on </w:t>
      </w:r>
      <w:r w:rsidRPr="00B34EFF">
        <w:rPr>
          <w:rFonts w:ascii="Arial" w:hAnsi="Arial" w:cs="Arial"/>
          <w:sz w:val="20"/>
        </w:rPr>
        <w:t>[</w:t>
      </w:r>
      <w:r w:rsidRPr="00B34EFF">
        <w:rPr>
          <w:rFonts w:ascii="Arial" w:hAnsi="Arial" w:cs="Arial"/>
          <w:sz w:val="20"/>
          <w:highlight w:val="lightGray"/>
        </w:rPr>
        <w:t>insert telephone number</w:t>
      </w:r>
      <w:r w:rsidRPr="00B34EFF">
        <w:rPr>
          <w:rFonts w:ascii="Arial" w:hAnsi="Arial" w:cs="Arial"/>
          <w:sz w:val="20"/>
        </w:rPr>
        <w:t>]</w:t>
      </w:r>
      <w:r w:rsidRPr="00B34EFF">
        <w:rPr>
          <w:rFonts w:ascii="Arial" w:hAnsi="Arial" w:cs="Arial"/>
          <w:bCs/>
          <w:sz w:val="20"/>
        </w:rPr>
        <w:t>.</w:t>
      </w:r>
    </w:p>
    <w:p w14:paraId="6E0B24D4" w14:textId="77777777" w:rsidR="0040681F" w:rsidRPr="00B34EFF" w:rsidRDefault="0040681F" w:rsidP="00BA1F43">
      <w:pPr>
        <w:adjustRightInd w:val="0"/>
        <w:snapToGrid w:val="0"/>
        <w:spacing w:line="276" w:lineRule="auto"/>
        <w:jc w:val="left"/>
        <w:rPr>
          <w:rFonts w:ascii="Arial" w:hAnsi="Arial" w:cs="Arial"/>
          <w:sz w:val="20"/>
        </w:rPr>
      </w:pPr>
    </w:p>
    <w:p w14:paraId="19354A56" w14:textId="77777777" w:rsidR="0040681F" w:rsidRPr="00B34EFF" w:rsidRDefault="0040681F" w:rsidP="00BA1F43">
      <w:pPr>
        <w:adjustRightInd w:val="0"/>
        <w:snapToGrid w:val="0"/>
        <w:spacing w:line="276" w:lineRule="auto"/>
        <w:jc w:val="left"/>
        <w:rPr>
          <w:rFonts w:ascii="Arial" w:hAnsi="Arial" w:cs="Arial"/>
          <w:sz w:val="20"/>
        </w:rPr>
      </w:pPr>
      <w:bookmarkStart w:id="9" w:name="Signoff"/>
      <w:bookmarkEnd w:id="9"/>
      <w:r w:rsidRPr="00B34EFF">
        <w:rPr>
          <w:rFonts w:ascii="Arial" w:hAnsi="Arial" w:cs="Arial"/>
          <w:sz w:val="20"/>
        </w:rPr>
        <w:t>Yours faithfully,</w:t>
      </w:r>
    </w:p>
    <w:p w14:paraId="2C7181F0" w14:textId="77777777" w:rsidR="0040681F" w:rsidRDefault="0040681F" w:rsidP="00BA1F43">
      <w:pPr>
        <w:adjustRightInd w:val="0"/>
        <w:snapToGrid w:val="0"/>
        <w:spacing w:line="276" w:lineRule="auto"/>
        <w:jc w:val="left"/>
        <w:rPr>
          <w:rFonts w:ascii="Arial" w:hAnsi="Arial" w:cs="Arial"/>
          <w:sz w:val="20"/>
        </w:rPr>
      </w:pPr>
    </w:p>
    <w:p w14:paraId="1006E023" w14:textId="77777777" w:rsidR="0040681F" w:rsidRPr="00B34EFF" w:rsidRDefault="0040681F" w:rsidP="00BA1F43">
      <w:pPr>
        <w:adjustRightInd w:val="0"/>
        <w:snapToGrid w:val="0"/>
        <w:spacing w:line="276" w:lineRule="auto"/>
        <w:jc w:val="left"/>
        <w:rPr>
          <w:rFonts w:ascii="Arial" w:hAnsi="Arial" w:cs="Arial"/>
          <w:sz w:val="20"/>
        </w:rPr>
      </w:pPr>
    </w:p>
    <w:p w14:paraId="72D15F4D" w14:textId="77777777" w:rsidR="00097EEC" w:rsidRDefault="0040681F" w:rsidP="00BA1F43">
      <w:pPr>
        <w:adjustRightInd w:val="0"/>
        <w:snapToGrid w:val="0"/>
        <w:spacing w:line="276" w:lineRule="auto"/>
        <w:jc w:val="left"/>
        <w:rPr>
          <w:rFonts w:ascii="Arial" w:hAnsi="Arial" w:cs="Arial"/>
          <w:b/>
          <w:bCs/>
          <w:sz w:val="20"/>
        </w:rPr>
      </w:pPr>
      <w:bookmarkStart w:id="10" w:name="Partner"/>
      <w:bookmarkEnd w:id="10"/>
      <w:r w:rsidRPr="00B34EFF">
        <w:rPr>
          <w:rFonts w:ascii="Arial" w:hAnsi="Arial" w:cs="Arial"/>
          <w:b/>
          <w:bCs/>
          <w:sz w:val="20"/>
          <w:highlight w:val="lightGray"/>
        </w:rPr>
        <w:t>[Insert partner name</w:t>
      </w:r>
      <w:r w:rsidRPr="00B34EFF">
        <w:rPr>
          <w:rFonts w:ascii="Arial" w:hAnsi="Arial" w:cs="Arial"/>
          <w:b/>
          <w:bCs/>
          <w:sz w:val="20"/>
        </w:rPr>
        <w:t>]</w:t>
      </w:r>
    </w:p>
    <w:p w14:paraId="6541FCD7" w14:textId="77777777" w:rsidR="00097EEC" w:rsidRPr="00B34EFF" w:rsidRDefault="00097EEC" w:rsidP="00BA1F43">
      <w:pPr>
        <w:adjustRightInd w:val="0"/>
        <w:snapToGrid w:val="0"/>
        <w:spacing w:line="276" w:lineRule="auto"/>
        <w:jc w:val="left"/>
        <w:rPr>
          <w:rFonts w:ascii="Arial" w:hAnsi="Arial" w:cs="Arial"/>
          <w:b/>
          <w:bCs/>
          <w:sz w:val="20"/>
        </w:rPr>
      </w:pPr>
    </w:p>
    <w:sectPr w:rsidR="00097EEC" w:rsidRPr="00B34EFF" w:rsidSect="00025E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35A7" w14:textId="77777777" w:rsidR="0010736F" w:rsidRDefault="0010736F" w:rsidP="00C26EAD">
      <w:r>
        <w:separator/>
      </w:r>
    </w:p>
  </w:endnote>
  <w:endnote w:type="continuationSeparator" w:id="0">
    <w:p w14:paraId="10428B39" w14:textId="77777777" w:rsidR="0010736F" w:rsidRDefault="0010736F" w:rsidP="00C26EAD">
      <w:r>
        <w:continuationSeparator/>
      </w:r>
    </w:p>
  </w:endnote>
  <w:endnote w:type="continuationNotice" w:id="1">
    <w:p w14:paraId="327BCA25" w14:textId="77777777" w:rsidR="0010736F" w:rsidRDefault="00107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E6D4" w14:textId="77777777" w:rsidR="0010736F" w:rsidRDefault="0010736F" w:rsidP="00C26EAD">
      <w:r>
        <w:separator/>
      </w:r>
    </w:p>
  </w:footnote>
  <w:footnote w:type="continuationSeparator" w:id="0">
    <w:p w14:paraId="0ED1833E" w14:textId="77777777" w:rsidR="0010736F" w:rsidRDefault="0010736F" w:rsidP="00C26EAD">
      <w:r>
        <w:continuationSeparator/>
      </w:r>
    </w:p>
  </w:footnote>
  <w:footnote w:type="continuationNotice" w:id="1">
    <w:p w14:paraId="44C97D97" w14:textId="77777777" w:rsidR="0010736F" w:rsidRDefault="001073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372"/>
    <w:multiLevelType w:val="multilevel"/>
    <w:tmpl w:val="6BB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50476"/>
    <w:multiLevelType w:val="hybridMultilevel"/>
    <w:tmpl w:val="B1DCF74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29125EE2"/>
    <w:multiLevelType w:val="hybridMultilevel"/>
    <w:tmpl w:val="A32EA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BC17E6"/>
    <w:multiLevelType w:val="hybridMultilevel"/>
    <w:tmpl w:val="ED86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511A9"/>
    <w:multiLevelType w:val="hybridMultilevel"/>
    <w:tmpl w:val="8B469DAC"/>
    <w:lvl w:ilvl="0" w:tplc="FA5A0FB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F23C2"/>
    <w:multiLevelType w:val="hybridMultilevel"/>
    <w:tmpl w:val="62B426EA"/>
    <w:lvl w:ilvl="0" w:tplc="FA5A0FB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FB6541"/>
    <w:multiLevelType w:val="hybridMultilevel"/>
    <w:tmpl w:val="72F47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95620"/>
    <w:multiLevelType w:val="multilevel"/>
    <w:tmpl w:val="B68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E48EA"/>
    <w:multiLevelType w:val="hybridMultilevel"/>
    <w:tmpl w:val="0746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34C40"/>
    <w:multiLevelType w:val="hybridMultilevel"/>
    <w:tmpl w:val="129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90FDA"/>
    <w:multiLevelType w:val="hybridMultilevel"/>
    <w:tmpl w:val="BE182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47452"/>
    <w:multiLevelType w:val="hybridMultilevel"/>
    <w:tmpl w:val="82B8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54100B"/>
    <w:multiLevelType w:val="hybridMultilevel"/>
    <w:tmpl w:val="816C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C037D"/>
    <w:multiLevelType w:val="hybridMultilevel"/>
    <w:tmpl w:val="DF74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A55561"/>
    <w:multiLevelType w:val="hybridMultilevel"/>
    <w:tmpl w:val="7DE2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3D55BF"/>
    <w:multiLevelType w:val="hybridMultilevel"/>
    <w:tmpl w:val="A6940700"/>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6" w15:restartNumberingAfterBreak="0">
    <w:nsid w:val="5CF32C30"/>
    <w:multiLevelType w:val="multilevel"/>
    <w:tmpl w:val="C4A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80F71"/>
    <w:multiLevelType w:val="hybridMultilevel"/>
    <w:tmpl w:val="19F4E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B72071"/>
    <w:multiLevelType w:val="hybridMultilevel"/>
    <w:tmpl w:val="78340140"/>
    <w:lvl w:ilvl="0" w:tplc="1CEE4C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AB32D9"/>
    <w:multiLevelType w:val="hybridMultilevel"/>
    <w:tmpl w:val="E7960D5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0" w15:restartNumberingAfterBreak="0">
    <w:nsid w:val="76F01D7B"/>
    <w:multiLevelType w:val="hybridMultilevel"/>
    <w:tmpl w:val="D0EA1C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105163"/>
    <w:multiLevelType w:val="hybridMultilevel"/>
    <w:tmpl w:val="2A9C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B77636"/>
    <w:multiLevelType w:val="hybridMultilevel"/>
    <w:tmpl w:val="B1162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4668073">
    <w:abstractNumId w:val="8"/>
  </w:num>
  <w:num w:numId="2" w16cid:durableId="1381592678">
    <w:abstractNumId w:val="9"/>
  </w:num>
  <w:num w:numId="3" w16cid:durableId="133646054">
    <w:abstractNumId w:val="0"/>
  </w:num>
  <w:num w:numId="4" w16cid:durableId="1305698252">
    <w:abstractNumId w:val="7"/>
  </w:num>
  <w:num w:numId="5" w16cid:durableId="1861973260">
    <w:abstractNumId w:val="16"/>
  </w:num>
  <w:num w:numId="6" w16cid:durableId="1665430027">
    <w:abstractNumId w:val="15"/>
  </w:num>
  <w:num w:numId="7" w16cid:durableId="2093237012">
    <w:abstractNumId w:val="20"/>
  </w:num>
  <w:num w:numId="8" w16cid:durableId="351339727">
    <w:abstractNumId w:val="22"/>
  </w:num>
  <w:num w:numId="9" w16cid:durableId="1003047628">
    <w:abstractNumId w:val="18"/>
  </w:num>
  <w:num w:numId="10" w16cid:durableId="1887526387">
    <w:abstractNumId w:val="19"/>
  </w:num>
  <w:num w:numId="11" w16cid:durableId="1204253326">
    <w:abstractNumId w:val="21"/>
  </w:num>
  <w:num w:numId="12" w16cid:durableId="1303121135">
    <w:abstractNumId w:val="13"/>
  </w:num>
  <w:num w:numId="13" w16cid:durableId="785581046">
    <w:abstractNumId w:val="3"/>
  </w:num>
  <w:num w:numId="14" w16cid:durableId="289239459">
    <w:abstractNumId w:val="11"/>
  </w:num>
  <w:num w:numId="15" w16cid:durableId="2078745289">
    <w:abstractNumId w:val="6"/>
  </w:num>
  <w:num w:numId="16" w16cid:durableId="878132616">
    <w:abstractNumId w:val="10"/>
  </w:num>
  <w:num w:numId="17" w16cid:durableId="437992566">
    <w:abstractNumId w:val="2"/>
  </w:num>
  <w:num w:numId="18" w16cid:durableId="1967656653">
    <w:abstractNumId w:val="5"/>
  </w:num>
  <w:num w:numId="19" w16cid:durableId="241062548">
    <w:abstractNumId w:val="4"/>
  </w:num>
  <w:num w:numId="20" w16cid:durableId="1413892716">
    <w:abstractNumId w:val="12"/>
  </w:num>
  <w:num w:numId="21" w16cid:durableId="904149462">
    <w:abstractNumId w:val="1"/>
  </w:num>
  <w:num w:numId="22" w16cid:durableId="882595497">
    <w:abstractNumId w:val="14"/>
  </w:num>
  <w:num w:numId="23" w16cid:durableId="13124901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1F"/>
    <w:rsid w:val="000019B0"/>
    <w:rsid w:val="00002B20"/>
    <w:rsid w:val="00003D3E"/>
    <w:rsid w:val="0000687E"/>
    <w:rsid w:val="000103B1"/>
    <w:rsid w:val="000105E6"/>
    <w:rsid w:val="000146E4"/>
    <w:rsid w:val="00024934"/>
    <w:rsid w:val="00025EB2"/>
    <w:rsid w:val="0002609E"/>
    <w:rsid w:val="0002707D"/>
    <w:rsid w:val="00034427"/>
    <w:rsid w:val="00034E48"/>
    <w:rsid w:val="00035BD7"/>
    <w:rsid w:val="00036C4D"/>
    <w:rsid w:val="00047B46"/>
    <w:rsid w:val="00053692"/>
    <w:rsid w:val="00061EB9"/>
    <w:rsid w:val="00061F46"/>
    <w:rsid w:val="00063154"/>
    <w:rsid w:val="00073472"/>
    <w:rsid w:val="000765D2"/>
    <w:rsid w:val="000833EC"/>
    <w:rsid w:val="00085021"/>
    <w:rsid w:val="00085CB8"/>
    <w:rsid w:val="000869CD"/>
    <w:rsid w:val="00087744"/>
    <w:rsid w:val="00093C20"/>
    <w:rsid w:val="00096D61"/>
    <w:rsid w:val="0009746E"/>
    <w:rsid w:val="00097EEC"/>
    <w:rsid w:val="000A3053"/>
    <w:rsid w:val="000A6303"/>
    <w:rsid w:val="000B196A"/>
    <w:rsid w:val="000B1B30"/>
    <w:rsid w:val="000B4F44"/>
    <w:rsid w:val="000B5D35"/>
    <w:rsid w:val="000C0E1F"/>
    <w:rsid w:val="000C0EF0"/>
    <w:rsid w:val="000D091A"/>
    <w:rsid w:val="000E3C0B"/>
    <w:rsid w:val="000E73DE"/>
    <w:rsid w:val="000F516F"/>
    <w:rsid w:val="000F6C52"/>
    <w:rsid w:val="000F7C9F"/>
    <w:rsid w:val="0010362D"/>
    <w:rsid w:val="0010736F"/>
    <w:rsid w:val="00110982"/>
    <w:rsid w:val="001242D7"/>
    <w:rsid w:val="00124392"/>
    <w:rsid w:val="001503C7"/>
    <w:rsid w:val="00155913"/>
    <w:rsid w:val="00156A07"/>
    <w:rsid w:val="00162530"/>
    <w:rsid w:val="00163211"/>
    <w:rsid w:val="00165839"/>
    <w:rsid w:val="00170EAF"/>
    <w:rsid w:val="00182221"/>
    <w:rsid w:val="00182303"/>
    <w:rsid w:val="00184974"/>
    <w:rsid w:val="00186757"/>
    <w:rsid w:val="00186A1E"/>
    <w:rsid w:val="001A0790"/>
    <w:rsid w:val="001A33E1"/>
    <w:rsid w:val="001A62CD"/>
    <w:rsid w:val="001A74A6"/>
    <w:rsid w:val="001B23D9"/>
    <w:rsid w:val="001C0ABB"/>
    <w:rsid w:val="001C251B"/>
    <w:rsid w:val="001C3E5F"/>
    <w:rsid w:val="001C495B"/>
    <w:rsid w:val="001C73EF"/>
    <w:rsid w:val="001D00CD"/>
    <w:rsid w:val="001D2E6D"/>
    <w:rsid w:val="001D37D8"/>
    <w:rsid w:val="001D5746"/>
    <w:rsid w:val="001D786C"/>
    <w:rsid w:val="001E09A1"/>
    <w:rsid w:val="001E13F8"/>
    <w:rsid w:val="001E1BC3"/>
    <w:rsid w:val="001E2A70"/>
    <w:rsid w:val="001E4405"/>
    <w:rsid w:val="001E680C"/>
    <w:rsid w:val="001F7DBF"/>
    <w:rsid w:val="002022B7"/>
    <w:rsid w:val="00203034"/>
    <w:rsid w:val="00204333"/>
    <w:rsid w:val="00207DB8"/>
    <w:rsid w:val="0021211D"/>
    <w:rsid w:val="00212711"/>
    <w:rsid w:val="0021395B"/>
    <w:rsid w:val="00214641"/>
    <w:rsid w:val="0021669A"/>
    <w:rsid w:val="00217F4F"/>
    <w:rsid w:val="00220D68"/>
    <w:rsid w:val="00224032"/>
    <w:rsid w:val="00226BB0"/>
    <w:rsid w:val="00235A52"/>
    <w:rsid w:val="00236DDC"/>
    <w:rsid w:val="002370F4"/>
    <w:rsid w:val="00243227"/>
    <w:rsid w:val="002439F7"/>
    <w:rsid w:val="00250209"/>
    <w:rsid w:val="00264F54"/>
    <w:rsid w:val="00265D33"/>
    <w:rsid w:val="00267F7E"/>
    <w:rsid w:val="0027604A"/>
    <w:rsid w:val="00276746"/>
    <w:rsid w:val="002869DB"/>
    <w:rsid w:val="0029339F"/>
    <w:rsid w:val="002A4AF6"/>
    <w:rsid w:val="002B7448"/>
    <w:rsid w:val="002B7E95"/>
    <w:rsid w:val="002C51D9"/>
    <w:rsid w:val="002C614C"/>
    <w:rsid w:val="002C7813"/>
    <w:rsid w:val="002D064E"/>
    <w:rsid w:val="002D4C17"/>
    <w:rsid w:val="002F6B21"/>
    <w:rsid w:val="002F6D97"/>
    <w:rsid w:val="00300466"/>
    <w:rsid w:val="00302E6C"/>
    <w:rsid w:val="00310096"/>
    <w:rsid w:val="00313773"/>
    <w:rsid w:val="00315876"/>
    <w:rsid w:val="00315F69"/>
    <w:rsid w:val="00322D6A"/>
    <w:rsid w:val="0032412A"/>
    <w:rsid w:val="00330840"/>
    <w:rsid w:val="00332740"/>
    <w:rsid w:val="0033515B"/>
    <w:rsid w:val="00335FFB"/>
    <w:rsid w:val="00340078"/>
    <w:rsid w:val="0034465D"/>
    <w:rsid w:val="00344EE4"/>
    <w:rsid w:val="00345174"/>
    <w:rsid w:val="0035397D"/>
    <w:rsid w:val="00364346"/>
    <w:rsid w:val="00364C10"/>
    <w:rsid w:val="003657F8"/>
    <w:rsid w:val="003704BA"/>
    <w:rsid w:val="00387C5B"/>
    <w:rsid w:val="003A0F19"/>
    <w:rsid w:val="003A4CB2"/>
    <w:rsid w:val="003A5129"/>
    <w:rsid w:val="003B0E01"/>
    <w:rsid w:val="003B29BD"/>
    <w:rsid w:val="003B3A7C"/>
    <w:rsid w:val="003C2F72"/>
    <w:rsid w:val="003C3368"/>
    <w:rsid w:val="003C4D43"/>
    <w:rsid w:val="003C5AA0"/>
    <w:rsid w:val="003E38FD"/>
    <w:rsid w:val="003F3778"/>
    <w:rsid w:val="003F3A69"/>
    <w:rsid w:val="00404231"/>
    <w:rsid w:val="0040681F"/>
    <w:rsid w:val="004068C4"/>
    <w:rsid w:val="0041097D"/>
    <w:rsid w:val="004143F9"/>
    <w:rsid w:val="00417492"/>
    <w:rsid w:val="004213CB"/>
    <w:rsid w:val="00421497"/>
    <w:rsid w:val="00421B26"/>
    <w:rsid w:val="00422E7F"/>
    <w:rsid w:val="00423FCF"/>
    <w:rsid w:val="0042564A"/>
    <w:rsid w:val="004346E5"/>
    <w:rsid w:val="00435C37"/>
    <w:rsid w:val="00447725"/>
    <w:rsid w:val="00455504"/>
    <w:rsid w:val="00462AB9"/>
    <w:rsid w:val="004637E9"/>
    <w:rsid w:val="00467C00"/>
    <w:rsid w:val="004817BF"/>
    <w:rsid w:val="00484A7A"/>
    <w:rsid w:val="00486EA2"/>
    <w:rsid w:val="00497262"/>
    <w:rsid w:val="004A25E8"/>
    <w:rsid w:val="004C5C7B"/>
    <w:rsid w:val="004C730B"/>
    <w:rsid w:val="004D067A"/>
    <w:rsid w:val="004D3E4B"/>
    <w:rsid w:val="004D464D"/>
    <w:rsid w:val="004E1EF5"/>
    <w:rsid w:val="004E596A"/>
    <w:rsid w:val="00502353"/>
    <w:rsid w:val="005050E3"/>
    <w:rsid w:val="00507CF3"/>
    <w:rsid w:val="005137AF"/>
    <w:rsid w:val="005151D6"/>
    <w:rsid w:val="005212C4"/>
    <w:rsid w:val="0052144B"/>
    <w:rsid w:val="00521B84"/>
    <w:rsid w:val="00523D1B"/>
    <w:rsid w:val="00527554"/>
    <w:rsid w:val="00527590"/>
    <w:rsid w:val="005368C4"/>
    <w:rsid w:val="00537999"/>
    <w:rsid w:val="00537C53"/>
    <w:rsid w:val="00544AD1"/>
    <w:rsid w:val="0054768F"/>
    <w:rsid w:val="00552078"/>
    <w:rsid w:val="00553997"/>
    <w:rsid w:val="005638F4"/>
    <w:rsid w:val="0057116B"/>
    <w:rsid w:val="00582C0C"/>
    <w:rsid w:val="00596EA5"/>
    <w:rsid w:val="005A4866"/>
    <w:rsid w:val="005A49EF"/>
    <w:rsid w:val="005B000A"/>
    <w:rsid w:val="005B315E"/>
    <w:rsid w:val="005B3C07"/>
    <w:rsid w:val="005B6B34"/>
    <w:rsid w:val="005B6E5D"/>
    <w:rsid w:val="005C365F"/>
    <w:rsid w:val="005C4521"/>
    <w:rsid w:val="005D2D19"/>
    <w:rsid w:val="005E135D"/>
    <w:rsid w:val="005E22C1"/>
    <w:rsid w:val="005E5E9B"/>
    <w:rsid w:val="005F0B95"/>
    <w:rsid w:val="005F3094"/>
    <w:rsid w:val="005F3FCD"/>
    <w:rsid w:val="005F7173"/>
    <w:rsid w:val="0060373A"/>
    <w:rsid w:val="00605F87"/>
    <w:rsid w:val="00607489"/>
    <w:rsid w:val="006126FE"/>
    <w:rsid w:val="00614C01"/>
    <w:rsid w:val="00621ED1"/>
    <w:rsid w:val="006239CD"/>
    <w:rsid w:val="00626830"/>
    <w:rsid w:val="00631211"/>
    <w:rsid w:val="00642D13"/>
    <w:rsid w:val="006459AB"/>
    <w:rsid w:val="00647596"/>
    <w:rsid w:val="00656DDB"/>
    <w:rsid w:val="0066075E"/>
    <w:rsid w:val="006636F2"/>
    <w:rsid w:val="00673785"/>
    <w:rsid w:val="00676DB4"/>
    <w:rsid w:val="006819E2"/>
    <w:rsid w:val="0068745A"/>
    <w:rsid w:val="00691405"/>
    <w:rsid w:val="00691B5D"/>
    <w:rsid w:val="006A0429"/>
    <w:rsid w:val="006A0B6B"/>
    <w:rsid w:val="006A61AB"/>
    <w:rsid w:val="006A6F2E"/>
    <w:rsid w:val="006B1118"/>
    <w:rsid w:val="006B6DA2"/>
    <w:rsid w:val="006B6FEA"/>
    <w:rsid w:val="006B714C"/>
    <w:rsid w:val="006C5C44"/>
    <w:rsid w:val="006D033B"/>
    <w:rsid w:val="006D1D09"/>
    <w:rsid w:val="006E2DEB"/>
    <w:rsid w:val="006E329A"/>
    <w:rsid w:val="006E3F1D"/>
    <w:rsid w:val="006E5D11"/>
    <w:rsid w:val="006E6320"/>
    <w:rsid w:val="006F2103"/>
    <w:rsid w:val="007025F5"/>
    <w:rsid w:val="007070A0"/>
    <w:rsid w:val="007128E0"/>
    <w:rsid w:val="007206F7"/>
    <w:rsid w:val="00723C60"/>
    <w:rsid w:val="0072748B"/>
    <w:rsid w:val="00727CD8"/>
    <w:rsid w:val="00737303"/>
    <w:rsid w:val="00737D35"/>
    <w:rsid w:val="00737DB5"/>
    <w:rsid w:val="00740754"/>
    <w:rsid w:val="00752F73"/>
    <w:rsid w:val="00756192"/>
    <w:rsid w:val="0075778C"/>
    <w:rsid w:val="00760F3F"/>
    <w:rsid w:val="00767142"/>
    <w:rsid w:val="007701E9"/>
    <w:rsid w:val="007733FF"/>
    <w:rsid w:val="0077610B"/>
    <w:rsid w:val="007767FA"/>
    <w:rsid w:val="00776932"/>
    <w:rsid w:val="0077696D"/>
    <w:rsid w:val="007857CC"/>
    <w:rsid w:val="007870DE"/>
    <w:rsid w:val="0079071A"/>
    <w:rsid w:val="007966DE"/>
    <w:rsid w:val="00797848"/>
    <w:rsid w:val="007A2594"/>
    <w:rsid w:val="007A360B"/>
    <w:rsid w:val="007A4C75"/>
    <w:rsid w:val="007A563E"/>
    <w:rsid w:val="007B095C"/>
    <w:rsid w:val="007B0A28"/>
    <w:rsid w:val="007B62CA"/>
    <w:rsid w:val="007B7E38"/>
    <w:rsid w:val="007C00F4"/>
    <w:rsid w:val="007C0F5B"/>
    <w:rsid w:val="007C25BE"/>
    <w:rsid w:val="007C67DB"/>
    <w:rsid w:val="007D1092"/>
    <w:rsid w:val="007D2D4C"/>
    <w:rsid w:val="007D45BB"/>
    <w:rsid w:val="007D6994"/>
    <w:rsid w:val="007E3570"/>
    <w:rsid w:val="007E59B8"/>
    <w:rsid w:val="007F35AD"/>
    <w:rsid w:val="007F3FFF"/>
    <w:rsid w:val="007F501C"/>
    <w:rsid w:val="008068F0"/>
    <w:rsid w:val="00807F81"/>
    <w:rsid w:val="00807FC3"/>
    <w:rsid w:val="00813B6D"/>
    <w:rsid w:val="0081452A"/>
    <w:rsid w:val="00815C3A"/>
    <w:rsid w:val="00815EEF"/>
    <w:rsid w:val="0081695A"/>
    <w:rsid w:val="00816D02"/>
    <w:rsid w:val="0082144F"/>
    <w:rsid w:val="008239FE"/>
    <w:rsid w:val="00832FC6"/>
    <w:rsid w:val="00835848"/>
    <w:rsid w:val="00835D79"/>
    <w:rsid w:val="008429A3"/>
    <w:rsid w:val="00845C61"/>
    <w:rsid w:val="008466E0"/>
    <w:rsid w:val="008468A0"/>
    <w:rsid w:val="00856098"/>
    <w:rsid w:val="00865AA1"/>
    <w:rsid w:val="00867C48"/>
    <w:rsid w:val="008725EF"/>
    <w:rsid w:val="00875CDD"/>
    <w:rsid w:val="0087731D"/>
    <w:rsid w:val="00883DAC"/>
    <w:rsid w:val="00884261"/>
    <w:rsid w:val="00886E55"/>
    <w:rsid w:val="0089537A"/>
    <w:rsid w:val="00895D8C"/>
    <w:rsid w:val="008A2A63"/>
    <w:rsid w:val="008A2F27"/>
    <w:rsid w:val="008A36EF"/>
    <w:rsid w:val="008A77DA"/>
    <w:rsid w:val="008B36DF"/>
    <w:rsid w:val="008B3DE3"/>
    <w:rsid w:val="008B4CAA"/>
    <w:rsid w:val="008B56BA"/>
    <w:rsid w:val="008C029A"/>
    <w:rsid w:val="008C4C37"/>
    <w:rsid w:val="008C7D2F"/>
    <w:rsid w:val="008D2F49"/>
    <w:rsid w:val="008E0BC2"/>
    <w:rsid w:val="008E5F44"/>
    <w:rsid w:val="008F39CF"/>
    <w:rsid w:val="008F468B"/>
    <w:rsid w:val="008F4CB5"/>
    <w:rsid w:val="008F60D4"/>
    <w:rsid w:val="00901740"/>
    <w:rsid w:val="00906454"/>
    <w:rsid w:val="009104CB"/>
    <w:rsid w:val="00911BBC"/>
    <w:rsid w:val="00914A54"/>
    <w:rsid w:val="00915E8F"/>
    <w:rsid w:val="009225A0"/>
    <w:rsid w:val="00922FFD"/>
    <w:rsid w:val="00927FE2"/>
    <w:rsid w:val="0093073E"/>
    <w:rsid w:val="00930CD7"/>
    <w:rsid w:val="00935FC3"/>
    <w:rsid w:val="009421D2"/>
    <w:rsid w:val="0094584C"/>
    <w:rsid w:val="0095462A"/>
    <w:rsid w:val="0095659C"/>
    <w:rsid w:val="009667B7"/>
    <w:rsid w:val="00985616"/>
    <w:rsid w:val="009871D3"/>
    <w:rsid w:val="00987897"/>
    <w:rsid w:val="00993CF7"/>
    <w:rsid w:val="0099673A"/>
    <w:rsid w:val="009A48EA"/>
    <w:rsid w:val="009A50FA"/>
    <w:rsid w:val="009A7454"/>
    <w:rsid w:val="009B2297"/>
    <w:rsid w:val="009B3AAE"/>
    <w:rsid w:val="009B6F9A"/>
    <w:rsid w:val="009C37C5"/>
    <w:rsid w:val="009C4A7C"/>
    <w:rsid w:val="009C6B18"/>
    <w:rsid w:val="009C7CBC"/>
    <w:rsid w:val="009D2AFB"/>
    <w:rsid w:val="009D3F81"/>
    <w:rsid w:val="009D47AA"/>
    <w:rsid w:val="009D4A0A"/>
    <w:rsid w:val="009E4805"/>
    <w:rsid w:val="009E5283"/>
    <w:rsid w:val="009E59FF"/>
    <w:rsid w:val="009E5A27"/>
    <w:rsid w:val="009F59BF"/>
    <w:rsid w:val="009F7DDC"/>
    <w:rsid w:val="00A02282"/>
    <w:rsid w:val="00A050BC"/>
    <w:rsid w:val="00A11755"/>
    <w:rsid w:val="00A224D5"/>
    <w:rsid w:val="00A24EFB"/>
    <w:rsid w:val="00A25C38"/>
    <w:rsid w:val="00A2753D"/>
    <w:rsid w:val="00A31AD3"/>
    <w:rsid w:val="00A33BBE"/>
    <w:rsid w:val="00A47232"/>
    <w:rsid w:val="00A53A9C"/>
    <w:rsid w:val="00A56D4E"/>
    <w:rsid w:val="00A629CB"/>
    <w:rsid w:val="00A67AAB"/>
    <w:rsid w:val="00A71D9F"/>
    <w:rsid w:val="00A72B49"/>
    <w:rsid w:val="00A7402A"/>
    <w:rsid w:val="00A9078C"/>
    <w:rsid w:val="00AA11E1"/>
    <w:rsid w:val="00AA5052"/>
    <w:rsid w:val="00AA5B67"/>
    <w:rsid w:val="00AB0EDB"/>
    <w:rsid w:val="00AB41E5"/>
    <w:rsid w:val="00AC0807"/>
    <w:rsid w:val="00AC36A5"/>
    <w:rsid w:val="00AC7ED7"/>
    <w:rsid w:val="00AD23EE"/>
    <w:rsid w:val="00AD29AD"/>
    <w:rsid w:val="00AE2796"/>
    <w:rsid w:val="00AE2BAA"/>
    <w:rsid w:val="00AF1796"/>
    <w:rsid w:val="00AF1976"/>
    <w:rsid w:val="00AF3461"/>
    <w:rsid w:val="00AF49EE"/>
    <w:rsid w:val="00AF5527"/>
    <w:rsid w:val="00B05EB4"/>
    <w:rsid w:val="00B0795E"/>
    <w:rsid w:val="00B1361D"/>
    <w:rsid w:val="00B20696"/>
    <w:rsid w:val="00B220F5"/>
    <w:rsid w:val="00B365A5"/>
    <w:rsid w:val="00B40615"/>
    <w:rsid w:val="00B41D73"/>
    <w:rsid w:val="00B45FA0"/>
    <w:rsid w:val="00B51BA1"/>
    <w:rsid w:val="00B5477F"/>
    <w:rsid w:val="00B56E23"/>
    <w:rsid w:val="00B66908"/>
    <w:rsid w:val="00B70149"/>
    <w:rsid w:val="00B71AD1"/>
    <w:rsid w:val="00B71C2B"/>
    <w:rsid w:val="00B75B95"/>
    <w:rsid w:val="00B77DC5"/>
    <w:rsid w:val="00B85152"/>
    <w:rsid w:val="00B871EB"/>
    <w:rsid w:val="00B87A82"/>
    <w:rsid w:val="00BA1F43"/>
    <w:rsid w:val="00BA5550"/>
    <w:rsid w:val="00BA5CF5"/>
    <w:rsid w:val="00BB2FF4"/>
    <w:rsid w:val="00BB312E"/>
    <w:rsid w:val="00BB4B14"/>
    <w:rsid w:val="00BB77E8"/>
    <w:rsid w:val="00BC0294"/>
    <w:rsid w:val="00BC2534"/>
    <w:rsid w:val="00BC39F2"/>
    <w:rsid w:val="00BD5E05"/>
    <w:rsid w:val="00BE6C00"/>
    <w:rsid w:val="00C039F2"/>
    <w:rsid w:val="00C12516"/>
    <w:rsid w:val="00C141EE"/>
    <w:rsid w:val="00C16F3C"/>
    <w:rsid w:val="00C17C24"/>
    <w:rsid w:val="00C22526"/>
    <w:rsid w:val="00C26EAD"/>
    <w:rsid w:val="00C3365E"/>
    <w:rsid w:val="00C351BC"/>
    <w:rsid w:val="00C37AE3"/>
    <w:rsid w:val="00C43260"/>
    <w:rsid w:val="00C54B8B"/>
    <w:rsid w:val="00C636CF"/>
    <w:rsid w:val="00C65E5B"/>
    <w:rsid w:val="00C66E99"/>
    <w:rsid w:val="00C7295B"/>
    <w:rsid w:val="00C752DE"/>
    <w:rsid w:val="00C7766B"/>
    <w:rsid w:val="00C776FB"/>
    <w:rsid w:val="00C84917"/>
    <w:rsid w:val="00C92C30"/>
    <w:rsid w:val="00C93FB9"/>
    <w:rsid w:val="00C9588D"/>
    <w:rsid w:val="00CA2D76"/>
    <w:rsid w:val="00CA64E1"/>
    <w:rsid w:val="00CB0A7B"/>
    <w:rsid w:val="00CB405F"/>
    <w:rsid w:val="00CB51B9"/>
    <w:rsid w:val="00CB5459"/>
    <w:rsid w:val="00CC7AF7"/>
    <w:rsid w:val="00CD2EF3"/>
    <w:rsid w:val="00CD4BB7"/>
    <w:rsid w:val="00CE1F5B"/>
    <w:rsid w:val="00CE4060"/>
    <w:rsid w:val="00CF2BB8"/>
    <w:rsid w:val="00D05761"/>
    <w:rsid w:val="00D06F1B"/>
    <w:rsid w:val="00D13AE9"/>
    <w:rsid w:val="00D16466"/>
    <w:rsid w:val="00D204D4"/>
    <w:rsid w:val="00D21EEC"/>
    <w:rsid w:val="00D2525D"/>
    <w:rsid w:val="00D27C44"/>
    <w:rsid w:val="00D3005F"/>
    <w:rsid w:val="00D30594"/>
    <w:rsid w:val="00D30EA0"/>
    <w:rsid w:val="00D447BB"/>
    <w:rsid w:val="00D5055F"/>
    <w:rsid w:val="00D53CC3"/>
    <w:rsid w:val="00D54376"/>
    <w:rsid w:val="00D55180"/>
    <w:rsid w:val="00D562AB"/>
    <w:rsid w:val="00D62021"/>
    <w:rsid w:val="00D63233"/>
    <w:rsid w:val="00D63656"/>
    <w:rsid w:val="00D71EBB"/>
    <w:rsid w:val="00D73234"/>
    <w:rsid w:val="00D766A3"/>
    <w:rsid w:val="00D77054"/>
    <w:rsid w:val="00D818E3"/>
    <w:rsid w:val="00D84104"/>
    <w:rsid w:val="00D8508A"/>
    <w:rsid w:val="00D91B1C"/>
    <w:rsid w:val="00D94EB4"/>
    <w:rsid w:val="00D95368"/>
    <w:rsid w:val="00D962F7"/>
    <w:rsid w:val="00DB17C8"/>
    <w:rsid w:val="00DC014C"/>
    <w:rsid w:val="00DC2015"/>
    <w:rsid w:val="00DC5DDD"/>
    <w:rsid w:val="00DC7B3A"/>
    <w:rsid w:val="00DD0958"/>
    <w:rsid w:val="00DD26A7"/>
    <w:rsid w:val="00DD3BC5"/>
    <w:rsid w:val="00DD3FE5"/>
    <w:rsid w:val="00DE7584"/>
    <w:rsid w:val="00DE7D55"/>
    <w:rsid w:val="00DF0CBE"/>
    <w:rsid w:val="00DF1478"/>
    <w:rsid w:val="00DF193F"/>
    <w:rsid w:val="00DF1EDC"/>
    <w:rsid w:val="00E0107B"/>
    <w:rsid w:val="00E017BB"/>
    <w:rsid w:val="00E04EB4"/>
    <w:rsid w:val="00E054A7"/>
    <w:rsid w:val="00E06AFF"/>
    <w:rsid w:val="00E1290B"/>
    <w:rsid w:val="00E129DB"/>
    <w:rsid w:val="00E141FB"/>
    <w:rsid w:val="00E2171B"/>
    <w:rsid w:val="00E25D26"/>
    <w:rsid w:val="00E317F3"/>
    <w:rsid w:val="00E41048"/>
    <w:rsid w:val="00E4587B"/>
    <w:rsid w:val="00E52C80"/>
    <w:rsid w:val="00E53988"/>
    <w:rsid w:val="00E55BE1"/>
    <w:rsid w:val="00E56A7F"/>
    <w:rsid w:val="00E60869"/>
    <w:rsid w:val="00E61628"/>
    <w:rsid w:val="00E73F77"/>
    <w:rsid w:val="00E75B66"/>
    <w:rsid w:val="00E842A5"/>
    <w:rsid w:val="00E903C5"/>
    <w:rsid w:val="00E919BC"/>
    <w:rsid w:val="00E9546F"/>
    <w:rsid w:val="00EA0517"/>
    <w:rsid w:val="00EA2243"/>
    <w:rsid w:val="00EA68E7"/>
    <w:rsid w:val="00EA6FC9"/>
    <w:rsid w:val="00EC0BA7"/>
    <w:rsid w:val="00EC13D3"/>
    <w:rsid w:val="00EC13F7"/>
    <w:rsid w:val="00EC2B3F"/>
    <w:rsid w:val="00ED1B51"/>
    <w:rsid w:val="00ED2058"/>
    <w:rsid w:val="00ED3E58"/>
    <w:rsid w:val="00ED4169"/>
    <w:rsid w:val="00ED49E3"/>
    <w:rsid w:val="00ED6D9E"/>
    <w:rsid w:val="00EE20CF"/>
    <w:rsid w:val="00EE3413"/>
    <w:rsid w:val="00EE350E"/>
    <w:rsid w:val="00EE3529"/>
    <w:rsid w:val="00EF2DB4"/>
    <w:rsid w:val="00EF4178"/>
    <w:rsid w:val="00F04B6C"/>
    <w:rsid w:val="00F15BAC"/>
    <w:rsid w:val="00F22CF1"/>
    <w:rsid w:val="00F2491E"/>
    <w:rsid w:val="00F252D7"/>
    <w:rsid w:val="00F26A51"/>
    <w:rsid w:val="00F26B28"/>
    <w:rsid w:val="00F30D3D"/>
    <w:rsid w:val="00F31B29"/>
    <w:rsid w:val="00F33C8A"/>
    <w:rsid w:val="00F34CEF"/>
    <w:rsid w:val="00F4041C"/>
    <w:rsid w:val="00F430A5"/>
    <w:rsid w:val="00F6028C"/>
    <w:rsid w:val="00F73D53"/>
    <w:rsid w:val="00F77E18"/>
    <w:rsid w:val="00F83BDA"/>
    <w:rsid w:val="00F84200"/>
    <w:rsid w:val="00F8751A"/>
    <w:rsid w:val="00F93667"/>
    <w:rsid w:val="00F95486"/>
    <w:rsid w:val="00FA11FC"/>
    <w:rsid w:val="00FA35AB"/>
    <w:rsid w:val="00FA40C8"/>
    <w:rsid w:val="00FA4C02"/>
    <w:rsid w:val="00FA6267"/>
    <w:rsid w:val="00FB595A"/>
    <w:rsid w:val="00FC1F0C"/>
    <w:rsid w:val="00FC3EB1"/>
    <w:rsid w:val="00FD05D3"/>
    <w:rsid w:val="00FD45A0"/>
    <w:rsid w:val="00FD51F7"/>
    <w:rsid w:val="00FD71C1"/>
    <w:rsid w:val="00FD7411"/>
    <w:rsid w:val="00FD7A99"/>
    <w:rsid w:val="00FE400C"/>
    <w:rsid w:val="00FE419C"/>
    <w:rsid w:val="00FF0E24"/>
    <w:rsid w:val="00FF78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61869DCF"/>
  <w15:docId w15:val="{224545A5-D884-4E3F-80DD-517544A8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1F"/>
    <w:pPr>
      <w:spacing w:after="0" w:line="240" w:lineRule="auto"/>
      <w:jc w:val="both"/>
    </w:pPr>
    <w:rPr>
      <w:rFonts w:ascii="Times New Roman" w:eastAsia="Calibri" w:hAnsi="Times New Roman" w:cs="Times New Roman"/>
      <w:sz w:val="23"/>
      <w:szCs w:val="20"/>
    </w:rPr>
  </w:style>
  <w:style w:type="paragraph" w:styleId="Heading2">
    <w:name w:val="heading 2"/>
    <w:basedOn w:val="Normal"/>
    <w:next w:val="Normal"/>
    <w:link w:val="Heading2Char"/>
    <w:uiPriority w:val="9"/>
    <w:semiHidden/>
    <w:unhideWhenUsed/>
    <w:qFormat/>
    <w:rsid w:val="0042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1497"/>
    <w:pPr>
      <w:spacing w:before="100" w:beforeAutospacing="1" w:after="100" w:afterAutospacing="1"/>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1F"/>
    <w:pPr>
      <w:ind w:left="720"/>
      <w:contextualSpacing/>
    </w:pPr>
    <w:rPr>
      <w:rFonts w:ascii="Arial" w:hAnsi="Arial" w:cs="Arial"/>
      <w:sz w:val="24"/>
      <w:szCs w:val="24"/>
    </w:rPr>
  </w:style>
  <w:style w:type="character" w:customStyle="1" w:styleId="Heading3Char">
    <w:name w:val="Heading 3 Char"/>
    <w:basedOn w:val="DefaultParagraphFont"/>
    <w:link w:val="Heading3"/>
    <w:uiPriority w:val="9"/>
    <w:rsid w:val="00421497"/>
    <w:rPr>
      <w:rFonts w:ascii="Times New Roman" w:eastAsia="Times New Roman" w:hAnsi="Times New Roman" w:cs="Times New Roman"/>
      <w:b/>
      <w:bCs/>
      <w:sz w:val="27"/>
      <w:szCs w:val="27"/>
      <w:lang w:eastAsia="en-AU"/>
    </w:rPr>
  </w:style>
  <w:style w:type="character" w:customStyle="1" w:styleId="Heading2Char">
    <w:name w:val="Heading 2 Char"/>
    <w:basedOn w:val="DefaultParagraphFont"/>
    <w:link w:val="Heading2"/>
    <w:uiPriority w:val="9"/>
    <w:semiHidden/>
    <w:rsid w:val="004214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21497"/>
    <w:pPr>
      <w:spacing w:before="100" w:beforeAutospacing="1" w:after="100" w:afterAutospacing="1"/>
      <w:jc w:val="left"/>
    </w:pPr>
    <w:rPr>
      <w:rFonts w:eastAsia="Times New Roman"/>
      <w:sz w:val="24"/>
      <w:szCs w:val="24"/>
      <w:lang w:eastAsia="en-AU"/>
    </w:rPr>
  </w:style>
  <w:style w:type="character" w:styleId="Hyperlink">
    <w:name w:val="Hyperlink"/>
    <w:basedOn w:val="DefaultParagraphFont"/>
    <w:uiPriority w:val="99"/>
    <w:unhideWhenUsed/>
    <w:rsid w:val="00421497"/>
    <w:rPr>
      <w:color w:val="0000FF"/>
      <w:u w:val="single"/>
    </w:rPr>
  </w:style>
  <w:style w:type="paragraph" w:styleId="BalloonText">
    <w:name w:val="Balloon Text"/>
    <w:basedOn w:val="Normal"/>
    <w:link w:val="BalloonTextChar"/>
    <w:uiPriority w:val="99"/>
    <w:semiHidden/>
    <w:unhideWhenUsed/>
    <w:rsid w:val="00760F3F"/>
    <w:rPr>
      <w:rFonts w:ascii="Tahoma" w:hAnsi="Tahoma" w:cs="Tahoma"/>
      <w:sz w:val="16"/>
      <w:szCs w:val="16"/>
    </w:rPr>
  </w:style>
  <w:style w:type="character" w:customStyle="1" w:styleId="BalloonTextChar">
    <w:name w:val="Balloon Text Char"/>
    <w:basedOn w:val="DefaultParagraphFont"/>
    <w:link w:val="BalloonText"/>
    <w:uiPriority w:val="99"/>
    <w:semiHidden/>
    <w:rsid w:val="00760F3F"/>
    <w:rPr>
      <w:rFonts w:ascii="Tahoma" w:eastAsia="Calibri" w:hAnsi="Tahoma" w:cs="Tahoma"/>
      <w:sz w:val="16"/>
      <w:szCs w:val="16"/>
    </w:rPr>
  </w:style>
  <w:style w:type="paragraph" w:styleId="Header">
    <w:name w:val="header"/>
    <w:basedOn w:val="Normal"/>
    <w:link w:val="HeaderChar"/>
    <w:uiPriority w:val="99"/>
    <w:unhideWhenUsed/>
    <w:rsid w:val="00C26EAD"/>
    <w:pPr>
      <w:tabs>
        <w:tab w:val="center" w:pos="4513"/>
        <w:tab w:val="right" w:pos="9026"/>
      </w:tabs>
    </w:pPr>
  </w:style>
  <w:style w:type="character" w:customStyle="1" w:styleId="HeaderChar">
    <w:name w:val="Header Char"/>
    <w:basedOn w:val="DefaultParagraphFont"/>
    <w:link w:val="Header"/>
    <w:uiPriority w:val="99"/>
    <w:rsid w:val="00C26EAD"/>
    <w:rPr>
      <w:rFonts w:ascii="Times New Roman" w:eastAsia="Calibri" w:hAnsi="Times New Roman" w:cs="Times New Roman"/>
      <w:sz w:val="23"/>
      <w:szCs w:val="20"/>
    </w:rPr>
  </w:style>
  <w:style w:type="paragraph" w:styleId="Footer">
    <w:name w:val="footer"/>
    <w:basedOn w:val="Normal"/>
    <w:link w:val="FooterChar"/>
    <w:uiPriority w:val="99"/>
    <w:unhideWhenUsed/>
    <w:rsid w:val="00C26EAD"/>
    <w:pPr>
      <w:tabs>
        <w:tab w:val="center" w:pos="4513"/>
        <w:tab w:val="right" w:pos="9026"/>
      </w:tabs>
    </w:pPr>
  </w:style>
  <w:style w:type="character" w:customStyle="1" w:styleId="FooterChar">
    <w:name w:val="Footer Char"/>
    <w:basedOn w:val="DefaultParagraphFont"/>
    <w:link w:val="Footer"/>
    <w:uiPriority w:val="99"/>
    <w:rsid w:val="00C26EAD"/>
    <w:rPr>
      <w:rFonts w:ascii="Times New Roman" w:eastAsia="Calibri" w:hAnsi="Times New Roman" w:cs="Times New Roman"/>
      <w:sz w:val="23"/>
      <w:szCs w:val="20"/>
    </w:rPr>
  </w:style>
  <w:style w:type="character" w:styleId="CommentReference">
    <w:name w:val="annotation reference"/>
    <w:basedOn w:val="DefaultParagraphFont"/>
    <w:uiPriority w:val="99"/>
    <w:semiHidden/>
    <w:unhideWhenUsed/>
    <w:rsid w:val="00AC36A5"/>
    <w:rPr>
      <w:sz w:val="16"/>
      <w:szCs w:val="16"/>
    </w:rPr>
  </w:style>
  <w:style w:type="paragraph" w:styleId="CommentText">
    <w:name w:val="annotation text"/>
    <w:basedOn w:val="Normal"/>
    <w:link w:val="CommentTextChar"/>
    <w:uiPriority w:val="99"/>
    <w:unhideWhenUsed/>
    <w:rsid w:val="00AC36A5"/>
    <w:rPr>
      <w:sz w:val="20"/>
    </w:rPr>
  </w:style>
  <w:style w:type="character" w:customStyle="1" w:styleId="CommentTextChar">
    <w:name w:val="Comment Text Char"/>
    <w:basedOn w:val="DefaultParagraphFont"/>
    <w:link w:val="CommentText"/>
    <w:uiPriority w:val="99"/>
    <w:rsid w:val="00AC36A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6A5"/>
    <w:rPr>
      <w:b/>
      <w:bCs/>
    </w:rPr>
  </w:style>
  <w:style w:type="character" w:customStyle="1" w:styleId="CommentSubjectChar">
    <w:name w:val="Comment Subject Char"/>
    <w:basedOn w:val="CommentTextChar"/>
    <w:link w:val="CommentSubject"/>
    <w:uiPriority w:val="99"/>
    <w:semiHidden/>
    <w:rsid w:val="00AC36A5"/>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EC2B3F"/>
    <w:rPr>
      <w:sz w:val="20"/>
    </w:rPr>
  </w:style>
  <w:style w:type="character" w:customStyle="1" w:styleId="FootnoteTextChar">
    <w:name w:val="Footnote Text Char"/>
    <w:basedOn w:val="DefaultParagraphFont"/>
    <w:link w:val="FootnoteText"/>
    <w:uiPriority w:val="99"/>
    <w:semiHidden/>
    <w:rsid w:val="00EC2B3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C2B3F"/>
    <w:rPr>
      <w:vertAlign w:val="superscript"/>
    </w:rPr>
  </w:style>
  <w:style w:type="paragraph" w:styleId="Revision">
    <w:name w:val="Revision"/>
    <w:hidden/>
    <w:uiPriority w:val="99"/>
    <w:semiHidden/>
    <w:rsid w:val="00596EA5"/>
    <w:pPr>
      <w:spacing w:after="0" w:line="240" w:lineRule="auto"/>
    </w:pPr>
    <w:rPr>
      <w:rFonts w:ascii="Times New Roman" w:eastAsia="Calibri" w:hAnsi="Times New Roman" w:cs="Times New Roman"/>
      <w:sz w:val="23"/>
      <w:szCs w:val="20"/>
    </w:rPr>
  </w:style>
  <w:style w:type="character" w:styleId="UnresolvedMention">
    <w:name w:val="Unresolved Mention"/>
    <w:basedOn w:val="DefaultParagraphFont"/>
    <w:uiPriority w:val="99"/>
    <w:semiHidden/>
    <w:unhideWhenUsed/>
    <w:rsid w:val="006E329A"/>
    <w:rPr>
      <w:color w:val="605E5C"/>
      <w:shd w:val="clear" w:color="auto" w:fill="E1DFDD"/>
    </w:rPr>
  </w:style>
  <w:style w:type="paragraph" w:styleId="EndnoteText">
    <w:name w:val="endnote text"/>
    <w:basedOn w:val="Normal"/>
    <w:link w:val="EndnoteTextChar"/>
    <w:uiPriority w:val="99"/>
    <w:semiHidden/>
    <w:unhideWhenUsed/>
    <w:rsid w:val="00265D33"/>
    <w:rPr>
      <w:sz w:val="20"/>
    </w:rPr>
  </w:style>
  <w:style w:type="character" w:customStyle="1" w:styleId="EndnoteTextChar">
    <w:name w:val="Endnote Text Char"/>
    <w:basedOn w:val="DefaultParagraphFont"/>
    <w:link w:val="EndnoteText"/>
    <w:uiPriority w:val="99"/>
    <w:semiHidden/>
    <w:rsid w:val="00265D3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265D33"/>
    <w:rPr>
      <w:vertAlign w:val="superscript"/>
    </w:rPr>
  </w:style>
  <w:style w:type="table" w:styleId="TableGrid">
    <w:name w:val="Table Grid"/>
    <w:basedOn w:val="TableNormal"/>
    <w:uiPriority w:val="59"/>
    <w:rsid w:val="009D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725E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1516">
      <w:bodyDiv w:val="1"/>
      <w:marLeft w:val="0"/>
      <w:marRight w:val="0"/>
      <w:marTop w:val="0"/>
      <w:marBottom w:val="0"/>
      <w:divBdr>
        <w:top w:val="none" w:sz="0" w:space="0" w:color="auto"/>
        <w:left w:val="none" w:sz="0" w:space="0" w:color="auto"/>
        <w:bottom w:val="none" w:sz="0" w:space="0" w:color="auto"/>
        <w:right w:val="none" w:sz="0" w:space="0" w:color="auto"/>
      </w:divBdr>
    </w:div>
    <w:div w:id="1890995992">
      <w:bodyDiv w:val="1"/>
      <w:marLeft w:val="0"/>
      <w:marRight w:val="0"/>
      <w:marTop w:val="0"/>
      <w:marBottom w:val="0"/>
      <w:divBdr>
        <w:top w:val="none" w:sz="0" w:space="0" w:color="auto"/>
        <w:left w:val="none" w:sz="0" w:space="0" w:color="auto"/>
        <w:bottom w:val="none" w:sz="0" w:space="0" w:color="auto"/>
        <w:right w:val="none" w:sz="0" w:space="0" w:color="auto"/>
      </w:divBdr>
    </w:div>
    <w:div w:id="2109806204">
      <w:bodyDiv w:val="1"/>
      <w:marLeft w:val="0"/>
      <w:marRight w:val="0"/>
      <w:marTop w:val="0"/>
      <w:marBottom w:val="0"/>
      <w:divBdr>
        <w:top w:val="none" w:sz="0" w:space="0" w:color="auto"/>
        <w:left w:val="none" w:sz="0" w:space="0" w:color="auto"/>
        <w:bottom w:val="none" w:sz="0" w:space="0" w:color="auto"/>
        <w:right w:val="none" w:sz="0" w:space="0" w:color="auto"/>
      </w:divBdr>
    </w:div>
    <w:div w:id="21335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3536E-EE1D-4197-87A9-B2EDF2E50A9A}"/>
</file>

<file path=customXml/itemProps2.xml><?xml version="1.0" encoding="utf-8"?>
<ds:datastoreItem xmlns:ds="http://schemas.openxmlformats.org/officeDocument/2006/customXml" ds:itemID="{C5C5D19B-B76F-4967-8512-4DD8BF9B91C9}">
  <ds:schemaRefs>
    <ds:schemaRef ds:uri="http://purl.org/dc/elements/1.1/"/>
    <ds:schemaRef ds:uri="http://schemas.microsoft.com/office/2006/metadata/properties"/>
    <ds:schemaRef ds:uri="http://purl.org/dc/terms/"/>
    <ds:schemaRef ds:uri="http://schemas.openxmlformats.org/package/2006/metadata/core-properties"/>
    <ds:schemaRef ds:uri="149a938d-5178-4880-bee6-c99a533f2b62"/>
    <ds:schemaRef ds:uri="http://schemas.microsoft.com/office/2006/documentManagement/types"/>
    <ds:schemaRef ds:uri="http://schemas.microsoft.com/office/infopath/2007/PartnerControls"/>
    <ds:schemaRef ds:uri="70302223-c54b-4550-8ee9-092c6b9c08d4"/>
    <ds:schemaRef ds:uri="http://www.w3.org/XML/1998/namespace"/>
    <ds:schemaRef ds:uri="http://purl.org/dc/dcmitype/"/>
  </ds:schemaRefs>
</ds:datastoreItem>
</file>

<file path=customXml/itemProps3.xml><?xml version="1.0" encoding="utf-8"?>
<ds:datastoreItem xmlns:ds="http://schemas.openxmlformats.org/officeDocument/2006/customXml" ds:itemID="{74D6EAA3-E0FC-4DD9-B87C-B9F33A7AF1E6}">
  <ds:schemaRefs>
    <ds:schemaRef ds:uri="http://schemas.openxmlformats.org/officeDocument/2006/bibliography"/>
  </ds:schemaRefs>
</ds:datastoreItem>
</file>

<file path=customXml/itemProps4.xml><?xml version="1.0" encoding="utf-8"?>
<ds:datastoreItem xmlns:ds="http://schemas.openxmlformats.org/officeDocument/2006/customXml" ds:itemID="{403C5FC7-DA7B-4B9F-9FE0-029844122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Transfer pricing client letter</vt:lpstr>
    </vt:vector>
  </TitlesOfParts>
  <Company>CPA Australia</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pricing client letter</dc:title>
  <dc:subject/>
  <dc:creator>Michelle Webb</dc:creator>
  <cp:keywords>client letters, ATO, income tax returns, transfer pricing, Australian Taxation Office, income tax assessment</cp:keywords>
  <cp:lastModifiedBy>Neville Birthisel</cp:lastModifiedBy>
  <cp:revision>2</cp:revision>
  <cp:lastPrinted>2019-06-30T22:55:00Z</cp:lastPrinted>
  <dcterms:created xsi:type="dcterms:W3CDTF">2024-06-06T01:53:00Z</dcterms:created>
  <dcterms:modified xsi:type="dcterms:W3CDTF">2024-06-06T01:53:00Z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ies>
</file>