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ADE3" w14:textId="174CDA92" w:rsidR="00A70ADE" w:rsidRPr="00BD45FB" w:rsidRDefault="00A70ADE" w:rsidP="00501AF1">
      <w:pPr>
        <w:rPr>
          <w:rFonts w:cs="Arial"/>
          <w:b/>
        </w:rPr>
      </w:pPr>
      <w:r w:rsidRPr="00BD45FB">
        <w:rPr>
          <w:rFonts w:cs="Arial"/>
          <w:b/>
          <w:highlight w:val="yellow"/>
        </w:rPr>
        <w:t xml:space="preserve">Instructions:  This letter covers tax return preparation for individuals and different entities. The yellow highlighted sections provide guidance on what you may wish to tailor for </w:t>
      </w:r>
      <w:proofErr w:type="gramStart"/>
      <w:r w:rsidRPr="00BD45FB">
        <w:rPr>
          <w:rFonts w:cs="Arial"/>
          <w:b/>
          <w:highlight w:val="yellow"/>
        </w:rPr>
        <w:t>particular clients</w:t>
      </w:r>
      <w:proofErr w:type="gramEnd"/>
      <w:r w:rsidRPr="00BD45FB">
        <w:rPr>
          <w:rFonts w:cs="Arial"/>
          <w:b/>
          <w:highlight w:val="yellow"/>
        </w:rPr>
        <w:t>.</w:t>
      </w:r>
    </w:p>
    <w:p w14:paraId="1CD6B528" w14:textId="77777777" w:rsidR="00A70ADE" w:rsidRDefault="00A70ADE" w:rsidP="00501AF1">
      <w:pPr>
        <w:rPr>
          <w:rFonts w:cs="Arial"/>
        </w:rPr>
      </w:pPr>
    </w:p>
    <w:p w14:paraId="7E14F27F" w14:textId="77777777" w:rsidR="00A70ADE" w:rsidRDefault="00A70ADE" w:rsidP="00501AF1">
      <w:pPr>
        <w:rPr>
          <w:rFonts w:cs="Arial"/>
        </w:rPr>
      </w:pPr>
    </w:p>
    <w:p w14:paraId="61B209D3" w14:textId="187FE8DC" w:rsidR="00501AF1" w:rsidRPr="00AB0B74" w:rsidRDefault="00501AF1" w:rsidP="00501AF1">
      <w:pPr>
        <w:rPr>
          <w:rFonts w:cs="Arial"/>
        </w:rPr>
      </w:pPr>
      <w:r w:rsidRPr="00AB0B74">
        <w:rPr>
          <w:rFonts w:cs="Arial"/>
        </w:rPr>
        <w:t>[</w:t>
      </w:r>
      <w:r w:rsidRPr="00AB0B74">
        <w:rPr>
          <w:rFonts w:cs="Arial"/>
          <w:highlight w:val="lightGray"/>
        </w:rPr>
        <w:t>Insert DD Month YYYY</w:t>
      </w:r>
      <w:r w:rsidRPr="00AB0B74">
        <w:rPr>
          <w:rFonts w:cs="Arial"/>
        </w:rPr>
        <w:t>]</w:t>
      </w:r>
    </w:p>
    <w:p w14:paraId="062FD1E0" w14:textId="77777777" w:rsidR="00501AF1" w:rsidRPr="00AB0B74" w:rsidRDefault="00501AF1" w:rsidP="00501AF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9"/>
      </w:tblGrid>
      <w:tr w:rsidR="00501AF1" w:rsidRPr="00AB0B74" w14:paraId="7208DD10" w14:textId="77777777" w:rsidTr="00686404">
        <w:tc>
          <w:tcPr>
            <w:tcW w:w="9289" w:type="dxa"/>
            <w:tcBorders>
              <w:top w:val="nil"/>
              <w:left w:val="nil"/>
              <w:bottom w:val="nil"/>
              <w:right w:val="nil"/>
            </w:tcBorders>
          </w:tcPr>
          <w:p w14:paraId="73933944" w14:textId="77777777" w:rsidR="00501AF1" w:rsidRPr="00AB0B74" w:rsidRDefault="00501AF1" w:rsidP="00686404">
            <w:pPr>
              <w:rPr>
                <w:rFonts w:cs="Arial"/>
                <w:b/>
                <w:bCs/>
              </w:rPr>
            </w:pPr>
            <w:bookmarkStart w:id="0" w:name="Confidential"/>
            <w:bookmarkEnd w:id="0"/>
          </w:p>
        </w:tc>
      </w:tr>
    </w:tbl>
    <w:p w14:paraId="5915964A" w14:textId="77777777" w:rsidR="00501AF1" w:rsidRPr="00AB0B74" w:rsidRDefault="00501AF1" w:rsidP="00501AF1">
      <w:pPr>
        <w:rPr>
          <w:rFonts w:cs="Arial"/>
        </w:rPr>
      </w:pPr>
      <w:bookmarkStart w:id="1" w:name="Name1"/>
      <w:bookmarkEnd w:id="1"/>
      <w:r w:rsidRPr="00AB0B74">
        <w:rPr>
          <w:rFonts w:cs="Arial"/>
        </w:rPr>
        <w:t>[</w:t>
      </w:r>
      <w:r w:rsidRPr="00AB0B74">
        <w:rPr>
          <w:rFonts w:cs="Arial"/>
          <w:highlight w:val="lightGray"/>
        </w:rPr>
        <w:t>Insert Client Name</w:t>
      </w:r>
      <w:r w:rsidRPr="00AB0B74">
        <w:rPr>
          <w:rFonts w:cs="Arial"/>
        </w:rPr>
        <w:t>]</w:t>
      </w:r>
    </w:p>
    <w:p w14:paraId="2C3368E1" w14:textId="77777777" w:rsidR="00501AF1" w:rsidRPr="00AB0B74" w:rsidRDefault="00501AF1" w:rsidP="00501AF1">
      <w:pPr>
        <w:rPr>
          <w:rFonts w:cs="Arial"/>
        </w:rPr>
      </w:pPr>
      <w:bookmarkStart w:id="2" w:name="Position"/>
      <w:bookmarkEnd w:id="2"/>
      <w:r w:rsidRPr="00AB0B74">
        <w:rPr>
          <w:rFonts w:cs="Arial"/>
        </w:rPr>
        <w:t>[</w:t>
      </w:r>
      <w:r w:rsidRPr="00AB0B74">
        <w:rPr>
          <w:rFonts w:cs="Arial"/>
          <w:highlight w:val="lightGray"/>
        </w:rPr>
        <w:t>Insert Client Position</w:t>
      </w:r>
      <w:r w:rsidRPr="00AB0B74">
        <w:rPr>
          <w:rFonts w:cs="Arial"/>
        </w:rPr>
        <w:t>]</w:t>
      </w:r>
    </w:p>
    <w:p w14:paraId="4B4B4AF7" w14:textId="77777777" w:rsidR="00501AF1" w:rsidRPr="00AB0B74" w:rsidRDefault="00501AF1" w:rsidP="00501AF1">
      <w:pPr>
        <w:rPr>
          <w:rFonts w:cs="Arial"/>
        </w:rPr>
      </w:pPr>
      <w:bookmarkStart w:id="3" w:name="Company1"/>
      <w:bookmarkEnd w:id="3"/>
      <w:r w:rsidRPr="00AB0B74">
        <w:rPr>
          <w:rFonts w:cs="Arial"/>
        </w:rPr>
        <w:t>[</w:t>
      </w:r>
      <w:r w:rsidRPr="00AB0B74">
        <w:rPr>
          <w:rFonts w:cs="Arial"/>
          <w:highlight w:val="lightGray"/>
        </w:rPr>
        <w:t>Insert Company Name</w:t>
      </w:r>
      <w:r w:rsidRPr="00AB0B74">
        <w:rPr>
          <w:rFonts w:cs="Arial"/>
        </w:rPr>
        <w:t>]</w:t>
      </w:r>
    </w:p>
    <w:p w14:paraId="2287CDA8" w14:textId="77777777" w:rsidR="00501AF1" w:rsidRPr="00AB0B74" w:rsidRDefault="00501AF1" w:rsidP="00501AF1">
      <w:pPr>
        <w:rPr>
          <w:rFonts w:cs="Arial"/>
        </w:rPr>
      </w:pPr>
      <w:bookmarkStart w:id="4" w:name="Address1"/>
      <w:bookmarkEnd w:id="4"/>
      <w:r w:rsidRPr="00AB0B74">
        <w:rPr>
          <w:rFonts w:cs="Arial"/>
        </w:rPr>
        <w:t>[</w:t>
      </w:r>
      <w:r w:rsidRPr="00AB0B74">
        <w:rPr>
          <w:rFonts w:cs="Arial"/>
          <w:highlight w:val="lightGray"/>
        </w:rPr>
        <w:t>Insert Company Address</w:t>
      </w:r>
      <w:r w:rsidRPr="00AB0B74">
        <w:rPr>
          <w:rFonts w:cs="Arial"/>
        </w:rPr>
        <w:t>]</w:t>
      </w:r>
    </w:p>
    <w:p w14:paraId="4EE97D66" w14:textId="77777777" w:rsidR="00501AF1" w:rsidRPr="00AB0B74" w:rsidRDefault="00501AF1" w:rsidP="00501AF1">
      <w:pPr>
        <w:rPr>
          <w:rFonts w:cs="Arial"/>
        </w:rPr>
      </w:pPr>
      <w:bookmarkStart w:id="5" w:name="Suburb"/>
      <w:bookmarkEnd w:id="5"/>
      <w:r w:rsidRPr="00AB0B74">
        <w:rPr>
          <w:rFonts w:cs="Arial"/>
        </w:rPr>
        <w:t>[</w:t>
      </w:r>
      <w:bookmarkStart w:id="6" w:name="State"/>
      <w:bookmarkEnd w:id="6"/>
      <w:r w:rsidRPr="00AB0B74">
        <w:rPr>
          <w:rFonts w:cs="Arial"/>
          <w:highlight w:val="lightGray"/>
        </w:rPr>
        <w:t>Suburb State Post Code]</w:t>
      </w:r>
    </w:p>
    <w:p w14:paraId="6E7C83F3" w14:textId="77777777" w:rsidR="00501AF1" w:rsidRPr="00AB0B74" w:rsidRDefault="00501AF1" w:rsidP="00501AF1">
      <w:pPr>
        <w:rPr>
          <w:rFonts w:cs="Arial"/>
        </w:rPr>
      </w:pPr>
    </w:p>
    <w:p w14:paraId="39DEEF93" w14:textId="77777777" w:rsidR="00501AF1" w:rsidRPr="00AB0B74" w:rsidRDefault="00501AF1" w:rsidP="00501AF1">
      <w:pPr>
        <w:rPr>
          <w:rFonts w:cs="Arial"/>
          <w:bCs/>
        </w:rPr>
      </w:pPr>
    </w:p>
    <w:p w14:paraId="38999C44" w14:textId="77777777" w:rsidR="00501AF1" w:rsidRPr="00AB0B74" w:rsidRDefault="00501AF1" w:rsidP="00501AF1">
      <w:pPr>
        <w:rPr>
          <w:rFonts w:cs="Arial"/>
        </w:rPr>
      </w:pPr>
      <w:r w:rsidRPr="00AB0B74">
        <w:rPr>
          <w:rFonts w:cs="Arial"/>
        </w:rPr>
        <w:t xml:space="preserve">Dear </w:t>
      </w:r>
      <w:bookmarkStart w:id="7" w:name="Salutation"/>
      <w:bookmarkEnd w:id="7"/>
      <w:r w:rsidRPr="00AB0B74">
        <w:rPr>
          <w:rFonts w:cs="Arial"/>
        </w:rPr>
        <w:t>[</w:t>
      </w:r>
      <w:r w:rsidRPr="00AB0B74">
        <w:rPr>
          <w:rFonts w:cs="Arial"/>
          <w:highlight w:val="lightGray"/>
        </w:rPr>
        <w:t>Insert Client Name</w:t>
      </w:r>
      <w:r w:rsidRPr="00AB0B74">
        <w:rPr>
          <w:rFonts w:cs="Arial"/>
        </w:rPr>
        <w:t>]</w:t>
      </w:r>
    </w:p>
    <w:p w14:paraId="780CA994" w14:textId="77777777" w:rsidR="00501AF1" w:rsidRPr="00AB0B74" w:rsidRDefault="00501AF1" w:rsidP="00501AF1">
      <w:pPr>
        <w:rPr>
          <w:rFonts w:cs="Arial"/>
          <w:bCs/>
        </w:rPr>
      </w:pPr>
    </w:p>
    <w:p w14:paraId="18D27A8B" w14:textId="77777777" w:rsidR="00501AF1" w:rsidRPr="00AB0B74" w:rsidRDefault="00501AF1" w:rsidP="00501AF1">
      <w:pPr>
        <w:rPr>
          <w:rFonts w:cs="Arial"/>
          <w:bCs/>
        </w:rPr>
      </w:pPr>
    </w:p>
    <w:p w14:paraId="5DB3F000" w14:textId="4289682F" w:rsidR="00501AF1" w:rsidRPr="00294A62" w:rsidRDefault="00501AF1" w:rsidP="00501AF1">
      <w:pPr>
        <w:rPr>
          <w:rFonts w:cs="Arial"/>
          <w:b/>
          <w:bCs/>
          <w:sz w:val="21"/>
          <w:szCs w:val="21"/>
        </w:rPr>
      </w:pPr>
      <w:bookmarkStart w:id="8" w:name="Subject"/>
      <w:bookmarkEnd w:id="8"/>
      <w:r w:rsidRPr="00294A62">
        <w:rPr>
          <w:rFonts w:cs="Arial"/>
          <w:b/>
          <w:bCs/>
          <w:sz w:val="21"/>
          <w:szCs w:val="21"/>
        </w:rPr>
        <w:t>Re:</w:t>
      </w:r>
      <w:r w:rsidRPr="00294A62">
        <w:rPr>
          <w:rFonts w:cs="Arial"/>
          <w:b/>
          <w:bCs/>
          <w:sz w:val="21"/>
          <w:szCs w:val="21"/>
        </w:rPr>
        <w:tab/>
      </w:r>
      <w:r w:rsidRPr="00294A62">
        <w:rPr>
          <w:rFonts w:cs="Arial"/>
          <w:b/>
          <w:sz w:val="21"/>
          <w:szCs w:val="21"/>
        </w:rPr>
        <w:t>Y</w:t>
      </w:r>
      <w:r w:rsidR="00294A62">
        <w:rPr>
          <w:rFonts w:cs="Arial"/>
          <w:b/>
          <w:sz w:val="21"/>
          <w:szCs w:val="21"/>
        </w:rPr>
        <w:t>ear</w:t>
      </w:r>
      <w:r w:rsidR="009600F4">
        <w:rPr>
          <w:rFonts w:cs="Arial"/>
          <w:b/>
          <w:sz w:val="21"/>
          <w:szCs w:val="21"/>
        </w:rPr>
        <w:t>-</w:t>
      </w:r>
      <w:r w:rsidR="00294A62">
        <w:rPr>
          <w:rFonts w:cs="Arial"/>
          <w:b/>
          <w:sz w:val="21"/>
          <w:szCs w:val="21"/>
        </w:rPr>
        <w:t>end tax p</w:t>
      </w:r>
      <w:r w:rsidR="00146D2F">
        <w:rPr>
          <w:rFonts w:cs="Arial"/>
          <w:b/>
          <w:sz w:val="21"/>
          <w:szCs w:val="21"/>
        </w:rPr>
        <w:t>reparation</w:t>
      </w:r>
      <w:r w:rsidRPr="00294A62">
        <w:rPr>
          <w:rFonts w:cs="Arial"/>
          <w:b/>
          <w:sz w:val="21"/>
          <w:szCs w:val="21"/>
        </w:rPr>
        <w:t xml:space="preserve"> </w:t>
      </w:r>
    </w:p>
    <w:p w14:paraId="5B0B111B" w14:textId="77777777" w:rsidR="00501AF1" w:rsidRPr="00AB0B74" w:rsidRDefault="00501AF1" w:rsidP="00501AF1">
      <w:pPr>
        <w:rPr>
          <w:rFonts w:cs="Arial"/>
        </w:rPr>
      </w:pPr>
    </w:p>
    <w:p w14:paraId="529C223B" w14:textId="2C6E996F" w:rsidR="00C933C0" w:rsidRDefault="00501AF1" w:rsidP="00501AF1">
      <w:pPr>
        <w:rPr>
          <w:rFonts w:cs="Arial"/>
        </w:rPr>
      </w:pPr>
      <w:r w:rsidRPr="00AB0B74">
        <w:rPr>
          <w:rFonts w:cs="Arial"/>
        </w:rPr>
        <w:t>As year</w:t>
      </w:r>
      <w:r w:rsidR="009600F4">
        <w:rPr>
          <w:rFonts w:cs="Arial"/>
        </w:rPr>
        <w:t>-</w:t>
      </w:r>
      <w:r w:rsidRPr="00AB0B74">
        <w:rPr>
          <w:rFonts w:cs="Arial"/>
        </w:rPr>
        <w:t>end is rapidly approaching, I am writing to encourage you to contact our office to arrange a meeting to discuss tax p</w:t>
      </w:r>
      <w:r w:rsidR="00146D2F">
        <w:rPr>
          <w:rFonts w:cs="Arial"/>
        </w:rPr>
        <w:t>reparation</w:t>
      </w:r>
      <w:r w:rsidRPr="00AB0B74">
        <w:rPr>
          <w:rFonts w:cs="Arial"/>
        </w:rPr>
        <w:t xml:space="preserve"> matters</w:t>
      </w:r>
      <w:r w:rsidR="00C933C0">
        <w:rPr>
          <w:rFonts w:cs="Arial"/>
        </w:rPr>
        <w:t>.</w:t>
      </w:r>
    </w:p>
    <w:p w14:paraId="4ADA2114" w14:textId="77777777" w:rsidR="00C933C0" w:rsidRDefault="00C933C0" w:rsidP="00501AF1">
      <w:pPr>
        <w:rPr>
          <w:rFonts w:cs="Arial"/>
        </w:rPr>
      </w:pPr>
    </w:p>
    <w:p w14:paraId="2D33C878" w14:textId="6806C2C6" w:rsidR="00C933C0" w:rsidRDefault="00C933C0" w:rsidP="00501AF1">
      <w:pPr>
        <w:rPr>
          <w:rFonts w:cs="Arial"/>
        </w:rPr>
      </w:pPr>
      <w:r>
        <w:rPr>
          <w:rFonts w:cs="Arial"/>
        </w:rPr>
        <w:t xml:space="preserve">I have also prepared a list of records you may wish to bring with you when we meet concerning the preparation of </w:t>
      </w:r>
      <w:r w:rsidRPr="00BD45FB">
        <w:rPr>
          <w:rFonts w:cs="Arial"/>
          <w:highlight w:val="yellow"/>
        </w:rPr>
        <w:t>[</w:t>
      </w:r>
      <w:r w:rsidR="000F30CF">
        <w:rPr>
          <w:rFonts w:cs="Arial"/>
          <w:highlight w:val="yellow"/>
        </w:rPr>
        <w:t xml:space="preserve">Delete as applicable: </w:t>
      </w:r>
      <w:r w:rsidRPr="00BD45FB">
        <w:rPr>
          <w:rFonts w:cs="Arial"/>
          <w:highlight w:val="yellow"/>
        </w:rPr>
        <w:t xml:space="preserve">your individual income tax return for the year ended 30 June </w:t>
      </w:r>
      <w:r w:rsidR="00726382" w:rsidRPr="00BD45FB">
        <w:rPr>
          <w:rFonts w:cs="Arial"/>
          <w:highlight w:val="yellow"/>
        </w:rPr>
        <w:t>202</w:t>
      </w:r>
      <w:r w:rsidR="00C4561B">
        <w:rPr>
          <w:rFonts w:cs="Arial"/>
          <w:highlight w:val="yellow"/>
        </w:rPr>
        <w:t>4</w:t>
      </w:r>
      <w:r w:rsidR="00726382" w:rsidRPr="00BD45FB">
        <w:rPr>
          <w:rFonts w:cs="Arial"/>
          <w:highlight w:val="yellow"/>
        </w:rPr>
        <w:t xml:space="preserve"> </w:t>
      </w:r>
      <w:r w:rsidRPr="00BD45FB">
        <w:rPr>
          <w:rFonts w:cs="Arial"/>
          <w:highlight w:val="yellow"/>
        </w:rPr>
        <w:t xml:space="preserve">or the income tax return for your company, trust or partnership for the year ended 30 June </w:t>
      </w:r>
      <w:r w:rsidR="00726382" w:rsidRPr="00BD45FB">
        <w:rPr>
          <w:rFonts w:cs="Arial"/>
          <w:highlight w:val="yellow"/>
        </w:rPr>
        <w:t>202</w:t>
      </w:r>
      <w:r w:rsidR="00C4561B">
        <w:rPr>
          <w:rFonts w:cs="Arial"/>
          <w:highlight w:val="yellow"/>
        </w:rPr>
        <w:t>4</w:t>
      </w:r>
      <w:r w:rsidR="00726382">
        <w:rPr>
          <w:rFonts w:cs="Arial"/>
          <w:highlight w:val="yellow"/>
        </w:rPr>
        <w:t xml:space="preserve"> </w:t>
      </w:r>
      <w:r w:rsidR="00C11BCE">
        <w:rPr>
          <w:rFonts w:cs="Arial"/>
          <w:highlight w:val="yellow"/>
        </w:rPr>
        <w:t>or your group income tax returns for the year ended 30 June 202</w:t>
      </w:r>
      <w:r w:rsidR="00D022DE">
        <w:rPr>
          <w:rFonts w:cs="Arial"/>
          <w:highlight w:val="yellow"/>
        </w:rPr>
        <w:t>4</w:t>
      </w:r>
      <w:r w:rsidRPr="00BD45FB">
        <w:rPr>
          <w:rFonts w:cs="Arial"/>
          <w:highlight w:val="yellow"/>
        </w:rPr>
        <w:t>]</w:t>
      </w:r>
      <w:r>
        <w:rPr>
          <w:rFonts w:cs="Arial"/>
        </w:rPr>
        <w:t xml:space="preserve"> which is attached as Appendix</w:t>
      </w:r>
      <w:r w:rsidR="00726382">
        <w:rPr>
          <w:rFonts w:cs="Arial"/>
        </w:rPr>
        <w:t xml:space="preserve"> 1</w:t>
      </w:r>
      <w:r>
        <w:rPr>
          <w:rFonts w:cs="Arial"/>
        </w:rPr>
        <w:t xml:space="preserve"> to this correspondence.    </w:t>
      </w:r>
    </w:p>
    <w:p w14:paraId="369E7305" w14:textId="77777777" w:rsidR="00C933C0" w:rsidRDefault="00C933C0" w:rsidP="00501AF1">
      <w:pPr>
        <w:rPr>
          <w:rFonts w:cs="Arial"/>
        </w:rPr>
      </w:pPr>
    </w:p>
    <w:p w14:paraId="77AF4EF8" w14:textId="2A01004E" w:rsidR="007A0466" w:rsidRPr="00686404" w:rsidRDefault="007A0466" w:rsidP="00501AF1">
      <w:pPr>
        <w:rPr>
          <w:rFonts w:cs="Arial"/>
          <w:b/>
        </w:rPr>
      </w:pPr>
      <w:r>
        <w:rPr>
          <w:rFonts w:cs="Arial"/>
          <w:b/>
        </w:rPr>
        <w:t>YEAR</w:t>
      </w:r>
      <w:r w:rsidR="009600F4">
        <w:rPr>
          <w:rFonts w:cs="Arial"/>
          <w:b/>
        </w:rPr>
        <w:t>-</w:t>
      </w:r>
      <w:r>
        <w:rPr>
          <w:rFonts w:cs="Arial"/>
          <w:b/>
        </w:rPr>
        <w:t>END CONSIDERATIONS</w:t>
      </w:r>
    </w:p>
    <w:p w14:paraId="1B757D3A" w14:textId="77777777" w:rsidR="00C933C0" w:rsidRDefault="00C933C0" w:rsidP="00501AF1">
      <w:pPr>
        <w:rPr>
          <w:rFonts w:cs="Arial"/>
        </w:rPr>
      </w:pPr>
    </w:p>
    <w:p w14:paraId="598B1FBF" w14:textId="08999280" w:rsidR="000F30CF" w:rsidRPr="00C933C0" w:rsidRDefault="00C933C0" w:rsidP="00556F4A">
      <w:pPr>
        <w:rPr>
          <w:rFonts w:cs="Arial"/>
        </w:rPr>
      </w:pPr>
      <w:r>
        <w:rPr>
          <w:rFonts w:cs="Arial"/>
        </w:rPr>
        <w:t xml:space="preserve">Please find detailed below commentary </w:t>
      </w:r>
      <w:r w:rsidR="00AF3E99">
        <w:rPr>
          <w:rFonts w:cs="Arial"/>
        </w:rPr>
        <w:t xml:space="preserve">on </w:t>
      </w:r>
      <w:r w:rsidR="00D06D7E">
        <w:rPr>
          <w:rFonts w:cs="Arial"/>
        </w:rPr>
        <w:t>certain</w:t>
      </w:r>
      <w:r>
        <w:rPr>
          <w:rFonts w:cs="Arial"/>
        </w:rPr>
        <w:t xml:space="preserve"> categories of tax planning issues that </w:t>
      </w:r>
      <w:r w:rsidR="00C81194">
        <w:rPr>
          <w:rFonts w:cs="Arial"/>
        </w:rPr>
        <w:t xml:space="preserve">you </w:t>
      </w:r>
      <w:r>
        <w:rPr>
          <w:rFonts w:cs="Arial"/>
        </w:rPr>
        <w:t>may wish to consider in the lead up to year</w:t>
      </w:r>
      <w:r w:rsidR="009600F4">
        <w:rPr>
          <w:rFonts w:cs="Arial"/>
        </w:rPr>
        <w:t>-</w:t>
      </w:r>
      <w:r>
        <w:rPr>
          <w:rFonts w:cs="Arial"/>
        </w:rPr>
        <w:t>end</w:t>
      </w:r>
      <w:bookmarkStart w:id="9" w:name="_Hlk515223382"/>
      <w:r w:rsidR="000F30CF">
        <w:rPr>
          <w:rFonts w:cs="Arial"/>
        </w:rPr>
        <w:t>.</w:t>
      </w:r>
      <w:r w:rsidR="00D06D7E">
        <w:rPr>
          <w:rFonts w:cs="Arial"/>
        </w:rPr>
        <w:t xml:space="preserve"> </w:t>
      </w:r>
      <w:r w:rsidR="000F30CF" w:rsidRPr="00BD45FB">
        <w:rPr>
          <w:rFonts w:cs="Arial"/>
          <w:highlight w:val="yellow"/>
        </w:rPr>
        <w:t>[delete</w:t>
      </w:r>
      <w:r w:rsidR="00D06D7E">
        <w:rPr>
          <w:rFonts w:cs="Arial"/>
          <w:highlight w:val="yellow"/>
        </w:rPr>
        <w:t xml:space="preserve"> relevant sections below</w:t>
      </w:r>
      <w:r w:rsidR="000F30CF" w:rsidRPr="00BD45FB">
        <w:rPr>
          <w:rFonts w:cs="Arial"/>
          <w:highlight w:val="yellow"/>
        </w:rPr>
        <w:t xml:space="preserve"> as appropriate]</w:t>
      </w:r>
    </w:p>
    <w:bookmarkEnd w:id="9"/>
    <w:p w14:paraId="64800F25" w14:textId="77777777" w:rsidR="00C933C0" w:rsidRDefault="00C933C0" w:rsidP="00501AF1">
      <w:pPr>
        <w:rPr>
          <w:rFonts w:cs="Arial"/>
        </w:rPr>
      </w:pPr>
    </w:p>
    <w:p w14:paraId="45751EDB" w14:textId="7E1A71DF" w:rsidR="00D06D7E" w:rsidRPr="00C933C0" w:rsidRDefault="00A21AD3" w:rsidP="00D06D7E">
      <w:pPr>
        <w:rPr>
          <w:rFonts w:cs="Arial"/>
        </w:rPr>
      </w:pPr>
      <w:r>
        <w:rPr>
          <w:rFonts w:cs="Arial"/>
          <w:b/>
        </w:rPr>
        <w:t>BUSINESS YEAR</w:t>
      </w:r>
      <w:r w:rsidR="009600F4">
        <w:rPr>
          <w:rFonts w:cs="Arial"/>
          <w:b/>
        </w:rPr>
        <w:t>-</w:t>
      </w:r>
      <w:r>
        <w:rPr>
          <w:rFonts w:cs="Arial"/>
          <w:b/>
        </w:rPr>
        <w:t>END TAX P</w:t>
      </w:r>
      <w:r w:rsidR="00146D2F">
        <w:rPr>
          <w:rFonts w:cs="Arial"/>
          <w:b/>
        </w:rPr>
        <w:t>REPARATION</w:t>
      </w:r>
      <w:r>
        <w:rPr>
          <w:rFonts w:cs="Arial"/>
          <w:b/>
        </w:rPr>
        <w:t xml:space="preserve"> ISSUES</w:t>
      </w:r>
      <w:r w:rsidR="00D06D7E">
        <w:rPr>
          <w:rFonts w:cs="Arial"/>
          <w:b/>
        </w:rPr>
        <w:t xml:space="preserve"> </w:t>
      </w:r>
      <w:r w:rsidR="00D06D7E" w:rsidRPr="00BD45FB">
        <w:rPr>
          <w:rFonts w:cs="Arial"/>
          <w:highlight w:val="yellow"/>
        </w:rPr>
        <w:t>[delete</w:t>
      </w:r>
      <w:r w:rsidR="00D06D7E">
        <w:rPr>
          <w:rFonts w:cs="Arial"/>
          <w:highlight w:val="yellow"/>
        </w:rPr>
        <w:t xml:space="preserve"> if not in business</w:t>
      </w:r>
      <w:r w:rsidR="00D06D7E" w:rsidRPr="00BD45FB">
        <w:rPr>
          <w:rFonts w:cs="Arial"/>
          <w:highlight w:val="yellow"/>
        </w:rPr>
        <w:t>]</w:t>
      </w:r>
    </w:p>
    <w:p w14:paraId="1FD1F61B" w14:textId="5C530D99" w:rsidR="00A21AD3" w:rsidRPr="00686404" w:rsidRDefault="00A21AD3" w:rsidP="009639A8">
      <w:pPr>
        <w:rPr>
          <w:rFonts w:cs="Arial"/>
          <w:b/>
        </w:rPr>
      </w:pPr>
    </w:p>
    <w:p w14:paraId="3B433888" w14:textId="7859BBA7" w:rsidR="00B006A0" w:rsidRDefault="00686404">
      <w:pPr>
        <w:rPr>
          <w:rFonts w:cs="Arial"/>
        </w:rPr>
      </w:pPr>
      <w:r>
        <w:rPr>
          <w:rFonts w:cs="Arial"/>
        </w:rPr>
        <w:t>Some key business issues which may be relevant prior to the end of the finan</w:t>
      </w:r>
      <w:r w:rsidR="007A0466">
        <w:rPr>
          <w:rFonts w:cs="Arial"/>
        </w:rPr>
        <w:t xml:space="preserve">cial year </w:t>
      </w:r>
      <w:r w:rsidR="00C16A33">
        <w:rPr>
          <w:rFonts w:cs="Arial"/>
        </w:rPr>
        <w:t>are outlined below.</w:t>
      </w:r>
      <w:r w:rsidR="009052F5">
        <w:rPr>
          <w:rFonts w:cs="Arial"/>
        </w:rPr>
        <w:t xml:space="preserve"> </w:t>
      </w:r>
    </w:p>
    <w:p w14:paraId="5ED5D6D7" w14:textId="77777777" w:rsidR="000F30CF" w:rsidRDefault="000F30CF" w:rsidP="00105E62">
      <w:pPr>
        <w:rPr>
          <w:rFonts w:cs="Arial"/>
        </w:rPr>
      </w:pPr>
    </w:p>
    <w:p w14:paraId="4C038C32" w14:textId="13ECE29C" w:rsidR="0037025D" w:rsidRPr="007B4BB1" w:rsidRDefault="00271C3F" w:rsidP="00105E62">
      <w:pPr>
        <w:rPr>
          <w:b/>
        </w:rPr>
      </w:pPr>
      <w:r>
        <w:rPr>
          <w:rFonts w:cs="Arial"/>
          <w:b/>
          <w:bCs/>
        </w:rPr>
        <w:t>Announced</w:t>
      </w:r>
      <w:r w:rsidRPr="00F40AF7">
        <w:rPr>
          <w:rFonts w:cs="Arial"/>
          <w:b/>
          <w:bCs/>
        </w:rPr>
        <w:t xml:space="preserve"> </w:t>
      </w:r>
      <w:r w:rsidRPr="007B4BB1">
        <w:rPr>
          <w:b/>
        </w:rPr>
        <w:t xml:space="preserve">small business </w:t>
      </w:r>
      <w:proofErr w:type="gramStart"/>
      <w:r w:rsidRPr="007B4BB1">
        <w:rPr>
          <w:b/>
        </w:rPr>
        <w:t>measures</w:t>
      </w:r>
      <w:proofErr w:type="gramEnd"/>
    </w:p>
    <w:p w14:paraId="0BA33BD4" w14:textId="77777777" w:rsidR="00271C3F" w:rsidRDefault="00271C3F" w:rsidP="00105E62">
      <w:pPr>
        <w:rPr>
          <w:rFonts w:cs="Arial"/>
        </w:rPr>
      </w:pPr>
    </w:p>
    <w:p w14:paraId="7EFE6DEC" w14:textId="77D4FB49" w:rsidR="00C876E8" w:rsidRDefault="00DD2512" w:rsidP="003D793E">
      <w:pPr>
        <w:rPr>
          <w:rFonts w:cs="Arial"/>
        </w:rPr>
      </w:pPr>
      <w:r>
        <w:rPr>
          <w:rFonts w:cs="Arial"/>
        </w:rPr>
        <w:t>T</w:t>
      </w:r>
      <w:r w:rsidR="00A47130">
        <w:rPr>
          <w:rFonts w:cs="Arial"/>
        </w:rPr>
        <w:t>he</w:t>
      </w:r>
      <w:r w:rsidR="00490DCA">
        <w:rPr>
          <w:rFonts w:cs="Arial"/>
        </w:rPr>
        <w:t xml:space="preserve"> Government </w:t>
      </w:r>
      <w:r w:rsidR="00E315CB">
        <w:rPr>
          <w:rFonts w:cs="Arial"/>
        </w:rPr>
        <w:t>proposed</w:t>
      </w:r>
      <w:r w:rsidR="00490DCA">
        <w:rPr>
          <w:rFonts w:cs="Arial"/>
        </w:rPr>
        <w:t xml:space="preserve"> the following </w:t>
      </w:r>
      <w:r w:rsidR="001C753C">
        <w:rPr>
          <w:rFonts w:cs="Arial"/>
        </w:rPr>
        <w:t xml:space="preserve">measures </w:t>
      </w:r>
      <w:r w:rsidR="0074456E">
        <w:rPr>
          <w:rFonts w:cs="Arial"/>
        </w:rPr>
        <w:t>for small businesses:</w:t>
      </w:r>
    </w:p>
    <w:p w14:paraId="5A988F7B" w14:textId="74E3714E" w:rsidR="005430BF" w:rsidRPr="00D335CB" w:rsidRDefault="005430BF" w:rsidP="00F40AF7">
      <w:pPr>
        <w:pStyle w:val="ListParagraph"/>
        <w:numPr>
          <w:ilvl w:val="0"/>
          <w:numId w:val="37"/>
        </w:numPr>
        <w:adjustRightInd w:val="0"/>
      </w:pPr>
      <w:r w:rsidRPr="00D335CB">
        <w:t>Small business support - $</w:t>
      </w:r>
      <w:r w:rsidR="00D73335">
        <w:t>2</w:t>
      </w:r>
      <w:r w:rsidRPr="00D335CB">
        <w:t>0,000 instant asset write-off</w:t>
      </w:r>
    </w:p>
    <w:p w14:paraId="45D703DE" w14:textId="6D61C391" w:rsidR="0074456E" w:rsidRDefault="0074456E" w:rsidP="00F40AF7">
      <w:pPr>
        <w:pStyle w:val="ListParagraph"/>
        <w:numPr>
          <w:ilvl w:val="0"/>
          <w:numId w:val="37"/>
        </w:numPr>
        <w:adjustRightInd w:val="0"/>
        <w:rPr>
          <w:rFonts w:cs="Arial"/>
        </w:rPr>
      </w:pPr>
      <w:r w:rsidRPr="00D335CB">
        <w:t>Smal</w:t>
      </w:r>
      <w:r>
        <w:rPr>
          <w:rFonts w:cs="Arial"/>
        </w:rPr>
        <w:t>l business energy initiative</w:t>
      </w:r>
    </w:p>
    <w:p w14:paraId="522E58AF" w14:textId="77777777" w:rsidR="005430BF" w:rsidRDefault="005430BF" w:rsidP="005430BF">
      <w:pPr>
        <w:rPr>
          <w:rFonts w:cs="Arial"/>
        </w:rPr>
      </w:pPr>
    </w:p>
    <w:p w14:paraId="27B43B54" w14:textId="2FCE8208" w:rsidR="005430BF" w:rsidRPr="00F40AF7" w:rsidRDefault="00E315CB" w:rsidP="005430BF">
      <w:pPr>
        <w:rPr>
          <w:rFonts w:cs="Arial"/>
        </w:rPr>
      </w:pPr>
      <w:r>
        <w:rPr>
          <w:rFonts w:cs="Arial"/>
        </w:rPr>
        <w:t xml:space="preserve">Please note that at the time of writing, these proposals have </w:t>
      </w:r>
      <w:r w:rsidR="00161A6D">
        <w:rPr>
          <w:rFonts w:cs="Arial"/>
        </w:rPr>
        <w:t>yet to become law. I</w:t>
      </w:r>
      <w:r w:rsidR="00E24C55">
        <w:rPr>
          <w:rFonts w:cs="Arial"/>
        </w:rPr>
        <w:t>f</w:t>
      </w:r>
      <w:r w:rsidR="00D43F06">
        <w:rPr>
          <w:rFonts w:cs="Arial"/>
        </w:rPr>
        <w:t xml:space="preserve"> the</w:t>
      </w:r>
      <w:r w:rsidR="00161A6D">
        <w:rPr>
          <w:rFonts w:cs="Arial"/>
        </w:rPr>
        <w:t>y do become law</w:t>
      </w:r>
      <w:r w:rsidR="00271C3F">
        <w:rPr>
          <w:rFonts w:cs="Arial"/>
        </w:rPr>
        <w:t>,</w:t>
      </w:r>
      <w:r w:rsidR="00D43F06">
        <w:rPr>
          <w:rFonts w:cs="Arial"/>
        </w:rPr>
        <w:t xml:space="preserve"> the measures will </w:t>
      </w:r>
      <w:r w:rsidR="009D102C">
        <w:rPr>
          <w:rFonts w:cs="Arial"/>
        </w:rPr>
        <w:t xml:space="preserve">only </w:t>
      </w:r>
      <w:r w:rsidR="00D43F06">
        <w:rPr>
          <w:rFonts w:cs="Arial"/>
        </w:rPr>
        <w:t>apply from 1 July 2023 to 30 June 2024.</w:t>
      </w:r>
      <w:r w:rsidR="00066EF7">
        <w:rPr>
          <w:rFonts w:cs="Arial"/>
        </w:rPr>
        <w:t xml:space="preserve"> </w:t>
      </w:r>
    </w:p>
    <w:p w14:paraId="4EDC4CC3" w14:textId="77777777" w:rsidR="00C876E8" w:rsidRDefault="00C876E8" w:rsidP="003D793E">
      <w:pPr>
        <w:rPr>
          <w:rFonts w:cs="Arial"/>
          <w:b/>
          <w:bCs/>
        </w:rPr>
      </w:pPr>
    </w:p>
    <w:p w14:paraId="4E5279B1" w14:textId="3A9744F7" w:rsidR="003D793E" w:rsidRDefault="00035333" w:rsidP="00FF3AFC">
      <w:pPr>
        <w:rPr>
          <w:rFonts w:cs="Arial"/>
        </w:rPr>
      </w:pPr>
      <w:r w:rsidRPr="004677E0">
        <w:rPr>
          <w:rFonts w:cs="Arial"/>
          <w:b/>
          <w:bCs/>
        </w:rPr>
        <w:t xml:space="preserve">Small </w:t>
      </w:r>
      <w:r w:rsidR="003D793E" w:rsidRPr="004677E0">
        <w:rPr>
          <w:rFonts w:cs="Arial"/>
          <w:b/>
          <w:bCs/>
        </w:rPr>
        <w:t>business support – instant</w:t>
      </w:r>
      <w:r w:rsidR="003D793E" w:rsidRPr="00FF3AFC">
        <w:rPr>
          <w:b/>
        </w:rPr>
        <w:t xml:space="preserve"> asset </w:t>
      </w:r>
      <w:r w:rsidR="003D793E" w:rsidRPr="004677E0">
        <w:rPr>
          <w:rFonts w:cs="Arial"/>
          <w:b/>
          <w:bCs/>
        </w:rPr>
        <w:t>write-off</w:t>
      </w:r>
    </w:p>
    <w:p w14:paraId="6DB96604" w14:textId="62F56454" w:rsidR="006F701A" w:rsidRDefault="006F701A" w:rsidP="004677E0">
      <w:pPr>
        <w:rPr>
          <w:rFonts w:cs="Arial"/>
        </w:rPr>
      </w:pPr>
    </w:p>
    <w:p w14:paraId="50612326" w14:textId="01ED81C7" w:rsidR="003D793E" w:rsidRPr="003D793E" w:rsidRDefault="000B1FA8" w:rsidP="004677E0">
      <w:pPr>
        <w:rPr>
          <w:rFonts w:cs="Arial"/>
        </w:rPr>
      </w:pPr>
      <w:r>
        <w:rPr>
          <w:rFonts w:cs="Arial"/>
        </w:rPr>
        <w:t>If th</w:t>
      </w:r>
      <w:r w:rsidR="007B1D2A">
        <w:rPr>
          <w:rFonts w:cs="Arial"/>
        </w:rPr>
        <w:t>is proposal becomes law</w:t>
      </w:r>
      <w:r>
        <w:rPr>
          <w:rFonts w:cs="Arial"/>
        </w:rPr>
        <w:t>, s</w:t>
      </w:r>
      <w:r w:rsidR="006F701A">
        <w:rPr>
          <w:rFonts w:cs="Arial"/>
        </w:rPr>
        <w:t>mall businesses with an aggregated annual turnover of less than $</w:t>
      </w:r>
      <w:r w:rsidR="00D73335">
        <w:rPr>
          <w:rFonts w:cs="Arial"/>
        </w:rPr>
        <w:t>1</w:t>
      </w:r>
      <w:r w:rsidR="006F701A">
        <w:rPr>
          <w:rFonts w:cs="Arial"/>
        </w:rPr>
        <w:t>0 million will be able to immediately deduct the full cost of eligible assets costing less than $</w:t>
      </w:r>
      <w:r w:rsidR="00D73335">
        <w:rPr>
          <w:rFonts w:cs="Arial"/>
        </w:rPr>
        <w:t>2</w:t>
      </w:r>
      <w:r w:rsidR="006F701A">
        <w:rPr>
          <w:rFonts w:cs="Arial"/>
        </w:rPr>
        <w:t>0,000 that are first used or installed ready for use between 1 July 2023 and 30 June 2024.</w:t>
      </w:r>
    </w:p>
    <w:p w14:paraId="513BB9C3" w14:textId="77777777" w:rsidR="00B94DA4" w:rsidRDefault="00B94DA4" w:rsidP="00726382">
      <w:pPr>
        <w:rPr>
          <w:rFonts w:cs="Arial"/>
        </w:rPr>
      </w:pPr>
    </w:p>
    <w:p w14:paraId="0034B20E" w14:textId="0F986C23" w:rsidR="006F701A" w:rsidRDefault="006F701A" w:rsidP="00726382">
      <w:pPr>
        <w:rPr>
          <w:rFonts w:cs="Arial"/>
        </w:rPr>
      </w:pPr>
      <w:r>
        <w:rPr>
          <w:rFonts w:cs="Arial"/>
        </w:rPr>
        <w:t>The $</w:t>
      </w:r>
      <w:r w:rsidR="00D73335">
        <w:rPr>
          <w:rFonts w:cs="Arial"/>
        </w:rPr>
        <w:t>2</w:t>
      </w:r>
      <w:r>
        <w:rPr>
          <w:rFonts w:cs="Arial"/>
        </w:rPr>
        <w:t>0,000 threshold will apply on a per asset basis, so small businesses can instantly write-off multiple assets.</w:t>
      </w:r>
      <w:r w:rsidR="00F438EC">
        <w:rPr>
          <w:rFonts w:cs="Arial"/>
        </w:rPr>
        <w:t xml:space="preserve"> </w:t>
      </w:r>
      <w:r>
        <w:rPr>
          <w:rFonts w:cs="Arial"/>
        </w:rPr>
        <w:t>Assets valued at $</w:t>
      </w:r>
      <w:r w:rsidR="00D73335">
        <w:rPr>
          <w:rFonts w:cs="Arial"/>
        </w:rPr>
        <w:t>2</w:t>
      </w:r>
      <w:r>
        <w:rPr>
          <w:rFonts w:cs="Arial"/>
        </w:rPr>
        <w:t>0,000 or more (which cannot be immediately deducted) can continue to be placed into the small business depreciation pool and depreciated at 15</w:t>
      </w:r>
      <w:r w:rsidR="00C12ADD">
        <w:rPr>
          <w:rFonts w:cs="Arial"/>
        </w:rPr>
        <w:t xml:space="preserve"> per cent</w:t>
      </w:r>
      <w:r>
        <w:rPr>
          <w:rFonts w:cs="Arial"/>
        </w:rPr>
        <w:t xml:space="preserve"> in the first income year and 30% each income year after that.</w:t>
      </w:r>
    </w:p>
    <w:p w14:paraId="774557E7" w14:textId="77777777" w:rsidR="0091634E" w:rsidRDefault="0091634E" w:rsidP="00726382">
      <w:pPr>
        <w:rPr>
          <w:rFonts w:cs="Arial"/>
        </w:rPr>
      </w:pPr>
    </w:p>
    <w:p w14:paraId="198B526A" w14:textId="77C255E2" w:rsidR="0091634E" w:rsidRDefault="0091634E" w:rsidP="00726382">
      <w:pPr>
        <w:rPr>
          <w:rFonts w:cs="Arial"/>
        </w:rPr>
      </w:pPr>
      <w:r>
        <w:rPr>
          <w:rFonts w:cs="Arial"/>
        </w:rPr>
        <w:t xml:space="preserve">It is noted that in the </w:t>
      </w:r>
      <w:r w:rsidR="0004631B">
        <w:rPr>
          <w:rFonts w:cs="Arial"/>
        </w:rPr>
        <w:t xml:space="preserve">2024-25 </w:t>
      </w:r>
      <w:r>
        <w:rPr>
          <w:rFonts w:cs="Arial"/>
        </w:rPr>
        <w:t>Federal Budget</w:t>
      </w:r>
      <w:r w:rsidR="00F438EC">
        <w:rPr>
          <w:rFonts w:cs="Arial"/>
        </w:rPr>
        <w:t>,</w:t>
      </w:r>
      <w:r w:rsidR="0004631B">
        <w:rPr>
          <w:rFonts w:cs="Arial"/>
        </w:rPr>
        <w:t xml:space="preserve"> the Government </w:t>
      </w:r>
      <w:r w:rsidR="002D6103">
        <w:rPr>
          <w:rFonts w:cs="Arial"/>
        </w:rPr>
        <w:t xml:space="preserve">proposed </w:t>
      </w:r>
      <w:r w:rsidR="0004631B">
        <w:rPr>
          <w:rFonts w:cs="Arial"/>
        </w:rPr>
        <w:t xml:space="preserve">that the small business instant asset </w:t>
      </w:r>
      <w:r w:rsidR="00606EE9">
        <w:rPr>
          <w:rFonts w:cs="Arial"/>
        </w:rPr>
        <w:t>write off be</w:t>
      </w:r>
      <w:r w:rsidR="00BD59DA">
        <w:rPr>
          <w:rFonts w:cs="Arial"/>
        </w:rPr>
        <w:t xml:space="preserve"> extended for 12 months to 30 June 2025</w:t>
      </w:r>
      <w:r w:rsidR="00554E29">
        <w:rPr>
          <w:rFonts w:cs="Arial"/>
        </w:rPr>
        <w:t>.</w:t>
      </w:r>
      <w:r w:rsidR="002D6103">
        <w:rPr>
          <w:rFonts w:cs="Arial"/>
        </w:rPr>
        <w:t xml:space="preserve"> Please note, this proposal</w:t>
      </w:r>
      <w:r w:rsidR="00F1403E">
        <w:rPr>
          <w:rFonts w:cs="Arial"/>
        </w:rPr>
        <w:t xml:space="preserve"> is yet to become law.</w:t>
      </w:r>
    </w:p>
    <w:p w14:paraId="20A6B5EA" w14:textId="77777777" w:rsidR="00726382" w:rsidRDefault="00726382" w:rsidP="00726382">
      <w:pPr>
        <w:rPr>
          <w:rFonts w:cs="Arial"/>
        </w:rPr>
      </w:pPr>
    </w:p>
    <w:p w14:paraId="742A6936" w14:textId="6CBE5B76" w:rsidR="00E31918" w:rsidRPr="00F40AF7" w:rsidRDefault="00E31918" w:rsidP="00726382">
      <w:pPr>
        <w:rPr>
          <w:rFonts w:cs="Arial"/>
          <w:b/>
          <w:bCs/>
        </w:rPr>
      </w:pPr>
      <w:r w:rsidRPr="00F40AF7">
        <w:rPr>
          <w:rFonts w:cs="Arial"/>
          <w:b/>
          <w:bCs/>
        </w:rPr>
        <w:t>Small business energy initiative</w:t>
      </w:r>
    </w:p>
    <w:p w14:paraId="024EDE17" w14:textId="77777777" w:rsidR="00E31918" w:rsidRDefault="00E31918" w:rsidP="00726382">
      <w:pPr>
        <w:rPr>
          <w:rFonts w:cs="Arial"/>
        </w:rPr>
      </w:pPr>
    </w:p>
    <w:p w14:paraId="46E1D04D" w14:textId="7565B316" w:rsidR="00511B1A" w:rsidRDefault="00D2062C" w:rsidP="00726382">
      <w:pPr>
        <w:rPr>
          <w:rFonts w:cs="Arial"/>
        </w:rPr>
      </w:pPr>
      <w:r>
        <w:rPr>
          <w:rFonts w:cs="Arial"/>
        </w:rPr>
        <w:lastRenderedPageBreak/>
        <w:t>If th</w:t>
      </w:r>
      <w:r w:rsidR="00C12ADD">
        <w:rPr>
          <w:rFonts w:cs="Arial"/>
        </w:rPr>
        <w:t>is proposal becomes law</w:t>
      </w:r>
      <w:r>
        <w:rPr>
          <w:rFonts w:cs="Arial"/>
        </w:rPr>
        <w:t>, s</w:t>
      </w:r>
      <w:r w:rsidR="002F4FA5">
        <w:rPr>
          <w:rFonts w:cs="Arial"/>
        </w:rPr>
        <w:t xml:space="preserve">mall businesses with an aggregated annual turnover of less than $50 million will be able to </w:t>
      </w:r>
      <w:r w:rsidR="00511B1A">
        <w:rPr>
          <w:rFonts w:cs="Arial"/>
        </w:rPr>
        <w:t xml:space="preserve">claim an additional 20 per cent deduction on spending that supports electrification and more efficient use of energy. </w:t>
      </w:r>
    </w:p>
    <w:p w14:paraId="3136ACDD" w14:textId="77777777" w:rsidR="00511B1A" w:rsidRDefault="00511B1A" w:rsidP="00726382">
      <w:pPr>
        <w:rPr>
          <w:rFonts w:cs="Arial"/>
        </w:rPr>
      </w:pPr>
    </w:p>
    <w:p w14:paraId="2AF2B1D0" w14:textId="2730CBB3" w:rsidR="00BF66C4" w:rsidRDefault="00BF66C4" w:rsidP="00726382">
      <w:pPr>
        <w:rPr>
          <w:rFonts w:cs="Arial"/>
        </w:rPr>
      </w:pPr>
      <w:r>
        <w:rPr>
          <w:rFonts w:cs="Arial"/>
        </w:rPr>
        <w:t>Broadly, a depreciating asset is eligible for the bonus deduction if:</w:t>
      </w:r>
    </w:p>
    <w:p w14:paraId="20413449" w14:textId="234470AB" w:rsidR="00BF66C4" w:rsidRDefault="00BF66C4" w:rsidP="00BF66C4">
      <w:pPr>
        <w:pStyle w:val="ListParagraph"/>
        <w:numPr>
          <w:ilvl w:val="0"/>
          <w:numId w:val="43"/>
        </w:numPr>
        <w:rPr>
          <w:rFonts w:cs="Arial"/>
        </w:rPr>
      </w:pPr>
      <w:r>
        <w:rPr>
          <w:rFonts w:cs="Arial"/>
        </w:rPr>
        <w:t xml:space="preserve">it uses electricity </w:t>
      </w:r>
      <w:r w:rsidR="00126BB2">
        <w:rPr>
          <w:rFonts w:cs="Arial"/>
        </w:rPr>
        <w:t xml:space="preserve">instead of fossil </w:t>
      </w:r>
      <w:proofErr w:type="gramStart"/>
      <w:r w:rsidR="00126BB2">
        <w:rPr>
          <w:rFonts w:cs="Arial"/>
        </w:rPr>
        <w:t>fuel</w:t>
      </w:r>
      <w:proofErr w:type="gramEnd"/>
    </w:p>
    <w:p w14:paraId="60DA7E79" w14:textId="53A675CB" w:rsidR="00BA382F" w:rsidRPr="00BA382F" w:rsidRDefault="00126BB2" w:rsidP="00BA382F">
      <w:pPr>
        <w:pStyle w:val="ListParagraph"/>
        <w:numPr>
          <w:ilvl w:val="0"/>
          <w:numId w:val="43"/>
        </w:numPr>
        <w:rPr>
          <w:rFonts w:cs="Arial"/>
        </w:rPr>
      </w:pPr>
      <w:r>
        <w:rPr>
          <w:rFonts w:cs="Arial"/>
        </w:rPr>
        <w:t xml:space="preserve">it </w:t>
      </w:r>
      <w:r w:rsidR="00F87803">
        <w:rPr>
          <w:rFonts w:cs="Arial"/>
        </w:rPr>
        <w:t xml:space="preserve">is more </w:t>
      </w:r>
      <w:r>
        <w:rPr>
          <w:rFonts w:cs="Arial"/>
        </w:rPr>
        <w:t>energy efficient</w:t>
      </w:r>
      <w:r w:rsidR="00F87803">
        <w:rPr>
          <w:rFonts w:cs="Arial"/>
        </w:rPr>
        <w:t xml:space="preserve"> than the asset it is replacing</w:t>
      </w:r>
      <w:r w:rsidR="00E363FC">
        <w:rPr>
          <w:rFonts w:cs="Arial"/>
        </w:rPr>
        <w:t xml:space="preserve"> or a comparable asset available on the market</w:t>
      </w:r>
      <w:r w:rsidR="00BA382F">
        <w:rPr>
          <w:rFonts w:cs="Arial"/>
        </w:rPr>
        <w:t xml:space="preserve"> and</w:t>
      </w:r>
    </w:p>
    <w:p w14:paraId="2D7CF75B" w14:textId="049E3B2C" w:rsidR="00E363FC" w:rsidRPr="00BF66C4" w:rsidRDefault="00E363FC" w:rsidP="007B4BB1">
      <w:pPr>
        <w:pStyle w:val="ListParagraph"/>
        <w:numPr>
          <w:ilvl w:val="0"/>
          <w:numId w:val="43"/>
        </w:numPr>
        <w:rPr>
          <w:rFonts w:cs="Arial"/>
        </w:rPr>
      </w:pPr>
      <w:r>
        <w:rPr>
          <w:rFonts w:cs="Arial"/>
        </w:rPr>
        <w:t>it is an energy storage, time-shi</w:t>
      </w:r>
      <w:r w:rsidR="00BD0848">
        <w:rPr>
          <w:rFonts w:cs="Arial"/>
        </w:rPr>
        <w:t>f</w:t>
      </w:r>
      <w:r>
        <w:rPr>
          <w:rFonts w:cs="Arial"/>
        </w:rPr>
        <w:t>ting or monitoring asset, or an asset that improves the energy efficiency of another asset.</w:t>
      </w:r>
    </w:p>
    <w:p w14:paraId="0ADA23CB" w14:textId="77777777" w:rsidR="00BF66C4" w:rsidRDefault="00BF66C4" w:rsidP="00726382">
      <w:pPr>
        <w:rPr>
          <w:rFonts w:cs="Arial"/>
        </w:rPr>
      </w:pPr>
    </w:p>
    <w:p w14:paraId="1661BC69" w14:textId="6BCF4D6C" w:rsidR="00E50450" w:rsidRPr="00556F4A" w:rsidRDefault="00511B1A" w:rsidP="00726382">
      <w:pPr>
        <w:rPr>
          <w:rFonts w:cs="Arial"/>
        </w:rPr>
      </w:pPr>
      <w:r>
        <w:rPr>
          <w:rFonts w:cs="Arial"/>
        </w:rPr>
        <w:t xml:space="preserve">Eligible assets or upgrades </w:t>
      </w:r>
      <w:r w:rsidR="00E50450">
        <w:rPr>
          <w:rFonts w:cs="Arial"/>
        </w:rPr>
        <w:t>must be first used or installed ready for use between 1 July 2023 and 30 June 2024.</w:t>
      </w:r>
      <w:r w:rsidR="00F438EC">
        <w:rPr>
          <w:rFonts w:cs="Arial"/>
        </w:rPr>
        <w:t xml:space="preserve"> </w:t>
      </w:r>
      <w:r w:rsidR="00E50450">
        <w:rPr>
          <w:rFonts w:cs="Arial"/>
        </w:rPr>
        <w:t>Up to $100,000 of total expenditure is eligible for this initiative, with the maximum bonus tax deduction being $20,000 per business.</w:t>
      </w:r>
    </w:p>
    <w:p w14:paraId="4EEFA429" w14:textId="140426E9" w:rsidR="00997194" w:rsidRDefault="00997194" w:rsidP="00EC197D">
      <w:pPr>
        <w:rPr>
          <w:szCs w:val="18"/>
        </w:rPr>
      </w:pPr>
    </w:p>
    <w:p w14:paraId="41A41368" w14:textId="77777777" w:rsidR="00D335CB" w:rsidRPr="009409C6" w:rsidRDefault="00D335CB" w:rsidP="00D335CB">
      <w:pPr>
        <w:adjustRightInd w:val="0"/>
        <w:rPr>
          <w:rFonts w:cs="Arial"/>
          <w:b/>
          <w:bCs/>
          <w:lang w:eastAsia="en-AU"/>
        </w:rPr>
      </w:pPr>
      <w:r w:rsidRPr="009409C6">
        <w:rPr>
          <w:rFonts w:cs="Arial"/>
          <w:b/>
          <w:bCs/>
          <w:lang w:eastAsia="en-AU"/>
        </w:rPr>
        <w:t>Skills and Training Boost</w:t>
      </w:r>
    </w:p>
    <w:p w14:paraId="4E894982" w14:textId="77777777" w:rsidR="00D335CB" w:rsidRDefault="00D335CB" w:rsidP="00D335CB">
      <w:pPr>
        <w:spacing w:line="276" w:lineRule="auto"/>
        <w:rPr>
          <w:rFonts w:cs="Arial"/>
          <w:lang w:eastAsia="en-AU"/>
        </w:rPr>
      </w:pPr>
    </w:p>
    <w:p w14:paraId="03D5DA12" w14:textId="4A159338" w:rsidR="00D335CB" w:rsidRDefault="00D335CB" w:rsidP="007B4BB1">
      <w:pPr>
        <w:spacing w:line="276" w:lineRule="auto"/>
        <w:rPr>
          <w:rFonts w:cs="Arial"/>
          <w:lang w:eastAsia="en-AU"/>
        </w:rPr>
      </w:pPr>
      <w:r>
        <w:rPr>
          <w:rFonts w:cs="Arial"/>
          <w:lang w:eastAsia="en-AU"/>
        </w:rPr>
        <w:t xml:space="preserve">The Skills and Training Boost is available for small businesses </w:t>
      </w:r>
      <w:r w:rsidRPr="00CE0C7C">
        <w:rPr>
          <w:rFonts w:cs="Arial"/>
          <w:lang w:eastAsia="en-AU"/>
        </w:rPr>
        <w:t xml:space="preserve">with </w:t>
      </w:r>
      <w:r>
        <w:rPr>
          <w:rFonts w:cs="Arial"/>
          <w:lang w:eastAsia="en-AU"/>
        </w:rPr>
        <w:t xml:space="preserve">an </w:t>
      </w:r>
      <w:r w:rsidRPr="00CE0C7C">
        <w:rPr>
          <w:rFonts w:cs="Arial"/>
          <w:lang w:eastAsia="en-AU"/>
        </w:rPr>
        <w:t xml:space="preserve">aggregated annual turnover </w:t>
      </w:r>
      <w:r>
        <w:rPr>
          <w:rFonts w:cs="Arial"/>
          <w:lang w:eastAsia="en-AU"/>
        </w:rPr>
        <w:t xml:space="preserve">of </w:t>
      </w:r>
      <w:r w:rsidRPr="00CE0C7C">
        <w:rPr>
          <w:rFonts w:cs="Arial"/>
          <w:lang w:eastAsia="en-AU"/>
        </w:rPr>
        <w:t>less than $50 million</w:t>
      </w:r>
      <w:r>
        <w:rPr>
          <w:rFonts w:cs="Arial"/>
          <w:lang w:eastAsia="en-AU"/>
        </w:rPr>
        <w:t>. Small businesses can claim an additional</w:t>
      </w:r>
      <w:r w:rsidRPr="00CE0C7C">
        <w:rPr>
          <w:rFonts w:cs="Arial"/>
          <w:lang w:eastAsia="en-AU"/>
        </w:rPr>
        <w:t xml:space="preserve"> 20 per cent tax deduction for eligible expenditure incurred on external training delivered to their employees by certain registered training providers.</w:t>
      </w:r>
    </w:p>
    <w:p w14:paraId="3E1B8FD9" w14:textId="77777777" w:rsidR="00D335CB" w:rsidRPr="00CE0C7C" w:rsidRDefault="00D335CB" w:rsidP="007B4BB1">
      <w:pPr>
        <w:spacing w:line="276" w:lineRule="auto"/>
        <w:rPr>
          <w:rFonts w:cs="Arial"/>
          <w:lang w:eastAsia="en-AU"/>
        </w:rPr>
      </w:pPr>
    </w:p>
    <w:p w14:paraId="426A5139" w14:textId="48F13AF1" w:rsidR="00D335CB" w:rsidRDefault="00D335CB" w:rsidP="00D335CB">
      <w:pPr>
        <w:spacing w:line="276" w:lineRule="auto"/>
        <w:rPr>
          <w:rFonts w:cs="Arial"/>
          <w:lang w:eastAsia="en-AU"/>
        </w:rPr>
      </w:pPr>
      <w:r>
        <w:rPr>
          <w:rFonts w:cs="Arial"/>
          <w:lang w:eastAsia="en-AU"/>
        </w:rPr>
        <w:t>The expenditure must be:</w:t>
      </w:r>
    </w:p>
    <w:p w14:paraId="03BAC5F0" w14:textId="77777777" w:rsidR="00D335CB" w:rsidRPr="00F40AF7" w:rsidRDefault="00D335CB" w:rsidP="00F40AF7">
      <w:pPr>
        <w:pStyle w:val="ListParagraph"/>
        <w:numPr>
          <w:ilvl w:val="0"/>
          <w:numId w:val="37"/>
        </w:numPr>
        <w:adjustRightInd w:val="0"/>
      </w:pPr>
      <w:r>
        <w:rPr>
          <w:rFonts w:cs="Arial"/>
          <w:lang w:eastAsia="en-AU"/>
        </w:rPr>
        <w:t xml:space="preserve">for the </w:t>
      </w:r>
      <w:r w:rsidRPr="00F40AF7">
        <w:t>provision of training to employees or your business (either online or in-person in Australia)</w:t>
      </w:r>
    </w:p>
    <w:p w14:paraId="2F482D94" w14:textId="77777777" w:rsidR="00D335CB" w:rsidRPr="00F40AF7" w:rsidRDefault="00D335CB" w:rsidP="00F40AF7">
      <w:pPr>
        <w:pStyle w:val="ListParagraph"/>
        <w:numPr>
          <w:ilvl w:val="0"/>
          <w:numId w:val="37"/>
        </w:numPr>
        <w:adjustRightInd w:val="0"/>
      </w:pPr>
      <w:r w:rsidRPr="00F40AF7">
        <w:t>charged, directly or indirectly, by a registered external training provider that is not you or an associate of yours</w:t>
      </w:r>
    </w:p>
    <w:p w14:paraId="7F0952BD" w14:textId="77777777" w:rsidR="00D335CB" w:rsidRPr="00F40AF7" w:rsidRDefault="00D335CB" w:rsidP="00F40AF7">
      <w:pPr>
        <w:pStyle w:val="ListParagraph"/>
        <w:numPr>
          <w:ilvl w:val="0"/>
          <w:numId w:val="37"/>
        </w:numPr>
        <w:adjustRightInd w:val="0"/>
      </w:pPr>
      <w:r w:rsidRPr="00F40AF7">
        <w:t>already deductible for your business and</w:t>
      </w:r>
    </w:p>
    <w:p w14:paraId="23B823E8" w14:textId="696F13CD" w:rsidR="00D335CB" w:rsidRDefault="00D335CB" w:rsidP="007B4BB1">
      <w:pPr>
        <w:pStyle w:val="ListParagraph"/>
        <w:numPr>
          <w:ilvl w:val="0"/>
          <w:numId w:val="37"/>
        </w:numPr>
        <w:adjustRightInd w:val="0"/>
      </w:pPr>
      <w:r w:rsidRPr="00F40AF7">
        <w:t>incurred between</w:t>
      </w:r>
      <w:r>
        <w:rPr>
          <w:rFonts w:cs="Arial"/>
          <w:lang w:eastAsia="en-AU"/>
        </w:rPr>
        <w:t xml:space="preserve"> 29 March 2022 and 30 June 2024. </w:t>
      </w:r>
    </w:p>
    <w:p w14:paraId="674F5607" w14:textId="77777777" w:rsidR="00D335CB" w:rsidRDefault="00D335CB" w:rsidP="007B4BB1">
      <w:pPr>
        <w:adjustRightInd w:val="0"/>
        <w:rPr>
          <w:b/>
          <w:bCs/>
        </w:rPr>
      </w:pPr>
    </w:p>
    <w:p w14:paraId="70116B46" w14:textId="212B7B48" w:rsidR="00D335CB" w:rsidRDefault="00D335CB" w:rsidP="00D335CB">
      <w:pPr>
        <w:rPr>
          <w:b/>
        </w:rPr>
      </w:pPr>
      <w:r>
        <w:rPr>
          <w:b/>
        </w:rPr>
        <w:t>Other</w:t>
      </w:r>
      <w:r w:rsidRPr="007B4BB1">
        <w:rPr>
          <w:b/>
        </w:rPr>
        <w:t xml:space="preserve"> small business </w:t>
      </w:r>
      <w:r w:rsidRPr="004C715D">
        <w:rPr>
          <w:b/>
        </w:rPr>
        <w:t xml:space="preserve">tax concessions </w:t>
      </w:r>
    </w:p>
    <w:p w14:paraId="674D5284" w14:textId="77777777" w:rsidR="00D335CB" w:rsidRDefault="00D335CB" w:rsidP="00D335CB">
      <w:pPr>
        <w:rPr>
          <w:b/>
        </w:rPr>
      </w:pPr>
    </w:p>
    <w:p w14:paraId="1C6375FC" w14:textId="59D0D347" w:rsidR="00D335CB" w:rsidRDefault="00D335CB" w:rsidP="00D335CB">
      <w:r>
        <w:t>From 1 July 2021</w:t>
      </w:r>
      <w:r w:rsidR="00122632">
        <w:t xml:space="preserve"> onwards</w:t>
      </w:r>
      <w:r>
        <w:t xml:space="preserve">, businesses that are not </w:t>
      </w:r>
      <w:r w:rsidR="0096085C">
        <w:t>small business entities (</w:t>
      </w:r>
      <w:r>
        <w:t>SBEs</w:t>
      </w:r>
      <w:r w:rsidR="0096085C">
        <w:t>)</w:t>
      </w:r>
      <w:r>
        <w:t xml:space="preserve"> because their turnover is $10 million or more but less than $50 million are also eligible for:</w:t>
      </w:r>
    </w:p>
    <w:p w14:paraId="2EB20AD5" w14:textId="77777777" w:rsidR="00D335CB" w:rsidRDefault="00D335CB" w:rsidP="00D335CB"/>
    <w:p w14:paraId="7F564F63" w14:textId="7BE27DBA" w:rsidR="00D335CB" w:rsidRDefault="00266B45" w:rsidP="00D335CB">
      <w:pPr>
        <w:pStyle w:val="ListParagraph"/>
        <w:numPr>
          <w:ilvl w:val="0"/>
          <w:numId w:val="32"/>
        </w:numPr>
      </w:pPr>
      <w:r>
        <w:t>a</w:t>
      </w:r>
      <w:r w:rsidR="00D335CB">
        <w:t>n immediate deduction for eligible start-up costs incurred and</w:t>
      </w:r>
    </w:p>
    <w:p w14:paraId="2A3EFB67" w14:textId="3B46429B" w:rsidR="00D335CB" w:rsidRDefault="00266B45" w:rsidP="007B4BB1">
      <w:pPr>
        <w:pStyle w:val="ListParagraph"/>
        <w:numPr>
          <w:ilvl w:val="0"/>
          <w:numId w:val="32"/>
        </w:numPr>
      </w:pPr>
      <w:r>
        <w:t>a</w:t>
      </w:r>
      <w:r w:rsidR="00D335CB">
        <w:t>n immediate deduction under the 12-month prepayment rule for prepaid expenses where the eligible service period for the expenditure is 12 months or less and the period ends no later than the last day of the income year</w:t>
      </w:r>
      <w:r w:rsidR="00D7312F">
        <w:t>,</w:t>
      </w:r>
      <w:r w:rsidR="00D335CB">
        <w:t xml:space="preserve"> following the year in which the expenditure was incurred.</w:t>
      </w:r>
    </w:p>
    <w:p w14:paraId="560743DA" w14:textId="4807E398" w:rsidR="00D335CB" w:rsidRDefault="00D335CB" w:rsidP="00942FDD">
      <w:pPr>
        <w:pStyle w:val="Table"/>
        <w:adjustRightInd w:val="0"/>
        <w:spacing w:before="0" w:after="0"/>
        <w:rPr>
          <w:sz w:val="20"/>
          <w:szCs w:val="20"/>
        </w:rPr>
      </w:pPr>
    </w:p>
    <w:p w14:paraId="12FD4C5F" w14:textId="19DA6BEF" w:rsidR="007A0466" w:rsidRPr="00A21AD3" w:rsidRDefault="00BA64C7" w:rsidP="00EC197D">
      <w:pPr>
        <w:adjustRightInd w:val="0"/>
        <w:rPr>
          <w:rFonts w:cs="Arial"/>
          <w:b/>
        </w:rPr>
      </w:pPr>
      <w:r>
        <w:rPr>
          <w:rFonts w:cs="Arial"/>
          <w:b/>
        </w:rPr>
        <w:t xml:space="preserve">Lower </w:t>
      </w:r>
      <w:r w:rsidR="00686404" w:rsidRPr="00A21AD3">
        <w:rPr>
          <w:rFonts w:cs="Arial"/>
          <w:b/>
        </w:rPr>
        <w:t>company tax rate</w:t>
      </w:r>
      <w:r>
        <w:rPr>
          <w:rFonts w:cs="Arial"/>
          <w:b/>
        </w:rPr>
        <w:t xml:space="preserve"> </w:t>
      </w:r>
      <w:r w:rsidR="00A16A67" w:rsidRPr="00BD45FB">
        <w:rPr>
          <w:rFonts w:cs="Arial"/>
          <w:b/>
          <w:highlight w:val="yellow"/>
        </w:rPr>
        <w:t>[Delete if not company]</w:t>
      </w:r>
    </w:p>
    <w:p w14:paraId="331B2B0D" w14:textId="77777777" w:rsidR="00B86B3A" w:rsidRDefault="00B86B3A" w:rsidP="00EC197D">
      <w:pPr>
        <w:adjustRightInd w:val="0"/>
        <w:rPr>
          <w:rFonts w:cs="Arial"/>
        </w:rPr>
      </w:pPr>
    </w:p>
    <w:p w14:paraId="65697558" w14:textId="78B68323" w:rsidR="00B86B3A" w:rsidRDefault="00B86B3A" w:rsidP="00EC197D">
      <w:pPr>
        <w:adjustRightInd w:val="0"/>
        <w:rPr>
          <w:rFonts w:cs="Arial"/>
        </w:rPr>
      </w:pPr>
      <w:r>
        <w:rPr>
          <w:rFonts w:cs="Arial"/>
        </w:rPr>
        <w:t xml:space="preserve">It is critical to determine </w:t>
      </w:r>
      <w:proofErr w:type="gramStart"/>
      <w:r>
        <w:rPr>
          <w:rFonts w:cs="Arial"/>
        </w:rPr>
        <w:t>whether or not</w:t>
      </w:r>
      <w:proofErr w:type="gramEnd"/>
      <w:r>
        <w:rPr>
          <w:rFonts w:cs="Arial"/>
        </w:rPr>
        <w:t xml:space="preserve"> a company is a base rate entity for the purposes of determining the amount of its income tax liability for the year ended 30 June 202</w:t>
      </w:r>
      <w:r w:rsidR="003A0CF6">
        <w:rPr>
          <w:rFonts w:cs="Arial"/>
        </w:rPr>
        <w:t>4</w:t>
      </w:r>
      <w:r>
        <w:rPr>
          <w:rFonts w:cs="Arial"/>
        </w:rPr>
        <w:t>.</w:t>
      </w:r>
    </w:p>
    <w:p w14:paraId="65241C45" w14:textId="77777777" w:rsidR="00B86B3A" w:rsidRDefault="00B86B3A" w:rsidP="00EC197D">
      <w:pPr>
        <w:adjustRightInd w:val="0"/>
        <w:rPr>
          <w:rFonts w:cs="Arial"/>
        </w:rPr>
      </w:pPr>
    </w:p>
    <w:p w14:paraId="1A678C71" w14:textId="0A868EA4" w:rsidR="00BA64C7" w:rsidRDefault="00B86B3A" w:rsidP="00EC197D">
      <w:pPr>
        <w:adjustRightInd w:val="0"/>
        <w:rPr>
          <w:rFonts w:cs="Arial"/>
        </w:rPr>
      </w:pPr>
      <w:r>
        <w:rPr>
          <w:rFonts w:cs="Arial"/>
        </w:rPr>
        <w:t>A</w:t>
      </w:r>
      <w:r w:rsidR="00686404" w:rsidRPr="007A0466">
        <w:rPr>
          <w:rFonts w:cs="Arial"/>
        </w:rPr>
        <w:t xml:space="preserve"> </w:t>
      </w:r>
      <w:r w:rsidR="00BA64C7">
        <w:rPr>
          <w:rFonts w:cs="Arial"/>
        </w:rPr>
        <w:t xml:space="preserve">company which is a </w:t>
      </w:r>
      <w:r w:rsidR="00686404" w:rsidRPr="007A0466">
        <w:rPr>
          <w:rFonts w:cs="Arial"/>
        </w:rPr>
        <w:t>base rate entity will pay tax at a rate of 2</w:t>
      </w:r>
      <w:r w:rsidR="00132F80">
        <w:rPr>
          <w:rFonts w:cs="Arial"/>
        </w:rPr>
        <w:t>5</w:t>
      </w:r>
      <w:r w:rsidR="0056483C">
        <w:rPr>
          <w:rFonts w:cs="Arial"/>
        </w:rPr>
        <w:t xml:space="preserve"> per cent</w:t>
      </w:r>
      <w:r w:rsidR="00686404" w:rsidRPr="007A0466">
        <w:rPr>
          <w:rFonts w:cs="Arial"/>
        </w:rPr>
        <w:t xml:space="preserve"> </w:t>
      </w:r>
      <w:r w:rsidR="00BA64C7">
        <w:rPr>
          <w:rFonts w:cs="Arial"/>
        </w:rPr>
        <w:t xml:space="preserve">on its taxable income </w:t>
      </w:r>
      <w:r w:rsidR="00686404" w:rsidRPr="007A0466">
        <w:rPr>
          <w:rFonts w:cs="Arial"/>
        </w:rPr>
        <w:t>for the year ended 30 June 20</w:t>
      </w:r>
      <w:r w:rsidR="00B8345E">
        <w:rPr>
          <w:rFonts w:cs="Arial"/>
        </w:rPr>
        <w:t>2</w:t>
      </w:r>
      <w:r w:rsidR="00853BB7">
        <w:rPr>
          <w:rFonts w:cs="Arial"/>
        </w:rPr>
        <w:t>4</w:t>
      </w:r>
      <w:r w:rsidR="00BA64C7">
        <w:rPr>
          <w:rFonts w:cs="Arial"/>
        </w:rPr>
        <w:t xml:space="preserve"> whereas a company which is not a base rate entity will pay tax on its taxable income at the 30</w:t>
      </w:r>
      <w:r w:rsidR="0056483C">
        <w:rPr>
          <w:rFonts w:cs="Arial"/>
        </w:rPr>
        <w:t xml:space="preserve"> per cent</w:t>
      </w:r>
      <w:r w:rsidR="00BA64C7">
        <w:rPr>
          <w:rFonts w:cs="Arial"/>
        </w:rPr>
        <w:t xml:space="preserve"> tax rate.</w:t>
      </w:r>
    </w:p>
    <w:p w14:paraId="10E180C3" w14:textId="77777777" w:rsidR="00DE478F" w:rsidRDefault="00DE478F" w:rsidP="00EC197D">
      <w:pPr>
        <w:adjustRightInd w:val="0"/>
        <w:rPr>
          <w:rFonts w:cs="Arial"/>
        </w:rPr>
      </w:pPr>
    </w:p>
    <w:p w14:paraId="36156F9D" w14:textId="190EDAE3" w:rsidR="00032ED5" w:rsidRPr="00391570" w:rsidRDefault="00B86B3A" w:rsidP="00EC197D">
      <w:pPr>
        <w:adjustRightInd w:val="0"/>
        <w:rPr>
          <w:rFonts w:eastAsia="MS Gothic" w:cs="Arial"/>
        </w:rPr>
      </w:pPr>
      <w:r>
        <w:rPr>
          <w:rFonts w:eastAsia="MS Gothic"/>
        </w:rPr>
        <w:t>A</w:t>
      </w:r>
      <w:r w:rsidR="00DE478F" w:rsidRPr="00DE478F">
        <w:rPr>
          <w:rFonts w:eastAsia="MS Gothic"/>
        </w:rPr>
        <w:t xml:space="preserve"> company will be regarded as being a base rate entity if no more than 80% of the company’s assessable income comprises ‘base rate entity passive income’</w:t>
      </w:r>
      <w:r w:rsidR="00463BC2">
        <w:rPr>
          <w:rFonts w:eastAsia="MS Gothic"/>
        </w:rPr>
        <w:t xml:space="preserve"> (BREPI)</w:t>
      </w:r>
      <w:r w:rsidR="00DE478F" w:rsidRPr="00DE478F">
        <w:rPr>
          <w:rFonts w:eastAsia="MS Gothic"/>
        </w:rPr>
        <w:t xml:space="preserve"> and its ‘aggregated turnover’ is less than $50 million for the year ended 30 June </w:t>
      </w:r>
      <w:r w:rsidR="00B8345E">
        <w:rPr>
          <w:rFonts w:eastAsia="MS Gothic"/>
        </w:rPr>
        <w:t>202</w:t>
      </w:r>
      <w:r w:rsidR="00BD7226">
        <w:rPr>
          <w:rFonts w:eastAsia="MS Gothic"/>
        </w:rPr>
        <w:t>4</w:t>
      </w:r>
      <w:r w:rsidR="00DE478F" w:rsidRPr="00DE478F">
        <w:rPr>
          <w:rFonts w:eastAsia="MS Gothic"/>
        </w:rPr>
        <w:t>.</w:t>
      </w:r>
      <w:r w:rsidR="00032ED5" w:rsidRPr="00032ED5">
        <w:rPr>
          <w:rFonts w:eastAsia="MS Gothic" w:cs="Arial"/>
          <w:sz w:val="18"/>
          <w:szCs w:val="18"/>
        </w:rPr>
        <w:t xml:space="preserve"> </w:t>
      </w:r>
      <w:r w:rsidR="00032ED5" w:rsidRPr="00391570">
        <w:rPr>
          <w:rFonts w:eastAsia="MS Gothic" w:cs="Arial"/>
        </w:rPr>
        <w:t xml:space="preserve">For these purposes aggregated turnover is only calculated on the relevant annual turnover of the company and its affiliates and connected entities </w:t>
      </w:r>
      <w:r w:rsidR="00141111">
        <w:rPr>
          <w:rFonts w:eastAsia="MS Gothic" w:cs="Arial"/>
        </w:rPr>
        <w:t xml:space="preserve">globally </w:t>
      </w:r>
      <w:r w:rsidR="00032ED5" w:rsidRPr="00391570">
        <w:rPr>
          <w:rFonts w:eastAsia="MS Gothic" w:cs="Arial"/>
        </w:rPr>
        <w:t xml:space="preserve">for the current year being 30 June </w:t>
      </w:r>
      <w:r w:rsidR="00B8345E">
        <w:rPr>
          <w:rFonts w:eastAsia="MS Gothic" w:cs="Arial"/>
        </w:rPr>
        <w:t>202</w:t>
      </w:r>
      <w:r w:rsidR="003910EB">
        <w:rPr>
          <w:rFonts w:eastAsia="MS Gothic" w:cs="Arial"/>
        </w:rPr>
        <w:t>4</w:t>
      </w:r>
      <w:r w:rsidR="00032ED5" w:rsidRPr="00391570">
        <w:rPr>
          <w:rFonts w:eastAsia="MS Gothic" w:cs="Arial"/>
        </w:rPr>
        <w:t xml:space="preserve">.   </w:t>
      </w:r>
    </w:p>
    <w:p w14:paraId="6F67AB68" w14:textId="77777777" w:rsidR="00032ED5" w:rsidRDefault="00032ED5" w:rsidP="00EC197D">
      <w:pPr>
        <w:adjustRightInd w:val="0"/>
        <w:rPr>
          <w:lang w:eastAsia="en-AU"/>
        </w:rPr>
      </w:pPr>
    </w:p>
    <w:p w14:paraId="772798A8" w14:textId="158E7696" w:rsidR="00DE478F" w:rsidRDefault="00032ED5" w:rsidP="00EC197D">
      <w:pPr>
        <w:adjustRightInd w:val="0"/>
        <w:rPr>
          <w:rFonts w:eastAsia="MS Gothic"/>
        </w:rPr>
      </w:pPr>
      <w:r>
        <w:rPr>
          <w:lang w:eastAsia="en-AU"/>
        </w:rPr>
        <w:t>A</w:t>
      </w:r>
      <w:r w:rsidR="00DE478F" w:rsidRPr="00DE478F">
        <w:rPr>
          <w:rFonts w:eastAsia="MS Gothic"/>
        </w:rPr>
        <w:t xml:space="preserve"> company’s </w:t>
      </w:r>
      <w:r w:rsidR="00463BC2">
        <w:rPr>
          <w:rFonts w:eastAsia="MS Gothic"/>
        </w:rPr>
        <w:t>BREPI</w:t>
      </w:r>
      <w:r w:rsidR="00DE478F" w:rsidRPr="00DE478F">
        <w:rPr>
          <w:rFonts w:eastAsia="MS Gothic"/>
        </w:rPr>
        <w:t xml:space="preserve"> includes the following:</w:t>
      </w:r>
    </w:p>
    <w:p w14:paraId="45186A2E" w14:textId="77777777" w:rsidR="00DE478F" w:rsidRPr="00DE478F" w:rsidRDefault="00DE478F" w:rsidP="00DE478F">
      <w:pPr>
        <w:rPr>
          <w:rFonts w:eastAsia="MS Gothic"/>
          <w:i/>
        </w:rPr>
      </w:pPr>
    </w:p>
    <w:p w14:paraId="54AE3802" w14:textId="53902503" w:rsidR="00DE478F" w:rsidRPr="00DE478F" w:rsidRDefault="00D74F3E" w:rsidP="00EC197D">
      <w:pPr>
        <w:pStyle w:val="ListParagraph"/>
        <w:numPr>
          <w:ilvl w:val="0"/>
          <w:numId w:val="13"/>
        </w:numPr>
        <w:jc w:val="both"/>
        <w:rPr>
          <w:rFonts w:eastAsia="MS Gothic"/>
          <w:i/>
        </w:rPr>
      </w:pPr>
      <w:r>
        <w:rPr>
          <w:rFonts w:cs="Arial"/>
        </w:rPr>
        <w:t>D</w:t>
      </w:r>
      <w:r w:rsidR="00DE478F" w:rsidRPr="00EC197D">
        <w:rPr>
          <w:rFonts w:cs="Arial"/>
        </w:rPr>
        <w:t>istributions</w:t>
      </w:r>
      <w:r w:rsidR="00DE478F" w:rsidRPr="00DE478F">
        <w:rPr>
          <w:rFonts w:eastAsia="MS Gothic"/>
        </w:rPr>
        <w:t xml:space="preserve"> (</w:t>
      </w:r>
      <w:proofErr w:type="gramStart"/>
      <w:r w:rsidR="00DE478F" w:rsidRPr="00DE478F">
        <w:rPr>
          <w:rFonts w:eastAsia="MS Gothic"/>
        </w:rPr>
        <w:t>e.g.</w:t>
      </w:r>
      <w:proofErr w:type="gramEnd"/>
      <w:r w:rsidR="00DE478F" w:rsidRPr="00DE478F">
        <w:rPr>
          <w:rFonts w:eastAsia="MS Gothic"/>
        </w:rPr>
        <w:t xml:space="preserve"> dividends) other than non-portfolio dividends. </w:t>
      </w:r>
      <w:r w:rsidR="00750E2F">
        <w:rPr>
          <w:rFonts w:eastAsia="MS Gothic"/>
        </w:rPr>
        <w:t>A</w:t>
      </w:r>
      <w:r w:rsidR="00DE478F" w:rsidRPr="00DE478F">
        <w:rPr>
          <w:rFonts w:eastAsia="MS Gothic"/>
        </w:rPr>
        <w:t xml:space="preserve"> non-portfolio dividend is defined under section 317 of the</w:t>
      </w:r>
      <w:r w:rsidR="004F3491">
        <w:rPr>
          <w:rFonts w:eastAsia="MS Gothic"/>
        </w:rPr>
        <w:t xml:space="preserve"> </w:t>
      </w:r>
      <w:r w:rsidR="00DE478F">
        <w:rPr>
          <w:rFonts w:eastAsia="MS Gothic"/>
          <w:i/>
        </w:rPr>
        <w:t xml:space="preserve">Income Tax Assessment Act </w:t>
      </w:r>
      <w:r w:rsidR="00DE478F" w:rsidRPr="006823D7">
        <w:rPr>
          <w:rFonts w:eastAsia="MS Gothic"/>
        </w:rPr>
        <w:t>1936</w:t>
      </w:r>
      <w:r w:rsidR="00DE478F">
        <w:rPr>
          <w:rFonts w:eastAsia="MS Gothic"/>
          <w:i/>
        </w:rPr>
        <w:t xml:space="preserve"> </w:t>
      </w:r>
      <w:r w:rsidR="00DE478F">
        <w:rPr>
          <w:rFonts w:eastAsia="MS Gothic"/>
        </w:rPr>
        <w:t>(</w:t>
      </w:r>
      <w:r w:rsidR="00DE478F" w:rsidRPr="00BD45FB">
        <w:rPr>
          <w:rFonts w:eastAsia="MS Gothic"/>
          <w:i/>
        </w:rPr>
        <w:t>ITAA 1936</w:t>
      </w:r>
      <w:r w:rsidR="00DE478F">
        <w:rPr>
          <w:rFonts w:eastAsia="MS Gothic"/>
        </w:rPr>
        <w:t>)</w:t>
      </w:r>
      <w:r w:rsidR="00DE478F" w:rsidRPr="00DE478F">
        <w:rPr>
          <w:rFonts w:eastAsia="MS Gothic"/>
        </w:rPr>
        <w:t xml:space="preserve"> to mean a dividend paid to a company where that company has a voting interest amounting to at least 10% of the voting power in the company paying the </w:t>
      </w:r>
      <w:proofErr w:type="gramStart"/>
      <w:r w:rsidR="00DE478F" w:rsidRPr="00DE478F">
        <w:rPr>
          <w:rFonts w:eastAsia="MS Gothic"/>
        </w:rPr>
        <w:t>dividend</w:t>
      </w:r>
      <w:proofErr w:type="gramEnd"/>
    </w:p>
    <w:p w14:paraId="3AA781A3" w14:textId="5BE8D5E8" w:rsidR="00DE478F" w:rsidRPr="00032ED5" w:rsidRDefault="00D74F3E" w:rsidP="00EC197D">
      <w:pPr>
        <w:pStyle w:val="ListParagraph"/>
        <w:numPr>
          <w:ilvl w:val="0"/>
          <w:numId w:val="13"/>
        </w:numPr>
        <w:jc w:val="both"/>
        <w:rPr>
          <w:rFonts w:eastAsia="MS Gothic"/>
          <w:i/>
        </w:rPr>
      </w:pPr>
      <w:r>
        <w:rPr>
          <w:rFonts w:cs="Arial"/>
        </w:rPr>
        <w:t>F</w:t>
      </w:r>
      <w:r w:rsidR="00DE478F" w:rsidRPr="00EC197D">
        <w:rPr>
          <w:rFonts w:cs="Arial"/>
        </w:rPr>
        <w:t>ranking</w:t>
      </w:r>
      <w:r w:rsidR="00DE478F" w:rsidRPr="00032ED5">
        <w:rPr>
          <w:rFonts w:eastAsia="MS Gothic"/>
        </w:rPr>
        <w:t xml:space="preserve"> credits attached to </w:t>
      </w:r>
      <w:proofErr w:type="gramStart"/>
      <w:r w:rsidR="00DE478F" w:rsidRPr="00032ED5">
        <w:rPr>
          <w:rFonts w:eastAsia="MS Gothic"/>
        </w:rPr>
        <w:t>dividends</w:t>
      </w:r>
      <w:proofErr w:type="gramEnd"/>
    </w:p>
    <w:p w14:paraId="47252D0C" w14:textId="0E62FBC0" w:rsidR="00DE478F" w:rsidRPr="009E0D99" w:rsidRDefault="00D74F3E" w:rsidP="00EC197D">
      <w:pPr>
        <w:pStyle w:val="ListParagraph"/>
        <w:numPr>
          <w:ilvl w:val="0"/>
          <w:numId w:val="13"/>
        </w:numPr>
        <w:jc w:val="both"/>
        <w:rPr>
          <w:rFonts w:eastAsia="MS Gothic"/>
          <w:i/>
        </w:rPr>
      </w:pPr>
      <w:r>
        <w:rPr>
          <w:rFonts w:cs="Arial"/>
        </w:rPr>
        <w:t>N</w:t>
      </w:r>
      <w:r w:rsidR="00DE478F" w:rsidRPr="00EC197D">
        <w:rPr>
          <w:rFonts w:cs="Arial"/>
        </w:rPr>
        <w:t>on</w:t>
      </w:r>
      <w:r w:rsidR="00DE478F" w:rsidRPr="009E0D99">
        <w:rPr>
          <w:rFonts w:eastAsia="MS Gothic"/>
        </w:rPr>
        <w:t>-share dividends</w:t>
      </w:r>
    </w:p>
    <w:p w14:paraId="0D09159F" w14:textId="69EFEBBD" w:rsidR="00645A03" w:rsidRPr="005002E0" w:rsidRDefault="00C428CA" w:rsidP="00645A03">
      <w:pPr>
        <w:pStyle w:val="MSBody"/>
        <w:numPr>
          <w:ilvl w:val="0"/>
          <w:numId w:val="13"/>
        </w:numPr>
        <w:spacing w:line="23" w:lineRule="atLeast"/>
        <w:rPr>
          <w:rFonts w:eastAsia="MS Gothic"/>
          <w:i/>
          <w:sz w:val="20"/>
          <w:szCs w:val="20"/>
        </w:rPr>
      </w:pPr>
      <w:r>
        <w:rPr>
          <w:rFonts w:eastAsia="MS Gothic"/>
          <w:sz w:val="20"/>
          <w:szCs w:val="20"/>
        </w:rPr>
        <w:lastRenderedPageBreak/>
        <w:t>I</w:t>
      </w:r>
      <w:r w:rsidR="00645A03" w:rsidRPr="005002E0">
        <w:rPr>
          <w:rFonts w:eastAsia="MS Gothic"/>
          <w:sz w:val="20"/>
          <w:szCs w:val="20"/>
        </w:rPr>
        <w:t xml:space="preserve">nterest </w:t>
      </w:r>
      <w:r w:rsidR="00645A03" w:rsidRPr="005002E0">
        <w:rPr>
          <w:rFonts w:cs="Arial"/>
          <w:sz w:val="20"/>
          <w:szCs w:val="20"/>
        </w:rPr>
        <w:t>income</w:t>
      </w:r>
      <w:r w:rsidR="00645A03" w:rsidRPr="005002E0">
        <w:rPr>
          <w:rFonts w:eastAsia="MS Gothic"/>
          <w:sz w:val="20"/>
          <w:szCs w:val="20"/>
        </w:rPr>
        <w:t xml:space="preserve"> or a payment </w:t>
      </w:r>
      <w:proofErr w:type="gramStart"/>
      <w:r w:rsidR="00645A03" w:rsidRPr="005002E0">
        <w:rPr>
          <w:rFonts w:eastAsia="MS Gothic"/>
          <w:sz w:val="20"/>
          <w:szCs w:val="20"/>
        </w:rPr>
        <w:t>in the nature of interest</w:t>
      </w:r>
      <w:proofErr w:type="gramEnd"/>
      <w:r w:rsidR="00645A03" w:rsidRPr="005002E0">
        <w:rPr>
          <w:rFonts w:eastAsia="MS Gothic"/>
          <w:sz w:val="20"/>
          <w:szCs w:val="20"/>
        </w:rPr>
        <w:t xml:space="preserve"> (except interest income derived by an entity which is a financial institution such as a Bank or a Co-operative Housing Society or an entity that holds an Australian credit licence or is a financial services licensee in certain circumstances) </w:t>
      </w:r>
    </w:p>
    <w:p w14:paraId="7B0FD4BE" w14:textId="6E7525E9" w:rsidR="00DE478F" w:rsidRPr="00391570" w:rsidRDefault="00D74F3E" w:rsidP="00EC197D">
      <w:pPr>
        <w:pStyle w:val="ListParagraph"/>
        <w:numPr>
          <w:ilvl w:val="0"/>
          <w:numId w:val="13"/>
        </w:numPr>
        <w:jc w:val="both"/>
        <w:rPr>
          <w:rFonts w:eastAsia="MS Gothic"/>
          <w:i/>
        </w:rPr>
      </w:pPr>
      <w:r>
        <w:rPr>
          <w:rFonts w:cs="Arial"/>
        </w:rPr>
        <w:t>R</w:t>
      </w:r>
      <w:r w:rsidRPr="00EC197D">
        <w:rPr>
          <w:rFonts w:cs="Arial"/>
        </w:rPr>
        <w:t>oyalties</w:t>
      </w:r>
      <w:r w:rsidRPr="00391570">
        <w:rPr>
          <w:rFonts w:eastAsia="MS Gothic"/>
        </w:rPr>
        <w:t xml:space="preserve"> </w:t>
      </w:r>
      <w:r w:rsidR="00DE478F" w:rsidRPr="00391570">
        <w:rPr>
          <w:rFonts w:eastAsia="MS Gothic"/>
        </w:rPr>
        <w:t xml:space="preserve">and </w:t>
      </w:r>
      <w:proofErr w:type="gramStart"/>
      <w:r w:rsidR="00DE478F" w:rsidRPr="00391570">
        <w:rPr>
          <w:rFonts w:eastAsia="MS Gothic"/>
        </w:rPr>
        <w:t>rent</w:t>
      </w:r>
      <w:proofErr w:type="gramEnd"/>
    </w:p>
    <w:p w14:paraId="29617848" w14:textId="69884668" w:rsidR="00DE478F" w:rsidRPr="00DE478F" w:rsidRDefault="00D74F3E" w:rsidP="00EC197D">
      <w:pPr>
        <w:pStyle w:val="ListParagraph"/>
        <w:numPr>
          <w:ilvl w:val="0"/>
          <w:numId w:val="13"/>
        </w:numPr>
        <w:jc w:val="both"/>
        <w:rPr>
          <w:rFonts w:eastAsia="MS Gothic"/>
          <w:i/>
        </w:rPr>
      </w:pPr>
      <w:r>
        <w:rPr>
          <w:rFonts w:cs="Arial"/>
        </w:rPr>
        <w:t>D</w:t>
      </w:r>
      <w:r w:rsidRPr="00EC197D">
        <w:rPr>
          <w:rFonts w:cs="Arial"/>
        </w:rPr>
        <w:t>eferred</w:t>
      </w:r>
      <w:r w:rsidRPr="00391570">
        <w:rPr>
          <w:rFonts w:eastAsia="MS Gothic"/>
        </w:rPr>
        <w:t xml:space="preserve"> </w:t>
      </w:r>
      <w:r w:rsidR="00DE478F" w:rsidRPr="00391570">
        <w:rPr>
          <w:rFonts w:eastAsia="MS Gothic"/>
        </w:rPr>
        <w:t>and discounted gains on Division 16E qualifying securities</w:t>
      </w:r>
    </w:p>
    <w:p w14:paraId="1B50345B" w14:textId="72498367" w:rsidR="00DE478F" w:rsidRPr="00DE478F" w:rsidRDefault="00D74F3E" w:rsidP="00EC197D">
      <w:pPr>
        <w:pStyle w:val="ListParagraph"/>
        <w:numPr>
          <w:ilvl w:val="0"/>
          <w:numId w:val="13"/>
        </w:numPr>
        <w:jc w:val="both"/>
        <w:rPr>
          <w:rFonts w:eastAsia="MS Gothic"/>
          <w:i/>
        </w:rPr>
      </w:pPr>
      <w:r>
        <w:rPr>
          <w:rFonts w:cs="Arial"/>
        </w:rPr>
        <w:t>N</w:t>
      </w:r>
      <w:r w:rsidRPr="00EC197D">
        <w:rPr>
          <w:rFonts w:cs="Arial"/>
        </w:rPr>
        <w:t>et</w:t>
      </w:r>
      <w:r w:rsidRPr="00DE478F">
        <w:rPr>
          <w:rFonts w:eastAsia="MS Gothic"/>
        </w:rPr>
        <w:t xml:space="preserve"> </w:t>
      </w:r>
      <w:r w:rsidR="00DE478F" w:rsidRPr="00DE478F">
        <w:rPr>
          <w:rFonts w:eastAsia="MS Gothic"/>
        </w:rPr>
        <w:t xml:space="preserve">capital gains </w:t>
      </w:r>
    </w:p>
    <w:p w14:paraId="6EF5447F" w14:textId="0942F265" w:rsidR="00DE478F" w:rsidRPr="00032ED5" w:rsidRDefault="00D74F3E" w:rsidP="00EC197D">
      <w:pPr>
        <w:pStyle w:val="ListParagraph"/>
        <w:numPr>
          <w:ilvl w:val="0"/>
          <w:numId w:val="13"/>
        </w:numPr>
        <w:jc w:val="both"/>
        <w:rPr>
          <w:rFonts w:eastAsia="MS Gothic"/>
        </w:rPr>
      </w:pPr>
      <w:r>
        <w:rPr>
          <w:rFonts w:eastAsia="MS Gothic"/>
        </w:rPr>
        <w:t>A</w:t>
      </w:r>
      <w:r w:rsidRPr="00032ED5">
        <w:rPr>
          <w:rFonts w:eastAsia="MS Gothic"/>
        </w:rPr>
        <w:t xml:space="preserve">mounts </w:t>
      </w:r>
      <w:r w:rsidR="00550A17">
        <w:rPr>
          <w:rFonts w:eastAsia="MS Gothic"/>
        </w:rPr>
        <w:t xml:space="preserve">included in </w:t>
      </w:r>
      <w:r w:rsidR="00DE478F" w:rsidRPr="00032ED5">
        <w:rPr>
          <w:rFonts w:eastAsia="MS Gothic"/>
        </w:rPr>
        <w:t xml:space="preserve">partnership or trust income </w:t>
      </w:r>
      <w:r w:rsidR="00032ED5">
        <w:rPr>
          <w:rFonts w:eastAsia="MS Gothic"/>
        </w:rPr>
        <w:t xml:space="preserve">distributions </w:t>
      </w:r>
      <w:r w:rsidR="00C73541">
        <w:rPr>
          <w:rFonts w:eastAsia="MS Gothic"/>
        </w:rPr>
        <w:t xml:space="preserve">of net income </w:t>
      </w:r>
      <w:r w:rsidR="00DE478F" w:rsidRPr="00032ED5">
        <w:rPr>
          <w:rFonts w:eastAsia="MS Gothic"/>
        </w:rPr>
        <w:t xml:space="preserve">to the extent that they are </w:t>
      </w:r>
      <w:r w:rsidR="00DE478F" w:rsidRPr="00EC197D">
        <w:rPr>
          <w:rFonts w:cs="Arial"/>
        </w:rPr>
        <w:t>attributable</w:t>
      </w:r>
      <w:r w:rsidR="00DE478F" w:rsidRPr="00032ED5">
        <w:rPr>
          <w:rFonts w:eastAsia="MS Gothic"/>
        </w:rPr>
        <w:t xml:space="preserve"> to </w:t>
      </w:r>
      <w:r w:rsidR="007C0E65">
        <w:rPr>
          <w:rFonts w:eastAsia="MS Gothic"/>
        </w:rPr>
        <w:t>BREPI</w:t>
      </w:r>
      <w:r w:rsidR="00DE478F" w:rsidRPr="00032ED5">
        <w:rPr>
          <w:rFonts w:eastAsia="MS Gothic"/>
        </w:rPr>
        <w:t xml:space="preserve"> under one of the preceding items which has been on-distributed to a company which is a partner in a partnership or a company which is a beneficiary of a trust. </w:t>
      </w:r>
    </w:p>
    <w:p w14:paraId="5251BA3E" w14:textId="77777777" w:rsidR="00DE478F" w:rsidRDefault="00DE478F" w:rsidP="00DE478F">
      <w:pPr>
        <w:rPr>
          <w:rFonts w:cs="Arial"/>
        </w:rPr>
      </w:pPr>
    </w:p>
    <w:p w14:paraId="2E8C8584" w14:textId="39531579" w:rsidR="00E32C68" w:rsidRDefault="00E32C68" w:rsidP="00EC197D">
      <w:pPr>
        <w:adjustRightInd w:val="0"/>
        <w:rPr>
          <w:rFonts w:eastAsia="MS Gothic"/>
        </w:rPr>
      </w:pPr>
      <w:r>
        <w:rPr>
          <w:rFonts w:eastAsia="MS Gothic"/>
        </w:rPr>
        <w:t>Accordingly, a</w:t>
      </w:r>
      <w:r w:rsidR="00DE478F" w:rsidRPr="00DE478F">
        <w:rPr>
          <w:rFonts w:eastAsia="MS Gothic"/>
        </w:rPr>
        <w:t xml:space="preserve">n amount that flows through a partnership or trust to a company </w:t>
      </w:r>
      <w:r w:rsidR="00032ED5">
        <w:rPr>
          <w:rFonts w:eastAsia="MS Gothic"/>
        </w:rPr>
        <w:t xml:space="preserve">(either directly or indirectly via other interposed partnerships or trusts) </w:t>
      </w:r>
      <w:r w:rsidR="00DE478F" w:rsidRPr="00DE478F">
        <w:rPr>
          <w:rFonts w:eastAsia="MS Gothic"/>
        </w:rPr>
        <w:t xml:space="preserve">will retain its character in the hands of the company for the purposes of determining </w:t>
      </w:r>
      <w:proofErr w:type="gramStart"/>
      <w:r w:rsidR="00DE478F" w:rsidRPr="00DE478F">
        <w:rPr>
          <w:rFonts w:eastAsia="MS Gothic"/>
        </w:rPr>
        <w:t>whether or not</w:t>
      </w:r>
      <w:proofErr w:type="gramEnd"/>
      <w:r w:rsidR="00DE478F" w:rsidRPr="00DE478F">
        <w:rPr>
          <w:rFonts w:eastAsia="MS Gothic"/>
        </w:rPr>
        <w:t xml:space="preserve"> that amount is </w:t>
      </w:r>
      <w:r w:rsidR="00463BC2">
        <w:rPr>
          <w:rFonts w:eastAsia="MS Gothic"/>
        </w:rPr>
        <w:t>BREPI</w:t>
      </w:r>
      <w:r w:rsidR="00DE478F" w:rsidRPr="00DE478F">
        <w:rPr>
          <w:rFonts w:eastAsia="MS Gothic"/>
        </w:rPr>
        <w:t xml:space="preserve"> of the company. </w:t>
      </w:r>
      <w:r>
        <w:rPr>
          <w:rFonts w:eastAsia="MS Gothic"/>
        </w:rPr>
        <w:t>Hence</w:t>
      </w:r>
      <w:r w:rsidR="00DE478F" w:rsidRPr="00DE478F">
        <w:rPr>
          <w:rFonts w:eastAsia="MS Gothic"/>
        </w:rPr>
        <w:t xml:space="preserve">, it is necessary to analyse and dissect partnership and trust distributions </w:t>
      </w:r>
      <w:r>
        <w:rPr>
          <w:rFonts w:eastAsia="MS Gothic"/>
        </w:rPr>
        <w:t xml:space="preserve">(including distributions via a chain of trusts and partnerships) </w:t>
      </w:r>
      <w:r w:rsidR="00DE478F" w:rsidRPr="00DE478F">
        <w:rPr>
          <w:rFonts w:eastAsia="MS Gothic"/>
        </w:rPr>
        <w:t>to determine the nature of the income which is received by the company where it is either a partner in a partnership or a beneficiary of a trust.</w:t>
      </w:r>
      <w:r w:rsidR="005E70D6">
        <w:rPr>
          <w:rFonts w:eastAsia="MS Gothic"/>
        </w:rPr>
        <w:t xml:space="preserve"> </w:t>
      </w:r>
      <w:r w:rsidR="00B95A09">
        <w:rPr>
          <w:rFonts w:eastAsia="MS Gothic"/>
        </w:rPr>
        <w:t xml:space="preserve"> Additionally, t</w:t>
      </w:r>
      <w:r w:rsidR="005E70D6">
        <w:rPr>
          <w:rFonts w:eastAsia="MS Gothic"/>
        </w:rPr>
        <w:t xml:space="preserve">he Commissioner </w:t>
      </w:r>
      <w:r w:rsidR="006A0D94">
        <w:rPr>
          <w:rFonts w:eastAsia="MS Gothic"/>
        </w:rPr>
        <w:t xml:space="preserve">recently </w:t>
      </w:r>
      <w:r w:rsidR="00F76070">
        <w:rPr>
          <w:rFonts w:eastAsia="MS Gothic"/>
        </w:rPr>
        <w:t>published</w:t>
      </w:r>
      <w:r w:rsidR="004E7A79">
        <w:rPr>
          <w:rFonts w:eastAsia="MS Gothic"/>
        </w:rPr>
        <w:t xml:space="preserve"> Taxation Ruling TR 2024/2</w:t>
      </w:r>
      <w:r w:rsidR="00DA6559">
        <w:rPr>
          <w:rFonts w:eastAsia="MS Gothic"/>
        </w:rPr>
        <w:t xml:space="preserve">, which provides </w:t>
      </w:r>
      <w:r w:rsidR="00B95A09">
        <w:rPr>
          <w:rFonts w:eastAsia="MS Gothic"/>
        </w:rPr>
        <w:t>his view on when a corporate limited partnership ‘credits’ an amount to a partner in a partnership</w:t>
      </w:r>
      <w:r w:rsidR="000A475B">
        <w:rPr>
          <w:rFonts w:eastAsia="MS Gothic"/>
        </w:rPr>
        <w:t xml:space="preserve"> for income tax purposes.</w:t>
      </w:r>
    </w:p>
    <w:p w14:paraId="5FEAD4AB" w14:textId="77777777" w:rsidR="00E32C68" w:rsidRDefault="00E32C68" w:rsidP="00EC197D">
      <w:pPr>
        <w:adjustRightInd w:val="0"/>
        <w:rPr>
          <w:rFonts w:eastAsia="MS Gothic"/>
        </w:rPr>
      </w:pPr>
    </w:p>
    <w:p w14:paraId="4EED9B68" w14:textId="44BD2383" w:rsidR="00DE478F" w:rsidRDefault="007C0E65" w:rsidP="00EC197D">
      <w:pPr>
        <w:adjustRightInd w:val="0"/>
        <w:rPr>
          <w:rFonts w:eastAsia="MS Gothic"/>
        </w:rPr>
      </w:pPr>
      <w:r>
        <w:rPr>
          <w:rFonts w:eastAsia="MS Gothic"/>
        </w:rPr>
        <w:t>W</w:t>
      </w:r>
      <w:r w:rsidR="00DE478F" w:rsidRPr="00DE478F">
        <w:rPr>
          <w:rFonts w:eastAsia="MS Gothic"/>
        </w:rPr>
        <w:t xml:space="preserve">here the distribution comprises a mixture of </w:t>
      </w:r>
      <w:r w:rsidR="00463BC2">
        <w:rPr>
          <w:rFonts w:eastAsia="MS Gothic"/>
        </w:rPr>
        <w:t>BREPI</w:t>
      </w:r>
      <w:r w:rsidR="00DE478F" w:rsidRPr="00DE478F">
        <w:rPr>
          <w:rFonts w:eastAsia="MS Gothic"/>
        </w:rPr>
        <w:t xml:space="preserve"> and trading income </w:t>
      </w:r>
      <w:r w:rsidR="00C73541">
        <w:rPr>
          <w:rFonts w:eastAsia="MS Gothic"/>
        </w:rPr>
        <w:t>it w</w:t>
      </w:r>
      <w:r w:rsidR="00DE478F" w:rsidRPr="00DE478F">
        <w:rPr>
          <w:rFonts w:eastAsia="MS Gothic"/>
        </w:rPr>
        <w:t>ill be necessary to allocate expenses in a fair and reasonable way particularly in relation to indirect costs such as overheads.</w:t>
      </w:r>
    </w:p>
    <w:p w14:paraId="0C6FC538" w14:textId="77777777" w:rsidR="00647FCA" w:rsidRDefault="00647FCA" w:rsidP="00EC197D">
      <w:pPr>
        <w:adjustRightInd w:val="0"/>
        <w:rPr>
          <w:rFonts w:eastAsia="MS Gothic"/>
        </w:rPr>
      </w:pPr>
    </w:p>
    <w:p w14:paraId="36EDA00E" w14:textId="12067450" w:rsidR="00647FCA" w:rsidRDefault="00647FCA" w:rsidP="00EC197D">
      <w:pPr>
        <w:adjustRightInd w:val="0"/>
      </w:pPr>
      <w:r>
        <w:t>Once it is determined that the appropriate company tax rate is either 2</w:t>
      </w:r>
      <w:r w:rsidR="00916D27">
        <w:t>5</w:t>
      </w:r>
      <w:r w:rsidR="006A0D94">
        <w:t xml:space="preserve"> per cent</w:t>
      </w:r>
      <w:r>
        <w:t xml:space="preserve"> or 30</w:t>
      </w:r>
      <w:r w:rsidR="006A0D94">
        <w:t xml:space="preserve"> per cent</w:t>
      </w:r>
      <w:r>
        <w:t xml:space="preserve"> </w:t>
      </w:r>
      <w:proofErr w:type="gramStart"/>
      <w:r>
        <w:t>all of</w:t>
      </w:r>
      <w:proofErr w:type="gramEnd"/>
      <w:r>
        <w:t xml:space="preserve"> the income derived by the company will be subject to tax at the applicable rate whether such income is </w:t>
      </w:r>
      <w:r w:rsidR="00463BC2">
        <w:t>BREPI</w:t>
      </w:r>
      <w:r>
        <w:t xml:space="preserve"> or not. </w:t>
      </w:r>
    </w:p>
    <w:p w14:paraId="55220117" w14:textId="77777777" w:rsidR="00647FCA" w:rsidRDefault="00647FCA" w:rsidP="00EC197D">
      <w:pPr>
        <w:adjustRightInd w:val="0"/>
      </w:pPr>
    </w:p>
    <w:p w14:paraId="1490BE8D" w14:textId="5073351B" w:rsidR="00647FCA" w:rsidRDefault="00647FCA" w:rsidP="00EC197D">
      <w:pPr>
        <w:adjustRightInd w:val="0"/>
      </w:pPr>
      <w:r>
        <w:t xml:space="preserve">Moreover, where there is a privately owned group of companies which has not been consolidated it will be necessary to apply the </w:t>
      </w:r>
      <w:r w:rsidR="00463BC2">
        <w:t>BREPI</w:t>
      </w:r>
      <w:r>
        <w:t xml:space="preserve"> test to each company in that group to determine the rate of tax payable by that company.</w:t>
      </w:r>
    </w:p>
    <w:p w14:paraId="0FEAEFFB" w14:textId="77777777" w:rsidR="00647FCA" w:rsidRDefault="00647FCA" w:rsidP="00647FCA"/>
    <w:p w14:paraId="430531F9" w14:textId="0EFA3EC1" w:rsidR="00A21AD3" w:rsidRPr="00A21AD3" w:rsidRDefault="001474BA" w:rsidP="00EC197D">
      <w:pPr>
        <w:pStyle w:val="NoSpacing"/>
        <w:adjustRightInd w:val="0"/>
        <w:rPr>
          <w:rFonts w:cs="Arial"/>
          <w:b/>
        </w:rPr>
      </w:pPr>
      <w:r w:rsidRPr="00A21AD3">
        <w:rPr>
          <w:rFonts w:cs="Arial"/>
          <w:b/>
        </w:rPr>
        <w:t>Changed im</w:t>
      </w:r>
      <w:r w:rsidR="00A21AD3" w:rsidRPr="00A21AD3">
        <w:rPr>
          <w:rFonts w:cs="Arial"/>
          <w:b/>
        </w:rPr>
        <w:t>putation rate</w:t>
      </w:r>
      <w:r w:rsidR="00A16A67">
        <w:rPr>
          <w:rFonts w:cs="Arial"/>
          <w:b/>
        </w:rPr>
        <w:t xml:space="preserve"> </w:t>
      </w:r>
      <w:r w:rsidR="00A16A67" w:rsidRPr="00BD45FB">
        <w:rPr>
          <w:rFonts w:cs="Arial"/>
          <w:b/>
          <w:highlight w:val="yellow"/>
        </w:rPr>
        <w:t>[Delete if not company]</w:t>
      </w:r>
    </w:p>
    <w:p w14:paraId="6A470973" w14:textId="77777777" w:rsidR="00942FDD" w:rsidRDefault="00942FDD" w:rsidP="00942FDD">
      <w:pPr>
        <w:adjustRightInd w:val="0"/>
        <w:rPr>
          <w:rFonts w:cs="Arial"/>
        </w:rPr>
      </w:pPr>
    </w:p>
    <w:p w14:paraId="395AE35E" w14:textId="4CAA772D" w:rsidR="009E0D99" w:rsidRPr="009023A5" w:rsidRDefault="001B1A55" w:rsidP="00EC197D">
      <w:pPr>
        <w:adjustRightInd w:val="0"/>
        <w:rPr>
          <w:rFonts w:cs="Arial"/>
        </w:rPr>
      </w:pPr>
      <w:r>
        <w:rPr>
          <w:rFonts w:cs="Arial"/>
        </w:rPr>
        <w:t xml:space="preserve">In addition to </w:t>
      </w:r>
      <w:r w:rsidR="00A971FC">
        <w:rPr>
          <w:rFonts w:cs="Arial"/>
        </w:rPr>
        <w:t xml:space="preserve">determining </w:t>
      </w:r>
      <w:r w:rsidR="00A971FC" w:rsidRPr="009023A5">
        <w:rPr>
          <w:rFonts w:cs="Arial"/>
        </w:rPr>
        <w:t>the</w:t>
      </w:r>
      <w:r w:rsidR="009E0D99" w:rsidRPr="009023A5">
        <w:rPr>
          <w:rFonts w:cs="Arial"/>
        </w:rPr>
        <w:t xml:space="preserve"> tax rate of a company</w:t>
      </w:r>
      <w:r w:rsidR="006823D7">
        <w:rPr>
          <w:rFonts w:cs="Arial"/>
        </w:rPr>
        <w:t>,</w:t>
      </w:r>
      <w:r w:rsidR="009E0D99" w:rsidRPr="009023A5">
        <w:rPr>
          <w:rFonts w:cs="Arial"/>
        </w:rPr>
        <w:t xml:space="preserve"> there </w:t>
      </w:r>
      <w:r>
        <w:rPr>
          <w:rFonts w:cs="Arial"/>
        </w:rPr>
        <w:t>is also the need to consider the application of</w:t>
      </w:r>
      <w:r w:rsidR="009E0D99" w:rsidRPr="009023A5">
        <w:rPr>
          <w:rFonts w:cs="Arial"/>
        </w:rPr>
        <w:t xml:space="preserve"> the dividend imputation rules that apply to the franking of dividend</w:t>
      </w:r>
      <w:r w:rsidR="005D3634">
        <w:rPr>
          <w:rFonts w:cs="Arial"/>
        </w:rPr>
        <w:t>s</w:t>
      </w:r>
      <w:r w:rsidR="009E0D99" w:rsidRPr="009023A5">
        <w:rPr>
          <w:rFonts w:cs="Arial"/>
        </w:rPr>
        <w:t xml:space="preserve"> by a company.</w:t>
      </w:r>
    </w:p>
    <w:p w14:paraId="6ED152AE" w14:textId="77777777" w:rsidR="009E0D99" w:rsidRPr="009023A5" w:rsidRDefault="009E0D99" w:rsidP="00EC197D">
      <w:pPr>
        <w:adjustRightInd w:val="0"/>
        <w:rPr>
          <w:rFonts w:cs="Arial"/>
          <w:i/>
        </w:rPr>
      </w:pPr>
    </w:p>
    <w:p w14:paraId="6F5DCCA0" w14:textId="77777777" w:rsidR="009E0D99" w:rsidRPr="009023A5" w:rsidRDefault="009E0D99" w:rsidP="00EC197D">
      <w:pPr>
        <w:adjustRightInd w:val="0"/>
        <w:rPr>
          <w:rFonts w:cs="Arial"/>
        </w:rPr>
      </w:pPr>
      <w:r w:rsidRPr="009023A5">
        <w:rPr>
          <w:rFonts w:cs="Arial"/>
        </w:rPr>
        <w:t xml:space="preserve">Under the dividend imputation system, the amount of franking credits that can be attached to a dividend by a company cannot exceed the maximum franking credit for the distribution. </w:t>
      </w:r>
    </w:p>
    <w:p w14:paraId="7C801A38" w14:textId="77777777" w:rsidR="009E0D99" w:rsidRPr="009023A5" w:rsidRDefault="009E0D99" w:rsidP="00EC197D">
      <w:pPr>
        <w:adjustRightInd w:val="0"/>
        <w:rPr>
          <w:rFonts w:cs="Arial"/>
          <w:i/>
        </w:rPr>
      </w:pPr>
    </w:p>
    <w:p w14:paraId="597ADF89" w14:textId="77777777" w:rsidR="009E0D99" w:rsidRPr="009023A5" w:rsidRDefault="009E0D99" w:rsidP="00EC197D">
      <w:pPr>
        <w:adjustRightInd w:val="0"/>
        <w:rPr>
          <w:rFonts w:cs="Arial"/>
        </w:rPr>
      </w:pPr>
      <w:r w:rsidRPr="009023A5">
        <w:rPr>
          <w:rFonts w:cs="Arial"/>
        </w:rPr>
        <w:t>The maximum franking credit is in turn calculated by reference to the company’s corporate tax rate for imputation purposes.</w:t>
      </w:r>
    </w:p>
    <w:p w14:paraId="59DE7B16" w14:textId="77777777" w:rsidR="009E0D99" w:rsidRPr="009023A5" w:rsidRDefault="009E0D99" w:rsidP="00EC197D">
      <w:pPr>
        <w:adjustRightInd w:val="0"/>
        <w:rPr>
          <w:rFonts w:cs="Arial"/>
        </w:rPr>
      </w:pPr>
    </w:p>
    <w:p w14:paraId="4724DF8C" w14:textId="4B2D6D1A" w:rsidR="009E0D99" w:rsidRPr="009023A5" w:rsidRDefault="009E0D99" w:rsidP="00EC197D">
      <w:pPr>
        <w:adjustRightInd w:val="0"/>
        <w:rPr>
          <w:rFonts w:cs="Arial"/>
        </w:rPr>
      </w:pPr>
      <w:r w:rsidRPr="009023A5">
        <w:rPr>
          <w:rFonts w:cs="Arial"/>
        </w:rPr>
        <w:t xml:space="preserve">Importantly a company’s corporate tax rate for imputation purposes is </w:t>
      </w:r>
      <w:r>
        <w:rPr>
          <w:rFonts w:cs="Arial"/>
        </w:rPr>
        <w:t>calculated</w:t>
      </w:r>
      <w:r w:rsidRPr="009023A5">
        <w:rPr>
          <w:rFonts w:cs="Arial"/>
        </w:rPr>
        <w:t xml:space="preserve"> differently to its company tax rate for the current year. Hence, in certain circumstances a company’s tax rate for an income year may be different to the rate at which it can frank dividends in that year.</w:t>
      </w:r>
    </w:p>
    <w:p w14:paraId="6CA0CE8E" w14:textId="77777777" w:rsidR="009E0D99" w:rsidRPr="009023A5" w:rsidRDefault="009E0D99" w:rsidP="00EC197D">
      <w:pPr>
        <w:adjustRightInd w:val="0"/>
        <w:rPr>
          <w:rFonts w:cs="Arial"/>
        </w:rPr>
      </w:pPr>
    </w:p>
    <w:p w14:paraId="70210F79" w14:textId="52DDF00C" w:rsidR="009E0D99" w:rsidRDefault="0006320B" w:rsidP="00EC197D">
      <w:pPr>
        <w:adjustRightInd w:val="0"/>
        <w:rPr>
          <w:rFonts w:cs="Arial"/>
        </w:rPr>
      </w:pPr>
      <w:r>
        <w:rPr>
          <w:rFonts w:cs="Arial"/>
        </w:rPr>
        <w:t>T</w:t>
      </w:r>
      <w:r w:rsidR="009E0D99">
        <w:rPr>
          <w:rFonts w:eastAsia="MS Gothic"/>
        </w:rPr>
        <w:t xml:space="preserve">he corporate tax rate for imputation purposes is defined under section 995-1(1) of the </w:t>
      </w:r>
      <w:r w:rsidR="009E0D99" w:rsidRPr="00BD45FB">
        <w:rPr>
          <w:rFonts w:eastAsia="MS Gothic"/>
          <w:i/>
        </w:rPr>
        <w:t>ITAA 1997</w:t>
      </w:r>
      <w:r w:rsidR="009E0D99">
        <w:rPr>
          <w:rFonts w:eastAsia="MS Gothic"/>
        </w:rPr>
        <w:t xml:space="preserve"> to mean the company tax rate of a company worked out on the assumption that:  </w:t>
      </w:r>
    </w:p>
    <w:p w14:paraId="3F5B98C2" w14:textId="77777777" w:rsidR="009E0D99" w:rsidRPr="00A20CBB" w:rsidRDefault="009E0D99" w:rsidP="009E0D99">
      <w:pPr>
        <w:rPr>
          <w:rFonts w:cs="Arial"/>
          <w:i/>
        </w:rPr>
      </w:pPr>
    </w:p>
    <w:p w14:paraId="3800116F" w14:textId="42AAE073" w:rsidR="009E0D99" w:rsidRPr="00A20CBB" w:rsidRDefault="006E45FE" w:rsidP="009E0D99">
      <w:pPr>
        <w:numPr>
          <w:ilvl w:val="0"/>
          <w:numId w:val="10"/>
        </w:numPr>
        <w:rPr>
          <w:i/>
        </w:rPr>
      </w:pPr>
      <w:r>
        <w:t>I</w:t>
      </w:r>
      <w:r w:rsidR="009E0D99" w:rsidRPr="00A20CBB">
        <w:t xml:space="preserve">ts aggregated turnover for the income year is equal to its aggregated turnover for the previous income </w:t>
      </w:r>
      <w:proofErr w:type="gramStart"/>
      <w:r w:rsidR="009E0D99" w:rsidRPr="00A20CBB">
        <w:t>year</w:t>
      </w:r>
      <w:proofErr w:type="gramEnd"/>
    </w:p>
    <w:p w14:paraId="75A9A9AF" w14:textId="3071819B" w:rsidR="009E0D99" w:rsidRPr="00A20CBB" w:rsidRDefault="006E45FE" w:rsidP="009E0D99">
      <w:pPr>
        <w:numPr>
          <w:ilvl w:val="0"/>
          <w:numId w:val="10"/>
        </w:numPr>
        <w:rPr>
          <w:i/>
        </w:rPr>
      </w:pPr>
      <w:r>
        <w:t>I</w:t>
      </w:r>
      <w:r w:rsidR="009E0D99" w:rsidRPr="00A20CBB">
        <w:t xml:space="preserve">ts </w:t>
      </w:r>
      <w:r w:rsidR="007C0E65">
        <w:t>BREPI</w:t>
      </w:r>
      <w:r w:rsidR="009E0D99" w:rsidRPr="00A20CBB">
        <w:t xml:space="preserve"> for the income year is equal to its </w:t>
      </w:r>
      <w:r w:rsidR="007C0E65">
        <w:t>BREPI</w:t>
      </w:r>
      <w:r w:rsidR="007C0E65" w:rsidRPr="00A20CBB">
        <w:t xml:space="preserve"> </w:t>
      </w:r>
      <w:r w:rsidR="009E0D99" w:rsidRPr="00A20CBB">
        <w:t xml:space="preserve">for the previous income </w:t>
      </w:r>
      <w:proofErr w:type="gramStart"/>
      <w:r w:rsidR="009E0D99" w:rsidRPr="00A20CBB">
        <w:t>year</w:t>
      </w:r>
      <w:proofErr w:type="gramEnd"/>
    </w:p>
    <w:p w14:paraId="08DFA107" w14:textId="0D85EB62" w:rsidR="009E0D99" w:rsidRPr="00A20CBB" w:rsidRDefault="006E45FE" w:rsidP="009E0D99">
      <w:pPr>
        <w:numPr>
          <w:ilvl w:val="0"/>
          <w:numId w:val="10"/>
        </w:numPr>
        <w:rPr>
          <w:i/>
        </w:rPr>
      </w:pPr>
      <w:r>
        <w:t>I</w:t>
      </w:r>
      <w:r w:rsidR="009E0D99" w:rsidRPr="00A20CBB">
        <w:t>ts assessable income for the income year is equal to its assessable income for the previous income year.</w:t>
      </w:r>
    </w:p>
    <w:p w14:paraId="0631462A" w14:textId="77777777" w:rsidR="009E0D99" w:rsidRPr="00A20CBB" w:rsidRDefault="009E0D99" w:rsidP="009E0D99">
      <w:pPr>
        <w:rPr>
          <w:rFonts w:cs="Arial"/>
        </w:rPr>
      </w:pPr>
    </w:p>
    <w:p w14:paraId="2B5D6AB6" w14:textId="62E0D2C2" w:rsidR="009E0D99" w:rsidRPr="00A20CBB" w:rsidRDefault="009E0D99" w:rsidP="009E0D99">
      <w:pPr>
        <w:rPr>
          <w:rFonts w:cs="Arial"/>
        </w:rPr>
      </w:pPr>
      <w:r w:rsidRPr="00A20CBB">
        <w:rPr>
          <w:rFonts w:cs="Arial"/>
        </w:rPr>
        <w:t xml:space="preserve">Thus, in determining the extent to which a dividend can be franked in the </w:t>
      </w:r>
      <w:r w:rsidR="006E45FE">
        <w:rPr>
          <w:rFonts w:cs="Arial"/>
        </w:rPr>
        <w:t>202</w:t>
      </w:r>
      <w:r w:rsidR="00366B2C">
        <w:rPr>
          <w:rFonts w:cs="Arial"/>
        </w:rPr>
        <w:t>4</w:t>
      </w:r>
      <w:r w:rsidR="006E45FE" w:rsidRPr="00A20CBB">
        <w:rPr>
          <w:rFonts w:cs="Arial"/>
        </w:rPr>
        <w:t xml:space="preserve"> </w:t>
      </w:r>
      <w:r w:rsidRPr="00A20CBB">
        <w:rPr>
          <w:rFonts w:cs="Arial"/>
        </w:rPr>
        <w:t>year by a company, reference will be made to that company’s aggregated turnover</w:t>
      </w:r>
      <w:r>
        <w:rPr>
          <w:rFonts w:cs="Arial"/>
        </w:rPr>
        <w:t>,</w:t>
      </w:r>
      <w:r w:rsidRPr="00A20CBB">
        <w:rPr>
          <w:rFonts w:cs="Arial"/>
        </w:rPr>
        <w:t xml:space="preserve"> base rate entity passive income</w:t>
      </w:r>
      <w:r>
        <w:rPr>
          <w:rFonts w:cs="Arial"/>
        </w:rPr>
        <w:t xml:space="preserve"> and assessable income</w:t>
      </w:r>
      <w:r w:rsidRPr="00A20CBB">
        <w:rPr>
          <w:rFonts w:cs="Arial"/>
        </w:rPr>
        <w:t xml:space="preserve"> derived in the </w:t>
      </w:r>
      <w:r w:rsidR="003E183C">
        <w:rPr>
          <w:rFonts w:cs="Arial"/>
        </w:rPr>
        <w:t>20</w:t>
      </w:r>
      <w:r w:rsidR="00A971FC">
        <w:rPr>
          <w:rFonts w:cs="Arial"/>
        </w:rPr>
        <w:t>2</w:t>
      </w:r>
      <w:r w:rsidR="00366B2C">
        <w:rPr>
          <w:rFonts w:cs="Arial"/>
        </w:rPr>
        <w:t>3</w:t>
      </w:r>
      <w:r w:rsidR="003E183C" w:rsidRPr="00A20CBB">
        <w:rPr>
          <w:rFonts w:cs="Arial"/>
        </w:rPr>
        <w:t xml:space="preserve"> </w:t>
      </w:r>
      <w:r w:rsidRPr="00A20CBB">
        <w:rPr>
          <w:rFonts w:cs="Arial"/>
        </w:rPr>
        <w:t>year.</w:t>
      </w:r>
    </w:p>
    <w:p w14:paraId="39D39D76" w14:textId="77777777" w:rsidR="009E0D99" w:rsidRPr="00A20CBB" w:rsidRDefault="009E0D99" w:rsidP="009E0D99">
      <w:pPr>
        <w:rPr>
          <w:rFonts w:cs="Arial"/>
        </w:rPr>
      </w:pPr>
    </w:p>
    <w:p w14:paraId="064C8D70" w14:textId="77EBFCFF" w:rsidR="005D3634" w:rsidRDefault="009E0D99" w:rsidP="009E0D99">
      <w:pPr>
        <w:rPr>
          <w:rFonts w:cs="Arial"/>
        </w:rPr>
      </w:pPr>
      <w:r w:rsidRPr="00A20CBB">
        <w:rPr>
          <w:rFonts w:cs="Arial"/>
        </w:rPr>
        <w:t>For example, where the company had an aggregated turnover of less than $5</w:t>
      </w:r>
      <w:r>
        <w:rPr>
          <w:rFonts w:cs="Arial"/>
        </w:rPr>
        <w:t>0</w:t>
      </w:r>
      <w:r w:rsidRPr="00A20CBB">
        <w:rPr>
          <w:rFonts w:cs="Arial"/>
        </w:rPr>
        <w:t xml:space="preserve"> million and no more than 80</w:t>
      </w:r>
      <w:r w:rsidR="000E5C7D">
        <w:rPr>
          <w:rFonts w:cs="Arial"/>
        </w:rPr>
        <w:t xml:space="preserve"> per cent</w:t>
      </w:r>
      <w:r w:rsidRPr="00A20CBB">
        <w:rPr>
          <w:rFonts w:cs="Arial"/>
        </w:rPr>
        <w:t xml:space="preserve"> of that company’s assessable income is </w:t>
      </w:r>
      <w:r w:rsidR="00D45B46">
        <w:rPr>
          <w:rFonts w:cs="Arial"/>
        </w:rPr>
        <w:t>BREPI</w:t>
      </w:r>
      <w:r w:rsidRPr="00A20CBB">
        <w:rPr>
          <w:rFonts w:cs="Arial"/>
        </w:rPr>
        <w:t xml:space="preserve"> for the </w:t>
      </w:r>
      <w:r w:rsidR="003E183C">
        <w:rPr>
          <w:rFonts w:cs="Arial"/>
        </w:rPr>
        <w:t>20</w:t>
      </w:r>
      <w:r w:rsidR="00A971FC">
        <w:rPr>
          <w:rFonts w:cs="Arial"/>
        </w:rPr>
        <w:t>2</w:t>
      </w:r>
      <w:r w:rsidR="00C351E5">
        <w:rPr>
          <w:rFonts w:cs="Arial"/>
        </w:rPr>
        <w:t>3</w:t>
      </w:r>
      <w:r w:rsidR="003E183C" w:rsidRPr="00A20CBB">
        <w:rPr>
          <w:rFonts w:cs="Arial"/>
        </w:rPr>
        <w:t xml:space="preserve"> </w:t>
      </w:r>
      <w:r w:rsidRPr="00A20CBB">
        <w:rPr>
          <w:rFonts w:cs="Arial"/>
        </w:rPr>
        <w:t>year it will apply the lower corporate tax rate of 2</w:t>
      </w:r>
      <w:r w:rsidR="00A54184">
        <w:rPr>
          <w:rFonts w:cs="Arial"/>
        </w:rPr>
        <w:t>5</w:t>
      </w:r>
      <w:r w:rsidR="000E5C7D">
        <w:rPr>
          <w:rFonts w:cs="Arial"/>
        </w:rPr>
        <w:t xml:space="preserve"> per cent</w:t>
      </w:r>
      <w:r w:rsidRPr="00A20CBB">
        <w:rPr>
          <w:rFonts w:cs="Arial"/>
        </w:rPr>
        <w:t xml:space="preserve"> in the </w:t>
      </w:r>
      <w:r w:rsidR="003E183C">
        <w:rPr>
          <w:rFonts w:cs="Arial"/>
        </w:rPr>
        <w:t>202</w:t>
      </w:r>
      <w:r w:rsidR="00C351E5">
        <w:rPr>
          <w:rFonts w:cs="Arial"/>
        </w:rPr>
        <w:t>4</w:t>
      </w:r>
      <w:r w:rsidR="003E183C" w:rsidRPr="00A20CBB">
        <w:rPr>
          <w:rFonts w:cs="Arial"/>
        </w:rPr>
        <w:t xml:space="preserve"> </w:t>
      </w:r>
      <w:r w:rsidRPr="00A20CBB">
        <w:rPr>
          <w:rFonts w:cs="Arial"/>
        </w:rPr>
        <w:t xml:space="preserve">year for franking purposes. Where </w:t>
      </w:r>
      <w:proofErr w:type="gramStart"/>
      <w:r w:rsidRPr="00A20CBB">
        <w:rPr>
          <w:rFonts w:cs="Arial"/>
        </w:rPr>
        <w:t>this criteria</w:t>
      </w:r>
      <w:proofErr w:type="gramEnd"/>
      <w:r w:rsidRPr="00A20CBB">
        <w:rPr>
          <w:rFonts w:cs="Arial"/>
        </w:rPr>
        <w:t xml:space="preserve"> is not met</w:t>
      </w:r>
      <w:r w:rsidR="00416EBA">
        <w:rPr>
          <w:rFonts w:cs="Arial"/>
        </w:rPr>
        <w:t>,</w:t>
      </w:r>
      <w:r w:rsidRPr="00A20CBB">
        <w:rPr>
          <w:rFonts w:cs="Arial"/>
        </w:rPr>
        <w:t xml:space="preserve"> the corporate tax rate for imputation purposes will be 30</w:t>
      </w:r>
      <w:r w:rsidR="000E5C7D">
        <w:rPr>
          <w:rFonts w:cs="Arial"/>
        </w:rPr>
        <w:t xml:space="preserve"> per cent</w:t>
      </w:r>
      <w:r w:rsidRPr="00A20CBB">
        <w:rPr>
          <w:rFonts w:cs="Arial"/>
        </w:rPr>
        <w:t xml:space="preserve">. </w:t>
      </w:r>
    </w:p>
    <w:p w14:paraId="41DAC5CC" w14:textId="77777777" w:rsidR="005D3634" w:rsidRDefault="005D3634" w:rsidP="009E0D99">
      <w:pPr>
        <w:rPr>
          <w:rFonts w:cs="Arial"/>
        </w:rPr>
      </w:pPr>
    </w:p>
    <w:p w14:paraId="4E58FF6D" w14:textId="3355C790" w:rsidR="00607FA1" w:rsidRDefault="009E0D99" w:rsidP="009E0D99">
      <w:pPr>
        <w:rPr>
          <w:rFonts w:cs="Arial"/>
        </w:rPr>
      </w:pPr>
      <w:r w:rsidRPr="00A20CBB">
        <w:rPr>
          <w:rFonts w:cs="Arial"/>
        </w:rPr>
        <w:lastRenderedPageBreak/>
        <w:t>However, where the company did not exist in the previous year its corporate tax rate for imputation purposes will be deemed to be at the lower corporate tax rate of 2</w:t>
      </w:r>
      <w:r w:rsidR="00A54184">
        <w:rPr>
          <w:rFonts w:cs="Arial"/>
        </w:rPr>
        <w:t>5</w:t>
      </w:r>
      <w:r w:rsidR="000E5C7D">
        <w:rPr>
          <w:rFonts w:cs="Arial"/>
        </w:rPr>
        <w:t xml:space="preserve"> per cent</w:t>
      </w:r>
      <w:r w:rsidR="005D3634">
        <w:rPr>
          <w:rFonts w:cs="Arial"/>
        </w:rPr>
        <w:t xml:space="preserve"> for that initial year</w:t>
      </w:r>
      <w:r w:rsidRPr="00A20CBB">
        <w:rPr>
          <w:rFonts w:cs="Arial"/>
        </w:rPr>
        <w:t>.</w:t>
      </w:r>
      <w:r>
        <w:rPr>
          <w:rFonts w:cs="Arial"/>
        </w:rPr>
        <w:t xml:space="preserve">     </w:t>
      </w:r>
    </w:p>
    <w:p w14:paraId="05B38FC3" w14:textId="77777777" w:rsidR="00607FA1" w:rsidRDefault="00607FA1" w:rsidP="009E0D99">
      <w:pPr>
        <w:rPr>
          <w:rFonts w:cs="Arial"/>
        </w:rPr>
      </w:pPr>
    </w:p>
    <w:p w14:paraId="00E30139" w14:textId="7CD59BC7" w:rsidR="009E0D99" w:rsidRPr="00A20CBB" w:rsidRDefault="00607FA1" w:rsidP="009E0D99">
      <w:pPr>
        <w:rPr>
          <w:rFonts w:cs="Arial"/>
        </w:rPr>
      </w:pPr>
      <w:r>
        <w:rPr>
          <w:rFonts w:cs="Arial"/>
        </w:rPr>
        <w:t xml:space="preserve">It is also noteworthy </w:t>
      </w:r>
      <w:r w:rsidR="00176C93">
        <w:rPr>
          <w:rFonts w:cs="Arial"/>
        </w:rPr>
        <w:t xml:space="preserve">that </w:t>
      </w:r>
      <w:r w:rsidR="007922FB">
        <w:rPr>
          <w:rFonts w:cs="Arial"/>
        </w:rPr>
        <w:t>d</w:t>
      </w:r>
      <w:r w:rsidR="001E21C5">
        <w:rPr>
          <w:rFonts w:cs="Arial"/>
        </w:rPr>
        <w:t>ividends funded by capital raisings cannot be franked.</w:t>
      </w:r>
      <w:r w:rsidR="009E0D99">
        <w:rPr>
          <w:rFonts w:cs="Arial"/>
        </w:rPr>
        <w:t xml:space="preserve"> </w:t>
      </w:r>
      <w:r w:rsidR="001E21C5">
        <w:rPr>
          <w:rFonts w:cs="Arial"/>
        </w:rPr>
        <w:t>The change applies to distributions made on or after 28 November 2023.</w:t>
      </w:r>
      <w:r w:rsidR="009E0D99">
        <w:rPr>
          <w:rFonts w:cs="Arial"/>
        </w:rPr>
        <w:t xml:space="preserve"> </w:t>
      </w:r>
    </w:p>
    <w:p w14:paraId="1FB2A094" w14:textId="77777777" w:rsidR="00AF0681" w:rsidRPr="00E95D83" w:rsidRDefault="00AF0681" w:rsidP="009639A8">
      <w:pPr>
        <w:pStyle w:val="NoSpacing"/>
        <w:rPr>
          <w:rFonts w:cs="Arial"/>
        </w:rPr>
      </w:pPr>
    </w:p>
    <w:p w14:paraId="22C72270" w14:textId="155B7F57" w:rsidR="00A21AD3" w:rsidRPr="00BD45FB" w:rsidRDefault="007F2692" w:rsidP="00EC197D">
      <w:pPr>
        <w:adjustRightInd w:val="0"/>
        <w:rPr>
          <w:rFonts w:cs="Arial"/>
        </w:rPr>
      </w:pPr>
      <w:r w:rsidRPr="00A21AD3">
        <w:rPr>
          <w:rFonts w:cs="Arial"/>
          <w:b/>
        </w:rPr>
        <w:t>Small business tax offset</w:t>
      </w:r>
      <w:r w:rsidRPr="00BD45FB">
        <w:rPr>
          <w:rFonts w:cs="Arial"/>
          <w:b/>
          <w:i/>
        </w:rPr>
        <w:t xml:space="preserve"> </w:t>
      </w:r>
      <w:r w:rsidR="00A16A67" w:rsidRPr="00BD45FB">
        <w:rPr>
          <w:rFonts w:cs="Arial"/>
          <w:b/>
          <w:highlight w:val="yellow"/>
        </w:rPr>
        <w:t>[Delete if not sole trader</w:t>
      </w:r>
      <w:r w:rsidR="00A16A67">
        <w:rPr>
          <w:rFonts w:cs="Arial"/>
          <w:b/>
          <w:highlight w:val="yellow"/>
        </w:rPr>
        <w:t xml:space="preserve"> or receiving small business income via a trust or partnership</w:t>
      </w:r>
      <w:r w:rsidR="00A16A67" w:rsidRPr="00BD45FB">
        <w:rPr>
          <w:rFonts w:cs="Arial"/>
          <w:b/>
          <w:highlight w:val="yellow"/>
        </w:rPr>
        <w:t>]</w:t>
      </w:r>
    </w:p>
    <w:p w14:paraId="6243AC9C" w14:textId="77777777" w:rsidR="00942FDD" w:rsidRDefault="00942FDD" w:rsidP="00942FDD">
      <w:pPr>
        <w:adjustRightInd w:val="0"/>
        <w:rPr>
          <w:rFonts w:cs="Arial"/>
        </w:rPr>
      </w:pPr>
    </w:p>
    <w:p w14:paraId="54F66C8D" w14:textId="2150419F" w:rsidR="005C62DA" w:rsidRDefault="00A21AD3" w:rsidP="00EC197D">
      <w:pPr>
        <w:adjustRightInd w:val="0"/>
        <w:rPr>
          <w:lang w:val="en-US"/>
        </w:rPr>
      </w:pPr>
      <w:r w:rsidRPr="00A21AD3">
        <w:rPr>
          <w:rFonts w:cs="Arial"/>
        </w:rPr>
        <w:t>A</w:t>
      </w:r>
      <w:r w:rsidR="007F2692" w:rsidRPr="00A21AD3">
        <w:rPr>
          <w:lang w:val="en-US"/>
        </w:rPr>
        <w:t>n individual is entitled to the small business income tax offset for the ye</w:t>
      </w:r>
      <w:r w:rsidR="009639A8">
        <w:rPr>
          <w:lang w:val="en-US"/>
        </w:rPr>
        <w:t xml:space="preserve">ar ended 30 June </w:t>
      </w:r>
      <w:r w:rsidR="003E183C">
        <w:rPr>
          <w:lang w:val="en-US"/>
        </w:rPr>
        <w:t>202</w:t>
      </w:r>
      <w:r w:rsidR="00970B51">
        <w:rPr>
          <w:lang w:val="en-US"/>
        </w:rPr>
        <w:t>4</w:t>
      </w:r>
      <w:r w:rsidR="003E183C">
        <w:rPr>
          <w:lang w:val="en-US"/>
        </w:rPr>
        <w:t xml:space="preserve"> </w:t>
      </w:r>
      <w:r w:rsidR="009639A8">
        <w:rPr>
          <w:lang w:val="en-US"/>
        </w:rPr>
        <w:t xml:space="preserve">being </w:t>
      </w:r>
      <w:r w:rsidR="00A971FC">
        <w:rPr>
          <w:lang w:val="en-US"/>
        </w:rPr>
        <w:t>1</w:t>
      </w:r>
      <w:r w:rsidR="00286920">
        <w:rPr>
          <w:lang w:val="en-US"/>
        </w:rPr>
        <w:t>6</w:t>
      </w:r>
      <w:r w:rsidR="004F4BEC">
        <w:rPr>
          <w:lang w:val="en-US"/>
        </w:rPr>
        <w:t xml:space="preserve"> per cent</w:t>
      </w:r>
      <w:r w:rsidR="007F2692" w:rsidRPr="00A21AD3">
        <w:rPr>
          <w:lang w:val="en-US"/>
        </w:rPr>
        <w:t xml:space="preserve"> of the income tax payable on the portion of an individual’s taxable income that is their ‘total net small business income’. </w:t>
      </w:r>
    </w:p>
    <w:p w14:paraId="75CC07C6" w14:textId="77777777" w:rsidR="005C62DA" w:rsidRDefault="005C62DA" w:rsidP="00EC197D">
      <w:pPr>
        <w:adjustRightInd w:val="0"/>
        <w:rPr>
          <w:lang w:val="en-US"/>
        </w:rPr>
      </w:pPr>
    </w:p>
    <w:p w14:paraId="3FD9DF89" w14:textId="19589154" w:rsidR="005C62DA" w:rsidRDefault="007F2692" w:rsidP="00EC197D">
      <w:pPr>
        <w:adjustRightInd w:val="0"/>
        <w:rPr>
          <w:lang w:val="en-US"/>
        </w:rPr>
      </w:pPr>
      <w:r w:rsidRPr="00A21AD3">
        <w:rPr>
          <w:lang w:val="en-US"/>
        </w:rPr>
        <w:t xml:space="preserve">This </w:t>
      </w:r>
      <w:r w:rsidR="00992626">
        <w:rPr>
          <w:lang w:val="en-US"/>
        </w:rPr>
        <w:t xml:space="preserve">non-refundable </w:t>
      </w:r>
      <w:r w:rsidRPr="00A21AD3">
        <w:rPr>
          <w:lang w:val="en-US"/>
        </w:rPr>
        <w:t xml:space="preserve">offset is available to sole traders who would meet the requirements of being a small business entity, and to individuals who are not a small business entity, but who are assessed on a share of the </w:t>
      </w:r>
      <w:r w:rsidR="00992626">
        <w:rPr>
          <w:lang w:val="en-US"/>
        </w:rPr>
        <w:t xml:space="preserve">net </w:t>
      </w:r>
      <w:r w:rsidRPr="00A21AD3">
        <w:rPr>
          <w:lang w:val="en-US"/>
        </w:rPr>
        <w:t xml:space="preserve">income of a small business entity in </w:t>
      </w:r>
      <w:r w:rsidR="00992626">
        <w:rPr>
          <w:lang w:val="en-US"/>
        </w:rPr>
        <w:t xml:space="preserve">which </w:t>
      </w:r>
      <w:r w:rsidRPr="00A21AD3">
        <w:rPr>
          <w:lang w:val="en-US"/>
        </w:rPr>
        <w:t xml:space="preserve">they are a partner in a partnership that is a small business entity or a beneficiary of a trust that is a small business entity. </w:t>
      </w:r>
    </w:p>
    <w:p w14:paraId="26FF92B2" w14:textId="77777777" w:rsidR="005C62DA" w:rsidRDefault="005C62DA" w:rsidP="00EC197D">
      <w:pPr>
        <w:adjustRightInd w:val="0"/>
        <w:rPr>
          <w:lang w:val="en-US"/>
        </w:rPr>
      </w:pPr>
    </w:p>
    <w:p w14:paraId="4C80EB68" w14:textId="5DE03F3E" w:rsidR="007F2692" w:rsidRPr="00A21AD3" w:rsidRDefault="007F2692" w:rsidP="00EC197D">
      <w:pPr>
        <w:adjustRightInd w:val="0"/>
        <w:rPr>
          <w:rFonts w:cs="Arial"/>
        </w:rPr>
      </w:pPr>
      <w:r w:rsidRPr="00A21AD3">
        <w:rPr>
          <w:lang w:val="en-US"/>
        </w:rPr>
        <w:t xml:space="preserve">An entity is a small business entity </w:t>
      </w:r>
      <w:r w:rsidR="00CC6D54" w:rsidRPr="00A21AD3">
        <w:rPr>
          <w:lang w:val="en-US"/>
        </w:rPr>
        <w:t xml:space="preserve">for these purposes </w:t>
      </w:r>
      <w:r w:rsidRPr="00A21AD3">
        <w:rPr>
          <w:lang w:val="en-US"/>
        </w:rPr>
        <w:t>if it carries on business and its aggregated turnover for the 20</w:t>
      </w:r>
      <w:r w:rsidR="003E183C">
        <w:rPr>
          <w:lang w:val="en-US"/>
        </w:rPr>
        <w:t>2</w:t>
      </w:r>
      <w:r w:rsidR="004D1436">
        <w:rPr>
          <w:lang w:val="en-US"/>
        </w:rPr>
        <w:t>4</w:t>
      </w:r>
      <w:r w:rsidRPr="00A21AD3">
        <w:rPr>
          <w:lang w:val="en-US"/>
        </w:rPr>
        <w:t xml:space="preserve"> year is less than $5 million. An individual is only able to claim one small business tax offset for an income year irrespective of the number of sources of small business income derived by that individual and the maximum amount of the offset is capped to $1,000 per year. </w:t>
      </w:r>
      <w:r w:rsidRPr="007F2692">
        <w:t xml:space="preserve">    </w:t>
      </w:r>
    </w:p>
    <w:p w14:paraId="08D3C645" w14:textId="77777777" w:rsidR="007F2692" w:rsidRPr="007F2692" w:rsidRDefault="007F2692" w:rsidP="009639A8">
      <w:pPr>
        <w:pStyle w:val="ListParagraph"/>
        <w:ind w:left="0"/>
        <w:contextualSpacing w:val="0"/>
        <w:rPr>
          <w:rFonts w:cs="Arial"/>
        </w:rPr>
      </w:pPr>
    </w:p>
    <w:p w14:paraId="3F69F9D1" w14:textId="31E14E30" w:rsidR="00BB3E2F" w:rsidRPr="00BB3E2F" w:rsidRDefault="005C62DA" w:rsidP="00EC197D">
      <w:pPr>
        <w:adjustRightInd w:val="0"/>
        <w:rPr>
          <w:rFonts w:cs="Arial"/>
          <w:b/>
          <w:lang w:eastAsia="en-AU"/>
        </w:rPr>
      </w:pPr>
      <w:r>
        <w:rPr>
          <w:rFonts w:cs="Arial"/>
          <w:b/>
          <w:lang w:eastAsia="en-AU"/>
        </w:rPr>
        <w:t>S</w:t>
      </w:r>
      <w:r w:rsidR="00AF3E99" w:rsidRPr="00BB3E2F">
        <w:rPr>
          <w:rFonts w:cs="Arial"/>
          <w:b/>
          <w:lang w:eastAsia="en-AU"/>
        </w:rPr>
        <w:t xml:space="preserve">mall business </w:t>
      </w:r>
      <w:r>
        <w:rPr>
          <w:rFonts w:cs="Arial"/>
          <w:b/>
          <w:lang w:eastAsia="en-AU"/>
        </w:rPr>
        <w:t xml:space="preserve">CGT (SBCGT) </w:t>
      </w:r>
      <w:r w:rsidRPr="00BB3E2F">
        <w:rPr>
          <w:rFonts w:cs="Arial"/>
          <w:b/>
          <w:lang w:eastAsia="en-AU"/>
        </w:rPr>
        <w:t>concessions</w:t>
      </w:r>
    </w:p>
    <w:p w14:paraId="2AA87C6F" w14:textId="77777777" w:rsidR="00942FDD" w:rsidRDefault="00942FDD" w:rsidP="00942FDD">
      <w:pPr>
        <w:pStyle w:val="TableBullet"/>
        <w:numPr>
          <w:ilvl w:val="0"/>
          <w:numId w:val="0"/>
        </w:numPr>
        <w:adjustRightInd w:val="0"/>
        <w:spacing w:before="0" w:after="0"/>
        <w:rPr>
          <w:rFonts w:cs="Arial"/>
          <w:sz w:val="20"/>
          <w:szCs w:val="20"/>
          <w:lang w:eastAsia="en-AU"/>
        </w:rPr>
      </w:pPr>
    </w:p>
    <w:p w14:paraId="5FA19BF8" w14:textId="36E42448" w:rsidR="005D3634" w:rsidRDefault="00942FDD" w:rsidP="00EC197D">
      <w:pPr>
        <w:pStyle w:val="TableBullet"/>
        <w:numPr>
          <w:ilvl w:val="0"/>
          <w:numId w:val="0"/>
        </w:numPr>
        <w:adjustRightInd w:val="0"/>
        <w:spacing w:before="0" w:after="0"/>
        <w:rPr>
          <w:rFonts w:cs="Arial"/>
          <w:sz w:val="20"/>
          <w:szCs w:val="20"/>
          <w:lang w:eastAsia="en-AU"/>
        </w:rPr>
      </w:pPr>
      <w:r>
        <w:rPr>
          <w:rFonts w:cs="Arial"/>
          <w:sz w:val="20"/>
          <w:szCs w:val="20"/>
          <w:lang w:eastAsia="en-AU"/>
        </w:rPr>
        <w:t>T</w:t>
      </w:r>
      <w:r w:rsidR="0059023F" w:rsidRPr="0059023F">
        <w:rPr>
          <w:rFonts w:cs="Arial"/>
          <w:sz w:val="20"/>
          <w:szCs w:val="20"/>
          <w:lang w:eastAsia="en-AU"/>
        </w:rPr>
        <w:t>here are significant tax savings potentially available where an eligible active asset used in a business is sold at a capital gain, and the taxpayer can satisfy either the $6 million maximum net asset value test immediately before the CGT event or the $2 million CGT small business entity test</w:t>
      </w:r>
      <w:r w:rsidR="0059023F">
        <w:rPr>
          <w:rFonts w:cs="Arial"/>
          <w:sz w:val="20"/>
          <w:szCs w:val="20"/>
          <w:lang w:eastAsia="en-AU"/>
        </w:rPr>
        <w:t xml:space="preserve"> </w:t>
      </w:r>
      <w:r w:rsidR="005C62DA">
        <w:rPr>
          <w:rFonts w:cs="Arial"/>
          <w:sz w:val="20"/>
          <w:szCs w:val="20"/>
          <w:lang w:eastAsia="en-AU"/>
        </w:rPr>
        <w:t>(</w:t>
      </w:r>
      <w:proofErr w:type="gramStart"/>
      <w:r w:rsidR="005C62DA">
        <w:rPr>
          <w:rFonts w:cs="Arial"/>
          <w:sz w:val="20"/>
          <w:szCs w:val="20"/>
          <w:lang w:eastAsia="en-AU"/>
        </w:rPr>
        <w:t>i.e.</w:t>
      </w:r>
      <w:proofErr w:type="gramEnd"/>
      <w:r w:rsidR="00A03DED">
        <w:rPr>
          <w:rFonts w:cs="Arial"/>
          <w:sz w:val="20"/>
          <w:szCs w:val="20"/>
          <w:lang w:eastAsia="en-AU"/>
        </w:rPr>
        <w:t xml:space="preserve"> less than</w:t>
      </w:r>
      <w:r w:rsidR="005C62DA">
        <w:rPr>
          <w:rFonts w:cs="Arial"/>
          <w:sz w:val="20"/>
          <w:szCs w:val="20"/>
          <w:lang w:eastAsia="en-AU"/>
        </w:rPr>
        <w:t xml:space="preserve"> $2 million of </w:t>
      </w:r>
      <w:r w:rsidR="00A03DED">
        <w:rPr>
          <w:rFonts w:cs="Arial"/>
          <w:sz w:val="20"/>
          <w:szCs w:val="20"/>
          <w:lang w:eastAsia="en-AU"/>
        </w:rPr>
        <w:t xml:space="preserve">aggregated </w:t>
      </w:r>
      <w:r w:rsidR="005C62DA">
        <w:rPr>
          <w:rFonts w:cs="Arial"/>
          <w:sz w:val="20"/>
          <w:szCs w:val="20"/>
          <w:lang w:eastAsia="en-AU"/>
        </w:rPr>
        <w:t xml:space="preserve">turnover) </w:t>
      </w:r>
      <w:r w:rsidR="0059023F">
        <w:rPr>
          <w:rFonts w:cs="Arial"/>
          <w:sz w:val="20"/>
          <w:szCs w:val="20"/>
          <w:lang w:eastAsia="en-AU"/>
        </w:rPr>
        <w:t>for the 20</w:t>
      </w:r>
      <w:r w:rsidR="003E183C">
        <w:rPr>
          <w:rFonts w:cs="Arial"/>
          <w:sz w:val="20"/>
          <w:szCs w:val="20"/>
          <w:lang w:eastAsia="en-AU"/>
        </w:rPr>
        <w:t>2</w:t>
      </w:r>
      <w:r w:rsidR="007C3C83">
        <w:rPr>
          <w:rFonts w:cs="Arial"/>
          <w:sz w:val="20"/>
          <w:szCs w:val="20"/>
          <w:lang w:eastAsia="en-AU"/>
        </w:rPr>
        <w:t>4</w:t>
      </w:r>
      <w:r w:rsidR="0059023F">
        <w:rPr>
          <w:rFonts w:cs="Arial"/>
          <w:sz w:val="20"/>
          <w:szCs w:val="20"/>
          <w:lang w:eastAsia="en-AU"/>
        </w:rPr>
        <w:t xml:space="preserve"> year</w:t>
      </w:r>
      <w:r w:rsidR="0059023F" w:rsidRPr="0059023F">
        <w:rPr>
          <w:rFonts w:cs="Arial"/>
          <w:sz w:val="20"/>
          <w:szCs w:val="20"/>
          <w:lang w:eastAsia="en-AU"/>
        </w:rPr>
        <w:t xml:space="preserve">. </w:t>
      </w:r>
    </w:p>
    <w:p w14:paraId="4198A9A8" w14:textId="72F0935B" w:rsidR="005C62DA" w:rsidRDefault="005C62DA" w:rsidP="00EC197D">
      <w:pPr>
        <w:pStyle w:val="TableBullet"/>
        <w:numPr>
          <w:ilvl w:val="0"/>
          <w:numId w:val="0"/>
        </w:numPr>
        <w:adjustRightInd w:val="0"/>
        <w:spacing w:before="0" w:after="0"/>
        <w:rPr>
          <w:rFonts w:cs="Arial"/>
          <w:sz w:val="20"/>
          <w:szCs w:val="20"/>
          <w:lang w:eastAsia="en-AU"/>
        </w:rPr>
      </w:pPr>
    </w:p>
    <w:p w14:paraId="740E01C2" w14:textId="0F09F3BD" w:rsidR="005D3634" w:rsidRDefault="005C62DA" w:rsidP="00EC197D">
      <w:pPr>
        <w:adjustRightInd w:val="0"/>
        <w:rPr>
          <w:rFonts w:eastAsia="MS Gothic"/>
        </w:rPr>
      </w:pPr>
      <w:r w:rsidRPr="00533053">
        <w:rPr>
          <w:rFonts w:cs="Arial"/>
          <w:lang w:eastAsia="en-AU"/>
        </w:rPr>
        <w:t xml:space="preserve">The SBCGT concessions may also apply to a disposal of shares </w:t>
      </w:r>
      <w:r w:rsidR="00533053">
        <w:rPr>
          <w:rFonts w:cs="Arial"/>
          <w:lang w:eastAsia="en-AU"/>
        </w:rPr>
        <w:t xml:space="preserve">or units </w:t>
      </w:r>
      <w:r w:rsidRPr="00533053">
        <w:rPr>
          <w:rFonts w:cs="Arial"/>
          <w:lang w:eastAsia="en-AU"/>
        </w:rPr>
        <w:t>in a</w:t>
      </w:r>
      <w:r w:rsidR="00533053">
        <w:rPr>
          <w:rFonts w:cs="Arial"/>
          <w:lang w:eastAsia="en-AU"/>
        </w:rPr>
        <w:t xml:space="preserve"> small business</w:t>
      </w:r>
      <w:r w:rsidR="00533053" w:rsidRPr="00533053">
        <w:rPr>
          <w:rFonts w:cs="Arial"/>
          <w:lang w:eastAsia="en-AU"/>
        </w:rPr>
        <w:t xml:space="preserve"> entity, h</w:t>
      </w:r>
      <w:r w:rsidR="00A03DED">
        <w:rPr>
          <w:rFonts w:cs="Arial"/>
          <w:lang w:eastAsia="en-AU"/>
        </w:rPr>
        <w:t>owever</w:t>
      </w:r>
      <w:r w:rsidR="00533053">
        <w:rPr>
          <w:rFonts w:cs="Arial"/>
          <w:lang w:eastAsia="en-AU"/>
        </w:rPr>
        <w:t xml:space="preserve"> it should be noted that</w:t>
      </w:r>
      <w:r w:rsidR="00A03DED">
        <w:rPr>
          <w:rFonts w:cs="Arial"/>
          <w:lang w:eastAsia="en-AU"/>
        </w:rPr>
        <w:t xml:space="preserve"> </w:t>
      </w:r>
      <w:r w:rsidR="005D3634" w:rsidRPr="005D3634">
        <w:rPr>
          <w:rFonts w:eastAsia="MS Gothic"/>
        </w:rPr>
        <w:t>additional conditions must be met</w:t>
      </w:r>
      <w:r w:rsidR="00533053">
        <w:rPr>
          <w:rFonts w:eastAsia="MS Gothic"/>
        </w:rPr>
        <w:t>.</w:t>
      </w:r>
      <w:r w:rsidR="006E45FE">
        <w:rPr>
          <w:rFonts w:eastAsia="MS Gothic"/>
        </w:rPr>
        <w:t xml:space="preserve"> </w:t>
      </w:r>
      <w:r w:rsidR="00533053">
        <w:rPr>
          <w:rFonts w:eastAsia="MS Gothic"/>
        </w:rPr>
        <w:t xml:space="preserve">Some of </w:t>
      </w:r>
      <w:r w:rsidR="006E45FE">
        <w:rPr>
          <w:rFonts w:eastAsia="MS Gothic"/>
        </w:rPr>
        <w:t>these</w:t>
      </w:r>
      <w:r w:rsidR="00533053">
        <w:rPr>
          <w:rFonts w:eastAsia="MS Gothic"/>
        </w:rPr>
        <w:t xml:space="preserve"> include:</w:t>
      </w:r>
    </w:p>
    <w:p w14:paraId="58667273" w14:textId="77777777" w:rsidR="005D3634" w:rsidRPr="005D3634" w:rsidRDefault="005D3634" w:rsidP="00391570">
      <w:pPr>
        <w:rPr>
          <w:rFonts w:eastAsia="MS Gothic"/>
        </w:rPr>
      </w:pPr>
    </w:p>
    <w:p w14:paraId="6D419318" w14:textId="6950A1E4" w:rsidR="005D3634" w:rsidRPr="005D3634" w:rsidRDefault="006E45FE" w:rsidP="00EC197D">
      <w:pPr>
        <w:numPr>
          <w:ilvl w:val="0"/>
          <w:numId w:val="10"/>
        </w:numPr>
        <w:rPr>
          <w:rFonts w:eastAsia="MS Gothic"/>
        </w:rPr>
      </w:pPr>
      <w:r>
        <w:rPr>
          <w:rFonts w:eastAsia="MS Gothic"/>
        </w:rPr>
        <w:t>W</w:t>
      </w:r>
      <w:r w:rsidR="00AC07DE">
        <w:rPr>
          <w:rFonts w:eastAsia="MS Gothic"/>
        </w:rPr>
        <w:t xml:space="preserve">here the asset being disposed of is a share or an interest in a trust, </w:t>
      </w:r>
      <w:r w:rsidR="005D3634" w:rsidRPr="005D3634">
        <w:rPr>
          <w:rFonts w:eastAsia="MS Gothic"/>
        </w:rPr>
        <w:t>the taxpayer must be a CGT concession stakeholder in the object company or trust. Alternatively, if the CGT asset is a share in a company or an interest in a trust which is owned by an interposed entity</w:t>
      </w:r>
      <w:r w:rsidR="005D3634" w:rsidRPr="00391570">
        <w:rPr>
          <w:rFonts w:eastAsia="MS Gothic"/>
        </w:rPr>
        <w:t>, the taxpayer must be a CGT concession stakeholder in respect of the object company or trust</w:t>
      </w:r>
      <w:r w:rsidR="005D3634">
        <w:rPr>
          <w:rFonts w:eastAsia="MS Gothic"/>
        </w:rPr>
        <w:t xml:space="preserve">, and </w:t>
      </w:r>
      <w:r w:rsidR="005D3634" w:rsidRPr="005D3634">
        <w:rPr>
          <w:rFonts w:eastAsia="MS Gothic"/>
        </w:rPr>
        <w:t>CGT concession stakeholders in that object company or trust must together also have a small business participation percentage of at least 90</w:t>
      </w:r>
      <w:r w:rsidR="00D31223">
        <w:rPr>
          <w:rFonts w:eastAsia="MS Gothic"/>
        </w:rPr>
        <w:t xml:space="preserve"> per cent</w:t>
      </w:r>
      <w:r w:rsidR="005D3634" w:rsidRPr="005D3634">
        <w:rPr>
          <w:rFonts w:eastAsia="MS Gothic"/>
        </w:rPr>
        <w:t xml:space="preserve"> in the interposed </w:t>
      </w:r>
      <w:proofErr w:type="gramStart"/>
      <w:r w:rsidR="005D3634" w:rsidRPr="005D3634">
        <w:rPr>
          <w:rFonts w:eastAsia="MS Gothic"/>
        </w:rPr>
        <w:t>entity</w:t>
      </w:r>
      <w:proofErr w:type="gramEnd"/>
    </w:p>
    <w:p w14:paraId="45DEF1A7" w14:textId="07080761" w:rsidR="005D3634" w:rsidRPr="005D3634" w:rsidRDefault="006E45FE" w:rsidP="00EC197D">
      <w:pPr>
        <w:numPr>
          <w:ilvl w:val="0"/>
          <w:numId w:val="10"/>
        </w:numPr>
        <w:rPr>
          <w:rFonts w:eastAsia="MS Gothic"/>
        </w:rPr>
      </w:pPr>
      <w:r>
        <w:rPr>
          <w:rFonts w:eastAsia="MS Gothic"/>
        </w:rPr>
        <w:t>T</w:t>
      </w:r>
      <w:r w:rsidR="005D3634" w:rsidRPr="005D3634">
        <w:rPr>
          <w:rFonts w:eastAsia="MS Gothic"/>
        </w:rPr>
        <w:t xml:space="preserve">he object entity must be a CGT small business entity for the income </w:t>
      </w:r>
      <w:proofErr w:type="gramStart"/>
      <w:r w:rsidR="005D3634" w:rsidRPr="005D3634">
        <w:rPr>
          <w:rFonts w:eastAsia="MS Gothic"/>
        </w:rPr>
        <w:t>year</w:t>
      </w:r>
      <w:proofErr w:type="gramEnd"/>
      <w:r w:rsidR="005D3634" w:rsidRPr="005D3634">
        <w:rPr>
          <w:rFonts w:eastAsia="MS Gothic"/>
        </w:rPr>
        <w:t xml:space="preserve"> or the $6 million </w:t>
      </w:r>
      <w:r w:rsidR="005D3634">
        <w:rPr>
          <w:rFonts w:eastAsia="MS Gothic"/>
        </w:rPr>
        <w:t>maximum net asset v</w:t>
      </w:r>
      <w:r w:rsidR="005D3634" w:rsidRPr="005D3634">
        <w:rPr>
          <w:rFonts w:eastAsia="MS Gothic"/>
        </w:rPr>
        <w:t>alue test</w:t>
      </w:r>
      <w:r w:rsidR="00533053">
        <w:rPr>
          <w:rFonts w:eastAsia="MS Gothic"/>
        </w:rPr>
        <w:t xml:space="preserve"> must be satisfied</w:t>
      </w:r>
      <w:r w:rsidR="005D3634" w:rsidRPr="005D3634">
        <w:rPr>
          <w:rFonts w:eastAsia="MS Gothic"/>
        </w:rPr>
        <w:t xml:space="preserve"> just before the CGT event. In applying this </w:t>
      </w:r>
      <w:proofErr w:type="gramStart"/>
      <w:r w:rsidR="005D3634" w:rsidRPr="005D3634">
        <w:rPr>
          <w:rFonts w:eastAsia="MS Gothic"/>
        </w:rPr>
        <w:t>test</w:t>
      </w:r>
      <w:proofErr w:type="gramEnd"/>
      <w:r w:rsidR="005D3634" w:rsidRPr="005D3634">
        <w:rPr>
          <w:rFonts w:eastAsia="MS Gothic"/>
        </w:rPr>
        <w:t xml:space="preserve"> it is important to note that a modified connected entity test applies in determining whether these turnover and asset tests are satisfied</w:t>
      </w:r>
    </w:p>
    <w:p w14:paraId="14E95E26" w14:textId="5A0FBD99" w:rsidR="005D3634" w:rsidRDefault="006E45FE" w:rsidP="00EC197D">
      <w:pPr>
        <w:numPr>
          <w:ilvl w:val="0"/>
          <w:numId w:val="10"/>
        </w:numPr>
      </w:pPr>
      <w:r>
        <w:t>T</w:t>
      </w:r>
      <w:r w:rsidR="005D3634" w:rsidRPr="005D3634">
        <w:t xml:space="preserve">he shares or interests in the object entity must satisfy a modified active asset test that looks through shares in companies and interests in trusts to the activities and assets of the underlying </w:t>
      </w:r>
      <w:r w:rsidR="006823D7">
        <w:t>entities.</w:t>
      </w:r>
    </w:p>
    <w:p w14:paraId="57CDA069" w14:textId="77777777" w:rsidR="005D3634" w:rsidRDefault="005D3634" w:rsidP="00391570"/>
    <w:p w14:paraId="068FB65D" w14:textId="3F34A737" w:rsidR="000E635C" w:rsidRDefault="0059023F" w:rsidP="00EC197D">
      <w:pPr>
        <w:pStyle w:val="TableBullet"/>
        <w:numPr>
          <w:ilvl w:val="0"/>
          <w:numId w:val="0"/>
        </w:numPr>
        <w:adjustRightInd w:val="0"/>
        <w:spacing w:before="0" w:after="0"/>
        <w:rPr>
          <w:sz w:val="20"/>
          <w:szCs w:val="20"/>
        </w:rPr>
      </w:pPr>
      <w:r>
        <w:rPr>
          <w:sz w:val="20"/>
          <w:szCs w:val="20"/>
        </w:rPr>
        <w:t>Given the complex</w:t>
      </w:r>
      <w:r w:rsidR="005D3634">
        <w:rPr>
          <w:sz w:val="20"/>
          <w:szCs w:val="20"/>
        </w:rPr>
        <w:t xml:space="preserve">ity of the </w:t>
      </w:r>
      <w:r w:rsidR="005C62DA">
        <w:rPr>
          <w:sz w:val="20"/>
          <w:szCs w:val="20"/>
        </w:rPr>
        <w:t>SB</w:t>
      </w:r>
      <w:r w:rsidR="005D3634">
        <w:rPr>
          <w:sz w:val="20"/>
          <w:szCs w:val="20"/>
        </w:rPr>
        <w:t>CGT concessions</w:t>
      </w:r>
      <w:r w:rsidR="00B70158">
        <w:rPr>
          <w:sz w:val="20"/>
          <w:szCs w:val="20"/>
        </w:rPr>
        <w:t>,</w:t>
      </w:r>
      <w:r w:rsidR="005D3634">
        <w:rPr>
          <w:sz w:val="20"/>
          <w:szCs w:val="20"/>
        </w:rPr>
        <w:t xml:space="preserve"> </w:t>
      </w:r>
      <w:r>
        <w:rPr>
          <w:sz w:val="20"/>
          <w:szCs w:val="20"/>
        </w:rPr>
        <w:t xml:space="preserve">specialist advice should be obtained </w:t>
      </w:r>
      <w:r w:rsidR="00391570">
        <w:rPr>
          <w:sz w:val="20"/>
          <w:szCs w:val="20"/>
        </w:rPr>
        <w:t>especially in respect of the disposal of an active asset being a share in a company or an interest in a trust at a capital gain which may be reduced under the concessions</w:t>
      </w:r>
      <w:r w:rsidR="00CC6D54">
        <w:rPr>
          <w:sz w:val="20"/>
          <w:szCs w:val="20"/>
        </w:rPr>
        <w:t>.</w:t>
      </w:r>
    </w:p>
    <w:p w14:paraId="5253B592" w14:textId="77777777" w:rsidR="00BB3E2F" w:rsidRDefault="00BB3E2F" w:rsidP="00EC197D">
      <w:pPr>
        <w:pStyle w:val="TableBullet"/>
        <w:numPr>
          <w:ilvl w:val="0"/>
          <w:numId w:val="0"/>
        </w:numPr>
        <w:adjustRightInd w:val="0"/>
        <w:spacing w:before="0" w:after="0"/>
        <w:rPr>
          <w:sz w:val="20"/>
          <w:szCs w:val="20"/>
        </w:rPr>
      </w:pPr>
    </w:p>
    <w:p w14:paraId="70698D2F" w14:textId="0B8B5E0F" w:rsidR="00BB3E2F" w:rsidRPr="00BB3E2F" w:rsidRDefault="000E635C" w:rsidP="00EC197D">
      <w:pPr>
        <w:pStyle w:val="TableBullet"/>
        <w:numPr>
          <w:ilvl w:val="0"/>
          <w:numId w:val="0"/>
        </w:numPr>
        <w:adjustRightInd w:val="0"/>
        <w:spacing w:before="0" w:after="0"/>
        <w:rPr>
          <w:b/>
          <w:sz w:val="20"/>
          <w:szCs w:val="20"/>
        </w:rPr>
      </w:pPr>
      <w:r w:rsidRPr="00BB3E2F">
        <w:rPr>
          <w:b/>
          <w:sz w:val="20"/>
          <w:szCs w:val="20"/>
        </w:rPr>
        <w:t>Trustee resolutions</w:t>
      </w:r>
      <w:r w:rsidR="00DA02C6">
        <w:rPr>
          <w:b/>
          <w:sz w:val="20"/>
          <w:szCs w:val="20"/>
        </w:rPr>
        <w:t xml:space="preserve"> </w:t>
      </w:r>
      <w:r w:rsidR="00DA02C6" w:rsidRPr="00BD45FB">
        <w:rPr>
          <w:b/>
          <w:sz w:val="20"/>
          <w:szCs w:val="20"/>
          <w:highlight w:val="yellow"/>
        </w:rPr>
        <w:t>[Delete if no trust entity]</w:t>
      </w:r>
    </w:p>
    <w:p w14:paraId="4F9CFDAA" w14:textId="77777777" w:rsidR="00A37D34" w:rsidRDefault="00A37D34" w:rsidP="00942FDD">
      <w:pPr>
        <w:pStyle w:val="TableBullet"/>
        <w:numPr>
          <w:ilvl w:val="0"/>
          <w:numId w:val="0"/>
        </w:numPr>
        <w:adjustRightInd w:val="0"/>
        <w:spacing w:before="0" w:after="0"/>
        <w:rPr>
          <w:sz w:val="20"/>
          <w:szCs w:val="20"/>
        </w:rPr>
      </w:pPr>
    </w:p>
    <w:p w14:paraId="35C6BE7C" w14:textId="5949F107" w:rsidR="005C62DA" w:rsidRDefault="00BB3E2F" w:rsidP="00EC197D">
      <w:pPr>
        <w:pStyle w:val="TableBullet"/>
        <w:numPr>
          <w:ilvl w:val="0"/>
          <w:numId w:val="0"/>
        </w:numPr>
        <w:adjustRightInd w:val="0"/>
        <w:spacing w:before="0" w:after="0"/>
        <w:rPr>
          <w:sz w:val="20"/>
          <w:szCs w:val="20"/>
        </w:rPr>
      </w:pPr>
      <w:r>
        <w:rPr>
          <w:sz w:val="20"/>
          <w:szCs w:val="20"/>
        </w:rPr>
        <w:t>T</w:t>
      </w:r>
      <w:r w:rsidR="000E635C">
        <w:rPr>
          <w:sz w:val="20"/>
          <w:szCs w:val="20"/>
        </w:rPr>
        <w:t>he trustee of a non-fixed trust should document the exercise of any discretion regarding distributions of trust income by 30 June 20</w:t>
      </w:r>
      <w:r w:rsidR="003E183C">
        <w:rPr>
          <w:sz w:val="20"/>
          <w:szCs w:val="20"/>
        </w:rPr>
        <w:t>2</w:t>
      </w:r>
      <w:r w:rsidR="00B167AF">
        <w:rPr>
          <w:sz w:val="20"/>
          <w:szCs w:val="20"/>
        </w:rPr>
        <w:t>4</w:t>
      </w:r>
      <w:r w:rsidR="000E635C">
        <w:rPr>
          <w:sz w:val="20"/>
          <w:szCs w:val="20"/>
        </w:rPr>
        <w:t xml:space="preserve"> (or any earlier date required under the trust deed) to ensure that beneficiaries are presently entitled to all trust income and therefore ensure that the trustee will not be potentially subject to tax at a penalty rate of 47</w:t>
      </w:r>
      <w:r w:rsidR="00D31223">
        <w:rPr>
          <w:sz w:val="20"/>
          <w:szCs w:val="20"/>
        </w:rPr>
        <w:t xml:space="preserve"> per cent</w:t>
      </w:r>
      <w:r w:rsidR="006E45FE">
        <w:rPr>
          <w:sz w:val="20"/>
          <w:szCs w:val="20"/>
        </w:rPr>
        <w:t xml:space="preserve"> (including Medicare levy)</w:t>
      </w:r>
      <w:r w:rsidR="000E635C">
        <w:rPr>
          <w:sz w:val="20"/>
          <w:szCs w:val="20"/>
        </w:rPr>
        <w:t xml:space="preserve"> in respect of trust income to which no beneficiary has been made presently entitled. </w:t>
      </w:r>
    </w:p>
    <w:p w14:paraId="034BCFD0" w14:textId="77777777" w:rsidR="005C62DA" w:rsidRDefault="005C62DA" w:rsidP="00EC197D">
      <w:pPr>
        <w:pStyle w:val="TableBullet"/>
        <w:numPr>
          <w:ilvl w:val="0"/>
          <w:numId w:val="0"/>
        </w:numPr>
        <w:adjustRightInd w:val="0"/>
        <w:spacing w:before="0" w:after="0"/>
        <w:rPr>
          <w:sz w:val="20"/>
          <w:szCs w:val="20"/>
        </w:rPr>
      </w:pPr>
    </w:p>
    <w:p w14:paraId="1C5A3A8A" w14:textId="04580B70" w:rsidR="00501AF1" w:rsidRPr="000E635C" w:rsidRDefault="000E635C" w:rsidP="00EC197D">
      <w:pPr>
        <w:pStyle w:val="TableBullet"/>
        <w:numPr>
          <w:ilvl w:val="0"/>
          <w:numId w:val="0"/>
        </w:numPr>
        <w:adjustRightInd w:val="0"/>
        <w:spacing w:before="0" w:after="0"/>
        <w:rPr>
          <w:rFonts w:cs="Arial"/>
          <w:sz w:val="20"/>
          <w:szCs w:val="20"/>
          <w:lang w:eastAsia="en-AU"/>
        </w:rPr>
      </w:pPr>
      <w:r>
        <w:rPr>
          <w:sz w:val="20"/>
          <w:szCs w:val="20"/>
        </w:rPr>
        <w:t>Such distribution</w:t>
      </w:r>
      <w:r w:rsidR="00F33523">
        <w:rPr>
          <w:sz w:val="20"/>
          <w:szCs w:val="20"/>
        </w:rPr>
        <w:t>s</w:t>
      </w:r>
      <w:r>
        <w:rPr>
          <w:sz w:val="20"/>
          <w:szCs w:val="20"/>
        </w:rPr>
        <w:t xml:space="preserve"> should be made in accordance with the definition of trust income set out in the relevant trust deed. Prior to making such beneficiaries present entitled it may </w:t>
      </w:r>
      <w:r w:rsidR="00F33523">
        <w:rPr>
          <w:sz w:val="20"/>
          <w:szCs w:val="20"/>
        </w:rPr>
        <w:t xml:space="preserve">also </w:t>
      </w:r>
      <w:r>
        <w:rPr>
          <w:sz w:val="20"/>
          <w:szCs w:val="20"/>
        </w:rPr>
        <w:t xml:space="preserve">be prudent for the trustee to determine whether any beneficiaries should be made specifically entitled to capital gains or franked dividends. Care should be taken to ensure that any exercise of the trustee’s discretion to make beneficiaries </w:t>
      </w:r>
      <w:r>
        <w:rPr>
          <w:sz w:val="20"/>
          <w:szCs w:val="20"/>
        </w:rPr>
        <w:lastRenderedPageBreak/>
        <w:t>specifically entitled to such amounts is permitted under the trust deed and satisfies all requirements imposed under the tax law</w:t>
      </w:r>
      <w:r w:rsidR="00BB3E2F">
        <w:rPr>
          <w:sz w:val="20"/>
          <w:szCs w:val="20"/>
        </w:rPr>
        <w:t>.</w:t>
      </w:r>
    </w:p>
    <w:p w14:paraId="4C847A5A" w14:textId="77777777" w:rsidR="000E635C" w:rsidRDefault="000E635C" w:rsidP="00EC197D">
      <w:pPr>
        <w:pStyle w:val="TableBullet"/>
        <w:numPr>
          <w:ilvl w:val="0"/>
          <w:numId w:val="0"/>
        </w:numPr>
        <w:adjustRightInd w:val="0"/>
        <w:spacing w:before="0" w:after="0"/>
        <w:rPr>
          <w:rFonts w:cs="Arial"/>
          <w:sz w:val="20"/>
          <w:szCs w:val="20"/>
          <w:lang w:eastAsia="en-AU"/>
        </w:rPr>
      </w:pPr>
    </w:p>
    <w:p w14:paraId="1156ADB5" w14:textId="2F47BBB5" w:rsidR="00BB3E2F" w:rsidRPr="00BB3E2F" w:rsidRDefault="000E635C" w:rsidP="00EC197D">
      <w:pPr>
        <w:pStyle w:val="TableBullet"/>
        <w:numPr>
          <w:ilvl w:val="0"/>
          <w:numId w:val="0"/>
        </w:numPr>
        <w:adjustRightInd w:val="0"/>
        <w:spacing w:before="0" w:after="0"/>
        <w:rPr>
          <w:rFonts w:cs="Arial"/>
          <w:b/>
          <w:sz w:val="20"/>
          <w:szCs w:val="20"/>
          <w:lang w:eastAsia="en-AU"/>
        </w:rPr>
      </w:pPr>
      <w:r w:rsidRPr="00BB3E2F">
        <w:rPr>
          <w:rFonts w:cs="Arial"/>
          <w:b/>
          <w:sz w:val="20"/>
          <w:szCs w:val="20"/>
          <w:lang w:eastAsia="en-AU"/>
        </w:rPr>
        <w:t>Division 7A</w:t>
      </w:r>
      <w:r w:rsidR="00DA02C6">
        <w:rPr>
          <w:rFonts w:cs="Arial"/>
          <w:b/>
          <w:sz w:val="20"/>
          <w:szCs w:val="20"/>
          <w:lang w:eastAsia="en-AU"/>
        </w:rPr>
        <w:t xml:space="preserve"> </w:t>
      </w:r>
      <w:r w:rsidR="00DA02C6" w:rsidRPr="00BD45FB">
        <w:rPr>
          <w:rFonts w:cs="Arial"/>
          <w:b/>
          <w:sz w:val="20"/>
          <w:szCs w:val="20"/>
          <w:highlight w:val="yellow"/>
          <w:lang w:eastAsia="en-AU"/>
        </w:rPr>
        <w:t>[Delete if no company]</w:t>
      </w:r>
    </w:p>
    <w:p w14:paraId="539BB4B2" w14:textId="77777777" w:rsidR="00A37D34" w:rsidRDefault="00A37D34" w:rsidP="00942FDD">
      <w:pPr>
        <w:pStyle w:val="TableBullet"/>
        <w:numPr>
          <w:ilvl w:val="0"/>
          <w:numId w:val="0"/>
        </w:numPr>
        <w:adjustRightInd w:val="0"/>
        <w:spacing w:before="0" w:after="0"/>
        <w:rPr>
          <w:rFonts w:cs="Arial"/>
          <w:sz w:val="20"/>
          <w:szCs w:val="20"/>
          <w:lang w:eastAsia="en-AU"/>
        </w:rPr>
      </w:pPr>
    </w:p>
    <w:p w14:paraId="6CDD4DF5" w14:textId="3DC6B202" w:rsidR="00D5426D" w:rsidRDefault="00BB3E2F" w:rsidP="00EC197D">
      <w:pPr>
        <w:pStyle w:val="TableBullet"/>
        <w:numPr>
          <w:ilvl w:val="0"/>
          <w:numId w:val="0"/>
        </w:numPr>
        <w:adjustRightInd w:val="0"/>
        <w:spacing w:before="0" w:after="0"/>
        <w:rPr>
          <w:rFonts w:cs="Arial"/>
          <w:sz w:val="20"/>
          <w:szCs w:val="20"/>
          <w:lang w:eastAsia="en-AU"/>
        </w:rPr>
      </w:pPr>
      <w:r w:rsidRPr="00105E62">
        <w:rPr>
          <w:rFonts w:cs="Arial"/>
          <w:sz w:val="20"/>
          <w:szCs w:val="20"/>
          <w:lang w:eastAsia="en-AU"/>
        </w:rPr>
        <w:t>I</w:t>
      </w:r>
      <w:r w:rsidR="00753E4F" w:rsidRPr="00105E62">
        <w:rPr>
          <w:rFonts w:cs="Arial"/>
          <w:sz w:val="20"/>
          <w:szCs w:val="20"/>
          <w:lang w:eastAsia="en-AU"/>
        </w:rPr>
        <w:t>t is prudent to determine whether any payments, loans or debt forgiveness made by a private company to a shareholder (or an associate of a shareholder) have been made during the year ended 30 June 20</w:t>
      </w:r>
      <w:r w:rsidR="003E183C">
        <w:rPr>
          <w:rFonts w:cs="Arial"/>
          <w:sz w:val="20"/>
          <w:szCs w:val="20"/>
          <w:lang w:eastAsia="en-AU"/>
        </w:rPr>
        <w:t>2</w:t>
      </w:r>
      <w:r w:rsidR="00A1534C">
        <w:rPr>
          <w:rFonts w:cs="Arial"/>
          <w:sz w:val="20"/>
          <w:szCs w:val="20"/>
          <w:lang w:eastAsia="en-AU"/>
        </w:rPr>
        <w:t>4</w:t>
      </w:r>
      <w:r w:rsidR="00753E4F" w:rsidRPr="00105E62">
        <w:rPr>
          <w:rFonts w:cs="Arial"/>
          <w:sz w:val="20"/>
          <w:szCs w:val="20"/>
          <w:lang w:eastAsia="en-AU"/>
        </w:rPr>
        <w:t xml:space="preserve">. Where this has occurred during the year </w:t>
      </w:r>
      <w:r w:rsidR="00F33523" w:rsidRPr="00105E62">
        <w:rPr>
          <w:rFonts w:cs="Arial"/>
          <w:sz w:val="20"/>
          <w:szCs w:val="20"/>
          <w:lang w:eastAsia="en-AU"/>
        </w:rPr>
        <w:t xml:space="preserve">it should be </w:t>
      </w:r>
      <w:r w:rsidR="00753E4F" w:rsidRPr="00105E62">
        <w:rPr>
          <w:rFonts w:cs="Arial"/>
          <w:sz w:val="20"/>
          <w:szCs w:val="20"/>
          <w:lang w:eastAsia="en-AU"/>
        </w:rPr>
        <w:t>determine</w:t>
      </w:r>
      <w:r w:rsidR="00F33523" w:rsidRPr="00105E62">
        <w:rPr>
          <w:rFonts w:cs="Arial"/>
          <w:sz w:val="20"/>
          <w:szCs w:val="20"/>
          <w:lang w:eastAsia="en-AU"/>
        </w:rPr>
        <w:t>d</w:t>
      </w:r>
      <w:r w:rsidR="00753E4F" w:rsidRPr="00105E62">
        <w:rPr>
          <w:rFonts w:cs="Arial"/>
          <w:sz w:val="20"/>
          <w:szCs w:val="20"/>
          <w:lang w:eastAsia="en-AU"/>
        </w:rPr>
        <w:t xml:space="preserve"> whether any exemptions potentially apply, and </w:t>
      </w:r>
      <w:r w:rsidR="00F33523" w:rsidRPr="00105E62">
        <w:rPr>
          <w:rFonts w:cs="Arial"/>
          <w:sz w:val="20"/>
          <w:szCs w:val="20"/>
          <w:lang w:eastAsia="en-AU"/>
        </w:rPr>
        <w:t xml:space="preserve">if not, what </w:t>
      </w:r>
      <w:r w:rsidR="00753E4F" w:rsidRPr="00105E62">
        <w:rPr>
          <w:rFonts w:cs="Arial"/>
          <w:sz w:val="20"/>
          <w:szCs w:val="20"/>
          <w:lang w:eastAsia="en-AU"/>
        </w:rPr>
        <w:t xml:space="preserve">strategies could be employed to ensure that a deemed dividend does not arise in respect of any such payment, </w:t>
      </w:r>
      <w:proofErr w:type="gramStart"/>
      <w:r w:rsidR="00753E4F" w:rsidRPr="00105E62">
        <w:rPr>
          <w:rFonts w:cs="Arial"/>
          <w:sz w:val="20"/>
          <w:szCs w:val="20"/>
          <w:lang w:eastAsia="en-AU"/>
        </w:rPr>
        <w:t>loan</w:t>
      </w:r>
      <w:proofErr w:type="gramEnd"/>
      <w:r w:rsidR="00753E4F" w:rsidRPr="00C5311F">
        <w:rPr>
          <w:rFonts w:cs="Arial"/>
          <w:sz w:val="20"/>
          <w:szCs w:val="20"/>
          <w:lang w:eastAsia="en-AU"/>
        </w:rPr>
        <w:t xml:space="preserve"> or debt forgiveness. </w:t>
      </w:r>
    </w:p>
    <w:p w14:paraId="7633DA61" w14:textId="77777777" w:rsidR="00D5426D" w:rsidRDefault="00D5426D" w:rsidP="00EC197D">
      <w:pPr>
        <w:pStyle w:val="TableBullet"/>
        <w:numPr>
          <w:ilvl w:val="0"/>
          <w:numId w:val="0"/>
        </w:numPr>
        <w:adjustRightInd w:val="0"/>
        <w:spacing w:before="0" w:after="0"/>
        <w:rPr>
          <w:rFonts w:cs="Arial"/>
          <w:sz w:val="20"/>
          <w:szCs w:val="20"/>
          <w:lang w:eastAsia="en-AU"/>
        </w:rPr>
      </w:pPr>
    </w:p>
    <w:p w14:paraId="4552B885" w14:textId="7C63FD21" w:rsidR="00501AF1" w:rsidRPr="00391570" w:rsidRDefault="00753E4F" w:rsidP="00EC197D">
      <w:pPr>
        <w:pStyle w:val="TableBullet"/>
        <w:numPr>
          <w:ilvl w:val="0"/>
          <w:numId w:val="0"/>
        </w:numPr>
        <w:adjustRightInd w:val="0"/>
        <w:spacing w:before="0" w:after="0"/>
        <w:rPr>
          <w:rFonts w:cs="Arial"/>
          <w:sz w:val="20"/>
          <w:szCs w:val="20"/>
          <w:lang w:eastAsia="en-AU"/>
        </w:rPr>
      </w:pPr>
      <w:r w:rsidRPr="00C5311F">
        <w:rPr>
          <w:rFonts w:cs="Arial"/>
          <w:sz w:val="20"/>
          <w:szCs w:val="20"/>
          <w:lang w:eastAsia="en-AU"/>
        </w:rPr>
        <w:t>It is particularly important to recognise that an unpaid present entitlement</w:t>
      </w:r>
      <w:r w:rsidR="006B5C7A">
        <w:rPr>
          <w:rFonts w:cs="Arial"/>
          <w:sz w:val="20"/>
          <w:szCs w:val="20"/>
          <w:lang w:eastAsia="en-AU"/>
        </w:rPr>
        <w:t>,</w:t>
      </w:r>
      <w:r w:rsidRPr="00C5311F">
        <w:rPr>
          <w:rFonts w:cs="Arial"/>
          <w:sz w:val="20"/>
          <w:szCs w:val="20"/>
          <w:lang w:eastAsia="en-AU"/>
        </w:rPr>
        <w:t xml:space="preserve"> which is owed by a trust to a related private company beneficiary who effectively lends those funds back to the associated trust</w:t>
      </w:r>
      <w:r w:rsidR="006B5C7A">
        <w:rPr>
          <w:rFonts w:cs="Arial"/>
          <w:sz w:val="20"/>
          <w:szCs w:val="20"/>
          <w:lang w:eastAsia="en-AU"/>
        </w:rPr>
        <w:t>,</w:t>
      </w:r>
      <w:r w:rsidRPr="00C5311F">
        <w:rPr>
          <w:rFonts w:cs="Arial"/>
          <w:sz w:val="20"/>
          <w:szCs w:val="20"/>
          <w:lang w:eastAsia="en-AU"/>
        </w:rPr>
        <w:t xml:space="preserve"> will be treated as a loan for </w:t>
      </w:r>
      <w:r w:rsidR="00105E62" w:rsidRPr="00C5311F">
        <w:rPr>
          <w:rFonts w:cs="Arial"/>
          <w:sz w:val="20"/>
          <w:szCs w:val="20"/>
          <w:lang w:eastAsia="en-AU"/>
        </w:rPr>
        <w:t xml:space="preserve">the </w:t>
      </w:r>
      <w:r w:rsidRPr="00C5311F">
        <w:rPr>
          <w:rFonts w:cs="Arial"/>
          <w:sz w:val="20"/>
          <w:szCs w:val="20"/>
          <w:lang w:eastAsia="en-AU"/>
        </w:rPr>
        <w:t>purposes</w:t>
      </w:r>
      <w:r w:rsidR="00105E62" w:rsidRPr="00C5311F">
        <w:rPr>
          <w:rFonts w:cs="Arial"/>
          <w:sz w:val="20"/>
          <w:szCs w:val="20"/>
          <w:lang w:eastAsia="en-AU"/>
        </w:rPr>
        <w:t xml:space="preserve"> of Division 7A of the</w:t>
      </w:r>
      <w:r w:rsidR="006823D7">
        <w:rPr>
          <w:rFonts w:cs="Arial"/>
          <w:sz w:val="20"/>
          <w:szCs w:val="20"/>
          <w:lang w:eastAsia="en-AU"/>
        </w:rPr>
        <w:t xml:space="preserve"> </w:t>
      </w:r>
      <w:r w:rsidR="006823D7" w:rsidRPr="007B4BB1">
        <w:rPr>
          <w:rFonts w:cs="Arial"/>
          <w:sz w:val="20"/>
          <w:szCs w:val="20"/>
          <w:lang w:eastAsia="en-AU"/>
        </w:rPr>
        <w:t>ITAA 1936</w:t>
      </w:r>
      <w:r w:rsidR="00105E62">
        <w:rPr>
          <w:rFonts w:cs="Arial"/>
          <w:sz w:val="20"/>
          <w:szCs w:val="20"/>
          <w:lang w:eastAsia="en-AU"/>
        </w:rPr>
        <w:t>.</w:t>
      </w:r>
      <w:r w:rsidR="00105E62" w:rsidRPr="00391570">
        <w:rPr>
          <w:rFonts w:cs="Arial"/>
          <w:sz w:val="20"/>
          <w:szCs w:val="20"/>
          <w:lang w:eastAsia="en-AU"/>
        </w:rPr>
        <w:t xml:space="preserve"> </w:t>
      </w:r>
      <w:r w:rsidR="00105E62" w:rsidRPr="00105E62">
        <w:rPr>
          <w:rFonts w:cs="Arial"/>
          <w:sz w:val="20"/>
          <w:szCs w:val="20"/>
          <w:lang w:eastAsia="en-AU"/>
        </w:rPr>
        <w:t xml:space="preserve"> </w:t>
      </w:r>
      <w:r w:rsidR="00F33523" w:rsidRPr="00105E62">
        <w:rPr>
          <w:rFonts w:cs="Arial"/>
          <w:sz w:val="20"/>
          <w:szCs w:val="20"/>
          <w:lang w:eastAsia="en-AU"/>
        </w:rPr>
        <w:t xml:space="preserve"> </w:t>
      </w:r>
      <w:r w:rsidR="00B667A3">
        <w:rPr>
          <w:rFonts w:cs="Arial"/>
          <w:sz w:val="20"/>
          <w:szCs w:val="20"/>
          <w:lang w:eastAsia="en-AU"/>
        </w:rPr>
        <w:t xml:space="preserve">It should be noted that </w:t>
      </w:r>
      <w:r w:rsidR="001B07D5">
        <w:rPr>
          <w:rFonts w:cs="Arial"/>
          <w:sz w:val="20"/>
          <w:szCs w:val="20"/>
          <w:lang w:eastAsia="en-AU"/>
        </w:rPr>
        <w:t>while th</w:t>
      </w:r>
      <w:r w:rsidR="00B667A3">
        <w:rPr>
          <w:rFonts w:cs="Arial"/>
          <w:sz w:val="20"/>
          <w:szCs w:val="20"/>
          <w:lang w:eastAsia="en-AU"/>
        </w:rPr>
        <w:t xml:space="preserve">ere was a recent </w:t>
      </w:r>
      <w:r w:rsidR="007E16F9">
        <w:rPr>
          <w:rFonts w:cs="Arial"/>
          <w:sz w:val="20"/>
          <w:szCs w:val="20"/>
          <w:lang w:eastAsia="en-AU"/>
        </w:rPr>
        <w:t xml:space="preserve">Administrative Appeals Tribunal </w:t>
      </w:r>
      <w:r w:rsidR="00B667A3">
        <w:rPr>
          <w:rFonts w:cs="Arial"/>
          <w:sz w:val="20"/>
          <w:szCs w:val="20"/>
          <w:lang w:eastAsia="en-AU"/>
        </w:rPr>
        <w:t xml:space="preserve">decision </w:t>
      </w:r>
      <w:r w:rsidR="007E16F9">
        <w:rPr>
          <w:rFonts w:cs="Arial"/>
          <w:sz w:val="20"/>
          <w:szCs w:val="20"/>
          <w:lang w:eastAsia="en-AU"/>
        </w:rPr>
        <w:t>(</w:t>
      </w:r>
      <w:r w:rsidR="000811C1">
        <w:rPr>
          <w:rFonts w:cs="Arial"/>
          <w:sz w:val="20"/>
          <w:szCs w:val="20"/>
          <w:lang w:eastAsia="en-AU"/>
        </w:rPr>
        <w:t xml:space="preserve">Bendel </w:t>
      </w:r>
      <w:r w:rsidR="007E16F9">
        <w:rPr>
          <w:rFonts w:cs="Arial"/>
          <w:sz w:val="20"/>
          <w:szCs w:val="20"/>
          <w:lang w:eastAsia="en-AU"/>
        </w:rPr>
        <w:t xml:space="preserve">v </w:t>
      </w:r>
      <w:r w:rsidR="000811C1">
        <w:rPr>
          <w:rFonts w:cs="Arial"/>
          <w:sz w:val="20"/>
          <w:szCs w:val="20"/>
          <w:lang w:eastAsia="en-AU"/>
        </w:rPr>
        <w:t>Commissioner of Taxation</w:t>
      </w:r>
      <w:r w:rsidR="007E16F9">
        <w:rPr>
          <w:rFonts w:cs="Arial"/>
          <w:sz w:val="20"/>
          <w:szCs w:val="20"/>
          <w:lang w:eastAsia="en-AU"/>
        </w:rPr>
        <w:t>)</w:t>
      </w:r>
      <w:r w:rsidR="000811C1">
        <w:rPr>
          <w:rFonts w:cs="Arial"/>
          <w:sz w:val="20"/>
          <w:szCs w:val="20"/>
          <w:lang w:eastAsia="en-AU"/>
        </w:rPr>
        <w:t xml:space="preserve"> </w:t>
      </w:r>
      <w:r w:rsidR="007E16F9">
        <w:rPr>
          <w:rFonts w:cs="Arial"/>
          <w:sz w:val="20"/>
          <w:szCs w:val="20"/>
          <w:lang w:eastAsia="en-AU"/>
        </w:rPr>
        <w:t xml:space="preserve">that </w:t>
      </w:r>
      <w:r w:rsidR="000811C1">
        <w:rPr>
          <w:rFonts w:cs="Arial"/>
          <w:sz w:val="20"/>
          <w:szCs w:val="20"/>
          <w:lang w:eastAsia="en-AU"/>
        </w:rPr>
        <w:t>differs from this position, the ATO</w:t>
      </w:r>
      <w:r w:rsidR="001B07D5">
        <w:rPr>
          <w:rFonts w:cs="Arial"/>
          <w:sz w:val="20"/>
          <w:szCs w:val="20"/>
          <w:lang w:eastAsia="en-AU"/>
        </w:rPr>
        <w:t xml:space="preserve"> has stated </w:t>
      </w:r>
      <w:r w:rsidR="00335BD3">
        <w:rPr>
          <w:rFonts w:cs="Arial"/>
          <w:sz w:val="20"/>
          <w:szCs w:val="20"/>
          <w:lang w:eastAsia="en-AU"/>
        </w:rPr>
        <w:t xml:space="preserve">it </w:t>
      </w:r>
      <w:r w:rsidR="00335BD3" w:rsidRPr="007B4BB1">
        <w:rPr>
          <w:rFonts w:cs="Arial"/>
          <w:sz w:val="20"/>
          <w:szCs w:val="20"/>
          <w:lang w:eastAsia="en-AU"/>
        </w:rPr>
        <w:t xml:space="preserve">does not intend to revise </w:t>
      </w:r>
      <w:r w:rsidR="008171E6">
        <w:rPr>
          <w:rFonts w:cs="Arial"/>
          <w:sz w:val="20"/>
          <w:szCs w:val="20"/>
          <w:lang w:eastAsia="en-AU"/>
        </w:rPr>
        <w:t xml:space="preserve">its </w:t>
      </w:r>
      <w:r w:rsidR="00335BD3" w:rsidRPr="007B4BB1">
        <w:rPr>
          <w:rFonts w:cs="Arial"/>
          <w:sz w:val="20"/>
          <w:szCs w:val="20"/>
          <w:lang w:eastAsia="en-AU"/>
        </w:rPr>
        <w:t>views relating to private company entitlements to trust income</w:t>
      </w:r>
      <w:r w:rsidR="001B07D5">
        <w:rPr>
          <w:rFonts w:cs="Arial"/>
          <w:sz w:val="20"/>
          <w:szCs w:val="20"/>
          <w:lang w:eastAsia="en-AU"/>
        </w:rPr>
        <w:t>,</w:t>
      </w:r>
      <w:r w:rsidR="00335BD3" w:rsidRPr="007B4BB1">
        <w:rPr>
          <w:rFonts w:cs="Arial"/>
          <w:sz w:val="20"/>
          <w:szCs w:val="20"/>
          <w:lang w:eastAsia="en-AU"/>
        </w:rPr>
        <w:t> </w:t>
      </w:r>
      <w:r w:rsidR="00335BD3">
        <w:rPr>
          <w:rFonts w:cs="Arial"/>
          <w:sz w:val="20"/>
          <w:szCs w:val="20"/>
          <w:lang w:eastAsia="en-AU"/>
        </w:rPr>
        <w:t>pending the outcome of the appeal</w:t>
      </w:r>
      <w:r w:rsidR="001B07D5">
        <w:rPr>
          <w:rFonts w:cs="Arial"/>
          <w:sz w:val="20"/>
          <w:szCs w:val="20"/>
          <w:lang w:eastAsia="en-AU"/>
        </w:rPr>
        <w:t xml:space="preserve"> (see </w:t>
      </w:r>
      <w:r w:rsidR="001B07D5" w:rsidRPr="008567BD">
        <w:rPr>
          <w:rFonts w:cs="Arial"/>
          <w:sz w:val="20"/>
          <w:szCs w:val="20"/>
          <w:lang w:eastAsia="en-AU"/>
        </w:rPr>
        <w:t>Taxation Determination TD 2022/11</w:t>
      </w:r>
      <w:r w:rsidR="001B07D5">
        <w:rPr>
          <w:rFonts w:cs="Arial"/>
          <w:sz w:val="20"/>
          <w:szCs w:val="20"/>
          <w:lang w:eastAsia="en-AU"/>
        </w:rPr>
        <w:t>)</w:t>
      </w:r>
      <w:r w:rsidR="00335BD3">
        <w:rPr>
          <w:rFonts w:cs="Arial"/>
          <w:sz w:val="20"/>
          <w:szCs w:val="20"/>
          <w:lang w:eastAsia="en-AU"/>
        </w:rPr>
        <w:t>.</w:t>
      </w:r>
    </w:p>
    <w:p w14:paraId="117D8FE6" w14:textId="32E42797" w:rsidR="00BB3E2F" w:rsidRDefault="00BB3E2F" w:rsidP="00EC197D">
      <w:pPr>
        <w:adjustRightInd w:val="0"/>
        <w:rPr>
          <w:rFonts w:cs="Arial"/>
          <w:b/>
        </w:rPr>
      </w:pPr>
    </w:p>
    <w:p w14:paraId="36A874AE" w14:textId="77777777" w:rsidR="00A37D34" w:rsidRDefault="00A37D34" w:rsidP="00942FDD">
      <w:pPr>
        <w:adjustRightInd w:val="0"/>
        <w:rPr>
          <w:rFonts w:cs="Arial"/>
          <w:b/>
        </w:rPr>
      </w:pPr>
    </w:p>
    <w:p w14:paraId="1CDD1202" w14:textId="24D958A8" w:rsidR="00753E4F" w:rsidRDefault="00BB3E2F" w:rsidP="00EC197D">
      <w:pPr>
        <w:adjustRightInd w:val="0"/>
        <w:rPr>
          <w:rFonts w:cs="Arial"/>
        </w:rPr>
      </w:pPr>
      <w:r>
        <w:rPr>
          <w:rFonts w:cs="Arial"/>
          <w:b/>
        </w:rPr>
        <w:t>INDIVIDUAL TAX P</w:t>
      </w:r>
      <w:r w:rsidR="00146D2F">
        <w:rPr>
          <w:rFonts w:cs="Arial"/>
          <w:b/>
        </w:rPr>
        <w:t>REPARATION</w:t>
      </w:r>
      <w:r>
        <w:rPr>
          <w:rFonts w:cs="Arial"/>
          <w:b/>
        </w:rPr>
        <w:t xml:space="preserve"> CONSIDERATIONS</w:t>
      </w:r>
      <w:r w:rsidR="00324B45">
        <w:rPr>
          <w:rFonts w:cs="Arial"/>
          <w:b/>
        </w:rPr>
        <w:t xml:space="preserve"> </w:t>
      </w:r>
      <w:r w:rsidR="00E16D7F" w:rsidRPr="00BD45FB">
        <w:rPr>
          <w:rFonts w:cs="Arial"/>
          <w:highlight w:val="yellow"/>
        </w:rPr>
        <w:t>[Delete if client does not have individual tax return prepared]</w:t>
      </w:r>
    </w:p>
    <w:p w14:paraId="1098F04E" w14:textId="77777777" w:rsidR="00A37D34" w:rsidRDefault="00A37D34" w:rsidP="00942FDD">
      <w:pPr>
        <w:adjustRightInd w:val="0"/>
        <w:rPr>
          <w:rFonts w:cs="Arial"/>
        </w:rPr>
      </w:pPr>
    </w:p>
    <w:p w14:paraId="6808A061" w14:textId="7790FF24" w:rsidR="00753E4F" w:rsidRDefault="00753E4F" w:rsidP="00EC197D">
      <w:pPr>
        <w:adjustRightInd w:val="0"/>
        <w:rPr>
          <w:rFonts w:cs="Arial"/>
        </w:rPr>
      </w:pPr>
      <w:r>
        <w:rPr>
          <w:rFonts w:cs="Arial"/>
        </w:rPr>
        <w:t xml:space="preserve">The following </w:t>
      </w:r>
      <w:r w:rsidR="003F543F">
        <w:rPr>
          <w:rFonts w:cs="Arial"/>
        </w:rPr>
        <w:t xml:space="preserve">tax planning </w:t>
      </w:r>
      <w:r>
        <w:rPr>
          <w:rFonts w:cs="Arial"/>
        </w:rPr>
        <w:t xml:space="preserve">measures should be </w:t>
      </w:r>
      <w:r w:rsidR="00006FC7">
        <w:rPr>
          <w:rFonts w:cs="Arial"/>
        </w:rPr>
        <w:t xml:space="preserve">considered </w:t>
      </w:r>
      <w:r>
        <w:rPr>
          <w:rFonts w:cs="Arial"/>
        </w:rPr>
        <w:t xml:space="preserve">in </w:t>
      </w:r>
      <w:r w:rsidR="003F543F">
        <w:rPr>
          <w:rFonts w:cs="Arial"/>
        </w:rPr>
        <w:t>respect of yo</w:t>
      </w:r>
      <w:r w:rsidR="00BB3E2F">
        <w:rPr>
          <w:rFonts w:cs="Arial"/>
        </w:rPr>
        <w:t>ur own individual circumstances.</w:t>
      </w:r>
    </w:p>
    <w:p w14:paraId="2DFD9849" w14:textId="77777777" w:rsidR="003F543F" w:rsidRDefault="003F543F" w:rsidP="00EC197D">
      <w:pPr>
        <w:adjustRightInd w:val="0"/>
        <w:rPr>
          <w:rFonts w:cs="Arial"/>
        </w:rPr>
      </w:pPr>
    </w:p>
    <w:p w14:paraId="74C7E356" w14:textId="77777777" w:rsidR="00BB3E2F" w:rsidRPr="00BB3E2F" w:rsidRDefault="003F543F" w:rsidP="00EC197D">
      <w:pPr>
        <w:adjustRightInd w:val="0"/>
        <w:rPr>
          <w:rFonts w:cs="Arial"/>
          <w:b/>
        </w:rPr>
      </w:pPr>
      <w:r w:rsidRPr="00BB3E2F">
        <w:rPr>
          <w:rFonts w:cs="Arial"/>
          <w:b/>
        </w:rPr>
        <w:t>Salary sacrifice arrangements</w:t>
      </w:r>
    </w:p>
    <w:p w14:paraId="16CFB844" w14:textId="77777777" w:rsidR="00A37D34" w:rsidRDefault="00A37D34" w:rsidP="00942FDD">
      <w:pPr>
        <w:adjustRightInd w:val="0"/>
        <w:rPr>
          <w:rFonts w:cs="Arial"/>
        </w:rPr>
      </w:pPr>
    </w:p>
    <w:p w14:paraId="03C3B380" w14:textId="5647AD49" w:rsidR="00E16D7F" w:rsidRDefault="00BB3E2F" w:rsidP="00EC197D">
      <w:pPr>
        <w:adjustRightInd w:val="0"/>
        <w:rPr>
          <w:rFonts w:cs="Arial"/>
        </w:rPr>
      </w:pPr>
      <w:r>
        <w:rPr>
          <w:rFonts w:cs="Arial"/>
        </w:rPr>
        <w:t>I</w:t>
      </w:r>
      <w:r w:rsidR="00F33523" w:rsidRPr="00BB3E2F">
        <w:rPr>
          <w:rFonts w:cs="Arial"/>
        </w:rPr>
        <w:t>f employed</w:t>
      </w:r>
      <w:r w:rsidR="00006FC7">
        <w:rPr>
          <w:rFonts w:cs="Arial"/>
        </w:rPr>
        <w:t>,</w:t>
      </w:r>
      <w:r w:rsidR="003F543F" w:rsidRPr="00BB3E2F">
        <w:rPr>
          <w:rFonts w:cs="Arial"/>
        </w:rPr>
        <w:t xml:space="preserve"> you may wish to review your remuneration arrangements with your employer and forego future gross salary in return for receiving exempt or concessionally taxed fringe benefits and/or making additional superannuation contributions under a valid salary sacrifice arrangement. </w:t>
      </w:r>
    </w:p>
    <w:p w14:paraId="406C0B5D" w14:textId="77777777" w:rsidR="00E16D7F" w:rsidRDefault="00E16D7F" w:rsidP="00EC197D">
      <w:pPr>
        <w:adjustRightInd w:val="0"/>
        <w:rPr>
          <w:rFonts w:cs="Arial"/>
        </w:rPr>
      </w:pPr>
    </w:p>
    <w:p w14:paraId="34195C1B" w14:textId="5C3A4530" w:rsidR="00E16D7F" w:rsidRDefault="003F543F" w:rsidP="00EC197D">
      <w:pPr>
        <w:adjustRightInd w:val="0"/>
      </w:pPr>
      <w:r w:rsidRPr="00BB3E2F">
        <w:rPr>
          <w:rFonts w:cs="Arial"/>
        </w:rPr>
        <w:t xml:space="preserve">However, </w:t>
      </w:r>
      <w:r w:rsidRPr="003F543F">
        <w:t xml:space="preserve">in </w:t>
      </w:r>
      <w:proofErr w:type="gramStart"/>
      <w:r w:rsidRPr="003F543F">
        <w:t>entering into</w:t>
      </w:r>
      <w:proofErr w:type="gramEnd"/>
      <w:r w:rsidRPr="003F543F">
        <w:t xml:space="preserve"> a salary sacrifice arrangement </w:t>
      </w:r>
      <w:r>
        <w:t>it is important to m</w:t>
      </w:r>
      <w:r w:rsidRPr="003F543F">
        <w:t xml:space="preserve">ake sure that any additional employer superannuation contributions </w:t>
      </w:r>
      <w:r w:rsidR="00992626">
        <w:t xml:space="preserve">made in lieu of gross salary </w:t>
      </w:r>
      <w:r w:rsidRPr="003F543F">
        <w:t xml:space="preserve">do not result in the total of compulsory superannuation contributions and salary sacrificed contributions exceeding the </w:t>
      </w:r>
      <w:r>
        <w:t xml:space="preserve">prevailing </w:t>
      </w:r>
      <w:r w:rsidRPr="003F543F">
        <w:t>concessional contributions cap which is $</w:t>
      </w:r>
      <w:r w:rsidR="003D1B05">
        <w:t>27,500</w:t>
      </w:r>
      <w:r w:rsidRPr="003F543F">
        <w:t xml:space="preserve"> for the 20</w:t>
      </w:r>
      <w:r w:rsidR="003E183C">
        <w:t>2</w:t>
      </w:r>
      <w:r w:rsidR="00FE6BCD">
        <w:t>4</w:t>
      </w:r>
      <w:r w:rsidRPr="003F543F">
        <w:t xml:space="preserve"> year</w:t>
      </w:r>
      <w:r>
        <w:t xml:space="preserve">. </w:t>
      </w:r>
    </w:p>
    <w:p w14:paraId="6C2AC8F0" w14:textId="77777777" w:rsidR="00E16D7F" w:rsidRDefault="00E16D7F" w:rsidP="00EC197D">
      <w:pPr>
        <w:adjustRightInd w:val="0"/>
      </w:pPr>
    </w:p>
    <w:p w14:paraId="33694AA3" w14:textId="32627390" w:rsidR="003F543F" w:rsidRDefault="003F543F" w:rsidP="00EC197D">
      <w:pPr>
        <w:adjustRightInd w:val="0"/>
      </w:pPr>
      <w:r>
        <w:t>Alternatively, an employee can claim a deduction for personal superannuation contributions</w:t>
      </w:r>
      <w:r w:rsidR="00D70D41">
        <w:t xml:space="preserve"> provided certain eligibility conditions are met including the requirement to provide a notice of your intention to claim such a contribution with your complying superannuation fund. You should consult our licensed financial </w:t>
      </w:r>
      <w:r w:rsidR="000D4DC1">
        <w:t>adviser</w:t>
      </w:r>
      <w:r w:rsidR="00D70D41">
        <w:t xml:space="preserve"> to consider the merits of exploring these options. </w:t>
      </w:r>
    </w:p>
    <w:p w14:paraId="70B73768" w14:textId="1E527FF1" w:rsidR="00E16D7F" w:rsidRDefault="00E16D7F" w:rsidP="00EC197D">
      <w:pPr>
        <w:adjustRightInd w:val="0"/>
      </w:pPr>
    </w:p>
    <w:p w14:paraId="4C577374" w14:textId="77777777" w:rsidR="00BB3E2F" w:rsidRPr="00BB3E2F" w:rsidRDefault="00D70D41" w:rsidP="00EC197D">
      <w:pPr>
        <w:adjustRightInd w:val="0"/>
        <w:rPr>
          <w:rFonts w:cs="Arial"/>
          <w:b/>
        </w:rPr>
      </w:pPr>
      <w:r w:rsidRPr="00BB3E2F">
        <w:rPr>
          <w:rFonts w:cs="Arial"/>
          <w:b/>
        </w:rPr>
        <w:t xml:space="preserve">Capital gains tax </w:t>
      </w:r>
      <w:proofErr w:type="gramStart"/>
      <w:r w:rsidRPr="00BB3E2F">
        <w:rPr>
          <w:rFonts w:cs="Arial"/>
          <w:b/>
        </w:rPr>
        <w:t>planning</w:t>
      </w:r>
      <w:proofErr w:type="gramEnd"/>
    </w:p>
    <w:p w14:paraId="27581172" w14:textId="77777777" w:rsidR="000D4DC1" w:rsidRDefault="000D4DC1" w:rsidP="00942FDD">
      <w:pPr>
        <w:adjustRightInd w:val="0"/>
        <w:rPr>
          <w:rFonts w:cs="Arial"/>
          <w:i/>
        </w:rPr>
      </w:pPr>
    </w:p>
    <w:p w14:paraId="21CC336A" w14:textId="427D1B3A" w:rsidR="001A1A19" w:rsidRDefault="00BB3E2F" w:rsidP="00EC197D">
      <w:pPr>
        <w:adjustRightInd w:val="0"/>
        <w:rPr>
          <w:rFonts w:cs="Arial"/>
        </w:rPr>
      </w:pPr>
      <w:r>
        <w:rPr>
          <w:rFonts w:cs="Arial"/>
          <w:i/>
        </w:rPr>
        <w:t>C</w:t>
      </w:r>
      <w:r w:rsidR="00D70D41" w:rsidRPr="00BB3E2F">
        <w:rPr>
          <w:rFonts w:cs="Arial"/>
        </w:rPr>
        <w:t xml:space="preserve">areful planning should be undertaken in planning the timing of any CGT event in respect of the disposal of appreciating assets which may trigger a capital gain. In this </w:t>
      </w:r>
      <w:r w:rsidR="001502BC" w:rsidRPr="00BB3E2F">
        <w:rPr>
          <w:rFonts w:cs="Arial"/>
        </w:rPr>
        <w:t>context,</w:t>
      </w:r>
      <w:r w:rsidR="00D70D41" w:rsidRPr="00BB3E2F">
        <w:rPr>
          <w:rFonts w:cs="Arial"/>
        </w:rPr>
        <w:t xml:space="preserve"> it is important to recognise that CGT is triggered when you </w:t>
      </w:r>
      <w:proofErr w:type="gramStart"/>
      <w:r w:rsidR="00D70D41" w:rsidRPr="00BB3E2F">
        <w:rPr>
          <w:rFonts w:cs="Arial"/>
        </w:rPr>
        <w:t>enter into</w:t>
      </w:r>
      <w:proofErr w:type="gramEnd"/>
      <w:r w:rsidR="00D70D41" w:rsidRPr="00BB3E2F">
        <w:rPr>
          <w:rFonts w:cs="Arial"/>
        </w:rPr>
        <w:t xml:space="preserve"> a contract for the sale of a CGT asset rather than on its settlement</w:t>
      </w:r>
      <w:r w:rsidR="00B57741">
        <w:rPr>
          <w:rFonts w:cs="Arial"/>
        </w:rPr>
        <w:t>.</w:t>
      </w:r>
      <w:r w:rsidR="00D70D41" w:rsidRPr="00BB3E2F">
        <w:rPr>
          <w:rFonts w:cs="Arial"/>
        </w:rPr>
        <w:t xml:space="preserve"> </w:t>
      </w:r>
      <w:r w:rsidR="00B57741">
        <w:rPr>
          <w:rFonts w:cs="Arial"/>
        </w:rPr>
        <w:t>This</w:t>
      </w:r>
      <w:r w:rsidR="00D70D41" w:rsidRPr="00BB3E2F">
        <w:rPr>
          <w:rFonts w:cs="Arial"/>
        </w:rPr>
        <w:t xml:space="preserve"> is particularly important where the entry and settlement of the contract straddle year-end. </w:t>
      </w:r>
    </w:p>
    <w:p w14:paraId="52460837" w14:textId="77777777" w:rsidR="001A1A19" w:rsidRDefault="001A1A19" w:rsidP="00EC197D">
      <w:pPr>
        <w:adjustRightInd w:val="0"/>
        <w:rPr>
          <w:rFonts w:cs="Arial"/>
        </w:rPr>
      </w:pPr>
    </w:p>
    <w:p w14:paraId="59889FC4" w14:textId="548A6346" w:rsidR="001A1A19" w:rsidRDefault="00D70D41" w:rsidP="00EC197D">
      <w:pPr>
        <w:adjustRightInd w:val="0"/>
        <w:rPr>
          <w:rFonts w:cs="Arial"/>
        </w:rPr>
      </w:pPr>
      <w:r w:rsidRPr="00BB3E2F">
        <w:rPr>
          <w:rFonts w:cs="Arial"/>
        </w:rPr>
        <w:t>In these circumstances</w:t>
      </w:r>
      <w:r w:rsidR="001502BC">
        <w:rPr>
          <w:rFonts w:cs="Arial"/>
        </w:rPr>
        <w:t>,</w:t>
      </w:r>
      <w:r w:rsidR="005858E8" w:rsidRPr="00BB3E2F">
        <w:rPr>
          <w:rFonts w:cs="Arial"/>
        </w:rPr>
        <w:t xml:space="preserve"> it may be preferable fr</w:t>
      </w:r>
      <w:r w:rsidR="00B57741">
        <w:rPr>
          <w:rFonts w:cs="Arial"/>
        </w:rPr>
        <w:t>om</w:t>
      </w:r>
      <w:r w:rsidR="005858E8" w:rsidRPr="00BB3E2F">
        <w:rPr>
          <w:rFonts w:cs="Arial"/>
        </w:rPr>
        <w:t xml:space="preserve"> </w:t>
      </w:r>
      <w:r w:rsidR="00F33523" w:rsidRPr="00BB3E2F">
        <w:rPr>
          <w:rFonts w:cs="Arial"/>
        </w:rPr>
        <w:t>a</w:t>
      </w:r>
      <w:r w:rsidR="005858E8" w:rsidRPr="00BB3E2F">
        <w:rPr>
          <w:rFonts w:cs="Arial"/>
        </w:rPr>
        <w:t xml:space="preserve"> cash flow perspective to defer the sale of the CGT asset to the subsequent year where other relief may be available</w:t>
      </w:r>
      <w:r w:rsidR="00B57741">
        <w:rPr>
          <w:rFonts w:cs="Arial"/>
        </w:rPr>
        <w:t>,</w:t>
      </w:r>
      <w:r w:rsidR="005858E8" w:rsidRPr="00BB3E2F">
        <w:rPr>
          <w:rFonts w:cs="Arial"/>
        </w:rPr>
        <w:t xml:space="preserve"> such as a capital loss sold on another asset. </w:t>
      </w:r>
    </w:p>
    <w:p w14:paraId="22D409F7" w14:textId="77777777" w:rsidR="001A1A19" w:rsidRDefault="001A1A19" w:rsidP="00EC197D">
      <w:pPr>
        <w:adjustRightInd w:val="0"/>
        <w:rPr>
          <w:rFonts w:cs="Arial"/>
        </w:rPr>
      </w:pPr>
    </w:p>
    <w:p w14:paraId="316E1104" w14:textId="04121CA8" w:rsidR="001A1A19" w:rsidRDefault="005858E8" w:rsidP="00EC197D">
      <w:pPr>
        <w:adjustRightInd w:val="0"/>
        <w:rPr>
          <w:rFonts w:cs="Arial"/>
        </w:rPr>
      </w:pPr>
      <w:r w:rsidRPr="00BB3E2F">
        <w:rPr>
          <w:rFonts w:cs="Arial"/>
        </w:rPr>
        <w:t xml:space="preserve">However, it is important to note that Taxation Ruling TR 2008/1 provides that an asset sold under a ‘wash sale’ to a related entity to generate a capital or revenue loss to reduce a capital gain will </w:t>
      </w:r>
      <w:r w:rsidR="00F33523" w:rsidRPr="00BB3E2F">
        <w:rPr>
          <w:rFonts w:cs="Arial"/>
        </w:rPr>
        <w:t>result in the</w:t>
      </w:r>
      <w:r w:rsidRPr="00BB3E2F">
        <w:rPr>
          <w:rFonts w:cs="Arial"/>
        </w:rPr>
        <w:t xml:space="preserve"> loss </w:t>
      </w:r>
      <w:r w:rsidR="00F33523" w:rsidRPr="00BB3E2F">
        <w:rPr>
          <w:rFonts w:cs="Arial"/>
        </w:rPr>
        <w:t xml:space="preserve">being </w:t>
      </w:r>
      <w:r w:rsidRPr="00BB3E2F">
        <w:rPr>
          <w:rFonts w:cs="Arial"/>
        </w:rPr>
        <w:t>cancelled under the general anti-avoidance provisions of Part IVA of the</w:t>
      </w:r>
      <w:r w:rsidR="006823D7">
        <w:rPr>
          <w:rFonts w:cs="Arial"/>
        </w:rPr>
        <w:t xml:space="preserve"> </w:t>
      </w:r>
      <w:r w:rsidR="006823D7" w:rsidRPr="00BD45FB">
        <w:rPr>
          <w:rFonts w:cs="Arial"/>
          <w:i/>
        </w:rPr>
        <w:t>ITAA 1936</w:t>
      </w:r>
      <w:r w:rsidR="00B57741">
        <w:rPr>
          <w:rFonts w:cs="Arial"/>
          <w:i/>
        </w:rPr>
        <w:t>,</w:t>
      </w:r>
      <w:r w:rsidRPr="00BB3E2F">
        <w:rPr>
          <w:rFonts w:cs="Arial"/>
        </w:rPr>
        <w:t xml:space="preserve"> where there has been no significant change in the taxpayer’s economic exposure to the asset. </w:t>
      </w:r>
    </w:p>
    <w:p w14:paraId="51F3D15A" w14:textId="77777777" w:rsidR="001A1A19" w:rsidRDefault="001A1A19" w:rsidP="00EC197D">
      <w:pPr>
        <w:adjustRightInd w:val="0"/>
        <w:rPr>
          <w:rFonts w:cs="Arial"/>
        </w:rPr>
      </w:pPr>
    </w:p>
    <w:p w14:paraId="51F4F50B" w14:textId="5C0F6126" w:rsidR="003F543F" w:rsidRPr="00BB3E2F" w:rsidRDefault="005858E8" w:rsidP="00EC197D">
      <w:pPr>
        <w:adjustRightInd w:val="0"/>
        <w:rPr>
          <w:rFonts w:cs="Arial"/>
        </w:rPr>
      </w:pPr>
      <w:r w:rsidRPr="00BB3E2F">
        <w:rPr>
          <w:rFonts w:cs="Arial"/>
        </w:rPr>
        <w:t xml:space="preserve">Care should also be taken to ensure that an eligible asset is retained for the 12-month holding period required </w:t>
      </w:r>
      <w:r w:rsidR="00324B45">
        <w:rPr>
          <w:rFonts w:cs="Arial"/>
        </w:rPr>
        <w:t>to apply</w:t>
      </w:r>
      <w:r w:rsidR="00324B45" w:rsidRPr="00BB3E2F">
        <w:rPr>
          <w:rFonts w:cs="Arial"/>
        </w:rPr>
        <w:t xml:space="preserve"> </w:t>
      </w:r>
      <w:r w:rsidRPr="00BB3E2F">
        <w:rPr>
          <w:rFonts w:cs="Arial"/>
        </w:rPr>
        <w:t xml:space="preserve">the CGT discount, and </w:t>
      </w:r>
      <w:r w:rsidR="00F33523" w:rsidRPr="00BB3E2F">
        <w:rPr>
          <w:rFonts w:cs="Arial"/>
        </w:rPr>
        <w:t xml:space="preserve">to recognise </w:t>
      </w:r>
      <w:r w:rsidRPr="00BB3E2F">
        <w:rPr>
          <w:rFonts w:cs="Arial"/>
        </w:rPr>
        <w:t xml:space="preserve">that the CGT discount is not available to the extent that </w:t>
      </w:r>
      <w:r w:rsidR="00EB0683">
        <w:rPr>
          <w:rFonts w:cs="Arial"/>
        </w:rPr>
        <w:t>the</w:t>
      </w:r>
      <w:r w:rsidRPr="00BB3E2F">
        <w:rPr>
          <w:rFonts w:cs="Arial"/>
        </w:rPr>
        <w:t xml:space="preserve"> capital gain</w:t>
      </w:r>
      <w:r w:rsidR="00EB0683">
        <w:rPr>
          <w:rFonts w:cs="Arial"/>
        </w:rPr>
        <w:t xml:space="preserve"> is</w:t>
      </w:r>
      <w:r w:rsidRPr="00BB3E2F">
        <w:rPr>
          <w:rFonts w:cs="Arial"/>
        </w:rPr>
        <w:t xml:space="preserve"> accrued after 8 May </w:t>
      </w:r>
      <w:proofErr w:type="gramStart"/>
      <w:r w:rsidRPr="00BB3E2F">
        <w:rPr>
          <w:rFonts w:cs="Arial"/>
        </w:rPr>
        <w:t>2012</w:t>
      </w:r>
      <w:proofErr w:type="gramEnd"/>
      <w:r w:rsidRPr="00BB3E2F">
        <w:rPr>
          <w:rFonts w:cs="Arial"/>
        </w:rPr>
        <w:t xml:space="preserve"> and you were a foreign resident or temporary resident at any time after that date.</w:t>
      </w:r>
    </w:p>
    <w:p w14:paraId="3D6980E9" w14:textId="77777777" w:rsidR="005858E8" w:rsidRDefault="005858E8" w:rsidP="00EC197D">
      <w:pPr>
        <w:adjustRightInd w:val="0"/>
        <w:rPr>
          <w:rFonts w:cs="Arial"/>
        </w:rPr>
      </w:pPr>
    </w:p>
    <w:p w14:paraId="1383434A" w14:textId="77777777" w:rsidR="00BB3E2F" w:rsidRDefault="005858E8" w:rsidP="00EC197D">
      <w:pPr>
        <w:adjustRightInd w:val="0"/>
        <w:rPr>
          <w:rFonts w:cs="Arial"/>
          <w:i/>
        </w:rPr>
      </w:pPr>
      <w:r w:rsidRPr="00BB3E2F">
        <w:rPr>
          <w:rFonts w:cs="Arial"/>
          <w:b/>
        </w:rPr>
        <w:t>Work-related deductions</w:t>
      </w:r>
    </w:p>
    <w:p w14:paraId="78BEF95C" w14:textId="77777777" w:rsidR="000D4DC1" w:rsidRDefault="000D4DC1" w:rsidP="00942FDD">
      <w:pPr>
        <w:adjustRightInd w:val="0"/>
      </w:pPr>
    </w:p>
    <w:p w14:paraId="46286B56" w14:textId="78A1F849" w:rsidR="001A1A19" w:rsidRDefault="00BB3E2F" w:rsidP="00EC197D">
      <w:pPr>
        <w:adjustRightInd w:val="0"/>
      </w:pPr>
      <w:r>
        <w:t>Y</w:t>
      </w:r>
      <w:r w:rsidR="00F04EAF">
        <w:t>ou should e</w:t>
      </w:r>
      <w:r w:rsidR="00F04EAF" w:rsidRPr="004E73E5">
        <w:t xml:space="preserve">nsure that any </w:t>
      </w:r>
      <w:r w:rsidR="00630783">
        <w:t xml:space="preserve">unreimbursed </w:t>
      </w:r>
      <w:r w:rsidR="00F04EAF" w:rsidRPr="004E73E5">
        <w:t>claims for work-related expenses</w:t>
      </w:r>
      <w:r w:rsidR="00F04EAF">
        <w:t>, car expenses and travel expenses</w:t>
      </w:r>
      <w:r w:rsidR="00F04EAF" w:rsidRPr="004E73E5">
        <w:t xml:space="preserve"> are correctly allowable on the basis that such expenses were incurred in </w:t>
      </w:r>
      <w:r w:rsidR="00F04EAF">
        <w:t>gaining or producing</w:t>
      </w:r>
      <w:r w:rsidR="00F04EAF" w:rsidRPr="004E73E5">
        <w:t xml:space="preserve"> </w:t>
      </w:r>
      <w:r w:rsidR="00F04EAF">
        <w:lastRenderedPageBreak/>
        <w:t xml:space="preserve">salary </w:t>
      </w:r>
      <w:r w:rsidR="00F04EAF" w:rsidRPr="004E73E5">
        <w:t>and wages income or other payments subject to the PAYG withholding regime</w:t>
      </w:r>
      <w:r w:rsidR="00006FC7">
        <w:t>,</w:t>
      </w:r>
      <w:r w:rsidR="00F04EAF">
        <w:t xml:space="preserve"> including any work-related claims below $300. </w:t>
      </w:r>
    </w:p>
    <w:p w14:paraId="122784F3" w14:textId="77777777" w:rsidR="001A1A19" w:rsidRDefault="001A1A19" w:rsidP="00EC197D">
      <w:pPr>
        <w:adjustRightInd w:val="0"/>
      </w:pPr>
    </w:p>
    <w:p w14:paraId="04A61539" w14:textId="77777777" w:rsidR="001A1A19" w:rsidRDefault="00F04EAF" w:rsidP="00EC197D">
      <w:pPr>
        <w:adjustRightInd w:val="0"/>
      </w:pPr>
      <w:r>
        <w:t>Where items are used both for work or business purposes and for private purposes (</w:t>
      </w:r>
      <w:proofErr w:type="gramStart"/>
      <w:r>
        <w:t>e.g.</w:t>
      </w:r>
      <w:proofErr w:type="gramEnd"/>
      <w:r>
        <w:t xml:space="preserve"> use of a mobile phone or home computer) it is also necessary to apportion deductions so that a deduction is only claim</w:t>
      </w:r>
      <w:r w:rsidR="001A1A19">
        <w:t>ed</w:t>
      </w:r>
      <w:r>
        <w:t xml:space="preserve"> for the business portion of the expense. In addition, all claims for work-related expenses and business travel expenses must be substantiated by way of evidence such as invoices, </w:t>
      </w:r>
      <w:proofErr w:type="gramStart"/>
      <w:r>
        <w:t>receipts</w:t>
      </w:r>
      <w:proofErr w:type="gramEnd"/>
      <w:r>
        <w:t xml:space="preserve"> and credit card statements. </w:t>
      </w:r>
    </w:p>
    <w:p w14:paraId="4C5023E4" w14:textId="77777777" w:rsidR="001A1A19" w:rsidRDefault="001A1A19" w:rsidP="00EC197D">
      <w:pPr>
        <w:adjustRightInd w:val="0"/>
      </w:pPr>
    </w:p>
    <w:p w14:paraId="2E0C2AE1" w14:textId="3F076C60" w:rsidR="008F771B" w:rsidRDefault="00F04EAF" w:rsidP="00EC197D">
      <w:pPr>
        <w:adjustRightInd w:val="0"/>
      </w:pPr>
      <w:r>
        <w:t xml:space="preserve">Where car expenses are claimed as deductible using the logbook method it is </w:t>
      </w:r>
      <w:r w:rsidR="00F33523">
        <w:t xml:space="preserve">also </w:t>
      </w:r>
      <w:r>
        <w:t xml:space="preserve">necessary to retain all appropriate invoices and receipts as well as maintain a </w:t>
      </w:r>
      <w:r w:rsidR="00992626">
        <w:t xml:space="preserve">fully </w:t>
      </w:r>
      <w:r>
        <w:t xml:space="preserve">compliant logbook. </w:t>
      </w:r>
      <w:r w:rsidR="008F771B">
        <w:t xml:space="preserve">If you </w:t>
      </w:r>
      <w:r w:rsidR="00CC1364">
        <w:t xml:space="preserve">own </w:t>
      </w:r>
      <w:r w:rsidR="008F771B">
        <w:t>a</w:t>
      </w:r>
      <w:r w:rsidR="00CC1364">
        <w:t>n</w:t>
      </w:r>
      <w:r w:rsidR="008F771B">
        <w:t xml:space="preserve"> electric vehicle, PCG 2024</w:t>
      </w:r>
      <w:r w:rsidR="002C3D89">
        <w:t xml:space="preserve">/2 </w:t>
      </w:r>
      <w:r w:rsidR="00C87D22">
        <w:t>sets out an optional methodology developed by the Commissioner for calculating the cost of electricity when an electric vehicle (other than a plug-in hybrid) is charged at the employee’s or individual’s home.</w:t>
      </w:r>
    </w:p>
    <w:p w14:paraId="33984E4E" w14:textId="77777777" w:rsidR="008F771B" w:rsidRDefault="008F771B" w:rsidP="00EC197D">
      <w:pPr>
        <w:adjustRightInd w:val="0"/>
      </w:pPr>
    </w:p>
    <w:p w14:paraId="6CEF2DE3" w14:textId="366D2E7F" w:rsidR="001A1A19" w:rsidRDefault="004659EB" w:rsidP="00EC197D">
      <w:pPr>
        <w:adjustRightInd w:val="0"/>
      </w:pPr>
      <w:r>
        <w:t>W</w:t>
      </w:r>
      <w:r w:rsidR="00F04EAF">
        <w:t xml:space="preserve">here car expense deductions are claimed using the cents per kilometre method it is necessary that any estimate of business kilometres travelled be based on reasonable estimates which should be appropriately documented. </w:t>
      </w:r>
    </w:p>
    <w:p w14:paraId="727815D1" w14:textId="77777777" w:rsidR="00BC7EA4" w:rsidRDefault="00BC7EA4" w:rsidP="00EC197D">
      <w:pPr>
        <w:adjustRightInd w:val="0"/>
      </w:pPr>
    </w:p>
    <w:p w14:paraId="2F3DEFBA" w14:textId="77777777" w:rsidR="00BC7EA4" w:rsidRDefault="00BC7EA4" w:rsidP="00BC7EA4">
      <w:pPr>
        <w:adjustRightInd w:val="0"/>
      </w:pPr>
      <w:r>
        <w:t xml:space="preserve">Care should be taken in claiming work-related deductions as the ATO continues to scrutinise excessive claims and uses data analytics to detect claims which are unusual or abnormally high relative to other persons in the taxpayer’s occupation or profession. </w:t>
      </w:r>
    </w:p>
    <w:p w14:paraId="3C135E80" w14:textId="0F83DA8D" w:rsidR="004B60F2" w:rsidRDefault="004B60F2" w:rsidP="00EC197D">
      <w:pPr>
        <w:adjustRightInd w:val="0"/>
      </w:pPr>
    </w:p>
    <w:p w14:paraId="22892D27" w14:textId="239C9CAA" w:rsidR="001E2274" w:rsidRDefault="001E2274" w:rsidP="00942FDD">
      <w:pPr>
        <w:adjustRightInd w:val="0"/>
        <w:rPr>
          <w:b/>
          <w:bCs/>
        </w:rPr>
      </w:pPr>
      <w:r>
        <w:rPr>
          <w:b/>
          <w:bCs/>
        </w:rPr>
        <w:t>Working from home deduction</w:t>
      </w:r>
    </w:p>
    <w:p w14:paraId="2F7C5D4C" w14:textId="77777777" w:rsidR="00FE5034" w:rsidRPr="007B4BB1" w:rsidRDefault="00FE5034" w:rsidP="00942FDD">
      <w:pPr>
        <w:adjustRightInd w:val="0"/>
        <w:rPr>
          <w:b/>
          <w:bCs/>
        </w:rPr>
      </w:pPr>
    </w:p>
    <w:p w14:paraId="783A1BEE" w14:textId="15DE4760" w:rsidR="004B60F2" w:rsidRDefault="004B60F2" w:rsidP="00942FDD">
      <w:pPr>
        <w:adjustRightInd w:val="0"/>
      </w:pPr>
      <w:r>
        <w:t xml:space="preserve">For employees who </w:t>
      </w:r>
      <w:r w:rsidR="00FE5034">
        <w:t xml:space="preserve">worked </w:t>
      </w:r>
      <w:r>
        <w:t xml:space="preserve">from home during the period </w:t>
      </w:r>
      <w:r w:rsidR="00D87F36">
        <w:t>1 July 202</w:t>
      </w:r>
      <w:r w:rsidR="002E3E26">
        <w:t>3</w:t>
      </w:r>
      <w:r w:rsidR="00D87F36">
        <w:t xml:space="preserve"> to 30 June 202</w:t>
      </w:r>
      <w:r w:rsidR="002E3E26">
        <w:t>4</w:t>
      </w:r>
      <w:r w:rsidR="00D87F36">
        <w:t>,</w:t>
      </w:r>
      <w:r>
        <w:t xml:space="preserve"> the ATO </w:t>
      </w:r>
      <w:r w:rsidR="00D87F36">
        <w:t xml:space="preserve">provides </w:t>
      </w:r>
      <w:r w:rsidR="00FE5034">
        <w:t>two</w:t>
      </w:r>
      <w:r w:rsidR="00D87F36">
        <w:t xml:space="preserve"> methods for </w:t>
      </w:r>
      <w:r>
        <w:t>calculating deductions for additional running expenses:</w:t>
      </w:r>
    </w:p>
    <w:p w14:paraId="13C6EE36" w14:textId="03C9D48F" w:rsidR="004B60F2" w:rsidRPr="00BD45FB" w:rsidRDefault="004B60F2" w:rsidP="0014140B">
      <w:pPr>
        <w:pStyle w:val="Tableheading"/>
        <w:rPr>
          <w:b w:val="0"/>
          <w:sz w:val="20"/>
          <w:szCs w:val="20"/>
        </w:rPr>
      </w:pPr>
    </w:p>
    <w:p w14:paraId="3D5D6D45" w14:textId="4BB26D90" w:rsidR="004B60F2" w:rsidRPr="00BD45FB" w:rsidRDefault="0062481E" w:rsidP="00BD45FB">
      <w:pPr>
        <w:pStyle w:val="Tableheading"/>
        <w:numPr>
          <w:ilvl w:val="0"/>
          <w:numId w:val="18"/>
        </w:numPr>
        <w:rPr>
          <w:b w:val="0"/>
          <w:sz w:val="20"/>
          <w:szCs w:val="20"/>
        </w:rPr>
      </w:pPr>
      <w:r>
        <w:rPr>
          <w:b w:val="0"/>
          <w:sz w:val="20"/>
          <w:szCs w:val="20"/>
        </w:rPr>
        <w:t>67</w:t>
      </w:r>
      <w:r w:rsidR="004B60F2" w:rsidRPr="00BD45FB">
        <w:rPr>
          <w:b w:val="0"/>
          <w:sz w:val="20"/>
          <w:szCs w:val="20"/>
        </w:rPr>
        <w:t xml:space="preserve"> cents per work hour for heating, cooling, lighting, </w:t>
      </w:r>
      <w:proofErr w:type="gramStart"/>
      <w:r w:rsidR="004B60F2" w:rsidRPr="00BD45FB">
        <w:rPr>
          <w:b w:val="0"/>
          <w:sz w:val="20"/>
          <w:szCs w:val="20"/>
        </w:rPr>
        <w:t>cleaning</w:t>
      </w:r>
      <w:proofErr w:type="gramEnd"/>
      <w:r w:rsidR="004B60F2" w:rsidRPr="00BD45FB">
        <w:rPr>
          <w:b w:val="0"/>
          <w:sz w:val="20"/>
          <w:szCs w:val="20"/>
        </w:rPr>
        <w:t xml:space="preserve"> and the decline in value of office furniture, plus the work-related portion of phone and internet expenses, computer consumables</w:t>
      </w:r>
      <w:r w:rsidR="00AD0355">
        <w:rPr>
          <w:b w:val="0"/>
          <w:sz w:val="20"/>
          <w:szCs w:val="20"/>
        </w:rPr>
        <w:t xml:space="preserve"> and</w:t>
      </w:r>
      <w:r w:rsidR="004B60F2" w:rsidRPr="00BD45FB">
        <w:rPr>
          <w:b w:val="0"/>
          <w:sz w:val="20"/>
          <w:szCs w:val="20"/>
        </w:rPr>
        <w:t xml:space="preserve"> stationery</w:t>
      </w:r>
      <w:r w:rsidR="00AD0355">
        <w:rPr>
          <w:b w:val="0"/>
          <w:sz w:val="20"/>
          <w:szCs w:val="20"/>
        </w:rPr>
        <w:t xml:space="preserve">. Decline in value on </w:t>
      </w:r>
      <w:r w:rsidR="0005578A">
        <w:rPr>
          <w:b w:val="0"/>
          <w:sz w:val="20"/>
          <w:szCs w:val="20"/>
        </w:rPr>
        <w:t xml:space="preserve">work related technology and office </w:t>
      </w:r>
      <w:r w:rsidR="00D01D64">
        <w:rPr>
          <w:b w:val="0"/>
          <w:sz w:val="20"/>
          <w:szCs w:val="20"/>
        </w:rPr>
        <w:t xml:space="preserve">furniture can be claimed separately. </w:t>
      </w:r>
      <w:r w:rsidR="004B60F2" w:rsidRPr="00BD45FB">
        <w:rPr>
          <w:b w:val="0"/>
          <w:sz w:val="20"/>
          <w:szCs w:val="20"/>
        </w:rPr>
        <w:t xml:space="preserve"> </w:t>
      </w:r>
    </w:p>
    <w:p w14:paraId="5064037A" w14:textId="2B06C26C" w:rsidR="004B60F2" w:rsidRPr="00A70ADE" w:rsidRDefault="004B60F2" w:rsidP="00BD45FB">
      <w:pPr>
        <w:pStyle w:val="Tableheading"/>
        <w:numPr>
          <w:ilvl w:val="0"/>
          <w:numId w:val="18"/>
        </w:numPr>
      </w:pPr>
      <w:r w:rsidRPr="00BD45FB">
        <w:rPr>
          <w:b w:val="0"/>
          <w:sz w:val="20"/>
          <w:szCs w:val="20"/>
        </w:rPr>
        <w:t>Actual work-related portion of all running expenses, which will need to be calculated on a reasonable basis.</w:t>
      </w:r>
    </w:p>
    <w:p w14:paraId="30E905E2" w14:textId="460C51E2" w:rsidR="001A1A19" w:rsidRDefault="000D0E3A" w:rsidP="00BB3E2F">
      <w:r>
        <w:t>Please note that a roster or diary will be expected by the ATO when using either of the above methods.</w:t>
      </w:r>
    </w:p>
    <w:p w14:paraId="7DC42E54" w14:textId="77777777" w:rsidR="000D0E3A" w:rsidRDefault="000D0E3A" w:rsidP="00BB3E2F"/>
    <w:p w14:paraId="31923FFC" w14:textId="77777777" w:rsidR="00630783" w:rsidRDefault="00630783" w:rsidP="00EC197D">
      <w:pPr>
        <w:adjustRightInd w:val="0"/>
        <w:rPr>
          <w:rFonts w:cs="Arial"/>
          <w:i/>
        </w:rPr>
      </w:pPr>
    </w:p>
    <w:p w14:paraId="52AD6EC7" w14:textId="750BEAE8" w:rsidR="00BB3E2F" w:rsidRPr="00915C79" w:rsidRDefault="00BB3E2F" w:rsidP="00EC197D">
      <w:pPr>
        <w:adjustRightInd w:val="0"/>
        <w:rPr>
          <w:rFonts w:cs="Arial"/>
          <w:b/>
        </w:rPr>
      </w:pPr>
      <w:r>
        <w:rPr>
          <w:rFonts w:cs="Arial"/>
          <w:b/>
        </w:rPr>
        <w:t>TAX AND SUPERANNUATION REFORMS IMPACTING PROPERTY OWNERSHIP</w:t>
      </w:r>
      <w:r w:rsidR="008330B3">
        <w:rPr>
          <w:rFonts w:cs="Arial"/>
          <w:b/>
        </w:rPr>
        <w:t xml:space="preserve"> </w:t>
      </w:r>
      <w:r w:rsidR="008330B3" w:rsidRPr="00BD45FB">
        <w:rPr>
          <w:rFonts w:cs="Arial"/>
          <w:b/>
          <w:highlight w:val="yellow"/>
        </w:rPr>
        <w:t>[Delete if not applicable]</w:t>
      </w:r>
    </w:p>
    <w:p w14:paraId="627FA607" w14:textId="77777777" w:rsidR="00630783" w:rsidRDefault="00630783" w:rsidP="00EC197D">
      <w:pPr>
        <w:adjustRightInd w:val="0"/>
        <w:rPr>
          <w:rFonts w:cs="Arial"/>
        </w:rPr>
      </w:pPr>
    </w:p>
    <w:p w14:paraId="56113D4C" w14:textId="0770AD08" w:rsidR="00915C79" w:rsidRDefault="00992626" w:rsidP="00EC197D">
      <w:pPr>
        <w:adjustRightInd w:val="0"/>
        <w:rPr>
          <w:rFonts w:cs="Arial"/>
        </w:rPr>
      </w:pPr>
      <w:r>
        <w:rPr>
          <w:rFonts w:cs="Arial"/>
        </w:rPr>
        <w:t xml:space="preserve">Various taxation and superannuation </w:t>
      </w:r>
      <w:r w:rsidR="00915C79">
        <w:rPr>
          <w:rFonts w:cs="Arial"/>
        </w:rPr>
        <w:t xml:space="preserve">measures </w:t>
      </w:r>
      <w:r>
        <w:rPr>
          <w:rFonts w:cs="Arial"/>
        </w:rPr>
        <w:t xml:space="preserve">have been legislated in recent years which may impact a taxpayer’s purchase and sale of residential </w:t>
      </w:r>
      <w:r w:rsidR="00915C79">
        <w:rPr>
          <w:rFonts w:cs="Arial"/>
        </w:rPr>
        <w:t>property</w:t>
      </w:r>
      <w:r>
        <w:rPr>
          <w:rFonts w:cs="Arial"/>
        </w:rPr>
        <w:t>,</w:t>
      </w:r>
      <w:r w:rsidR="00915C79">
        <w:rPr>
          <w:rFonts w:cs="Arial"/>
        </w:rPr>
        <w:t xml:space="preserve"> and the </w:t>
      </w:r>
      <w:proofErr w:type="gramStart"/>
      <w:r w:rsidR="00915C79">
        <w:rPr>
          <w:rFonts w:cs="Arial"/>
        </w:rPr>
        <w:t>amount</w:t>
      </w:r>
      <w:proofErr w:type="gramEnd"/>
      <w:r w:rsidR="00915C79">
        <w:rPr>
          <w:rFonts w:cs="Arial"/>
        </w:rPr>
        <w:t xml:space="preserve"> of deductions potentially available to residential rental property owners. The most important of these changes </w:t>
      </w:r>
      <w:r w:rsidR="00BB3E2F">
        <w:rPr>
          <w:rFonts w:cs="Arial"/>
        </w:rPr>
        <w:t>are s</w:t>
      </w:r>
      <w:r>
        <w:rPr>
          <w:rFonts w:cs="Arial"/>
        </w:rPr>
        <w:t>et out below</w:t>
      </w:r>
      <w:r w:rsidR="00BB3E2F">
        <w:rPr>
          <w:rFonts w:cs="Arial"/>
        </w:rPr>
        <w:t>.</w:t>
      </w:r>
    </w:p>
    <w:p w14:paraId="6E6975E2" w14:textId="77777777" w:rsidR="00915C79" w:rsidRPr="00630783" w:rsidRDefault="00915C79" w:rsidP="00EC197D">
      <w:pPr>
        <w:adjustRightInd w:val="0"/>
        <w:rPr>
          <w:rFonts w:cs="Arial"/>
        </w:rPr>
      </w:pPr>
    </w:p>
    <w:p w14:paraId="5EDC40CE" w14:textId="42E8A924" w:rsidR="00BB3E2F" w:rsidRPr="00BB3E2F" w:rsidRDefault="00915C79" w:rsidP="00EC197D">
      <w:pPr>
        <w:adjustRightInd w:val="0"/>
        <w:rPr>
          <w:rFonts w:cs="Arial"/>
          <w:b/>
        </w:rPr>
      </w:pPr>
      <w:bookmarkStart w:id="10" w:name="Signoff"/>
      <w:bookmarkEnd w:id="10"/>
      <w:r w:rsidRPr="00BB3E2F">
        <w:rPr>
          <w:rFonts w:cs="Arial"/>
          <w:b/>
        </w:rPr>
        <w:t>Denial of travel deductions</w:t>
      </w:r>
      <w:r w:rsidR="008330B3">
        <w:rPr>
          <w:rFonts w:cs="Arial"/>
          <w:b/>
        </w:rPr>
        <w:t xml:space="preserve"> in relation to rental properties</w:t>
      </w:r>
    </w:p>
    <w:p w14:paraId="7DECEF5B" w14:textId="77777777" w:rsidR="000D4DC1" w:rsidRDefault="000D4DC1" w:rsidP="00EC197D">
      <w:pPr>
        <w:adjustRightInd w:val="0"/>
        <w:rPr>
          <w:rFonts w:cs="Arial"/>
        </w:rPr>
      </w:pPr>
    </w:p>
    <w:p w14:paraId="53AFE926" w14:textId="2EFC0FCC" w:rsidR="00152A37" w:rsidRDefault="00D10434" w:rsidP="00EC197D">
      <w:pPr>
        <w:adjustRightInd w:val="0"/>
        <w:rPr>
          <w:rFonts w:cs="Arial"/>
        </w:rPr>
      </w:pPr>
      <w:r>
        <w:rPr>
          <w:rFonts w:cs="Arial"/>
        </w:rPr>
        <w:t>D</w:t>
      </w:r>
      <w:r w:rsidR="00915C79" w:rsidRPr="00BB3E2F">
        <w:rPr>
          <w:rFonts w:cs="Arial"/>
        </w:rPr>
        <w:t>eduction</w:t>
      </w:r>
      <w:r w:rsidR="00152A37">
        <w:rPr>
          <w:rFonts w:cs="Arial"/>
        </w:rPr>
        <w:t>s are not allowable in respect of</w:t>
      </w:r>
      <w:r w:rsidR="00915C79" w:rsidRPr="00BB3E2F">
        <w:rPr>
          <w:rFonts w:cs="Arial"/>
        </w:rPr>
        <w:t xml:space="preserve"> travel costs incurred in inspecting or maintaining residential rental properties</w:t>
      </w:r>
      <w:r w:rsidR="00F33523" w:rsidRPr="00BB3E2F">
        <w:rPr>
          <w:rFonts w:cs="Arial"/>
        </w:rPr>
        <w:t xml:space="preserve"> by individuals, discretionary trusts, small unit trusts and self-managed superannuation funds</w:t>
      </w:r>
      <w:r w:rsidR="00E612A8" w:rsidRPr="00BB3E2F">
        <w:rPr>
          <w:rFonts w:cs="Arial"/>
        </w:rPr>
        <w:t xml:space="preserve">. </w:t>
      </w:r>
    </w:p>
    <w:p w14:paraId="427B87C4" w14:textId="77777777" w:rsidR="00152A37" w:rsidRDefault="00152A37" w:rsidP="00EC197D">
      <w:pPr>
        <w:adjustRightInd w:val="0"/>
        <w:rPr>
          <w:rFonts w:cs="Arial"/>
        </w:rPr>
      </w:pPr>
    </w:p>
    <w:p w14:paraId="42AF19A5" w14:textId="718356CF" w:rsidR="00382151" w:rsidRPr="00BB3E2F" w:rsidRDefault="00E612A8" w:rsidP="00EC197D">
      <w:pPr>
        <w:adjustRightInd w:val="0"/>
        <w:rPr>
          <w:rFonts w:cs="Arial"/>
        </w:rPr>
      </w:pPr>
      <w:r w:rsidRPr="00BB3E2F">
        <w:rPr>
          <w:rFonts w:cs="Arial"/>
        </w:rPr>
        <w:t>Moreover, such expenses cannot be included in the cost base or reduced cost base of the residential rental premises or deducted as black</w:t>
      </w:r>
      <w:r w:rsidR="00992626">
        <w:rPr>
          <w:rFonts w:cs="Arial"/>
        </w:rPr>
        <w:t>-</w:t>
      </w:r>
      <w:r w:rsidRPr="00BB3E2F">
        <w:rPr>
          <w:rFonts w:cs="Arial"/>
        </w:rPr>
        <w:t>hole expenditure.</w:t>
      </w:r>
      <w:r w:rsidR="00382151" w:rsidRPr="00BB3E2F">
        <w:rPr>
          <w:rFonts w:cs="Arial"/>
        </w:rPr>
        <w:t xml:space="preserve"> Accordingly, it is important to recognise that there is no tax relief for travel costs incurred in either inspecting or maintaining property or collecting rents</w:t>
      </w:r>
      <w:r w:rsidR="00F33523" w:rsidRPr="00BB3E2F">
        <w:rPr>
          <w:rFonts w:cs="Arial"/>
        </w:rPr>
        <w:t>.</w:t>
      </w:r>
    </w:p>
    <w:p w14:paraId="52779D9E" w14:textId="77777777" w:rsidR="00E612A8" w:rsidRPr="00382151" w:rsidRDefault="00E612A8" w:rsidP="00EC197D">
      <w:pPr>
        <w:adjustRightInd w:val="0"/>
        <w:rPr>
          <w:rFonts w:cs="Arial"/>
        </w:rPr>
      </w:pPr>
      <w:r w:rsidRPr="00382151">
        <w:rPr>
          <w:rFonts w:cs="Arial"/>
        </w:rPr>
        <w:t xml:space="preserve"> </w:t>
      </w:r>
    </w:p>
    <w:p w14:paraId="51E68599" w14:textId="77777777" w:rsidR="00BB3E2F" w:rsidRPr="00BB3E2F" w:rsidRDefault="00E612A8" w:rsidP="00EC197D">
      <w:pPr>
        <w:adjustRightInd w:val="0"/>
        <w:rPr>
          <w:rFonts w:cs="Arial"/>
          <w:b/>
        </w:rPr>
      </w:pPr>
      <w:r w:rsidRPr="00BB3E2F">
        <w:rPr>
          <w:rFonts w:cs="Arial"/>
          <w:b/>
        </w:rPr>
        <w:t>Limiting deductions for second hand depreciating assets</w:t>
      </w:r>
    </w:p>
    <w:p w14:paraId="027F708A" w14:textId="77777777" w:rsidR="000D4DC1" w:rsidRDefault="000D4DC1" w:rsidP="00EC197D">
      <w:pPr>
        <w:adjustRightInd w:val="0"/>
        <w:rPr>
          <w:rFonts w:cs="Arial"/>
        </w:rPr>
      </w:pPr>
    </w:p>
    <w:p w14:paraId="1B24F99D" w14:textId="1569DDC2" w:rsidR="007E2F80" w:rsidRDefault="00D10434" w:rsidP="00EC197D">
      <w:pPr>
        <w:adjustRightInd w:val="0"/>
        <w:rPr>
          <w:rFonts w:cs="Arial"/>
        </w:rPr>
      </w:pPr>
      <w:r>
        <w:rPr>
          <w:rFonts w:cs="Arial"/>
        </w:rPr>
        <w:t>I</w:t>
      </w:r>
      <w:r w:rsidR="00E612A8" w:rsidRPr="00BB3E2F">
        <w:rPr>
          <w:rFonts w:cs="Arial"/>
        </w:rPr>
        <w:t xml:space="preserve">ndividuals, discretionary trusts, small unit trusts and self-managed superannuation funds are </w:t>
      </w:r>
      <w:r w:rsidR="00382151" w:rsidRPr="00BB3E2F">
        <w:rPr>
          <w:rFonts w:cs="Arial"/>
        </w:rPr>
        <w:t xml:space="preserve">also </w:t>
      </w:r>
      <w:r w:rsidR="00E612A8" w:rsidRPr="00BB3E2F">
        <w:rPr>
          <w:rFonts w:cs="Arial"/>
        </w:rPr>
        <w:t>denied a deduction for the decline in value of a depreciating asset (</w:t>
      </w:r>
      <w:proofErr w:type="gramStart"/>
      <w:r w:rsidR="00E612A8" w:rsidRPr="00BB3E2F">
        <w:rPr>
          <w:rFonts w:cs="Arial"/>
        </w:rPr>
        <w:t>e.g.</w:t>
      </w:r>
      <w:proofErr w:type="gramEnd"/>
      <w:r w:rsidR="00E612A8" w:rsidRPr="00BB3E2F">
        <w:rPr>
          <w:rFonts w:cs="Arial"/>
        </w:rPr>
        <w:t xml:space="preserve"> furniture and fittings) to the extent that the asset is used or installed ready for use in residential rental premises, and that asset was previously used by </w:t>
      </w:r>
      <w:r w:rsidR="00F33523" w:rsidRPr="00BB3E2F">
        <w:rPr>
          <w:rFonts w:cs="Arial"/>
        </w:rPr>
        <w:t xml:space="preserve">the </w:t>
      </w:r>
      <w:r w:rsidR="00E612A8" w:rsidRPr="00BB3E2F">
        <w:rPr>
          <w:rFonts w:cs="Arial"/>
        </w:rPr>
        <w:t>taxpayer for a non-taxable purpose or was previously used by another entity</w:t>
      </w:r>
      <w:r w:rsidR="007E2F80">
        <w:rPr>
          <w:rFonts w:cs="Arial"/>
        </w:rPr>
        <w:t>, e.g. a previous owner</w:t>
      </w:r>
      <w:r w:rsidR="00E612A8" w:rsidRPr="00BB3E2F">
        <w:rPr>
          <w:rFonts w:cs="Arial"/>
        </w:rPr>
        <w:t xml:space="preserve">. </w:t>
      </w:r>
    </w:p>
    <w:p w14:paraId="4BBE0144" w14:textId="77777777" w:rsidR="007E2F80" w:rsidRDefault="007E2F80" w:rsidP="00EC197D">
      <w:pPr>
        <w:adjustRightInd w:val="0"/>
        <w:rPr>
          <w:rFonts w:cs="Arial"/>
        </w:rPr>
      </w:pPr>
    </w:p>
    <w:p w14:paraId="13A01833" w14:textId="196D122D" w:rsidR="00E612A8" w:rsidRPr="00BB3E2F" w:rsidRDefault="00382151" w:rsidP="00EC197D">
      <w:pPr>
        <w:adjustRightInd w:val="0"/>
        <w:rPr>
          <w:rFonts w:cs="Arial"/>
        </w:rPr>
      </w:pPr>
      <w:r w:rsidRPr="00BB3E2F">
        <w:rPr>
          <w:rFonts w:cs="Arial"/>
        </w:rPr>
        <w:t xml:space="preserve">However, any decline in </w:t>
      </w:r>
      <w:r w:rsidR="001502BC">
        <w:rPr>
          <w:rFonts w:cs="Arial"/>
        </w:rPr>
        <w:t>the value of such second-</w:t>
      </w:r>
      <w:r w:rsidR="001502BC" w:rsidRPr="00BB3E2F">
        <w:rPr>
          <w:rFonts w:cs="Arial"/>
        </w:rPr>
        <w:t>hand</w:t>
      </w:r>
      <w:r w:rsidRPr="00BB3E2F">
        <w:rPr>
          <w:rFonts w:cs="Arial"/>
        </w:rPr>
        <w:t xml:space="preserve"> depreciating assets may result in a capital loss (or in certain circumstances a capital gain) on any subsequent disposal of an asset on the basis that the asset has been used for a non-taxable purpose. </w:t>
      </w:r>
      <w:r w:rsidR="000D4DC1">
        <w:rPr>
          <w:rFonts w:cs="Arial"/>
        </w:rPr>
        <w:t>T</w:t>
      </w:r>
      <w:r w:rsidRPr="00BB3E2F">
        <w:rPr>
          <w:rFonts w:cs="Arial"/>
        </w:rPr>
        <w:t xml:space="preserve">hese </w:t>
      </w:r>
      <w:r w:rsidR="00D10434">
        <w:rPr>
          <w:rFonts w:cs="Arial"/>
        </w:rPr>
        <w:t>rules</w:t>
      </w:r>
      <w:r w:rsidR="00D10434" w:rsidRPr="00BB3E2F">
        <w:rPr>
          <w:rFonts w:cs="Arial"/>
        </w:rPr>
        <w:t xml:space="preserve"> </w:t>
      </w:r>
      <w:r w:rsidRPr="00BB3E2F">
        <w:rPr>
          <w:rFonts w:cs="Arial"/>
        </w:rPr>
        <w:t xml:space="preserve">apply to income years starting on or after 1 July 2017 </w:t>
      </w:r>
      <w:r w:rsidR="007E2F80">
        <w:rPr>
          <w:rFonts w:cs="Arial"/>
        </w:rPr>
        <w:t xml:space="preserve">in </w:t>
      </w:r>
      <w:r w:rsidR="007E2F80">
        <w:rPr>
          <w:rFonts w:cs="Arial"/>
        </w:rPr>
        <w:lastRenderedPageBreak/>
        <w:t xml:space="preserve">relation </w:t>
      </w:r>
      <w:r w:rsidRPr="00BB3E2F">
        <w:rPr>
          <w:rFonts w:cs="Arial"/>
        </w:rPr>
        <w:t xml:space="preserve">to depreciating assets acquired </w:t>
      </w:r>
      <w:r w:rsidR="00F33523" w:rsidRPr="00BB3E2F">
        <w:rPr>
          <w:rFonts w:cs="Arial"/>
        </w:rPr>
        <w:t>from</w:t>
      </w:r>
      <w:r w:rsidR="007E2F80">
        <w:rPr>
          <w:rFonts w:cs="Arial"/>
        </w:rPr>
        <w:t>, or owned at,</w:t>
      </w:r>
      <w:r w:rsidRPr="00BB3E2F">
        <w:rPr>
          <w:rFonts w:cs="Arial"/>
        </w:rPr>
        <w:t xml:space="preserve"> the time the measure was publicly announced on 9 May 2017</w:t>
      </w:r>
      <w:r w:rsidR="00F33523" w:rsidRPr="00BB3E2F">
        <w:rPr>
          <w:rFonts w:cs="Arial"/>
        </w:rPr>
        <w:t>.</w:t>
      </w:r>
    </w:p>
    <w:p w14:paraId="7FCD194A" w14:textId="77777777" w:rsidR="00382151" w:rsidRPr="00382151" w:rsidRDefault="00382151" w:rsidP="00EC197D">
      <w:pPr>
        <w:pStyle w:val="ListParagraph"/>
        <w:adjustRightInd w:val="0"/>
        <w:ind w:left="0"/>
        <w:contextualSpacing w:val="0"/>
        <w:rPr>
          <w:rFonts w:cs="Arial"/>
        </w:rPr>
      </w:pPr>
    </w:p>
    <w:p w14:paraId="7A5037FF" w14:textId="77777777" w:rsidR="00BB3E2F" w:rsidRPr="00BB3E2F" w:rsidRDefault="006823D7" w:rsidP="00EC197D">
      <w:pPr>
        <w:adjustRightInd w:val="0"/>
        <w:rPr>
          <w:rFonts w:cs="Arial"/>
          <w:b/>
        </w:rPr>
      </w:pPr>
      <w:r>
        <w:rPr>
          <w:rFonts w:cs="Arial"/>
          <w:b/>
        </w:rPr>
        <w:t>F</w:t>
      </w:r>
      <w:r w:rsidR="00382151" w:rsidRPr="00BB3E2F">
        <w:rPr>
          <w:rFonts w:cs="Arial"/>
          <w:b/>
        </w:rPr>
        <w:t xml:space="preserve">oreign resident CGT withholding </w:t>
      </w:r>
      <w:proofErr w:type="gramStart"/>
      <w:r w:rsidR="00382151" w:rsidRPr="00BB3E2F">
        <w:rPr>
          <w:rFonts w:cs="Arial"/>
          <w:b/>
        </w:rPr>
        <w:t>rate</w:t>
      </w:r>
      <w:proofErr w:type="gramEnd"/>
    </w:p>
    <w:p w14:paraId="0BC160C4" w14:textId="77777777" w:rsidR="000D4DC1" w:rsidRDefault="000D4DC1" w:rsidP="00EC197D">
      <w:pPr>
        <w:adjustRightInd w:val="0"/>
        <w:rPr>
          <w:rFonts w:cs="Arial"/>
        </w:rPr>
      </w:pPr>
    </w:p>
    <w:p w14:paraId="5F7EEC94" w14:textId="347814A7" w:rsidR="008F7F4D" w:rsidRDefault="00FA38F2" w:rsidP="00EC197D">
      <w:pPr>
        <w:adjustRightInd w:val="0"/>
        <w:rPr>
          <w:rFonts w:cs="Arial"/>
        </w:rPr>
      </w:pPr>
      <w:r>
        <w:rPr>
          <w:rFonts w:cs="Arial"/>
        </w:rPr>
        <w:t>A non-final 12.5</w:t>
      </w:r>
      <w:r w:rsidR="00266A57">
        <w:rPr>
          <w:rFonts w:cs="Arial"/>
        </w:rPr>
        <w:t xml:space="preserve"> per cent</w:t>
      </w:r>
      <w:r>
        <w:rPr>
          <w:rFonts w:cs="Arial"/>
        </w:rPr>
        <w:t xml:space="preserve"> f</w:t>
      </w:r>
      <w:r w:rsidR="00382151" w:rsidRPr="00BB3E2F">
        <w:rPr>
          <w:rFonts w:cs="Arial"/>
        </w:rPr>
        <w:t xml:space="preserve">oreign resident CGT withholding tax must be retained by a purchaser at settlement from the purchase price of </w:t>
      </w:r>
      <w:r w:rsidR="009C034A">
        <w:rPr>
          <w:rFonts w:cs="Arial"/>
        </w:rPr>
        <w:t>certain</w:t>
      </w:r>
      <w:r w:rsidR="00382151" w:rsidRPr="00BB3E2F">
        <w:rPr>
          <w:rFonts w:cs="Arial"/>
        </w:rPr>
        <w:t xml:space="preserve"> property</w:t>
      </w:r>
      <w:r w:rsidR="00375C6E">
        <w:rPr>
          <w:rFonts w:cs="Arial"/>
        </w:rPr>
        <w:t xml:space="preserve"> </w:t>
      </w:r>
      <w:r w:rsidR="0059769B">
        <w:rPr>
          <w:rFonts w:cs="Arial"/>
        </w:rPr>
        <w:t xml:space="preserve">acquired from a foreign resident </w:t>
      </w:r>
      <w:r w:rsidR="00375C6E">
        <w:rPr>
          <w:rFonts w:cs="Arial"/>
        </w:rPr>
        <w:t xml:space="preserve">which must be subsequently remitted </w:t>
      </w:r>
      <w:r w:rsidR="0059769B">
        <w:rPr>
          <w:rFonts w:cs="Arial"/>
        </w:rPr>
        <w:t xml:space="preserve">by the purchaser </w:t>
      </w:r>
      <w:r w:rsidR="00375C6E">
        <w:rPr>
          <w:rFonts w:cs="Arial"/>
        </w:rPr>
        <w:t>to the ATO</w:t>
      </w:r>
      <w:r w:rsidR="00672561" w:rsidRPr="00BB3E2F">
        <w:rPr>
          <w:rFonts w:cs="Arial"/>
        </w:rPr>
        <w:t xml:space="preserve">. However, such tax does not need to be retained from the purchase price of the property if the vendor obtains a clearance certificate from the ATO prior to settlement or if an exemption or variation otherwise applies. </w:t>
      </w:r>
      <w:r w:rsidR="00E33946">
        <w:rPr>
          <w:rFonts w:cs="Arial"/>
        </w:rPr>
        <w:t>T</w:t>
      </w:r>
      <w:r w:rsidR="00672561" w:rsidRPr="00BB3E2F">
        <w:rPr>
          <w:rFonts w:cs="Arial"/>
        </w:rPr>
        <w:t>he foreign resident CGT withholding obligation</w:t>
      </w:r>
      <w:r w:rsidR="00E33946">
        <w:rPr>
          <w:rFonts w:cs="Arial"/>
        </w:rPr>
        <w:t xml:space="preserve"> also</w:t>
      </w:r>
      <w:r w:rsidR="00672561" w:rsidRPr="00BB3E2F">
        <w:rPr>
          <w:rFonts w:cs="Arial"/>
        </w:rPr>
        <w:t xml:space="preserve"> does not arise in relation to a CGT asset if the market value of that asset is less than $750,000 </w:t>
      </w:r>
      <w:r w:rsidR="003245D3">
        <w:rPr>
          <w:rFonts w:cs="Arial"/>
        </w:rPr>
        <w:t>or if</w:t>
      </w:r>
      <w:r w:rsidR="003245D3" w:rsidRPr="00BB3E2F">
        <w:rPr>
          <w:rFonts w:cs="Arial"/>
        </w:rPr>
        <w:t xml:space="preserve"> </w:t>
      </w:r>
      <w:r w:rsidR="00672561" w:rsidRPr="00BB3E2F">
        <w:rPr>
          <w:rFonts w:cs="Arial"/>
        </w:rPr>
        <w:t xml:space="preserve">the CGT asset is </w:t>
      </w:r>
      <w:r w:rsidR="003245D3">
        <w:rPr>
          <w:rFonts w:cs="Arial"/>
        </w:rPr>
        <w:t xml:space="preserve">not </w:t>
      </w:r>
      <w:r w:rsidR="00672561" w:rsidRPr="00BB3E2F">
        <w:rPr>
          <w:rFonts w:cs="Arial"/>
        </w:rPr>
        <w:t xml:space="preserve">taxable Australian real property or certain indirect Australian real property interests. </w:t>
      </w:r>
    </w:p>
    <w:p w14:paraId="0144BAFF" w14:textId="77777777" w:rsidR="00FC1FC4" w:rsidRDefault="00FC1FC4" w:rsidP="00EC197D">
      <w:pPr>
        <w:adjustRightInd w:val="0"/>
        <w:rPr>
          <w:rFonts w:cs="Arial"/>
        </w:rPr>
      </w:pPr>
    </w:p>
    <w:p w14:paraId="2346CC00" w14:textId="77777777" w:rsidR="008F7F4D" w:rsidRDefault="008F7F4D" w:rsidP="00EC197D">
      <w:pPr>
        <w:adjustRightInd w:val="0"/>
        <w:rPr>
          <w:rFonts w:cs="Arial"/>
          <w:b/>
        </w:rPr>
      </w:pPr>
      <w:r>
        <w:rPr>
          <w:rFonts w:cs="Arial"/>
          <w:b/>
        </w:rPr>
        <w:t>Main residence exemption for foreign residents</w:t>
      </w:r>
    </w:p>
    <w:p w14:paraId="4C0F8292" w14:textId="77777777" w:rsidR="000D4DC1" w:rsidRDefault="000D4DC1" w:rsidP="000D4DC1">
      <w:pPr>
        <w:pStyle w:val="Tableheading"/>
        <w:adjustRightInd w:val="0"/>
        <w:spacing w:before="0" w:after="0"/>
        <w:rPr>
          <w:b w:val="0"/>
          <w:sz w:val="20"/>
          <w:szCs w:val="20"/>
        </w:rPr>
      </w:pPr>
    </w:p>
    <w:p w14:paraId="6E0CD47E" w14:textId="301C6305" w:rsidR="008F7F4D" w:rsidRPr="00BD45FB" w:rsidRDefault="00152A37" w:rsidP="00EC197D">
      <w:pPr>
        <w:pStyle w:val="Tableheading"/>
        <w:adjustRightInd w:val="0"/>
        <w:spacing w:before="0" w:after="0"/>
        <w:rPr>
          <w:b w:val="0"/>
          <w:sz w:val="20"/>
          <w:szCs w:val="20"/>
        </w:rPr>
      </w:pPr>
      <w:r>
        <w:rPr>
          <w:b w:val="0"/>
          <w:sz w:val="20"/>
          <w:szCs w:val="20"/>
        </w:rPr>
        <w:t>F</w:t>
      </w:r>
      <w:r w:rsidR="008F7F4D" w:rsidRPr="00BD45FB">
        <w:rPr>
          <w:b w:val="0"/>
          <w:sz w:val="20"/>
          <w:szCs w:val="20"/>
        </w:rPr>
        <w:t xml:space="preserve">oreign resident individuals who held Australian property prior to 7.30pm (AEST) on 9 May 2017 can only claim the CGT main residence exemption for disposals </w:t>
      </w:r>
      <w:r>
        <w:rPr>
          <w:b w:val="0"/>
          <w:sz w:val="20"/>
          <w:szCs w:val="20"/>
        </w:rPr>
        <w:t>occurring</w:t>
      </w:r>
      <w:r w:rsidR="008F7F4D" w:rsidRPr="00BD45FB">
        <w:rPr>
          <w:b w:val="0"/>
          <w:sz w:val="20"/>
          <w:szCs w:val="20"/>
        </w:rPr>
        <w:t xml:space="preserve"> up until 30 June 2020. </w:t>
      </w:r>
    </w:p>
    <w:p w14:paraId="132C32D0" w14:textId="77777777" w:rsidR="00D10434" w:rsidRDefault="00D10434" w:rsidP="000D4DC1">
      <w:pPr>
        <w:pStyle w:val="Tableheading"/>
        <w:adjustRightInd w:val="0"/>
        <w:spacing w:before="0" w:after="0"/>
        <w:rPr>
          <w:b w:val="0"/>
          <w:sz w:val="20"/>
          <w:szCs w:val="20"/>
        </w:rPr>
      </w:pPr>
    </w:p>
    <w:p w14:paraId="7D40E453" w14:textId="3067A4DB" w:rsidR="008F7F4D" w:rsidRDefault="008F7F4D" w:rsidP="000D4DC1">
      <w:pPr>
        <w:pStyle w:val="Tableheading"/>
        <w:adjustRightInd w:val="0"/>
        <w:spacing w:before="0" w:after="0"/>
        <w:rPr>
          <w:b w:val="0"/>
          <w:sz w:val="20"/>
          <w:szCs w:val="20"/>
        </w:rPr>
      </w:pPr>
      <w:r w:rsidRPr="00BD45FB">
        <w:rPr>
          <w:b w:val="0"/>
          <w:sz w:val="20"/>
          <w:szCs w:val="20"/>
        </w:rPr>
        <w:t xml:space="preserve">If the property is disposed of on or after 1 July 2020 (regardless of the purchase date), the CGT main residence exemption is only available if the individual satisfies the </w:t>
      </w:r>
      <w:r w:rsidR="00152A37">
        <w:rPr>
          <w:b w:val="0"/>
          <w:sz w:val="20"/>
          <w:szCs w:val="20"/>
        </w:rPr>
        <w:t>“</w:t>
      </w:r>
      <w:r w:rsidRPr="00BD45FB">
        <w:rPr>
          <w:b w:val="0"/>
          <w:sz w:val="20"/>
          <w:szCs w:val="20"/>
        </w:rPr>
        <w:t>life events</w:t>
      </w:r>
      <w:r w:rsidR="00152A37">
        <w:rPr>
          <w:b w:val="0"/>
          <w:sz w:val="20"/>
          <w:szCs w:val="20"/>
        </w:rPr>
        <w:t>”</w:t>
      </w:r>
      <w:r w:rsidRPr="00BD45FB">
        <w:rPr>
          <w:b w:val="0"/>
          <w:sz w:val="20"/>
          <w:szCs w:val="20"/>
        </w:rPr>
        <w:t xml:space="preserve"> test. To satisfy the life events tests </w:t>
      </w:r>
      <w:proofErr w:type="gramStart"/>
      <w:r w:rsidRPr="00BD45FB">
        <w:rPr>
          <w:b w:val="0"/>
          <w:sz w:val="20"/>
          <w:szCs w:val="20"/>
        </w:rPr>
        <w:t>all of</w:t>
      </w:r>
      <w:proofErr w:type="gramEnd"/>
      <w:r w:rsidRPr="00BD45FB">
        <w:rPr>
          <w:b w:val="0"/>
          <w:sz w:val="20"/>
          <w:szCs w:val="20"/>
        </w:rPr>
        <w:t xml:space="preserve"> the following elements need to be satisfied:</w:t>
      </w:r>
    </w:p>
    <w:p w14:paraId="075FC618" w14:textId="77777777" w:rsidR="00EB471E" w:rsidRPr="00BD45FB" w:rsidRDefault="00EB471E" w:rsidP="00EC197D">
      <w:pPr>
        <w:pStyle w:val="Tableheading"/>
        <w:adjustRightInd w:val="0"/>
        <w:spacing w:before="0" w:after="0"/>
        <w:rPr>
          <w:b w:val="0"/>
          <w:sz w:val="20"/>
          <w:szCs w:val="20"/>
        </w:rPr>
      </w:pPr>
    </w:p>
    <w:p w14:paraId="3D843C6A" w14:textId="00929DAC" w:rsidR="008F7F4D" w:rsidRPr="00BD45FB" w:rsidRDefault="00EB471E" w:rsidP="00EC197D">
      <w:pPr>
        <w:numPr>
          <w:ilvl w:val="0"/>
          <w:numId w:val="10"/>
        </w:numPr>
      </w:pPr>
      <w:r>
        <w:t>t</w:t>
      </w:r>
      <w:r w:rsidR="008F7F4D" w:rsidRPr="00BD45FB">
        <w:t>he individual was a foreign resident for a continuous period of six years or less at the time of the CGT event</w:t>
      </w:r>
      <w:r w:rsidR="00D10434">
        <w:t xml:space="preserve"> and</w:t>
      </w:r>
    </w:p>
    <w:p w14:paraId="150E7684" w14:textId="21E4A4DC" w:rsidR="008F7F4D" w:rsidRPr="00BD45FB" w:rsidRDefault="00EB471E" w:rsidP="00EC197D">
      <w:pPr>
        <w:numPr>
          <w:ilvl w:val="0"/>
          <w:numId w:val="10"/>
        </w:numPr>
      </w:pPr>
      <w:r>
        <w:t>a</w:t>
      </w:r>
      <w:r w:rsidR="008F7F4D" w:rsidRPr="00BD45FB">
        <w:t>t least one of the following occurred:</w:t>
      </w:r>
    </w:p>
    <w:p w14:paraId="66E56EC8" w14:textId="5B955FC4" w:rsidR="008F7F4D" w:rsidRPr="00BD45FB" w:rsidRDefault="003245D3" w:rsidP="008F7F4D">
      <w:pPr>
        <w:pStyle w:val="Tableheading"/>
        <w:numPr>
          <w:ilvl w:val="1"/>
          <w:numId w:val="15"/>
        </w:numPr>
        <w:rPr>
          <w:b w:val="0"/>
          <w:sz w:val="20"/>
          <w:szCs w:val="20"/>
        </w:rPr>
      </w:pPr>
      <w:r>
        <w:rPr>
          <w:b w:val="0"/>
          <w:sz w:val="20"/>
          <w:szCs w:val="20"/>
        </w:rPr>
        <w:t>d</w:t>
      </w:r>
      <w:r w:rsidR="008F7F4D" w:rsidRPr="00BD45FB">
        <w:rPr>
          <w:b w:val="0"/>
          <w:sz w:val="20"/>
          <w:szCs w:val="20"/>
        </w:rPr>
        <w:t xml:space="preserve">uring all or part of the period of a person’s foreign residency, either they, their spouse or their child who was under 18 years of age had a terminal medical </w:t>
      </w:r>
      <w:proofErr w:type="gramStart"/>
      <w:r w:rsidR="008F7F4D" w:rsidRPr="00BD45FB">
        <w:rPr>
          <w:b w:val="0"/>
          <w:sz w:val="20"/>
          <w:szCs w:val="20"/>
        </w:rPr>
        <w:t>condition</w:t>
      </w:r>
      <w:proofErr w:type="gramEnd"/>
    </w:p>
    <w:p w14:paraId="0AD7DDC7" w14:textId="135B2B7C" w:rsidR="008F7F4D" w:rsidRPr="00BD45FB" w:rsidRDefault="003245D3" w:rsidP="00BD45FB">
      <w:pPr>
        <w:pStyle w:val="Tableheading"/>
        <w:numPr>
          <w:ilvl w:val="1"/>
          <w:numId w:val="15"/>
        </w:numPr>
        <w:rPr>
          <w:b w:val="0"/>
        </w:rPr>
      </w:pPr>
      <w:r>
        <w:rPr>
          <w:b w:val="0"/>
          <w:sz w:val="20"/>
          <w:szCs w:val="20"/>
        </w:rPr>
        <w:t>d</w:t>
      </w:r>
      <w:r w:rsidR="008F7F4D" w:rsidRPr="00BD45FB">
        <w:rPr>
          <w:b w:val="0"/>
          <w:sz w:val="20"/>
          <w:szCs w:val="20"/>
        </w:rPr>
        <w:t xml:space="preserve">uring all or part of the period of a person’s foreign residency, their spouse, or their child </w:t>
      </w:r>
      <w:r w:rsidR="00D10434">
        <w:rPr>
          <w:b w:val="0"/>
          <w:sz w:val="20"/>
          <w:szCs w:val="20"/>
        </w:rPr>
        <w:t>(</w:t>
      </w:r>
      <w:r w:rsidR="008F7F4D" w:rsidRPr="00BD45FB">
        <w:rPr>
          <w:b w:val="0"/>
          <w:sz w:val="20"/>
          <w:szCs w:val="20"/>
        </w:rPr>
        <w:t>who is under 18 years of age at the time of their death</w:t>
      </w:r>
      <w:r w:rsidR="00D10434">
        <w:rPr>
          <w:b w:val="0"/>
          <w:sz w:val="20"/>
          <w:szCs w:val="20"/>
        </w:rPr>
        <w:t>)</w:t>
      </w:r>
      <w:r w:rsidR="008F7F4D" w:rsidRPr="00BD45FB">
        <w:rPr>
          <w:b w:val="0"/>
          <w:sz w:val="20"/>
          <w:szCs w:val="20"/>
        </w:rPr>
        <w:t xml:space="preserve"> die</w:t>
      </w:r>
      <w:r>
        <w:rPr>
          <w:b w:val="0"/>
          <w:sz w:val="20"/>
          <w:szCs w:val="20"/>
        </w:rPr>
        <w:t>d</w:t>
      </w:r>
      <w:r w:rsidR="00152A37">
        <w:rPr>
          <w:b w:val="0"/>
          <w:sz w:val="20"/>
          <w:szCs w:val="20"/>
        </w:rPr>
        <w:t xml:space="preserve"> or</w:t>
      </w:r>
    </w:p>
    <w:p w14:paraId="1663DD15" w14:textId="7950FD15" w:rsidR="008F7F4D" w:rsidRPr="00EC197D" w:rsidRDefault="003245D3" w:rsidP="00BD45FB">
      <w:pPr>
        <w:pStyle w:val="Tableheading"/>
        <w:numPr>
          <w:ilvl w:val="1"/>
          <w:numId w:val="15"/>
        </w:numPr>
      </w:pPr>
      <w:r>
        <w:rPr>
          <w:b w:val="0"/>
          <w:sz w:val="20"/>
          <w:szCs w:val="20"/>
        </w:rPr>
        <w:t>t</w:t>
      </w:r>
      <w:r w:rsidR="008F7F4D" w:rsidRPr="00BD45FB">
        <w:rPr>
          <w:b w:val="0"/>
          <w:sz w:val="20"/>
          <w:szCs w:val="20"/>
        </w:rPr>
        <w:t xml:space="preserve">he CGT event occurs in a matter involving the distribution of assets between the person and their spouse in a family law context, such as in the event of divorce or separation or similar maintenance agreements.  </w:t>
      </w:r>
    </w:p>
    <w:p w14:paraId="1E0CC050" w14:textId="77777777" w:rsidR="00EB471E" w:rsidRDefault="00EB471E" w:rsidP="00BB3E2F">
      <w:pPr>
        <w:pStyle w:val="ListParagraph"/>
        <w:ind w:left="0"/>
        <w:contextualSpacing w:val="0"/>
        <w:rPr>
          <w:rFonts w:cs="Arial"/>
        </w:rPr>
      </w:pPr>
    </w:p>
    <w:p w14:paraId="1025348A" w14:textId="3D130753" w:rsidR="00382151" w:rsidRDefault="003245D3" w:rsidP="00EC197D">
      <w:pPr>
        <w:pStyle w:val="ListParagraph"/>
        <w:adjustRightInd w:val="0"/>
        <w:ind w:left="0"/>
        <w:contextualSpacing w:val="0"/>
        <w:rPr>
          <w:rFonts w:cs="Arial"/>
        </w:rPr>
      </w:pPr>
      <w:r>
        <w:rPr>
          <w:rFonts w:cs="Arial"/>
        </w:rPr>
        <w:t>All other requirements to claim the main residence exemption must also be satisfied.</w:t>
      </w:r>
    </w:p>
    <w:p w14:paraId="4429D466" w14:textId="77777777" w:rsidR="003245D3" w:rsidRDefault="003245D3" w:rsidP="00EC197D">
      <w:pPr>
        <w:pStyle w:val="ListParagraph"/>
        <w:adjustRightInd w:val="0"/>
        <w:ind w:left="0"/>
        <w:contextualSpacing w:val="0"/>
        <w:rPr>
          <w:rFonts w:cs="Arial"/>
        </w:rPr>
      </w:pPr>
    </w:p>
    <w:p w14:paraId="3443FA06" w14:textId="77777777" w:rsidR="00A33583" w:rsidRPr="00BB3E2F" w:rsidRDefault="00A33583" w:rsidP="00A33583">
      <w:pPr>
        <w:adjustRightInd w:val="0"/>
        <w:rPr>
          <w:rFonts w:cs="Arial"/>
          <w:b/>
        </w:rPr>
      </w:pPr>
      <w:r>
        <w:rPr>
          <w:rFonts w:cs="Arial"/>
          <w:b/>
        </w:rPr>
        <w:t xml:space="preserve">Deductions of expenses associated with holding vacant </w:t>
      </w:r>
      <w:proofErr w:type="gramStart"/>
      <w:r>
        <w:rPr>
          <w:rFonts w:cs="Arial"/>
          <w:b/>
        </w:rPr>
        <w:t>land</w:t>
      </w:r>
      <w:proofErr w:type="gramEnd"/>
      <w:r>
        <w:rPr>
          <w:rFonts w:cs="Arial"/>
          <w:b/>
        </w:rPr>
        <w:t xml:space="preserve"> </w:t>
      </w:r>
    </w:p>
    <w:p w14:paraId="2EDB8309" w14:textId="77777777" w:rsidR="00A33583" w:rsidRDefault="00A33583" w:rsidP="00A33583">
      <w:pPr>
        <w:pStyle w:val="ListParagraph"/>
        <w:adjustRightInd w:val="0"/>
        <w:ind w:left="0"/>
        <w:contextualSpacing w:val="0"/>
        <w:rPr>
          <w:rFonts w:cs="Arial"/>
        </w:rPr>
      </w:pPr>
    </w:p>
    <w:p w14:paraId="3A29A5C5" w14:textId="4096BD28" w:rsidR="000F6547" w:rsidRDefault="00A33583" w:rsidP="00A33583">
      <w:pPr>
        <w:pStyle w:val="ListParagraph"/>
        <w:adjustRightInd w:val="0"/>
        <w:ind w:left="0"/>
        <w:contextualSpacing w:val="0"/>
        <w:rPr>
          <w:rFonts w:cs="Arial"/>
        </w:rPr>
      </w:pPr>
      <w:r>
        <w:rPr>
          <w:rFonts w:cs="Arial"/>
        </w:rPr>
        <w:t>Effective from 1 July 2019, tax legislation altered the deductibility of expenses relating to costs associated with holding vacant land such as interest and rates. Such costs</w:t>
      </w:r>
      <w:r w:rsidRPr="00645A2C">
        <w:rPr>
          <w:rFonts w:cs="Arial"/>
        </w:rPr>
        <w:t xml:space="preserve"> should be reviewed by reference to the views expressed by the ATO </w:t>
      </w:r>
      <w:r w:rsidR="00853B6D">
        <w:rPr>
          <w:rFonts w:cs="Arial"/>
        </w:rPr>
        <w:t xml:space="preserve">in Taxation Ruling </w:t>
      </w:r>
      <w:r w:rsidR="00BB43EA">
        <w:rPr>
          <w:rFonts w:cs="Arial"/>
        </w:rPr>
        <w:t>TR 2023/3</w:t>
      </w:r>
      <w:r w:rsidR="0031344C">
        <w:rPr>
          <w:rFonts w:cs="Arial"/>
        </w:rPr>
        <w:t xml:space="preserve">, </w:t>
      </w:r>
      <w:r w:rsidR="00095038">
        <w:rPr>
          <w:rFonts w:cs="Arial"/>
        </w:rPr>
        <w:t xml:space="preserve">and </w:t>
      </w:r>
      <w:r w:rsidR="00FA4446">
        <w:rPr>
          <w:rFonts w:cs="Arial"/>
        </w:rPr>
        <w:t>the</w:t>
      </w:r>
      <w:r w:rsidR="007C234C">
        <w:rPr>
          <w:rFonts w:cs="Arial"/>
        </w:rPr>
        <w:t xml:space="preserve"> recent</w:t>
      </w:r>
      <w:r w:rsidR="00FA4446">
        <w:rPr>
          <w:rFonts w:cs="Arial"/>
        </w:rPr>
        <w:t xml:space="preserve"> case of </w:t>
      </w:r>
      <w:proofErr w:type="spellStart"/>
      <w:r w:rsidR="00FA4446" w:rsidRPr="007B4BB1">
        <w:rPr>
          <w:rFonts w:cs="Arial"/>
          <w:i/>
          <w:iCs/>
        </w:rPr>
        <w:t>Meakins</w:t>
      </w:r>
      <w:proofErr w:type="spellEnd"/>
      <w:r w:rsidR="00FA4446" w:rsidRPr="007B4BB1">
        <w:rPr>
          <w:rFonts w:cs="Arial"/>
          <w:i/>
          <w:iCs/>
        </w:rPr>
        <w:t xml:space="preserve"> </w:t>
      </w:r>
      <w:r w:rsidR="007C234C" w:rsidRPr="007B4BB1">
        <w:rPr>
          <w:rFonts w:cs="Arial"/>
          <w:i/>
          <w:iCs/>
        </w:rPr>
        <w:t xml:space="preserve">v Commissioner of Taxation </w:t>
      </w:r>
      <w:r w:rsidR="007C234C">
        <w:rPr>
          <w:rFonts w:cs="Arial"/>
        </w:rPr>
        <w:t>[2023] AATA 3852.</w:t>
      </w:r>
    </w:p>
    <w:p w14:paraId="4F7DCEB5" w14:textId="77777777" w:rsidR="00ED7321" w:rsidRPr="00382151" w:rsidRDefault="00ED7321" w:rsidP="00EC197D">
      <w:pPr>
        <w:pStyle w:val="ListParagraph"/>
        <w:adjustRightInd w:val="0"/>
        <w:ind w:left="0"/>
        <w:contextualSpacing w:val="0"/>
        <w:rPr>
          <w:rFonts w:cs="Arial"/>
        </w:rPr>
      </w:pPr>
    </w:p>
    <w:p w14:paraId="7E5D57AA" w14:textId="77777777" w:rsidR="00BB3E2F" w:rsidRPr="00BB3E2F" w:rsidRDefault="00672561" w:rsidP="00EC197D">
      <w:pPr>
        <w:adjustRightInd w:val="0"/>
        <w:rPr>
          <w:rFonts w:cs="Arial"/>
          <w:b/>
        </w:rPr>
      </w:pPr>
      <w:r w:rsidRPr="00BB3E2F">
        <w:rPr>
          <w:rFonts w:cs="Arial"/>
          <w:b/>
        </w:rPr>
        <w:t xml:space="preserve">Additional superannuation contributions on downsizing a main </w:t>
      </w:r>
      <w:proofErr w:type="gramStart"/>
      <w:r w:rsidRPr="00BB3E2F">
        <w:rPr>
          <w:rFonts w:cs="Arial"/>
          <w:b/>
        </w:rPr>
        <w:t>residence</w:t>
      </w:r>
      <w:proofErr w:type="gramEnd"/>
    </w:p>
    <w:p w14:paraId="1DA5316D" w14:textId="77777777" w:rsidR="00152A37" w:rsidRDefault="00152A37" w:rsidP="00EC197D">
      <w:pPr>
        <w:adjustRightInd w:val="0"/>
        <w:rPr>
          <w:rFonts w:cs="Arial"/>
        </w:rPr>
      </w:pPr>
    </w:p>
    <w:p w14:paraId="6C01B629" w14:textId="31D6F923" w:rsidR="00152A37" w:rsidRDefault="0059769B" w:rsidP="00EC197D">
      <w:pPr>
        <w:adjustRightInd w:val="0"/>
        <w:rPr>
          <w:rFonts w:cs="Arial"/>
        </w:rPr>
      </w:pPr>
      <w:r>
        <w:rPr>
          <w:rFonts w:cs="Arial"/>
        </w:rPr>
        <w:t>I</w:t>
      </w:r>
      <w:r w:rsidR="00672561" w:rsidRPr="00BB3E2F">
        <w:rPr>
          <w:rFonts w:cs="Arial"/>
        </w:rPr>
        <w:t>ndividuals aged 6</w:t>
      </w:r>
      <w:r w:rsidR="00FE671A">
        <w:rPr>
          <w:rFonts w:cs="Arial"/>
        </w:rPr>
        <w:t>0</w:t>
      </w:r>
      <w:r w:rsidR="00672561" w:rsidRPr="00BB3E2F">
        <w:rPr>
          <w:rFonts w:cs="Arial"/>
        </w:rPr>
        <w:t xml:space="preserve"> or over </w:t>
      </w:r>
      <w:r w:rsidR="00F374D2">
        <w:rPr>
          <w:rFonts w:cs="Arial"/>
        </w:rPr>
        <w:t xml:space="preserve">from (1 July 2022) or 55 or over (from 1 January 2023) </w:t>
      </w:r>
      <w:r w:rsidR="00672561" w:rsidRPr="00BB3E2F">
        <w:rPr>
          <w:rFonts w:cs="Arial"/>
        </w:rPr>
        <w:t>are eligible to make additional non-concessional contributions of up to $300,000 per individual</w:t>
      </w:r>
      <w:r>
        <w:rPr>
          <w:rFonts w:cs="Arial"/>
        </w:rPr>
        <w:t xml:space="preserve"> </w:t>
      </w:r>
      <w:r w:rsidR="00EF3D31">
        <w:rPr>
          <w:rFonts w:cs="Arial"/>
        </w:rPr>
        <w:t xml:space="preserve">if it </w:t>
      </w:r>
      <w:r>
        <w:rPr>
          <w:rFonts w:cs="Arial"/>
        </w:rPr>
        <w:t xml:space="preserve">is sourced </w:t>
      </w:r>
      <w:r w:rsidR="00672561" w:rsidRPr="00BB3E2F">
        <w:rPr>
          <w:rFonts w:cs="Arial"/>
        </w:rPr>
        <w:t>from the capital proceeds on the sale of the ownership interest in a</w:t>
      </w:r>
      <w:r w:rsidR="003E2CBD" w:rsidRPr="00BB3E2F">
        <w:rPr>
          <w:rFonts w:cs="Arial"/>
        </w:rPr>
        <w:t xml:space="preserve"> CGT exempt </w:t>
      </w:r>
      <w:r>
        <w:rPr>
          <w:rFonts w:cs="Arial"/>
        </w:rPr>
        <w:t xml:space="preserve">Australian </w:t>
      </w:r>
      <w:r w:rsidR="003E2CBD" w:rsidRPr="00BB3E2F">
        <w:rPr>
          <w:rFonts w:cs="Arial"/>
        </w:rPr>
        <w:t>main residence</w:t>
      </w:r>
      <w:r w:rsidR="00672561" w:rsidRPr="00BB3E2F">
        <w:rPr>
          <w:rFonts w:cs="Arial"/>
        </w:rPr>
        <w:t xml:space="preserve"> held by that individual (or their spouse or former spouse). </w:t>
      </w:r>
    </w:p>
    <w:p w14:paraId="0DA5695D" w14:textId="77777777" w:rsidR="00152A37" w:rsidRDefault="00152A37" w:rsidP="00EC197D">
      <w:pPr>
        <w:adjustRightInd w:val="0"/>
        <w:rPr>
          <w:rFonts w:cs="Arial"/>
        </w:rPr>
      </w:pPr>
    </w:p>
    <w:p w14:paraId="1CDCCB1D" w14:textId="1343B475" w:rsidR="00152A37" w:rsidRPr="00197B8C" w:rsidRDefault="00EB471E" w:rsidP="00EC197D">
      <w:pPr>
        <w:adjustRightInd w:val="0"/>
      </w:pPr>
      <w:r w:rsidRPr="00197B8C">
        <w:rPr>
          <w:rFonts w:cs="Arial"/>
        </w:rPr>
        <w:t>T</w:t>
      </w:r>
      <w:r w:rsidR="00672561" w:rsidRPr="00197B8C">
        <w:rPr>
          <w:rFonts w:cs="Arial"/>
        </w:rPr>
        <w:t>his measure allows an eligible individual an additional downsizing contribution cap of $300,000 which will be excluded from the broader non-concessional contributions cap</w:t>
      </w:r>
      <w:r w:rsidR="00DD3947" w:rsidRPr="00197B8C">
        <w:rPr>
          <w:rFonts w:cs="Arial"/>
        </w:rPr>
        <w:t xml:space="preserve"> and the restrictions on non-concessional contributions for individuals with a total superannuation balance above $1.</w:t>
      </w:r>
      <w:r w:rsidR="008E0D12">
        <w:rPr>
          <w:rFonts w:cs="Arial"/>
        </w:rPr>
        <w:t>9</w:t>
      </w:r>
      <w:r w:rsidR="00DD3947" w:rsidRPr="00197B8C">
        <w:rPr>
          <w:rFonts w:cs="Arial"/>
        </w:rPr>
        <w:t xml:space="preserve"> million.</w:t>
      </w:r>
      <w:r w:rsidR="00672561" w:rsidRPr="00197B8C">
        <w:t xml:space="preserve"> </w:t>
      </w:r>
    </w:p>
    <w:p w14:paraId="34D39CBF" w14:textId="77777777" w:rsidR="00152A37" w:rsidRPr="0014140B" w:rsidRDefault="00152A37" w:rsidP="00EC197D">
      <w:pPr>
        <w:adjustRightInd w:val="0"/>
        <w:rPr>
          <w:highlight w:val="yellow"/>
        </w:rPr>
      </w:pPr>
    </w:p>
    <w:p w14:paraId="7D379607" w14:textId="41C81B7F" w:rsidR="00152A37" w:rsidRPr="0018643D" w:rsidRDefault="00672561" w:rsidP="00EC197D">
      <w:pPr>
        <w:adjustRightInd w:val="0"/>
      </w:pPr>
      <w:r w:rsidRPr="0018643D">
        <w:t xml:space="preserve">Furthermore, the maximum downsizer contribution of $300,000 can be claimed by both the taxpayer and the spouse even where only one of those parties is on the title to the property. </w:t>
      </w:r>
    </w:p>
    <w:p w14:paraId="3764B1D7" w14:textId="77777777" w:rsidR="00152A37" w:rsidRPr="0014140B" w:rsidRDefault="00152A37" w:rsidP="00EC197D">
      <w:pPr>
        <w:adjustRightInd w:val="0"/>
        <w:rPr>
          <w:highlight w:val="yellow"/>
        </w:rPr>
      </w:pPr>
    </w:p>
    <w:p w14:paraId="76876C0A" w14:textId="03BF9759" w:rsidR="00D10434" w:rsidRDefault="00672561" w:rsidP="00EC197D">
      <w:pPr>
        <w:adjustRightInd w:val="0"/>
        <w:rPr>
          <w:rFonts w:cs="Arial"/>
        </w:rPr>
      </w:pPr>
      <w:r w:rsidRPr="00490D3B">
        <w:t xml:space="preserve">However, </w:t>
      </w:r>
      <w:r w:rsidR="00343F85" w:rsidRPr="00490D3B">
        <w:t xml:space="preserve">various conditions must be satisfied including </w:t>
      </w:r>
      <w:r w:rsidR="008E3582" w:rsidRPr="00490D3B">
        <w:t xml:space="preserve">the </w:t>
      </w:r>
      <w:r w:rsidR="003E2CBD" w:rsidRPr="00490D3B">
        <w:t xml:space="preserve">requirement that </w:t>
      </w:r>
      <w:r w:rsidR="00343F85" w:rsidRPr="00490D3B">
        <w:t xml:space="preserve">the ownership interest in the main residence </w:t>
      </w:r>
      <w:r w:rsidR="00EF3D31" w:rsidRPr="00490D3B">
        <w:t>must have</w:t>
      </w:r>
      <w:r w:rsidR="00343F85" w:rsidRPr="00490D3B">
        <w:t xml:space="preserve"> been held for at least 10 years prior to the date of disposal</w:t>
      </w:r>
      <w:r w:rsidR="003E2CBD" w:rsidRPr="00490D3B">
        <w:t>,</w:t>
      </w:r>
      <w:r w:rsidRPr="00490D3B">
        <w:rPr>
          <w:rFonts w:cs="Arial"/>
        </w:rPr>
        <w:t xml:space="preserve"> </w:t>
      </w:r>
      <w:r w:rsidR="00343F85" w:rsidRPr="00490D3B">
        <w:rPr>
          <w:rFonts w:cs="Arial"/>
        </w:rPr>
        <w:t xml:space="preserve">and the contribution </w:t>
      </w:r>
      <w:r w:rsidR="00EF3D31" w:rsidRPr="00490D3B">
        <w:rPr>
          <w:rFonts w:cs="Arial"/>
        </w:rPr>
        <w:t xml:space="preserve">must be </w:t>
      </w:r>
      <w:r w:rsidR="00343F85" w:rsidRPr="00490D3B">
        <w:rPr>
          <w:rFonts w:cs="Arial"/>
        </w:rPr>
        <w:t xml:space="preserve">made to a complying superannuation fund </w:t>
      </w:r>
      <w:r w:rsidR="00EF3D31" w:rsidRPr="00490D3B">
        <w:rPr>
          <w:rFonts w:cs="Arial"/>
        </w:rPr>
        <w:t xml:space="preserve">within 90 days of </w:t>
      </w:r>
      <w:r w:rsidR="00F13F14" w:rsidRPr="0014140B">
        <w:rPr>
          <w:rFonts w:cs="Arial"/>
        </w:rPr>
        <w:t>re</w:t>
      </w:r>
      <w:r w:rsidR="00490D3B" w:rsidRPr="0014140B">
        <w:rPr>
          <w:rFonts w:cs="Arial"/>
        </w:rPr>
        <w:t>ceiving the proceeds of sale.</w:t>
      </w:r>
      <w:r w:rsidR="00EF3D31" w:rsidRPr="00490D3B">
        <w:rPr>
          <w:rFonts w:cs="Arial"/>
        </w:rPr>
        <w:t xml:space="preserve"> However, there is no requirement that the individual acquire </w:t>
      </w:r>
      <w:r w:rsidR="003E2CBD" w:rsidRPr="00490D3B">
        <w:rPr>
          <w:rFonts w:cs="Arial"/>
        </w:rPr>
        <w:t>a r</w:t>
      </w:r>
      <w:r w:rsidR="00343F85" w:rsidRPr="00490D3B">
        <w:rPr>
          <w:rFonts w:cs="Arial"/>
        </w:rPr>
        <w:t xml:space="preserve">eplacement main residence or satisfy the work test </w:t>
      </w:r>
      <w:proofErr w:type="gramStart"/>
      <w:r w:rsidR="00343F85" w:rsidRPr="00490D3B">
        <w:rPr>
          <w:rFonts w:cs="Arial"/>
        </w:rPr>
        <w:t>in order to</w:t>
      </w:r>
      <w:proofErr w:type="gramEnd"/>
      <w:r w:rsidR="00343F85" w:rsidRPr="00490D3B">
        <w:rPr>
          <w:rFonts w:cs="Arial"/>
        </w:rPr>
        <w:t xml:space="preserve"> be eligible for the downsizing contribution which can only be utilised once by each taxpayer.</w:t>
      </w:r>
    </w:p>
    <w:p w14:paraId="35221015" w14:textId="77777777" w:rsidR="00343F85" w:rsidRDefault="00343F85" w:rsidP="00EC197D">
      <w:pPr>
        <w:adjustRightInd w:val="0"/>
        <w:rPr>
          <w:rFonts w:cs="Arial"/>
        </w:rPr>
      </w:pPr>
    </w:p>
    <w:p w14:paraId="76CFD862" w14:textId="77777777" w:rsidR="003C336A" w:rsidRPr="003C336A" w:rsidRDefault="00343F85" w:rsidP="00EC197D">
      <w:pPr>
        <w:adjustRightInd w:val="0"/>
        <w:rPr>
          <w:rFonts w:cs="Arial"/>
          <w:b/>
        </w:rPr>
      </w:pPr>
      <w:r w:rsidRPr="003C336A">
        <w:rPr>
          <w:rFonts w:cs="Arial"/>
          <w:b/>
        </w:rPr>
        <w:t>First home super saver (FHSS) scheme</w:t>
      </w:r>
    </w:p>
    <w:p w14:paraId="4D0E582F" w14:textId="77777777" w:rsidR="00152A37" w:rsidRDefault="00152A37" w:rsidP="00EC197D">
      <w:pPr>
        <w:adjustRightInd w:val="0"/>
        <w:rPr>
          <w:rFonts w:cs="Arial"/>
        </w:rPr>
      </w:pPr>
    </w:p>
    <w:p w14:paraId="1FDE122C" w14:textId="6DA2E7A5" w:rsidR="00152A37" w:rsidRDefault="003C336A" w:rsidP="00EC197D">
      <w:pPr>
        <w:adjustRightInd w:val="0"/>
        <w:rPr>
          <w:rFonts w:cs="Arial"/>
        </w:rPr>
      </w:pPr>
      <w:r>
        <w:rPr>
          <w:rFonts w:cs="Arial"/>
        </w:rPr>
        <w:t>T</w:t>
      </w:r>
      <w:r w:rsidR="00343F85" w:rsidRPr="00BB3E2F">
        <w:rPr>
          <w:rFonts w:cs="Arial"/>
        </w:rPr>
        <w:t>h</w:t>
      </w:r>
      <w:r w:rsidR="00752714">
        <w:rPr>
          <w:rFonts w:cs="Arial"/>
        </w:rPr>
        <w:t xml:space="preserve">e FHSS </w:t>
      </w:r>
      <w:r w:rsidR="00343F85" w:rsidRPr="00BB3E2F">
        <w:rPr>
          <w:rFonts w:cs="Arial"/>
        </w:rPr>
        <w:t xml:space="preserve">scheme essentially allows an individual to make additional voluntary </w:t>
      </w:r>
      <w:r w:rsidR="00752714">
        <w:rPr>
          <w:rFonts w:cs="Arial"/>
        </w:rPr>
        <w:t xml:space="preserve">salary sacrificed </w:t>
      </w:r>
      <w:r w:rsidR="00343F85" w:rsidRPr="00BB3E2F">
        <w:rPr>
          <w:rFonts w:cs="Arial"/>
        </w:rPr>
        <w:t xml:space="preserve">superannuation contributions </w:t>
      </w:r>
      <w:r w:rsidR="00050706">
        <w:rPr>
          <w:rFonts w:cs="Arial"/>
        </w:rPr>
        <w:t xml:space="preserve">or after-tax contributions </w:t>
      </w:r>
      <w:r w:rsidR="00343F85" w:rsidRPr="00BB3E2F">
        <w:rPr>
          <w:rFonts w:cs="Arial"/>
        </w:rPr>
        <w:t xml:space="preserve">to a complying superannuation fund from 1 July 2017 up to a maximum amount of up to </w:t>
      </w:r>
      <w:r w:rsidR="00752714">
        <w:rPr>
          <w:rFonts w:cs="Arial"/>
        </w:rPr>
        <w:t xml:space="preserve">$15,000 per year (and </w:t>
      </w:r>
      <w:r w:rsidR="00343F85" w:rsidRPr="00BB3E2F">
        <w:rPr>
          <w:rFonts w:cs="Arial"/>
        </w:rPr>
        <w:t>$</w:t>
      </w:r>
      <w:r w:rsidR="00A64E94">
        <w:rPr>
          <w:rFonts w:cs="Arial"/>
        </w:rPr>
        <w:t>5</w:t>
      </w:r>
      <w:r w:rsidR="00343F85" w:rsidRPr="00BB3E2F">
        <w:rPr>
          <w:rFonts w:cs="Arial"/>
        </w:rPr>
        <w:t xml:space="preserve">0,000 </w:t>
      </w:r>
      <w:r w:rsidR="00752714">
        <w:rPr>
          <w:rFonts w:cs="Arial"/>
        </w:rPr>
        <w:t xml:space="preserve">in total) </w:t>
      </w:r>
      <w:r w:rsidR="00343F85" w:rsidRPr="00BB3E2F">
        <w:rPr>
          <w:rFonts w:cs="Arial"/>
        </w:rPr>
        <w:t xml:space="preserve">which can be withdrawn to help finance a first home deposit from 1 July 2018. </w:t>
      </w:r>
    </w:p>
    <w:p w14:paraId="23280294" w14:textId="31C690D9" w:rsidR="00516CC5" w:rsidRDefault="00516CC5" w:rsidP="00EC197D">
      <w:pPr>
        <w:adjustRightInd w:val="0"/>
        <w:rPr>
          <w:rFonts w:cs="Arial"/>
        </w:rPr>
      </w:pPr>
    </w:p>
    <w:p w14:paraId="0D609379" w14:textId="52B90AB1" w:rsidR="00516CC5" w:rsidRPr="00BB3E2F" w:rsidRDefault="00516CC5" w:rsidP="00516CC5">
      <w:pPr>
        <w:adjustRightInd w:val="0"/>
        <w:rPr>
          <w:rFonts w:cs="Arial"/>
        </w:rPr>
      </w:pPr>
      <w:r w:rsidRPr="00BB3E2F">
        <w:rPr>
          <w:rFonts w:cs="Arial"/>
        </w:rPr>
        <w:t xml:space="preserve">The scheme is a tax initiative primarily aimed at low to middle income earners and provides that 85% of concessional contributions can be withdrawn together with any associated earnings as a FHSS released amount which is then in aggregate included in the individual’s assessable income and subject to a 30% non-refundable tax offset. </w:t>
      </w:r>
    </w:p>
    <w:p w14:paraId="67405EE7" w14:textId="77777777" w:rsidR="00152A37" w:rsidRDefault="00152A37" w:rsidP="00EC197D">
      <w:pPr>
        <w:adjustRightInd w:val="0"/>
        <w:rPr>
          <w:rFonts w:cs="Arial"/>
        </w:rPr>
      </w:pPr>
    </w:p>
    <w:p w14:paraId="23E60D6D" w14:textId="77777777" w:rsidR="00152A37" w:rsidRDefault="00C44B4F" w:rsidP="00EC197D">
      <w:pPr>
        <w:adjustRightInd w:val="0"/>
        <w:rPr>
          <w:rFonts w:cs="Arial"/>
        </w:rPr>
      </w:pPr>
      <w:r w:rsidRPr="00BB3E2F">
        <w:rPr>
          <w:rFonts w:cs="Arial"/>
        </w:rPr>
        <w:t xml:space="preserve">Compulsory superannuation employer contributions and contributions in respect of defined benefit funds are not eligible for the FHSS scheme. </w:t>
      </w:r>
    </w:p>
    <w:p w14:paraId="6DFD6FFB" w14:textId="77777777" w:rsidR="00152A37" w:rsidRDefault="00152A37" w:rsidP="00EC197D">
      <w:pPr>
        <w:adjustRightInd w:val="0"/>
        <w:rPr>
          <w:rFonts w:cs="Arial"/>
        </w:rPr>
      </w:pPr>
    </w:p>
    <w:p w14:paraId="7F24AFAA" w14:textId="77777777" w:rsidR="00152A37" w:rsidRDefault="003E2CBD" w:rsidP="00EC197D">
      <w:pPr>
        <w:adjustRightInd w:val="0"/>
        <w:rPr>
          <w:rFonts w:cs="Arial"/>
        </w:rPr>
      </w:pPr>
      <w:r w:rsidRPr="00BB3E2F">
        <w:rPr>
          <w:rFonts w:cs="Arial"/>
        </w:rPr>
        <w:t xml:space="preserve">Various </w:t>
      </w:r>
      <w:r w:rsidR="00C44B4F" w:rsidRPr="00BB3E2F">
        <w:rPr>
          <w:rFonts w:cs="Arial"/>
        </w:rPr>
        <w:t xml:space="preserve">other </w:t>
      </w:r>
      <w:r w:rsidRPr="00BB3E2F">
        <w:rPr>
          <w:rFonts w:cs="Arial"/>
        </w:rPr>
        <w:t>eligibility conditions must be satisfied including a requirement that the relevant individual has never owned real property in Australia</w:t>
      </w:r>
      <w:r w:rsidR="00B42EB6">
        <w:rPr>
          <w:rFonts w:cs="Arial"/>
        </w:rPr>
        <w:t xml:space="preserve">, and that such an individual must </w:t>
      </w:r>
      <w:proofErr w:type="gramStart"/>
      <w:r w:rsidR="00B42EB6">
        <w:rPr>
          <w:rFonts w:cs="Arial"/>
        </w:rPr>
        <w:t>enter into</w:t>
      </w:r>
      <w:proofErr w:type="gramEnd"/>
      <w:r w:rsidR="00B42EB6">
        <w:rPr>
          <w:rFonts w:cs="Arial"/>
        </w:rPr>
        <w:t xml:space="preserve"> a contract to acquire eligible residential premises within 12 months of the release of the FHSS amount. </w:t>
      </w:r>
    </w:p>
    <w:p w14:paraId="56416789" w14:textId="77777777" w:rsidR="00152A37" w:rsidRDefault="00152A37" w:rsidP="00EC197D">
      <w:pPr>
        <w:adjustRightInd w:val="0"/>
        <w:rPr>
          <w:rFonts w:cs="Arial"/>
        </w:rPr>
      </w:pPr>
    </w:p>
    <w:p w14:paraId="70C9A6FB" w14:textId="77777777" w:rsidR="00050706" w:rsidRPr="000F56F0" w:rsidRDefault="00B42EB6" w:rsidP="00EC197D">
      <w:pPr>
        <w:adjustRightInd w:val="0"/>
        <w:rPr>
          <w:rFonts w:cs="Arial"/>
        </w:rPr>
      </w:pPr>
      <w:r w:rsidRPr="000F56F0">
        <w:rPr>
          <w:rFonts w:cs="Arial"/>
        </w:rPr>
        <w:t>In addition</w:t>
      </w:r>
      <w:r w:rsidR="00C44B4F" w:rsidRPr="000F56F0">
        <w:rPr>
          <w:rFonts w:cs="Arial"/>
        </w:rPr>
        <w:t>, w</w:t>
      </w:r>
      <w:r w:rsidR="00343F85" w:rsidRPr="000F56F0">
        <w:rPr>
          <w:rFonts w:cs="Arial"/>
        </w:rPr>
        <w:t>here the buyer</w:t>
      </w:r>
      <w:r w:rsidR="003E2CBD" w:rsidRPr="000F56F0">
        <w:rPr>
          <w:rFonts w:cs="Arial"/>
        </w:rPr>
        <w:t>’s partner also has never owned real property</w:t>
      </w:r>
      <w:r w:rsidR="008E3582" w:rsidRPr="000F56F0">
        <w:rPr>
          <w:rFonts w:cs="Arial"/>
        </w:rPr>
        <w:t>,</w:t>
      </w:r>
      <w:r w:rsidR="003E2CBD" w:rsidRPr="000F56F0">
        <w:rPr>
          <w:rFonts w:cs="Arial"/>
        </w:rPr>
        <w:t xml:space="preserve"> the couple can effectively withdraw </w:t>
      </w:r>
      <w:r w:rsidR="00C44B4F" w:rsidRPr="000F56F0">
        <w:rPr>
          <w:rFonts w:cs="Arial"/>
        </w:rPr>
        <w:t xml:space="preserve">an </w:t>
      </w:r>
      <w:r w:rsidR="003E2CBD" w:rsidRPr="000F56F0">
        <w:rPr>
          <w:rFonts w:cs="Arial"/>
        </w:rPr>
        <w:t xml:space="preserve">amount of up to $60,000 to jointly fund </w:t>
      </w:r>
      <w:r w:rsidR="008E3582" w:rsidRPr="000F56F0">
        <w:rPr>
          <w:rFonts w:cs="Arial"/>
        </w:rPr>
        <w:t xml:space="preserve">a </w:t>
      </w:r>
      <w:r w:rsidR="003E2CBD" w:rsidRPr="000F56F0">
        <w:rPr>
          <w:rFonts w:cs="Arial"/>
        </w:rPr>
        <w:t>home deposit.</w:t>
      </w:r>
      <w:r w:rsidR="00343F85" w:rsidRPr="000F56F0">
        <w:rPr>
          <w:rFonts w:cs="Arial"/>
        </w:rPr>
        <w:t xml:space="preserve"> </w:t>
      </w:r>
    </w:p>
    <w:p w14:paraId="4BF75381" w14:textId="3B026549" w:rsidR="00050706" w:rsidRDefault="00050706" w:rsidP="00EC197D">
      <w:pPr>
        <w:adjustRightInd w:val="0"/>
        <w:rPr>
          <w:rFonts w:cs="Arial"/>
        </w:rPr>
      </w:pPr>
    </w:p>
    <w:p w14:paraId="567680DE" w14:textId="5BD48268" w:rsidR="000C7156" w:rsidRPr="000F56F0" w:rsidRDefault="005D77EB" w:rsidP="00EC197D">
      <w:pPr>
        <w:adjustRightInd w:val="0"/>
        <w:rPr>
          <w:rFonts w:cs="Arial"/>
        </w:rPr>
      </w:pPr>
      <w:r>
        <w:rPr>
          <w:rFonts w:cs="Arial"/>
        </w:rPr>
        <w:t>From</w:t>
      </w:r>
      <w:r w:rsidR="000C7156">
        <w:rPr>
          <w:rFonts w:cs="Arial"/>
        </w:rPr>
        <w:t xml:space="preserve"> 15 September 2024 onwards, changes to the FHSS scheme will come into </w:t>
      </w:r>
      <w:proofErr w:type="gramStart"/>
      <w:r w:rsidR="000C7156">
        <w:rPr>
          <w:rFonts w:cs="Arial"/>
        </w:rPr>
        <w:t xml:space="preserve">effect </w:t>
      </w:r>
      <w:r w:rsidR="00AD1175">
        <w:rPr>
          <w:rFonts w:cs="Arial"/>
        </w:rPr>
        <w:t>,</w:t>
      </w:r>
      <w:proofErr w:type="gramEnd"/>
      <w:r w:rsidR="000C7156">
        <w:rPr>
          <w:rFonts w:cs="Arial"/>
        </w:rPr>
        <w:t xml:space="preserve"> </w:t>
      </w:r>
      <w:r w:rsidR="00AB34A0">
        <w:rPr>
          <w:rFonts w:cs="Arial"/>
        </w:rPr>
        <w:t xml:space="preserve">with some changes having retrospective application from 1 July 2018. </w:t>
      </w:r>
      <w:r w:rsidR="00697352">
        <w:rPr>
          <w:rFonts w:cs="Arial"/>
        </w:rPr>
        <w:t xml:space="preserve">This includes transitional provisions allowing individuals who were unsuccessful </w:t>
      </w:r>
      <w:r w:rsidR="00B63D5E">
        <w:rPr>
          <w:rFonts w:cs="Arial"/>
        </w:rPr>
        <w:t xml:space="preserve">in obtaining FHSS released amounts from 1 July 2018 to </w:t>
      </w:r>
      <w:r w:rsidR="001B123F">
        <w:rPr>
          <w:rFonts w:cs="Arial"/>
        </w:rPr>
        <w:t>15 September 20</w:t>
      </w:r>
      <w:r w:rsidR="00A5480D">
        <w:rPr>
          <w:rFonts w:cs="Arial"/>
        </w:rPr>
        <w:t>2</w:t>
      </w:r>
      <w:r w:rsidR="001B123F">
        <w:rPr>
          <w:rFonts w:cs="Arial"/>
        </w:rPr>
        <w:t xml:space="preserve">4, to apply to the Commissioner to vary the original determination. </w:t>
      </w:r>
    </w:p>
    <w:p w14:paraId="24C19334" w14:textId="77777777" w:rsidR="00F00AFA" w:rsidRPr="003E2CBD" w:rsidRDefault="00F00AFA" w:rsidP="009C5604">
      <w:pPr>
        <w:pStyle w:val="ListParagraph"/>
        <w:adjustRightInd w:val="0"/>
        <w:contextualSpacing w:val="0"/>
        <w:rPr>
          <w:rFonts w:cs="Arial"/>
        </w:rPr>
      </w:pPr>
    </w:p>
    <w:p w14:paraId="2AB630F2" w14:textId="6153A573" w:rsidR="007B7349" w:rsidRDefault="007B7349" w:rsidP="00EC197D">
      <w:pPr>
        <w:adjustRightInd w:val="0"/>
        <w:rPr>
          <w:rFonts w:cs="Arial"/>
        </w:rPr>
      </w:pPr>
      <w:r>
        <w:rPr>
          <w:rFonts w:cs="Arial"/>
        </w:rPr>
        <w:t xml:space="preserve">If you would like to discuss the above tax planning issues with us </w:t>
      </w:r>
      <w:r w:rsidR="001E1BA4">
        <w:rPr>
          <w:rFonts w:cs="Arial"/>
        </w:rPr>
        <w:t>or</w:t>
      </w:r>
      <w:r>
        <w:rPr>
          <w:rFonts w:cs="Arial"/>
        </w:rPr>
        <w:t xml:space="preserve"> have a better understanding of their potential impact on you </w:t>
      </w:r>
      <w:r w:rsidRPr="00050706">
        <w:rPr>
          <w:rFonts w:cs="Arial"/>
        </w:rPr>
        <w:t>and your business</w:t>
      </w:r>
      <w:r w:rsidR="00050706">
        <w:rPr>
          <w:rFonts w:cs="Arial"/>
        </w:rPr>
        <w:t xml:space="preserve"> </w:t>
      </w:r>
      <w:r w:rsidR="00050706" w:rsidRPr="00BD45FB">
        <w:rPr>
          <w:rFonts w:cs="Arial"/>
          <w:highlight w:val="yellow"/>
        </w:rPr>
        <w:t>[delete if not applicable</w:t>
      </w:r>
      <w:r w:rsidR="00712340" w:rsidRPr="00BD45FB">
        <w:rPr>
          <w:rFonts w:cs="Arial"/>
          <w:highlight w:val="yellow"/>
        </w:rPr>
        <w:t>]</w:t>
      </w:r>
      <w:r>
        <w:rPr>
          <w:rFonts w:cs="Arial"/>
        </w:rPr>
        <w:t>, please do not hesitate to contact me on [insert telephone number].</w:t>
      </w:r>
    </w:p>
    <w:p w14:paraId="2A807E78" w14:textId="77777777" w:rsidR="005858E8" w:rsidRDefault="005858E8" w:rsidP="00501AF1">
      <w:pPr>
        <w:rPr>
          <w:rFonts w:cs="Arial"/>
        </w:rPr>
      </w:pPr>
    </w:p>
    <w:p w14:paraId="1E80912C" w14:textId="77777777" w:rsidR="005858E8" w:rsidRDefault="005858E8" w:rsidP="00501AF1">
      <w:pPr>
        <w:rPr>
          <w:rFonts w:cs="Arial"/>
        </w:rPr>
      </w:pPr>
    </w:p>
    <w:p w14:paraId="454DF4B7" w14:textId="77777777" w:rsidR="00501AF1" w:rsidRPr="00AB0B74" w:rsidRDefault="00501AF1" w:rsidP="00501AF1">
      <w:pPr>
        <w:rPr>
          <w:rFonts w:cs="Arial"/>
        </w:rPr>
      </w:pPr>
      <w:r w:rsidRPr="00AB0B74">
        <w:rPr>
          <w:rFonts w:cs="Arial"/>
        </w:rPr>
        <w:t>Yours faithfully</w:t>
      </w:r>
    </w:p>
    <w:p w14:paraId="5AB1DF01" w14:textId="77777777" w:rsidR="00501AF1" w:rsidRDefault="00501AF1" w:rsidP="00501AF1">
      <w:pPr>
        <w:rPr>
          <w:rFonts w:cs="Arial"/>
        </w:rPr>
      </w:pPr>
    </w:p>
    <w:p w14:paraId="74C510FC" w14:textId="77777777" w:rsidR="00E663D4" w:rsidRPr="00AB0B74" w:rsidRDefault="00E663D4" w:rsidP="00501AF1">
      <w:pPr>
        <w:rPr>
          <w:rFonts w:cs="Arial"/>
        </w:rPr>
      </w:pPr>
    </w:p>
    <w:p w14:paraId="47299BC4" w14:textId="77777777" w:rsidR="00391570" w:rsidRDefault="00501AF1" w:rsidP="00501AF1">
      <w:pPr>
        <w:rPr>
          <w:rFonts w:cs="Arial"/>
          <w:b/>
          <w:bCs/>
        </w:rPr>
      </w:pPr>
      <w:bookmarkStart w:id="11" w:name="Partner"/>
      <w:bookmarkEnd w:id="11"/>
      <w:r w:rsidRPr="00AB0B74">
        <w:rPr>
          <w:rFonts w:cs="Arial"/>
          <w:b/>
          <w:bCs/>
        </w:rPr>
        <w:t>[</w:t>
      </w:r>
      <w:r w:rsidRPr="00AB0B74">
        <w:rPr>
          <w:rFonts w:cs="Arial"/>
          <w:b/>
          <w:bCs/>
          <w:highlight w:val="lightGray"/>
        </w:rPr>
        <w:t>Insert name of Partner</w:t>
      </w:r>
      <w:r>
        <w:rPr>
          <w:rFonts w:cs="Arial"/>
          <w:b/>
          <w:bCs/>
        </w:rPr>
        <w:t>]</w:t>
      </w:r>
    </w:p>
    <w:p w14:paraId="224990BC" w14:textId="77777777" w:rsidR="00391570" w:rsidRDefault="00391570">
      <w:pPr>
        <w:spacing w:after="200" w:line="276" w:lineRule="auto"/>
        <w:rPr>
          <w:rFonts w:cs="Arial"/>
          <w:b/>
          <w:bCs/>
        </w:rPr>
      </w:pPr>
      <w:r>
        <w:rPr>
          <w:rFonts w:cs="Arial"/>
          <w:b/>
          <w:bCs/>
        </w:rPr>
        <w:br w:type="page"/>
      </w:r>
    </w:p>
    <w:p w14:paraId="7B4250AA" w14:textId="3CD49968" w:rsidR="003E2D79" w:rsidRPr="003E2D79" w:rsidRDefault="008E3582" w:rsidP="001502BC">
      <w:pPr>
        <w:rPr>
          <w:b/>
          <w:sz w:val="24"/>
          <w:szCs w:val="24"/>
        </w:rPr>
      </w:pPr>
      <w:r>
        <w:rPr>
          <w:b/>
          <w:sz w:val="24"/>
          <w:szCs w:val="24"/>
        </w:rPr>
        <w:lastRenderedPageBreak/>
        <w:t>APPENDIX</w:t>
      </w:r>
      <w:r w:rsidR="00726382">
        <w:rPr>
          <w:b/>
          <w:sz w:val="24"/>
          <w:szCs w:val="24"/>
        </w:rPr>
        <w:t xml:space="preserve"> 1</w:t>
      </w:r>
      <w:r w:rsidR="001502BC">
        <w:rPr>
          <w:b/>
          <w:sz w:val="24"/>
          <w:szCs w:val="24"/>
        </w:rPr>
        <w:t xml:space="preserve">: </w:t>
      </w:r>
      <w:r w:rsidR="003E2D79" w:rsidRPr="003E2D79">
        <w:rPr>
          <w:b/>
          <w:sz w:val="24"/>
          <w:szCs w:val="24"/>
        </w:rPr>
        <w:t>REQUIRED CLIENT RECORDS</w:t>
      </w:r>
    </w:p>
    <w:p w14:paraId="3A1D77D4" w14:textId="77777777" w:rsidR="003E2D79" w:rsidRPr="003E2D79" w:rsidRDefault="003E2D79" w:rsidP="001502BC">
      <w:pPr>
        <w:jc w:val="center"/>
        <w:rPr>
          <w:b/>
          <w:sz w:val="24"/>
          <w:szCs w:val="24"/>
        </w:rPr>
      </w:pPr>
    </w:p>
    <w:p w14:paraId="178AD36A" w14:textId="77777777" w:rsidR="0006529C" w:rsidRDefault="0006529C" w:rsidP="001502BC">
      <w:pPr>
        <w:rPr>
          <w:b/>
          <w:sz w:val="21"/>
          <w:szCs w:val="21"/>
        </w:rPr>
      </w:pPr>
      <w:r w:rsidRPr="00BD45FB">
        <w:rPr>
          <w:b/>
          <w:sz w:val="21"/>
          <w:szCs w:val="21"/>
          <w:highlight w:val="yellow"/>
        </w:rPr>
        <w:t xml:space="preserve">Delete either “Individual income tax returns” list or “Sole traders, companies, trusts and partnerships” list as </w:t>
      </w:r>
      <w:proofErr w:type="gramStart"/>
      <w:r w:rsidRPr="00BD45FB">
        <w:rPr>
          <w:b/>
          <w:sz w:val="21"/>
          <w:szCs w:val="21"/>
          <w:highlight w:val="yellow"/>
        </w:rPr>
        <w:t>appropriate</w:t>
      </w:r>
      <w:proofErr w:type="gramEnd"/>
    </w:p>
    <w:p w14:paraId="43DD435A" w14:textId="77777777" w:rsidR="0006529C" w:rsidRDefault="0006529C" w:rsidP="001502BC">
      <w:pPr>
        <w:rPr>
          <w:b/>
          <w:sz w:val="21"/>
          <w:szCs w:val="21"/>
        </w:rPr>
      </w:pPr>
    </w:p>
    <w:p w14:paraId="1A6DB63B" w14:textId="77777777" w:rsidR="003E2D79" w:rsidRPr="00853ECD" w:rsidRDefault="001502BC" w:rsidP="001502BC">
      <w:pPr>
        <w:rPr>
          <w:b/>
          <w:sz w:val="21"/>
          <w:szCs w:val="21"/>
        </w:rPr>
      </w:pPr>
      <w:r w:rsidRPr="00853ECD">
        <w:rPr>
          <w:b/>
          <w:sz w:val="21"/>
          <w:szCs w:val="21"/>
        </w:rPr>
        <w:t>Individual income tax returns</w:t>
      </w:r>
    </w:p>
    <w:p w14:paraId="7DF4A370" w14:textId="77777777" w:rsidR="003E2D79" w:rsidRPr="003E2D79" w:rsidRDefault="003E2D79" w:rsidP="003E2D79">
      <w:pPr>
        <w:ind w:left="847"/>
        <w:jc w:val="center"/>
        <w:rPr>
          <w:b/>
          <w:sz w:val="24"/>
          <w:szCs w:val="24"/>
        </w:rPr>
      </w:pPr>
    </w:p>
    <w:tbl>
      <w:tblPr>
        <w:tblW w:w="9781"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1E0" w:firstRow="1" w:lastRow="1" w:firstColumn="1" w:lastColumn="1" w:noHBand="0" w:noVBand="0"/>
      </w:tblPr>
      <w:tblGrid>
        <w:gridCol w:w="2127"/>
        <w:gridCol w:w="7654"/>
      </w:tblGrid>
      <w:tr w:rsidR="001502BC" w:rsidRPr="007A0466" w14:paraId="23359139" w14:textId="77777777" w:rsidTr="00EC197D">
        <w:tc>
          <w:tcPr>
            <w:tcW w:w="2127" w:type="dxa"/>
          </w:tcPr>
          <w:p w14:paraId="2D2EEDC2" w14:textId="77777777" w:rsidR="001502BC" w:rsidRPr="007A0466" w:rsidRDefault="001502BC" w:rsidP="00C81515">
            <w:pPr>
              <w:spacing w:before="60" w:after="60"/>
              <w:jc w:val="both"/>
              <w:rPr>
                <w:rFonts w:cs="Arial"/>
              </w:rPr>
            </w:pPr>
            <w:r w:rsidRPr="00853ECD">
              <w:rPr>
                <w:rFonts w:cs="Arial"/>
              </w:rPr>
              <w:t>Name of taxpayer:</w:t>
            </w:r>
          </w:p>
        </w:tc>
        <w:tc>
          <w:tcPr>
            <w:tcW w:w="7654" w:type="dxa"/>
          </w:tcPr>
          <w:p w14:paraId="7C63FEDE" w14:textId="77777777" w:rsidR="001502BC" w:rsidRPr="007A0466" w:rsidRDefault="001502BC" w:rsidP="00C81515">
            <w:pPr>
              <w:spacing w:before="60" w:after="60"/>
              <w:jc w:val="center"/>
              <w:rPr>
                <w:rFonts w:cs="Arial"/>
              </w:rPr>
            </w:pPr>
          </w:p>
        </w:tc>
      </w:tr>
      <w:tr w:rsidR="001502BC" w:rsidRPr="007A0466" w14:paraId="1CB7E318" w14:textId="77777777" w:rsidTr="00EC197D">
        <w:tc>
          <w:tcPr>
            <w:tcW w:w="2127" w:type="dxa"/>
          </w:tcPr>
          <w:p w14:paraId="5910F3E0" w14:textId="77777777" w:rsidR="001502BC" w:rsidRPr="007A0466" w:rsidRDefault="001502BC" w:rsidP="00C81515">
            <w:pPr>
              <w:spacing w:before="60" w:after="60"/>
              <w:jc w:val="both"/>
              <w:rPr>
                <w:rFonts w:cs="Arial"/>
              </w:rPr>
            </w:pPr>
            <w:r w:rsidRPr="00853ECD">
              <w:rPr>
                <w:rFonts w:cs="Arial"/>
              </w:rPr>
              <w:t>Address:</w:t>
            </w:r>
          </w:p>
        </w:tc>
        <w:tc>
          <w:tcPr>
            <w:tcW w:w="7654" w:type="dxa"/>
          </w:tcPr>
          <w:p w14:paraId="7A68ACBE" w14:textId="77777777" w:rsidR="001502BC" w:rsidRPr="007A0466" w:rsidRDefault="001502BC" w:rsidP="00C81515">
            <w:pPr>
              <w:spacing w:before="60" w:after="60"/>
              <w:jc w:val="center"/>
              <w:rPr>
                <w:rFonts w:cs="Arial"/>
              </w:rPr>
            </w:pPr>
          </w:p>
        </w:tc>
      </w:tr>
      <w:tr w:rsidR="001502BC" w:rsidRPr="007A0466" w14:paraId="444AEE8E" w14:textId="77777777" w:rsidTr="00EC197D">
        <w:tc>
          <w:tcPr>
            <w:tcW w:w="2127" w:type="dxa"/>
          </w:tcPr>
          <w:p w14:paraId="558FE31D" w14:textId="77777777" w:rsidR="001502BC" w:rsidRPr="007A0466" w:rsidRDefault="001502BC" w:rsidP="00C81515">
            <w:pPr>
              <w:spacing w:before="60" w:after="60"/>
              <w:jc w:val="both"/>
              <w:rPr>
                <w:rFonts w:cs="Arial"/>
                <w:b/>
              </w:rPr>
            </w:pPr>
            <w:r w:rsidRPr="00853ECD">
              <w:rPr>
                <w:rFonts w:cs="Arial"/>
              </w:rPr>
              <w:t>Contact number:</w:t>
            </w:r>
          </w:p>
        </w:tc>
        <w:tc>
          <w:tcPr>
            <w:tcW w:w="7654" w:type="dxa"/>
          </w:tcPr>
          <w:p w14:paraId="0C08AFBF" w14:textId="77777777" w:rsidR="001502BC" w:rsidRPr="007A0466" w:rsidRDefault="001502BC" w:rsidP="00C81515">
            <w:pPr>
              <w:spacing w:before="60" w:after="60"/>
              <w:jc w:val="center"/>
              <w:rPr>
                <w:rFonts w:cs="Arial"/>
              </w:rPr>
            </w:pPr>
          </w:p>
        </w:tc>
      </w:tr>
    </w:tbl>
    <w:p w14:paraId="09AE91F5" w14:textId="77777777" w:rsidR="001502BC" w:rsidRDefault="001502BC" w:rsidP="003E2D79"/>
    <w:p w14:paraId="09222BB7" w14:textId="77777777" w:rsidR="001502BC" w:rsidRDefault="001502BC" w:rsidP="003E2D79"/>
    <w:tbl>
      <w:tblPr>
        <w:tblW w:w="9781" w:type="dxa"/>
        <w:tblInd w:w="-5" w:type="dxa"/>
        <w:tblLook w:val="01E0" w:firstRow="1" w:lastRow="1" w:firstColumn="1" w:lastColumn="1" w:noHBand="0" w:noVBand="0"/>
      </w:tblPr>
      <w:tblGrid>
        <w:gridCol w:w="7088"/>
        <w:gridCol w:w="1417"/>
        <w:gridCol w:w="1276"/>
      </w:tblGrid>
      <w:tr w:rsidR="00853ECD" w:rsidRPr="007A0466" w14:paraId="7F21FC9D" w14:textId="77777777" w:rsidTr="00EC197D">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F3B86F" w14:textId="77777777" w:rsidR="00853ECD" w:rsidRPr="007A0466" w:rsidRDefault="00853ECD" w:rsidP="00C758C6">
            <w:pPr>
              <w:spacing w:before="60" w:after="60"/>
              <w:rPr>
                <w:rFonts w:cs="Arial"/>
                <w:lang w:eastAsia="en-AU"/>
              </w:rPr>
            </w:pPr>
            <w:r>
              <w:rPr>
                <w:rFonts w:cs="Arial"/>
                <w:b/>
              </w:rPr>
              <w:t>Client records required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779ED" w14:textId="77777777" w:rsidR="00853ECD" w:rsidRPr="007A0466" w:rsidRDefault="00853ECD" w:rsidP="00C758C6">
            <w:pPr>
              <w:spacing w:before="60" w:after="60"/>
              <w:rPr>
                <w:rFonts w:cs="Arial"/>
                <w:lang w:eastAsia="en-AU"/>
              </w:rPr>
            </w:pPr>
            <w:r>
              <w:rPr>
                <w:rFonts w:cs="Arial"/>
                <w:b/>
              </w:rPr>
              <w:t>Information provided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D5FD3" w14:textId="77777777" w:rsidR="00853ECD" w:rsidRPr="007A0466" w:rsidRDefault="00853ECD" w:rsidP="00C758C6">
            <w:pPr>
              <w:spacing w:before="60" w:after="60"/>
              <w:rPr>
                <w:rFonts w:cs="Arial"/>
                <w:b/>
              </w:rPr>
            </w:pPr>
            <w:r>
              <w:rPr>
                <w:rFonts w:cs="Arial"/>
                <w:b/>
              </w:rPr>
              <w:t>Not applicable</w:t>
            </w:r>
          </w:p>
        </w:tc>
      </w:tr>
      <w:tr w:rsidR="00853ECD" w:rsidRPr="007A0466" w14:paraId="67B55AFD" w14:textId="77777777" w:rsidTr="00EC197D">
        <w:tc>
          <w:tcPr>
            <w:tcW w:w="7088" w:type="dxa"/>
            <w:tcBorders>
              <w:top w:val="single" w:sz="4" w:space="0" w:color="auto"/>
              <w:left w:val="single" w:sz="4" w:space="0" w:color="auto"/>
              <w:bottom w:val="single" w:sz="4" w:space="0" w:color="BFBFBF" w:themeColor="background1" w:themeShade="BF"/>
              <w:right w:val="single" w:sz="4" w:space="0" w:color="auto"/>
            </w:tcBorders>
          </w:tcPr>
          <w:p w14:paraId="55E50081" w14:textId="77777777" w:rsidR="00853ECD" w:rsidRPr="007A0466" w:rsidRDefault="00853ECD" w:rsidP="00C758C6">
            <w:pPr>
              <w:spacing w:before="60" w:after="60"/>
              <w:rPr>
                <w:rFonts w:cs="Arial"/>
                <w:sz w:val="19"/>
                <w:szCs w:val="19"/>
              </w:rPr>
            </w:pPr>
            <w:r w:rsidRPr="00853ECD">
              <w:rPr>
                <w:rFonts w:cs="Arial"/>
                <w:sz w:val="19"/>
                <w:szCs w:val="19"/>
              </w:rPr>
              <w:t>Bank account name, number and BSB (if new client or if account details have changed)</w:t>
            </w:r>
          </w:p>
        </w:tc>
        <w:tc>
          <w:tcPr>
            <w:tcW w:w="1417" w:type="dxa"/>
            <w:tcBorders>
              <w:top w:val="single" w:sz="4" w:space="0" w:color="auto"/>
              <w:left w:val="single" w:sz="4" w:space="0" w:color="auto"/>
              <w:bottom w:val="single" w:sz="4" w:space="0" w:color="BFBFBF" w:themeColor="background1" w:themeShade="BF"/>
              <w:right w:val="single" w:sz="4" w:space="0" w:color="auto"/>
            </w:tcBorders>
          </w:tcPr>
          <w:p w14:paraId="4D513D3D" w14:textId="77777777" w:rsidR="00853ECD" w:rsidRPr="007A0466" w:rsidRDefault="00853ECD" w:rsidP="00C758C6">
            <w:pPr>
              <w:spacing w:before="60" w:after="60"/>
              <w:rPr>
                <w:rFonts w:cs="Arial"/>
                <w:sz w:val="21"/>
                <w:szCs w:val="21"/>
              </w:rPr>
            </w:pPr>
          </w:p>
        </w:tc>
        <w:tc>
          <w:tcPr>
            <w:tcW w:w="1276" w:type="dxa"/>
            <w:tcBorders>
              <w:top w:val="single" w:sz="4" w:space="0" w:color="auto"/>
              <w:left w:val="single" w:sz="4" w:space="0" w:color="auto"/>
              <w:bottom w:val="single" w:sz="4" w:space="0" w:color="BFBFBF" w:themeColor="background1" w:themeShade="BF"/>
              <w:right w:val="single" w:sz="4" w:space="0" w:color="auto"/>
            </w:tcBorders>
          </w:tcPr>
          <w:p w14:paraId="40A727F9" w14:textId="77777777" w:rsidR="00853ECD" w:rsidRPr="007A0466" w:rsidRDefault="00853ECD" w:rsidP="00C758C6">
            <w:pPr>
              <w:spacing w:before="60" w:after="60"/>
              <w:rPr>
                <w:rFonts w:cs="Arial"/>
                <w:sz w:val="21"/>
                <w:szCs w:val="21"/>
              </w:rPr>
            </w:pPr>
          </w:p>
        </w:tc>
      </w:tr>
      <w:tr w:rsidR="00853ECD" w:rsidRPr="007A0466" w14:paraId="27F075CA"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3708C74" w14:textId="4BEB5BEE" w:rsidR="00853ECD" w:rsidRPr="007A0466" w:rsidRDefault="00853ECD" w:rsidP="00C758C6">
            <w:pPr>
              <w:spacing w:before="60" w:after="60"/>
              <w:rPr>
                <w:rFonts w:cs="Arial"/>
                <w:sz w:val="19"/>
                <w:szCs w:val="19"/>
              </w:rPr>
            </w:pPr>
            <w:r w:rsidRPr="00853ECD">
              <w:rPr>
                <w:rFonts w:cs="Arial"/>
                <w:sz w:val="19"/>
                <w:szCs w:val="19"/>
              </w:rPr>
              <w:t xml:space="preserve">Bank statements (including any issued by a </w:t>
            </w:r>
            <w:r w:rsidR="00065902">
              <w:rPr>
                <w:rFonts w:cs="Arial"/>
                <w:sz w:val="19"/>
                <w:szCs w:val="19"/>
              </w:rPr>
              <w:t>b</w:t>
            </w:r>
            <w:r w:rsidRPr="00853ECD">
              <w:rPr>
                <w:rFonts w:cs="Arial"/>
                <w:sz w:val="19"/>
                <w:szCs w:val="19"/>
              </w:rPr>
              <w:t xml:space="preserve">uilding </w:t>
            </w:r>
            <w:r w:rsidR="00065902">
              <w:rPr>
                <w:rFonts w:cs="Arial"/>
                <w:sz w:val="19"/>
                <w:szCs w:val="19"/>
              </w:rPr>
              <w:t>s</w:t>
            </w:r>
            <w:r w:rsidRPr="00853ECD">
              <w:rPr>
                <w:rFonts w:cs="Arial"/>
                <w:sz w:val="19"/>
                <w:szCs w:val="19"/>
              </w:rPr>
              <w:t xml:space="preserve">ociety or </w:t>
            </w:r>
            <w:r w:rsidR="00065902">
              <w:rPr>
                <w:rFonts w:cs="Arial"/>
                <w:sz w:val="19"/>
                <w:szCs w:val="19"/>
              </w:rPr>
              <w:t>c</w:t>
            </w:r>
            <w:r w:rsidRPr="00853ECD">
              <w:rPr>
                <w:rFonts w:cs="Arial"/>
                <w:sz w:val="19"/>
                <w:szCs w:val="19"/>
              </w:rPr>
              <w:t xml:space="preserve">redit </w:t>
            </w:r>
            <w:r w:rsidR="00065902">
              <w:rPr>
                <w:rFonts w:cs="Arial"/>
                <w:sz w:val="19"/>
                <w:szCs w:val="19"/>
              </w:rPr>
              <w:t>u</w:t>
            </w:r>
            <w:r w:rsidRPr="00853ECD">
              <w:rPr>
                <w:rFonts w:cs="Arial"/>
                <w:sz w:val="19"/>
                <w:szCs w:val="19"/>
              </w:rPr>
              <w:t>nion)</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FC9113C"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FA7157E" w14:textId="77777777" w:rsidR="00853ECD" w:rsidRPr="007A0466" w:rsidRDefault="00853ECD" w:rsidP="00C758C6">
            <w:pPr>
              <w:spacing w:before="60" w:after="60"/>
              <w:rPr>
                <w:rFonts w:cs="Arial"/>
                <w:sz w:val="21"/>
                <w:szCs w:val="21"/>
              </w:rPr>
            </w:pPr>
          </w:p>
        </w:tc>
      </w:tr>
      <w:tr w:rsidR="00853ECD" w:rsidRPr="007A0466" w14:paraId="3E0DC1DB"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EE39941" w14:textId="77777777" w:rsidR="00853ECD" w:rsidRPr="007A0466" w:rsidRDefault="00853ECD" w:rsidP="00C758C6">
            <w:pPr>
              <w:spacing w:before="60" w:after="60"/>
              <w:rPr>
                <w:rFonts w:cs="Arial"/>
                <w:sz w:val="19"/>
                <w:szCs w:val="19"/>
              </w:rPr>
            </w:pPr>
            <w:r w:rsidRPr="00853ECD">
              <w:rPr>
                <w:rFonts w:cs="Arial"/>
                <w:sz w:val="19"/>
                <w:szCs w:val="19"/>
              </w:rPr>
              <w:t>Car expenses details (including logbook and invoices if required)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C7B2869"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BC9F6CB" w14:textId="77777777" w:rsidR="00853ECD" w:rsidRPr="007A0466" w:rsidRDefault="00853ECD" w:rsidP="00C758C6">
            <w:pPr>
              <w:spacing w:before="60" w:after="60"/>
              <w:rPr>
                <w:rFonts w:cs="Arial"/>
                <w:sz w:val="21"/>
                <w:szCs w:val="21"/>
              </w:rPr>
            </w:pPr>
          </w:p>
        </w:tc>
      </w:tr>
      <w:tr w:rsidR="00853ECD" w:rsidRPr="007A0466" w14:paraId="0D286770"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0D2CEFE" w14:textId="77777777" w:rsidR="00853ECD" w:rsidRPr="007A0466" w:rsidRDefault="00853ECD" w:rsidP="00C758C6">
            <w:pPr>
              <w:spacing w:before="60" w:after="60"/>
              <w:rPr>
                <w:rFonts w:cs="Arial"/>
                <w:sz w:val="19"/>
                <w:szCs w:val="19"/>
              </w:rPr>
            </w:pPr>
            <w:r w:rsidRPr="00853ECD">
              <w:rPr>
                <w:rFonts w:cs="Arial"/>
                <w:sz w:val="19"/>
                <w:szCs w:val="19"/>
              </w:rPr>
              <w:t xml:space="preserve">CGT statement (or details of any asset sales during </w:t>
            </w:r>
            <w:r w:rsidR="00C758C6">
              <w:rPr>
                <w:rFonts w:cs="Arial"/>
                <w:sz w:val="19"/>
                <w:szCs w:val="19"/>
              </w:rPr>
              <w:t xml:space="preserve">the year including dates of </w:t>
            </w:r>
            <w:r w:rsidRPr="00853ECD">
              <w:rPr>
                <w:rFonts w:cs="Arial"/>
                <w:sz w:val="19"/>
                <w:szCs w:val="19"/>
              </w:rPr>
              <w:t>acquisition and disposal, cost base items and capital proceeds)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25BB759"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3959957" w14:textId="77777777" w:rsidR="00853ECD" w:rsidRPr="007A0466" w:rsidRDefault="00853ECD" w:rsidP="00C758C6">
            <w:pPr>
              <w:spacing w:before="60" w:after="60"/>
              <w:rPr>
                <w:rFonts w:cs="Arial"/>
                <w:sz w:val="21"/>
                <w:szCs w:val="21"/>
              </w:rPr>
            </w:pPr>
          </w:p>
        </w:tc>
      </w:tr>
      <w:tr w:rsidR="00853ECD" w:rsidRPr="007A0466" w14:paraId="3D758902"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214FC71" w14:textId="77777777" w:rsidR="00853ECD" w:rsidRPr="007A0466" w:rsidRDefault="00853ECD" w:rsidP="00C758C6">
            <w:pPr>
              <w:spacing w:before="60" w:after="60"/>
              <w:rPr>
                <w:rFonts w:cs="Arial"/>
                <w:sz w:val="19"/>
                <w:szCs w:val="19"/>
              </w:rPr>
            </w:pPr>
            <w:r w:rsidRPr="00853ECD">
              <w:rPr>
                <w:rFonts w:cs="Arial"/>
                <w:sz w:val="19"/>
                <w:szCs w:val="19"/>
              </w:rPr>
              <w:t>Copies of contract notes relating to the disposal of CGT assets including shares and units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A256333"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75B87CC" w14:textId="77777777" w:rsidR="00853ECD" w:rsidRPr="007A0466" w:rsidRDefault="00853ECD" w:rsidP="00C758C6">
            <w:pPr>
              <w:spacing w:before="60" w:after="60"/>
              <w:rPr>
                <w:rFonts w:cs="Arial"/>
                <w:sz w:val="21"/>
                <w:szCs w:val="21"/>
              </w:rPr>
            </w:pPr>
          </w:p>
        </w:tc>
      </w:tr>
      <w:tr w:rsidR="00853ECD" w:rsidRPr="007A0466" w14:paraId="6D60F003"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115DAC8" w14:textId="77777777" w:rsidR="00853ECD" w:rsidRPr="00853ECD" w:rsidRDefault="00853ECD" w:rsidP="00C758C6">
            <w:pPr>
              <w:spacing w:before="60" w:after="60"/>
              <w:rPr>
                <w:rFonts w:cs="Arial"/>
                <w:sz w:val="19"/>
                <w:szCs w:val="19"/>
              </w:rPr>
            </w:pPr>
            <w:r w:rsidRPr="00853ECD">
              <w:rPr>
                <w:rFonts w:cs="Arial"/>
                <w:sz w:val="19"/>
                <w:szCs w:val="19"/>
              </w:rPr>
              <w:t>Copies of invoices for rental expenses (</w:t>
            </w:r>
            <w:proofErr w:type="gramStart"/>
            <w:r w:rsidRPr="00853ECD">
              <w:rPr>
                <w:rFonts w:cs="Arial"/>
                <w:sz w:val="19"/>
                <w:szCs w:val="19"/>
              </w:rPr>
              <w:t>e.g.</w:t>
            </w:r>
            <w:proofErr w:type="gramEnd"/>
            <w:r w:rsidRPr="00853ECD">
              <w:rPr>
                <w:rFonts w:cs="Arial"/>
                <w:sz w:val="19"/>
                <w:szCs w:val="19"/>
              </w:rPr>
              <w:t xml:space="preserve"> advertising costs, body corporate fees, borrowing expenses, capital works (including any quantity surveyor’s depreciation report), cleaning costs, depreciation schedule</w:t>
            </w:r>
            <w:r w:rsidR="0006529C">
              <w:rPr>
                <w:rFonts w:cs="Arial"/>
                <w:sz w:val="19"/>
                <w:szCs w:val="19"/>
              </w:rPr>
              <w:t>,</w:t>
            </w:r>
            <w:r w:rsidRPr="00853ECD">
              <w:rPr>
                <w:rFonts w:cs="Arial"/>
                <w:sz w:val="19"/>
                <w:szCs w:val="19"/>
              </w:rPr>
              <w:t xml:space="preserve"> gardening and maintenance expenses, insurance, interest, la</w:t>
            </w:r>
            <w:r>
              <w:rPr>
                <w:rFonts w:cs="Arial"/>
                <w:sz w:val="19"/>
                <w:szCs w:val="19"/>
              </w:rPr>
              <w:t>nd tax, legal fees, postage, rates, stationery and security costs)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E770852"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786E736" w14:textId="77777777" w:rsidR="00853ECD" w:rsidRPr="007A0466" w:rsidRDefault="00853ECD" w:rsidP="00C758C6">
            <w:pPr>
              <w:spacing w:before="60" w:after="60"/>
              <w:rPr>
                <w:rFonts w:cs="Arial"/>
                <w:sz w:val="21"/>
                <w:szCs w:val="21"/>
              </w:rPr>
            </w:pPr>
          </w:p>
        </w:tc>
      </w:tr>
      <w:tr w:rsidR="003A56FD" w:rsidRPr="007A0466" w14:paraId="1DF6E104"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8CC53DC" w14:textId="5721D2BC" w:rsidR="003A56FD" w:rsidRPr="00853ECD" w:rsidRDefault="00FD64C3" w:rsidP="00C758C6">
            <w:pPr>
              <w:spacing w:before="60" w:after="60"/>
              <w:rPr>
                <w:rFonts w:cs="Arial"/>
                <w:sz w:val="19"/>
                <w:szCs w:val="19"/>
              </w:rPr>
            </w:pPr>
            <w:r w:rsidRPr="009C5604">
              <w:rPr>
                <w:rFonts w:cs="Arial"/>
                <w:sz w:val="19"/>
                <w:szCs w:val="19"/>
              </w:rPr>
              <w:t>Copies of invoices referable to costs /expenses associated with holding vacant land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1BA0918" w14:textId="77777777" w:rsidR="003A56FD" w:rsidRPr="007A0466" w:rsidRDefault="003A56F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8FBC664" w14:textId="77777777" w:rsidR="003A56FD" w:rsidRPr="007A0466" w:rsidRDefault="003A56FD" w:rsidP="00C758C6">
            <w:pPr>
              <w:spacing w:before="60" w:after="60"/>
              <w:rPr>
                <w:rFonts w:cs="Arial"/>
                <w:sz w:val="21"/>
                <w:szCs w:val="21"/>
              </w:rPr>
            </w:pPr>
          </w:p>
        </w:tc>
      </w:tr>
      <w:tr w:rsidR="00853ECD" w:rsidRPr="007A0466" w14:paraId="567D5A9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AE4846C" w14:textId="77777777" w:rsidR="00853ECD" w:rsidRPr="00853ECD" w:rsidRDefault="00853ECD" w:rsidP="00C758C6">
            <w:pPr>
              <w:spacing w:before="60" w:after="60"/>
              <w:rPr>
                <w:rFonts w:cs="Arial"/>
                <w:sz w:val="19"/>
                <w:szCs w:val="19"/>
              </w:rPr>
            </w:pPr>
            <w:r w:rsidRPr="00853ECD">
              <w:rPr>
                <w:rFonts w:cs="Arial"/>
                <w:sz w:val="19"/>
                <w:szCs w:val="19"/>
              </w:rPr>
              <w:t>Distributions from unit trusts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BB8FB46"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28C96AE" w14:textId="77777777" w:rsidR="00853ECD" w:rsidRPr="007A0466" w:rsidRDefault="00853ECD" w:rsidP="00C758C6">
            <w:pPr>
              <w:spacing w:before="60" w:after="60"/>
              <w:rPr>
                <w:rFonts w:cs="Arial"/>
                <w:sz w:val="21"/>
                <w:szCs w:val="21"/>
              </w:rPr>
            </w:pPr>
          </w:p>
        </w:tc>
      </w:tr>
      <w:tr w:rsidR="00853ECD" w:rsidRPr="007A0466" w14:paraId="20B1DA22"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2083FD9" w14:textId="65C51A38" w:rsidR="00853ECD" w:rsidRPr="00853ECD" w:rsidRDefault="00C758C6" w:rsidP="00C758C6">
            <w:pPr>
              <w:spacing w:before="60" w:after="60"/>
              <w:rPr>
                <w:rFonts w:cs="Arial"/>
                <w:sz w:val="19"/>
                <w:szCs w:val="19"/>
              </w:rPr>
            </w:pPr>
            <w:r w:rsidRPr="00C758C6">
              <w:rPr>
                <w:rFonts w:cs="Arial"/>
                <w:sz w:val="19"/>
                <w:szCs w:val="19"/>
              </w:rPr>
              <w:t>Dividend statements (including any dividend reinvestment plan or share buyback details)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1863323"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4648E40" w14:textId="77777777" w:rsidR="00853ECD" w:rsidRPr="007A0466" w:rsidRDefault="00853ECD" w:rsidP="00C758C6">
            <w:pPr>
              <w:spacing w:before="60" w:after="60"/>
              <w:rPr>
                <w:rFonts w:cs="Arial"/>
                <w:sz w:val="21"/>
                <w:szCs w:val="21"/>
              </w:rPr>
            </w:pPr>
          </w:p>
        </w:tc>
      </w:tr>
      <w:tr w:rsidR="00853ECD" w:rsidRPr="007A0466" w14:paraId="7FED9413"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20A1C9F" w14:textId="77777777" w:rsidR="00853ECD" w:rsidRPr="00853ECD" w:rsidRDefault="00C758C6" w:rsidP="00C758C6">
            <w:pPr>
              <w:spacing w:before="60" w:after="60"/>
              <w:rPr>
                <w:rFonts w:cs="Arial"/>
                <w:sz w:val="19"/>
                <w:szCs w:val="19"/>
              </w:rPr>
            </w:pPr>
            <w:r w:rsidRPr="00C758C6">
              <w:rPr>
                <w:rFonts w:cs="Arial"/>
                <w:sz w:val="19"/>
                <w:szCs w:val="19"/>
              </w:rPr>
              <w:t>Insurance policies (including any income protection insurance premiums)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8F8EA89"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04A5D64" w14:textId="77777777" w:rsidR="00853ECD" w:rsidRPr="007A0466" w:rsidRDefault="00853ECD" w:rsidP="00C758C6">
            <w:pPr>
              <w:spacing w:before="60" w:after="60"/>
              <w:rPr>
                <w:rFonts w:cs="Arial"/>
                <w:sz w:val="21"/>
                <w:szCs w:val="21"/>
              </w:rPr>
            </w:pPr>
          </w:p>
        </w:tc>
      </w:tr>
      <w:tr w:rsidR="00853ECD" w:rsidRPr="007A0466" w14:paraId="36CDDEF9"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856996F" w14:textId="77777777" w:rsidR="00853ECD" w:rsidRPr="00853ECD" w:rsidRDefault="00C758C6" w:rsidP="00C758C6">
            <w:pPr>
              <w:spacing w:before="60" w:after="60"/>
              <w:rPr>
                <w:rFonts w:cs="Arial"/>
                <w:sz w:val="19"/>
                <w:szCs w:val="19"/>
              </w:rPr>
            </w:pPr>
            <w:r w:rsidRPr="00C758C6">
              <w:rPr>
                <w:rFonts w:cs="Arial"/>
                <w:sz w:val="19"/>
                <w:szCs w:val="19"/>
              </w:rPr>
              <w:t>Managed funds statements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D490CF8"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683512C" w14:textId="77777777" w:rsidR="00853ECD" w:rsidRPr="007A0466" w:rsidRDefault="00853ECD" w:rsidP="00C758C6">
            <w:pPr>
              <w:spacing w:before="60" w:after="60"/>
              <w:rPr>
                <w:rFonts w:cs="Arial"/>
                <w:sz w:val="21"/>
                <w:szCs w:val="21"/>
              </w:rPr>
            </w:pPr>
          </w:p>
        </w:tc>
      </w:tr>
      <w:tr w:rsidR="00853ECD" w:rsidRPr="007A0466" w14:paraId="4E9ABAB8"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0CCB828" w14:textId="77777777" w:rsidR="00853ECD" w:rsidRPr="00853ECD" w:rsidRDefault="00C758C6" w:rsidP="00C758C6">
            <w:pPr>
              <w:spacing w:before="60" w:after="60"/>
              <w:rPr>
                <w:rFonts w:cs="Arial"/>
                <w:sz w:val="19"/>
                <w:szCs w:val="19"/>
              </w:rPr>
            </w:pPr>
            <w:r w:rsidRPr="00C758C6">
              <w:rPr>
                <w:rFonts w:cs="Arial"/>
                <w:sz w:val="19"/>
                <w:szCs w:val="19"/>
              </w:rPr>
              <w:t>Notice of intention to claim personal superannuation contributions (if applicable)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8C1BB29"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B35EB90" w14:textId="77777777" w:rsidR="00853ECD" w:rsidRPr="007A0466" w:rsidRDefault="00853ECD" w:rsidP="00C758C6">
            <w:pPr>
              <w:spacing w:before="60" w:after="60"/>
              <w:rPr>
                <w:rFonts w:cs="Arial"/>
                <w:sz w:val="21"/>
                <w:szCs w:val="21"/>
              </w:rPr>
            </w:pPr>
          </w:p>
        </w:tc>
      </w:tr>
      <w:tr w:rsidR="00853ECD" w:rsidRPr="007A0466" w14:paraId="171187C4"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0FA02A8" w14:textId="77777777" w:rsidR="00853ECD" w:rsidRPr="00853ECD" w:rsidRDefault="00C758C6" w:rsidP="00C758C6">
            <w:pPr>
              <w:spacing w:before="60" w:after="60"/>
              <w:rPr>
                <w:rFonts w:cs="Arial"/>
                <w:sz w:val="19"/>
                <w:szCs w:val="19"/>
              </w:rPr>
            </w:pPr>
            <w:r w:rsidRPr="00C758C6">
              <w:rPr>
                <w:rFonts w:cs="Arial"/>
                <w:sz w:val="19"/>
                <w:szCs w:val="19"/>
              </w:rPr>
              <w:t>Partnership distribution statement</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244AA65"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F49A37C" w14:textId="77777777" w:rsidR="00853ECD" w:rsidRPr="007A0466" w:rsidRDefault="00853ECD" w:rsidP="00C758C6">
            <w:pPr>
              <w:spacing w:before="60" w:after="60"/>
              <w:rPr>
                <w:rFonts w:cs="Arial"/>
                <w:sz w:val="21"/>
                <w:szCs w:val="21"/>
              </w:rPr>
            </w:pPr>
          </w:p>
        </w:tc>
      </w:tr>
      <w:tr w:rsidR="00C758C6" w:rsidRPr="007A0466" w14:paraId="2FA9F3B6"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13A42C5" w14:textId="731C9608" w:rsidR="00C758C6" w:rsidRPr="00C758C6" w:rsidRDefault="00C758C6" w:rsidP="00C758C6">
            <w:pPr>
              <w:spacing w:before="60" w:after="60"/>
              <w:rPr>
                <w:rFonts w:cs="Arial"/>
                <w:sz w:val="19"/>
                <w:szCs w:val="19"/>
              </w:rPr>
            </w:pPr>
            <w:r w:rsidRPr="00C758C6">
              <w:rPr>
                <w:rFonts w:cs="Arial"/>
                <w:sz w:val="19"/>
                <w:szCs w:val="19"/>
              </w:rPr>
              <w:t>Private health insurance statement</w:t>
            </w:r>
            <w:r w:rsidR="00455A8D">
              <w:rPr>
                <w:rFonts w:cs="Arial"/>
                <w:sz w:val="19"/>
                <w:szCs w:val="19"/>
              </w:rPr>
              <w:t xml:space="preserve"> (note Private health insurers no longer </w:t>
            </w:r>
            <w:proofErr w:type="gramStart"/>
            <w:r w:rsidR="00455A8D">
              <w:rPr>
                <w:rFonts w:cs="Arial"/>
                <w:sz w:val="19"/>
                <w:szCs w:val="19"/>
              </w:rPr>
              <w:t>have to</w:t>
            </w:r>
            <w:proofErr w:type="gramEnd"/>
            <w:r w:rsidR="00455A8D">
              <w:rPr>
                <w:rFonts w:cs="Arial"/>
                <w:sz w:val="19"/>
                <w:szCs w:val="19"/>
              </w:rPr>
              <w:t xml:space="preserve"> provide a statement)</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320659F"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CE7475F" w14:textId="77777777" w:rsidR="00C758C6" w:rsidRPr="007A0466" w:rsidRDefault="00C758C6" w:rsidP="00C758C6">
            <w:pPr>
              <w:spacing w:before="60" w:after="60"/>
              <w:rPr>
                <w:rFonts w:cs="Arial"/>
                <w:sz w:val="21"/>
                <w:szCs w:val="21"/>
              </w:rPr>
            </w:pPr>
          </w:p>
        </w:tc>
      </w:tr>
      <w:tr w:rsidR="00C758C6" w:rsidRPr="007A0466" w14:paraId="03DE9C95"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5F74BAF" w14:textId="5B4EAA72" w:rsidR="00C758C6" w:rsidRPr="00C758C6" w:rsidRDefault="00C758C6" w:rsidP="00C758C6">
            <w:pPr>
              <w:spacing w:before="60" w:after="60"/>
              <w:rPr>
                <w:rFonts w:cs="Arial"/>
                <w:sz w:val="19"/>
                <w:szCs w:val="19"/>
              </w:rPr>
            </w:pPr>
            <w:r w:rsidRPr="00C758C6">
              <w:rPr>
                <w:rFonts w:cs="Arial"/>
                <w:sz w:val="19"/>
                <w:szCs w:val="19"/>
              </w:rPr>
              <w:t>Receipts and invoices for work-related expenses (</w:t>
            </w:r>
            <w:proofErr w:type="gramStart"/>
            <w:r w:rsidRPr="00C758C6">
              <w:rPr>
                <w:rFonts w:cs="Arial"/>
                <w:sz w:val="19"/>
                <w:szCs w:val="19"/>
              </w:rPr>
              <w:t>e.g.</w:t>
            </w:r>
            <w:proofErr w:type="gramEnd"/>
            <w:r w:rsidRPr="00C758C6">
              <w:rPr>
                <w:rFonts w:cs="Arial"/>
                <w:sz w:val="19"/>
                <w:szCs w:val="19"/>
              </w:rPr>
              <w:t xml:space="preserve"> union fees</w:t>
            </w:r>
            <w:r>
              <w:rPr>
                <w:rFonts w:cs="Arial"/>
                <w:sz w:val="19"/>
                <w:szCs w:val="19"/>
              </w:rPr>
              <w:t>,</w:t>
            </w:r>
            <w:r w:rsidRPr="00C758C6">
              <w:rPr>
                <w:rFonts w:cs="Arial"/>
                <w:sz w:val="19"/>
                <w:szCs w:val="19"/>
              </w:rPr>
              <w:t xml:space="preserve"> subscriptions</w:t>
            </w:r>
            <w:r>
              <w:rPr>
                <w:rFonts w:cs="Arial"/>
                <w:sz w:val="19"/>
                <w:szCs w:val="19"/>
              </w:rPr>
              <w:t>,</w:t>
            </w:r>
            <w:r w:rsidRPr="00C758C6">
              <w:rPr>
                <w:rFonts w:cs="Arial"/>
                <w:sz w:val="19"/>
                <w:szCs w:val="19"/>
              </w:rPr>
              <w:t xml:space="preserve"> protective clothing</w:t>
            </w:r>
            <w:r>
              <w:rPr>
                <w:rFonts w:cs="Arial"/>
                <w:sz w:val="19"/>
                <w:szCs w:val="19"/>
              </w:rPr>
              <w:t>,</w:t>
            </w:r>
            <w:r w:rsidRPr="00C758C6">
              <w:rPr>
                <w:rFonts w:cs="Arial"/>
                <w:sz w:val="19"/>
                <w:szCs w:val="19"/>
              </w:rPr>
              <w:t xml:space="preserve"> safety boots</w:t>
            </w:r>
            <w:r>
              <w:rPr>
                <w:rFonts w:cs="Arial"/>
                <w:sz w:val="19"/>
                <w:szCs w:val="19"/>
              </w:rPr>
              <w:t>,</w:t>
            </w:r>
            <w:r w:rsidRPr="00C758C6">
              <w:rPr>
                <w:rFonts w:cs="Arial"/>
                <w:sz w:val="19"/>
                <w:szCs w:val="19"/>
              </w:rPr>
              <w:t xml:space="preserve"> employer uniforms</w:t>
            </w:r>
            <w:r w:rsidR="00E937F8">
              <w:rPr>
                <w:rFonts w:cs="Arial"/>
                <w:sz w:val="19"/>
                <w:szCs w:val="19"/>
              </w:rPr>
              <w:t>,</w:t>
            </w:r>
            <w:r w:rsidRPr="00C758C6">
              <w:rPr>
                <w:rFonts w:cs="Arial"/>
                <w:sz w:val="19"/>
                <w:szCs w:val="19"/>
              </w:rPr>
              <w:t xml:space="preserve"> tools of trade</w:t>
            </w:r>
            <w:r>
              <w:rPr>
                <w:rFonts w:cs="Arial"/>
                <w:sz w:val="19"/>
                <w:szCs w:val="19"/>
              </w:rPr>
              <w:t>,</w:t>
            </w:r>
            <w:r w:rsidRPr="00C758C6">
              <w:rPr>
                <w:rFonts w:cs="Arial"/>
                <w:sz w:val="19"/>
                <w:szCs w:val="19"/>
              </w:rPr>
              <w:t xml:space="preserve"> self-education costs)</w:t>
            </w:r>
            <w:r w:rsidR="00455A8D">
              <w:rPr>
                <w:rFonts w:cs="Arial"/>
                <w:sz w:val="19"/>
                <w:szCs w:val="19"/>
              </w:rPr>
              <w:t xml:space="preserve"> and information regarding the number of hours worked from home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B1F45C1"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9C3B40A" w14:textId="77777777" w:rsidR="00C758C6" w:rsidRPr="007A0466" w:rsidRDefault="00C758C6" w:rsidP="00C758C6">
            <w:pPr>
              <w:spacing w:before="60" w:after="60"/>
              <w:rPr>
                <w:rFonts w:cs="Arial"/>
                <w:sz w:val="21"/>
                <w:szCs w:val="21"/>
              </w:rPr>
            </w:pPr>
          </w:p>
        </w:tc>
      </w:tr>
      <w:tr w:rsidR="00C758C6" w:rsidRPr="007A0466" w14:paraId="4D375A9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E29B568" w14:textId="77777777" w:rsidR="00C758C6" w:rsidRPr="00C758C6" w:rsidRDefault="00C758C6" w:rsidP="00C758C6">
            <w:pPr>
              <w:spacing w:before="60" w:after="60"/>
              <w:rPr>
                <w:rFonts w:cs="Arial"/>
                <w:sz w:val="19"/>
                <w:szCs w:val="19"/>
              </w:rPr>
            </w:pPr>
            <w:r w:rsidRPr="00C758C6">
              <w:rPr>
                <w:rFonts w:cs="Arial"/>
                <w:sz w:val="19"/>
                <w:szCs w:val="19"/>
              </w:rPr>
              <w:t>Rental statements (including any agent’s commission and details of the date the property was rented during the income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1210FE0"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C6AEDF4" w14:textId="77777777" w:rsidR="00C758C6" w:rsidRPr="007A0466" w:rsidRDefault="00C758C6" w:rsidP="00C758C6">
            <w:pPr>
              <w:spacing w:before="60" w:after="60"/>
              <w:rPr>
                <w:rFonts w:cs="Arial"/>
                <w:sz w:val="21"/>
                <w:szCs w:val="21"/>
              </w:rPr>
            </w:pPr>
          </w:p>
        </w:tc>
      </w:tr>
      <w:tr w:rsidR="00C758C6" w:rsidRPr="007A0466" w14:paraId="1261CBA6"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F9A5DF7" w14:textId="77777777" w:rsidR="00C758C6" w:rsidRPr="00C758C6" w:rsidRDefault="00C758C6" w:rsidP="00C758C6">
            <w:pPr>
              <w:spacing w:before="60" w:after="60"/>
              <w:rPr>
                <w:rFonts w:cs="Arial"/>
                <w:sz w:val="19"/>
                <w:szCs w:val="19"/>
              </w:rPr>
            </w:pPr>
            <w:r w:rsidRPr="00C758C6">
              <w:rPr>
                <w:rFonts w:cs="Arial"/>
                <w:sz w:val="19"/>
                <w:szCs w:val="19"/>
              </w:rPr>
              <w:t>Statement of eligible termination payments (or any rollover payment notification)</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013BF25"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098D64B" w14:textId="77777777" w:rsidR="00C758C6" w:rsidRPr="007A0466" w:rsidRDefault="00C758C6" w:rsidP="00C758C6">
            <w:pPr>
              <w:spacing w:before="60" w:after="60"/>
              <w:rPr>
                <w:rFonts w:cs="Arial"/>
                <w:sz w:val="21"/>
                <w:szCs w:val="21"/>
              </w:rPr>
            </w:pPr>
          </w:p>
        </w:tc>
      </w:tr>
      <w:tr w:rsidR="00C758C6" w:rsidRPr="007A0466" w14:paraId="79851F2A"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CCE4EF5" w14:textId="77777777" w:rsidR="00C758C6" w:rsidRPr="00C758C6" w:rsidRDefault="00C758C6" w:rsidP="00C758C6">
            <w:pPr>
              <w:spacing w:before="60" w:after="60"/>
              <w:rPr>
                <w:rFonts w:cs="Arial"/>
                <w:sz w:val="19"/>
                <w:szCs w:val="19"/>
              </w:rPr>
            </w:pPr>
            <w:r w:rsidRPr="00C758C6">
              <w:rPr>
                <w:rFonts w:cs="Arial"/>
                <w:sz w:val="19"/>
                <w:szCs w:val="19"/>
              </w:rPr>
              <w:t>Statement of Government social security pensions or allowance income streams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1B7FAED"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A221B7C" w14:textId="77777777" w:rsidR="00C758C6" w:rsidRPr="007A0466" w:rsidRDefault="00C758C6" w:rsidP="00C758C6">
            <w:pPr>
              <w:spacing w:before="60" w:after="60"/>
              <w:rPr>
                <w:rFonts w:cs="Arial"/>
                <w:sz w:val="21"/>
                <w:szCs w:val="21"/>
              </w:rPr>
            </w:pPr>
          </w:p>
        </w:tc>
      </w:tr>
      <w:tr w:rsidR="00C758C6" w:rsidRPr="007A0466" w14:paraId="4A4953BD"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309742A" w14:textId="77777777" w:rsidR="00C758C6" w:rsidRPr="00C758C6" w:rsidRDefault="00C758C6" w:rsidP="00C758C6">
            <w:pPr>
              <w:spacing w:before="60" w:after="60"/>
              <w:rPr>
                <w:rFonts w:cs="Arial"/>
                <w:sz w:val="19"/>
                <w:szCs w:val="19"/>
              </w:rPr>
            </w:pPr>
            <w:r w:rsidRPr="00C758C6">
              <w:rPr>
                <w:rFonts w:cs="Arial"/>
                <w:sz w:val="19"/>
                <w:szCs w:val="19"/>
              </w:rPr>
              <w:t>Statement of income received in respect of life insurance policies and friendly society bonds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CBA23EF"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C0155E7" w14:textId="77777777" w:rsidR="00C758C6" w:rsidRPr="007A0466" w:rsidRDefault="00C758C6" w:rsidP="00C758C6">
            <w:pPr>
              <w:spacing w:before="60" w:after="60"/>
              <w:rPr>
                <w:rFonts w:cs="Arial"/>
                <w:sz w:val="21"/>
                <w:szCs w:val="21"/>
              </w:rPr>
            </w:pPr>
          </w:p>
        </w:tc>
      </w:tr>
      <w:tr w:rsidR="0006700D" w:rsidRPr="007A0466" w14:paraId="26336BDB"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29C1174" w14:textId="0C4BFED6" w:rsidR="0006700D" w:rsidRPr="00C758C6" w:rsidRDefault="00244D03" w:rsidP="00C758C6">
            <w:pPr>
              <w:spacing w:before="60" w:after="60"/>
              <w:rPr>
                <w:rFonts w:cs="Arial"/>
                <w:sz w:val="19"/>
                <w:szCs w:val="19"/>
              </w:rPr>
            </w:pPr>
            <w:r>
              <w:t xml:space="preserve">Record of hours worked from home </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85669BA" w14:textId="77777777" w:rsidR="0006700D" w:rsidRPr="007A0466" w:rsidRDefault="0006700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622F590" w14:textId="77777777" w:rsidR="0006700D" w:rsidRPr="007A0466" w:rsidRDefault="0006700D" w:rsidP="00C758C6">
            <w:pPr>
              <w:spacing w:before="60" w:after="60"/>
              <w:rPr>
                <w:rFonts w:cs="Arial"/>
                <w:sz w:val="21"/>
                <w:szCs w:val="21"/>
              </w:rPr>
            </w:pPr>
          </w:p>
        </w:tc>
      </w:tr>
      <w:tr w:rsidR="00244D03" w:rsidRPr="007A0466" w14:paraId="150AD369" w14:textId="77777777" w:rsidTr="00EC197D">
        <w:tc>
          <w:tcPr>
            <w:tcW w:w="7088" w:type="dxa"/>
            <w:tcBorders>
              <w:top w:val="single" w:sz="4" w:space="0" w:color="BFBFBF" w:themeColor="background1" w:themeShade="BF"/>
              <w:left w:val="single" w:sz="4" w:space="0" w:color="auto"/>
              <w:bottom w:val="single" w:sz="4" w:space="0" w:color="auto"/>
              <w:right w:val="single" w:sz="4" w:space="0" w:color="auto"/>
            </w:tcBorders>
          </w:tcPr>
          <w:p w14:paraId="1E830F41" w14:textId="3095552B" w:rsidR="00244D03" w:rsidRPr="00C758C6" w:rsidRDefault="00244D03" w:rsidP="00C758C6">
            <w:pPr>
              <w:spacing w:before="60" w:after="60"/>
              <w:rPr>
                <w:rFonts w:cs="Arial"/>
                <w:sz w:val="19"/>
                <w:szCs w:val="19"/>
              </w:rPr>
            </w:pPr>
            <w:r>
              <w:t xml:space="preserve">Record of work-related expenses and their </w:t>
            </w:r>
            <w:proofErr w:type="gramStart"/>
            <w:r>
              <w:t>work related</w:t>
            </w:r>
            <w:proofErr w:type="gramEnd"/>
            <w:r>
              <w:t xml:space="preserve"> percentage </w:t>
            </w:r>
          </w:p>
        </w:tc>
        <w:tc>
          <w:tcPr>
            <w:tcW w:w="1417" w:type="dxa"/>
            <w:tcBorders>
              <w:top w:val="single" w:sz="4" w:space="0" w:color="BFBFBF" w:themeColor="background1" w:themeShade="BF"/>
              <w:left w:val="single" w:sz="4" w:space="0" w:color="auto"/>
              <w:bottom w:val="single" w:sz="4" w:space="0" w:color="auto"/>
              <w:right w:val="single" w:sz="4" w:space="0" w:color="auto"/>
            </w:tcBorders>
          </w:tcPr>
          <w:p w14:paraId="24ECF387" w14:textId="77777777" w:rsidR="00244D03" w:rsidRPr="007A0466" w:rsidRDefault="00244D03"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auto"/>
              <w:right w:val="single" w:sz="4" w:space="0" w:color="auto"/>
            </w:tcBorders>
          </w:tcPr>
          <w:p w14:paraId="31473D63" w14:textId="77777777" w:rsidR="00244D03" w:rsidRPr="007A0466" w:rsidRDefault="00244D03" w:rsidP="00C758C6">
            <w:pPr>
              <w:spacing w:before="60" w:after="60"/>
              <w:rPr>
                <w:rFonts w:cs="Arial"/>
                <w:sz w:val="21"/>
                <w:szCs w:val="21"/>
              </w:rPr>
            </w:pPr>
          </w:p>
        </w:tc>
      </w:tr>
      <w:tr w:rsidR="00C758C6" w:rsidRPr="007A0466" w14:paraId="3619352D" w14:textId="77777777" w:rsidTr="00EC197D">
        <w:tc>
          <w:tcPr>
            <w:tcW w:w="7088" w:type="dxa"/>
            <w:tcBorders>
              <w:top w:val="single" w:sz="4" w:space="0" w:color="BFBFBF" w:themeColor="background1" w:themeShade="BF"/>
              <w:left w:val="single" w:sz="4" w:space="0" w:color="auto"/>
              <w:bottom w:val="single" w:sz="4" w:space="0" w:color="auto"/>
              <w:right w:val="single" w:sz="4" w:space="0" w:color="auto"/>
            </w:tcBorders>
          </w:tcPr>
          <w:p w14:paraId="7A1E44CF" w14:textId="77777777" w:rsidR="00C758C6" w:rsidRPr="00C758C6" w:rsidRDefault="00C758C6" w:rsidP="00C758C6">
            <w:pPr>
              <w:spacing w:before="60" w:after="60"/>
              <w:rPr>
                <w:rFonts w:cs="Arial"/>
                <w:sz w:val="19"/>
                <w:szCs w:val="19"/>
              </w:rPr>
            </w:pPr>
            <w:r w:rsidRPr="00C758C6">
              <w:rPr>
                <w:rFonts w:cs="Arial"/>
                <w:sz w:val="19"/>
                <w:szCs w:val="19"/>
              </w:rPr>
              <w:lastRenderedPageBreak/>
              <w:t>Trust distribution statements</w:t>
            </w:r>
          </w:p>
        </w:tc>
        <w:tc>
          <w:tcPr>
            <w:tcW w:w="1417" w:type="dxa"/>
            <w:tcBorders>
              <w:top w:val="single" w:sz="4" w:space="0" w:color="BFBFBF" w:themeColor="background1" w:themeShade="BF"/>
              <w:left w:val="single" w:sz="4" w:space="0" w:color="auto"/>
              <w:bottom w:val="single" w:sz="4" w:space="0" w:color="auto"/>
              <w:right w:val="single" w:sz="4" w:space="0" w:color="auto"/>
            </w:tcBorders>
          </w:tcPr>
          <w:p w14:paraId="7642C084"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auto"/>
              <w:right w:val="single" w:sz="4" w:space="0" w:color="auto"/>
            </w:tcBorders>
          </w:tcPr>
          <w:p w14:paraId="79E089F3" w14:textId="77777777" w:rsidR="00C758C6" w:rsidRPr="007A0466" w:rsidRDefault="00C758C6" w:rsidP="00C758C6">
            <w:pPr>
              <w:spacing w:before="60" w:after="60"/>
              <w:rPr>
                <w:rFonts w:cs="Arial"/>
                <w:sz w:val="21"/>
                <w:szCs w:val="21"/>
              </w:rPr>
            </w:pPr>
          </w:p>
        </w:tc>
      </w:tr>
    </w:tbl>
    <w:p w14:paraId="0019C99B" w14:textId="77777777" w:rsidR="007A0466" w:rsidRDefault="007A0466" w:rsidP="003E2D79"/>
    <w:p w14:paraId="1DC06088" w14:textId="7843F208" w:rsidR="00065902" w:rsidRDefault="00065902" w:rsidP="003E2D79"/>
    <w:p w14:paraId="61A918B0" w14:textId="2F24F47A" w:rsidR="00065902" w:rsidRDefault="00065902" w:rsidP="003E2D79"/>
    <w:p w14:paraId="37C3AC4F" w14:textId="77777777" w:rsidR="00065902" w:rsidRDefault="00065902" w:rsidP="003E2D79"/>
    <w:p w14:paraId="40A89BE5" w14:textId="77777777" w:rsidR="00C758C6" w:rsidRPr="00853ECD" w:rsidRDefault="00C758C6" w:rsidP="00C758C6">
      <w:pPr>
        <w:rPr>
          <w:b/>
          <w:sz w:val="21"/>
          <w:szCs w:val="21"/>
        </w:rPr>
      </w:pPr>
      <w:r>
        <w:rPr>
          <w:b/>
          <w:sz w:val="21"/>
          <w:szCs w:val="21"/>
        </w:rPr>
        <w:t xml:space="preserve">Sole traders, companies, trusts and </w:t>
      </w:r>
      <w:proofErr w:type="gramStart"/>
      <w:r>
        <w:rPr>
          <w:b/>
          <w:sz w:val="21"/>
          <w:szCs w:val="21"/>
        </w:rPr>
        <w:t>partnerships</w:t>
      </w:r>
      <w:proofErr w:type="gramEnd"/>
    </w:p>
    <w:p w14:paraId="1F7172FD" w14:textId="77777777" w:rsidR="00C758C6" w:rsidRPr="003E2D79" w:rsidRDefault="00C758C6" w:rsidP="00C758C6">
      <w:pPr>
        <w:ind w:left="847"/>
        <w:jc w:val="center"/>
        <w:rPr>
          <w:b/>
          <w:sz w:val="24"/>
          <w:szCs w:val="24"/>
        </w:rPr>
      </w:pPr>
    </w:p>
    <w:tbl>
      <w:tblPr>
        <w:tblW w:w="9781"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1E0" w:firstRow="1" w:lastRow="1" w:firstColumn="1" w:lastColumn="1" w:noHBand="0" w:noVBand="0"/>
      </w:tblPr>
      <w:tblGrid>
        <w:gridCol w:w="2127"/>
        <w:gridCol w:w="7654"/>
      </w:tblGrid>
      <w:tr w:rsidR="00C758C6" w:rsidRPr="007A0466" w14:paraId="594D6AB2" w14:textId="77777777" w:rsidTr="00EC197D">
        <w:tc>
          <w:tcPr>
            <w:tcW w:w="2127" w:type="dxa"/>
          </w:tcPr>
          <w:p w14:paraId="5E5522BC" w14:textId="77777777" w:rsidR="00C758C6" w:rsidRPr="007A0466" w:rsidRDefault="00C758C6" w:rsidP="00C81515">
            <w:pPr>
              <w:spacing w:before="60" w:after="60"/>
              <w:jc w:val="both"/>
              <w:rPr>
                <w:rFonts w:cs="Arial"/>
              </w:rPr>
            </w:pPr>
            <w:r w:rsidRPr="00853ECD">
              <w:rPr>
                <w:rFonts w:cs="Arial"/>
              </w:rPr>
              <w:t>Name of taxpayer:</w:t>
            </w:r>
          </w:p>
        </w:tc>
        <w:tc>
          <w:tcPr>
            <w:tcW w:w="7654" w:type="dxa"/>
          </w:tcPr>
          <w:p w14:paraId="03226370" w14:textId="77777777" w:rsidR="00C758C6" w:rsidRPr="007A0466" w:rsidRDefault="00C758C6" w:rsidP="00C81515">
            <w:pPr>
              <w:spacing w:before="60" w:after="60"/>
              <w:jc w:val="center"/>
              <w:rPr>
                <w:rFonts w:cs="Arial"/>
              </w:rPr>
            </w:pPr>
          </w:p>
        </w:tc>
      </w:tr>
      <w:tr w:rsidR="00C758C6" w:rsidRPr="007A0466" w14:paraId="090A5CCF" w14:textId="77777777" w:rsidTr="00EC197D">
        <w:tc>
          <w:tcPr>
            <w:tcW w:w="2127" w:type="dxa"/>
          </w:tcPr>
          <w:p w14:paraId="0A03128D" w14:textId="77777777" w:rsidR="00C758C6" w:rsidRPr="007A0466" w:rsidRDefault="00C758C6" w:rsidP="00C81515">
            <w:pPr>
              <w:spacing w:before="60" w:after="60"/>
              <w:jc w:val="both"/>
              <w:rPr>
                <w:rFonts w:cs="Arial"/>
              </w:rPr>
            </w:pPr>
            <w:r w:rsidRPr="00853ECD">
              <w:rPr>
                <w:rFonts w:cs="Arial"/>
              </w:rPr>
              <w:t>Address:</w:t>
            </w:r>
          </w:p>
        </w:tc>
        <w:tc>
          <w:tcPr>
            <w:tcW w:w="7654" w:type="dxa"/>
          </w:tcPr>
          <w:p w14:paraId="32EB5436" w14:textId="77777777" w:rsidR="00C758C6" w:rsidRPr="007A0466" w:rsidRDefault="00C758C6" w:rsidP="00C81515">
            <w:pPr>
              <w:spacing w:before="60" w:after="60"/>
              <w:jc w:val="center"/>
              <w:rPr>
                <w:rFonts w:cs="Arial"/>
              </w:rPr>
            </w:pPr>
          </w:p>
        </w:tc>
      </w:tr>
      <w:tr w:rsidR="00C758C6" w:rsidRPr="007A0466" w14:paraId="3D80DC2D" w14:textId="77777777" w:rsidTr="00EC197D">
        <w:tc>
          <w:tcPr>
            <w:tcW w:w="2127" w:type="dxa"/>
          </w:tcPr>
          <w:p w14:paraId="6D9725B9" w14:textId="77777777" w:rsidR="00C758C6" w:rsidRPr="007A0466" w:rsidRDefault="00C758C6" w:rsidP="00C81515">
            <w:pPr>
              <w:spacing w:before="60" w:after="60"/>
              <w:jc w:val="both"/>
              <w:rPr>
                <w:rFonts w:cs="Arial"/>
                <w:b/>
              </w:rPr>
            </w:pPr>
            <w:r w:rsidRPr="00853ECD">
              <w:rPr>
                <w:rFonts w:cs="Arial"/>
              </w:rPr>
              <w:t>Contact number:</w:t>
            </w:r>
          </w:p>
        </w:tc>
        <w:tc>
          <w:tcPr>
            <w:tcW w:w="7654" w:type="dxa"/>
          </w:tcPr>
          <w:p w14:paraId="5A8F10B5" w14:textId="77777777" w:rsidR="00C758C6" w:rsidRPr="007A0466" w:rsidRDefault="00C758C6" w:rsidP="00C81515">
            <w:pPr>
              <w:spacing w:before="60" w:after="60"/>
              <w:jc w:val="center"/>
              <w:rPr>
                <w:rFonts w:cs="Arial"/>
              </w:rPr>
            </w:pPr>
          </w:p>
        </w:tc>
      </w:tr>
    </w:tbl>
    <w:p w14:paraId="138B7DD2" w14:textId="77777777" w:rsidR="003E2D79" w:rsidRDefault="003E2D79"/>
    <w:p w14:paraId="6966A21A" w14:textId="77777777" w:rsidR="003E2D79" w:rsidRDefault="003E2D79"/>
    <w:tbl>
      <w:tblPr>
        <w:tblW w:w="9781" w:type="dxa"/>
        <w:tblInd w:w="-5" w:type="dxa"/>
        <w:tblLook w:val="01E0" w:firstRow="1" w:lastRow="1" w:firstColumn="1" w:lastColumn="1" w:noHBand="0" w:noVBand="0"/>
      </w:tblPr>
      <w:tblGrid>
        <w:gridCol w:w="7088"/>
        <w:gridCol w:w="1417"/>
        <w:gridCol w:w="1276"/>
      </w:tblGrid>
      <w:tr w:rsidR="00C758C6" w:rsidRPr="007A0466" w14:paraId="69445E64" w14:textId="77777777" w:rsidTr="00EC197D">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59DDB" w14:textId="77777777" w:rsidR="00C758C6" w:rsidRPr="007A0466" w:rsidRDefault="00C758C6" w:rsidP="00C81515">
            <w:pPr>
              <w:spacing w:before="60" w:after="60"/>
              <w:rPr>
                <w:rFonts w:cs="Arial"/>
                <w:lang w:eastAsia="en-AU"/>
              </w:rPr>
            </w:pPr>
            <w:bookmarkStart w:id="12" w:name="_Hlk515266487"/>
            <w:r>
              <w:rPr>
                <w:rFonts w:cs="Arial"/>
                <w:b/>
              </w:rPr>
              <w:t>Client records required – business clients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5AF4D" w14:textId="77777777" w:rsidR="00C758C6" w:rsidRPr="007A0466" w:rsidRDefault="00C758C6" w:rsidP="00C81515">
            <w:pPr>
              <w:spacing w:before="60" w:after="60"/>
              <w:rPr>
                <w:rFonts w:cs="Arial"/>
                <w:lang w:eastAsia="en-AU"/>
              </w:rPr>
            </w:pPr>
            <w:r>
              <w:rPr>
                <w:rFonts w:cs="Arial"/>
                <w:b/>
              </w:rPr>
              <w:t>Information provided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30786" w14:textId="77777777" w:rsidR="00C758C6" w:rsidRPr="007A0466" w:rsidRDefault="00C758C6" w:rsidP="00C81515">
            <w:pPr>
              <w:spacing w:before="60" w:after="60"/>
              <w:rPr>
                <w:rFonts w:cs="Arial"/>
                <w:b/>
              </w:rPr>
            </w:pPr>
            <w:r>
              <w:rPr>
                <w:rFonts w:cs="Arial"/>
                <w:b/>
              </w:rPr>
              <w:t>Not applicable</w:t>
            </w:r>
          </w:p>
        </w:tc>
      </w:tr>
      <w:bookmarkEnd w:id="12"/>
      <w:tr w:rsidR="00C758C6" w:rsidRPr="007A0466" w14:paraId="5DF86AE1" w14:textId="77777777" w:rsidTr="00EC197D">
        <w:tc>
          <w:tcPr>
            <w:tcW w:w="9781" w:type="dxa"/>
            <w:gridSpan w:val="3"/>
            <w:tcBorders>
              <w:top w:val="single" w:sz="4" w:space="0" w:color="auto"/>
              <w:left w:val="single" w:sz="4" w:space="0" w:color="auto"/>
              <w:bottom w:val="single" w:sz="4" w:space="0" w:color="BFBFBF" w:themeColor="background1" w:themeShade="BF"/>
              <w:right w:val="single" w:sz="4" w:space="0" w:color="auto"/>
            </w:tcBorders>
            <w:shd w:val="clear" w:color="auto" w:fill="F2F2F2" w:themeFill="background1" w:themeFillShade="F2"/>
          </w:tcPr>
          <w:p w14:paraId="7EE623CD" w14:textId="77777777" w:rsidR="00C758C6" w:rsidRPr="007A0466" w:rsidRDefault="00C758C6" w:rsidP="00C81515">
            <w:pPr>
              <w:spacing w:before="60" w:after="60"/>
              <w:rPr>
                <w:rFonts w:cs="Arial"/>
                <w:sz w:val="21"/>
                <w:szCs w:val="21"/>
              </w:rPr>
            </w:pPr>
            <w:r>
              <w:rPr>
                <w:rFonts w:cs="Arial"/>
                <w:sz w:val="19"/>
                <w:szCs w:val="19"/>
              </w:rPr>
              <w:t>GENERAL INFORMATION</w:t>
            </w:r>
          </w:p>
        </w:tc>
      </w:tr>
      <w:tr w:rsidR="00C758C6" w:rsidRPr="007A0466" w14:paraId="2C4C8E86"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E2919E0" w14:textId="77777777" w:rsidR="00C758C6" w:rsidRPr="007A0466" w:rsidRDefault="00C758C6" w:rsidP="00C81515">
            <w:pPr>
              <w:spacing w:before="60" w:after="60"/>
              <w:rPr>
                <w:rFonts w:cs="Arial"/>
                <w:sz w:val="19"/>
                <w:szCs w:val="19"/>
              </w:rPr>
            </w:pPr>
            <w:r w:rsidRPr="00C758C6">
              <w:rPr>
                <w:rFonts w:cs="Arial"/>
                <w:sz w:val="19"/>
                <w:szCs w:val="19"/>
              </w:rPr>
              <w:t xml:space="preserve">Accounting information, including any trial balance, profit &amp; </w:t>
            </w:r>
            <w:proofErr w:type="gramStart"/>
            <w:r w:rsidRPr="00C758C6">
              <w:rPr>
                <w:rFonts w:cs="Arial"/>
                <w:sz w:val="19"/>
                <w:szCs w:val="19"/>
              </w:rPr>
              <w:t>loss</w:t>
            </w:r>
            <w:proofErr w:type="gramEnd"/>
            <w:r w:rsidRPr="00C758C6">
              <w:rPr>
                <w:rFonts w:cs="Arial"/>
                <w:sz w:val="19"/>
                <w:szCs w:val="19"/>
              </w:rPr>
              <w:t xml:space="preserve"> and balance sheet (if applicable)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9D25B93"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60FEEE6" w14:textId="77777777" w:rsidR="00C758C6" w:rsidRPr="007A0466" w:rsidRDefault="00C758C6" w:rsidP="00C81515">
            <w:pPr>
              <w:spacing w:before="60" w:after="60"/>
              <w:rPr>
                <w:rFonts w:cs="Arial"/>
                <w:sz w:val="21"/>
                <w:szCs w:val="21"/>
              </w:rPr>
            </w:pPr>
          </w:p>
        </w:tc>
      </w:tr>
      <w:tr w:rsidR="00C758C6" w:rsidRPr="007A0466" w14:paraId="1F7E3217"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0048186" w14:textId="77777777" w:rsidR="00C758C6" w:rsidRPr="007A0466" w:rsidRDefault="00C758C6" w:rsidP="00C81515">
            <w:pPr>
              <w:spacing w:before="60" w:after="60"/>
              <w:rPr>
                <w:rFonts w:cs="Arial"/>
                <w:sz w:val="19"/>
                <w:szCs w:val="19"/>
              </w:rPr>
            </w:pPr>
            <w:r w:rsidRPr="00C758C6">
              <w:rPr>
                <w:rFonts w:cs="Arial"/>
                <w:sz w:val="19"/>
                <w:szCs w:val="19"/>
              </w:rPr>
              <w:t>Accrued expenses (</w:t>
            </w:r>
            <w:proofErr w:type="gramStart"/>
            <w:r w:rsidRPr="00C758C6">
              <w:rPr>
                <w:rFonts w:cs="Arial"/>
                <w:sz w:val="19"/>
                <w:szCs w:val="19"/>
              </w:rPr>
              <w:t>e.g.</w:t>
            </w:r>
            <w:proofErr w:type="gramEnd"/>
            <w:r w:rsidRPr="00C758C6">
              <w:rPr>
                <w:rFonts w:cs="Arial"/>
                <w:sz w:val="19"/>
                <w:szCs w:val="19"/>
              </w:rPr>
              <w:t xml:space="preserve"> audit fees and bonuses) and unearned revenue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7E9B92A"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C713EAB" w14:textId="77777777" w:rsidR="00C758C6" w:rsidRPr="007A0466" w:rsidRDefault="00C758C6" w:rsidP="00C81515">
            <w:pPr>
              <w:spacing w:before="60" w:after="60"/>
              <w:rPr>
                <w:rFonts w:cs="Arial"/>
                <w:sz w:val="21"/>
                <w:szCs w:val="21"/>
              </w:rPr>
            </w:pPr>
          </w:p>
        </w:tc>
      </w:tr>
      <w:tr w:rsidR="00C758C6" w:rsidRPr="007A0466" w14:paraId="64411264"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7545B85" w14:textId="77777777" w:rsidR="00C758C6" w:rsidRPr="007A0466" w:rsidRDefault="006B1F77" w:rsidP="00C81515">
            <w:pPr>
              <w:spacing w:before="60" w:after="60"/>
              <w:rPr>
                <w:rFonts w:cs="Arial"/>
                <w:sz w:val="19"/>
                <w:szCs w:val="19"/>
              </w:rPr>
            </w:pPr>
            <w:r w:rsidRPr="006B1F77">
              <w:rPr>
                <w:rFonts w:cs="Arial"/>
                <w:sz w:val="19"/>
                <w:szCs w:val="19"/>
              </w:rPr>
              <w:t>Asset register detailing deprecia</w:t>
            </w:r>
            <w:r w:rsidR="00105E62">
              <w:rPr>
                <w:rFonts w:cs="Arial"/>
                <w:sz w:val="19"/>
                <w:szCs w:val="19"/>
              </w:rPr>
              <w:t>ting</w:t>
            </w:r>
            <w:r w:rsidRPr="006B1F77">
              <w:rPr>
                <w:rFonts w:cs="Arial"/>
                <w:sz w:val="19"/>
                <w:szCs w:val="19"/>
              </w:rPr>
              <w:t xml:space="preserve"> assets bought and sold or scrapped during the year and any </w:t>
            </w:r>
            <w:r w:rsidR="00105E62">
              <w:rPr>
                <w:rFonts w:cs="Arial"/>
                <w:sz w:val="19"/>
                <w:szCs w:val="19"/>
              </w:rPr>
              <w:t xml:space="preserve">other </w:t>
            </w:r>
            <w:r w:rsidRPr="006B1F77">
              <w:rPr>
                <w:rFonts w:cs="Arial"/>
                <w:sz w:val="19"/>
                <w:szCs w:val="19"/>
              </w:rPr>
              <w:t>capital ass</w:t>
            </w:r>
            <w:r>
              <w:rPr>
                <w:rFonts w:cs="Arial"/>
                <w:sz w:val="19"/>
                <w:szCs w:val="19"/>
              </w:rPr>
              <w:t>ets purchased during the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A47DBE1"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1CB030F" w14:textId="77777777" w:rsidR="00C758C6" w:rsidRPr="007A0466" w:rsidRDefault="00C758C6" w:rsidP="00C81515">
            <w:pPr>
              <w:spacing w:before="60" w:after="60"/>
              <w:rPr>
                <w:rFonts w:cs="Arial"/>
                <w:sz w:val="21"/>
                <w:szCs w:val="21"/>
              </w:rPr>
            </w:pPr>
          </w:p>
        </w:tc>
      </w:tr>
      <w:tr w:rsidR="00C758C6" w:rsidRPr="007A0466" w14:paraId="3BFBD15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F6B6C29" w14:textId="77777777" w:rsidR="00C758C6" w:rsidRPr="007A0466" w:rsidRDefault="006B1F77" w:rsidP="00C81515">
            <w:pPr>
              <w:spacing w:before="60" w:after="60"/>
              <w:rPr>
                <w:rFonts w:cs="Arial"/>
                <w:sz w:val="19"/>
                <w:szCs w:val="19"/>
              </w:rPr>
            </w:pPr>
            <w:r w:rsidRPr="006B1F77">
              <w:rPr>
                <w:rFonts w:cs="Arial"/>
                <w:sz w:val="19"/>
                <w:szCs w:val="19"/>
              </w:rPr>
              <w:t>Bank statements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721259B"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DAC7470" w14:textId="77777777" w:rsidR="00C758C6" w:rsidRPr="007A0466" w:rsidRDefault="00C758C6" w:rsidP="00C81515">
            <w:pPr>
              <w:spacing w:before="60" w:after="60"/>
              <w:rPr>
                <w:rFonts w:cs="Arial"/>
                <w:sz w:val="21"/>
                <w:szCs w:val="21"/>
              </w:rPr>
            </w:pPr>
          </w:p>
        </w:tc>
      </w:tr>
      <w:tr w:rsidR="00C758C6" w:rsidRPr="007A0466" w14:paraId="5C9AD90C"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699E818" w14:textId="77777777" w:rsidR="00C758C6" w:rsidRPr="00853ECD" w:rsidRDefault="006B1F77" w:rsidP="00C81515">
            <w:pPr>
              <w:spacing w:before="60" w:after="60"/>
              <w:rPr>
                <w:rFonts w:cs="Arial"/>
                <w:sz w:val="19"/>
                <w:szCs w:val="19"/>
              </w:rPr>
            </w:pPr>
            <w:r w:rsidRPr="006B1F77">
              <w:rPr>
                <w:rFonts w:cs="Arial"/>
                <w:sz w:val="19"/>
                <w:szCs w:val="19"/>
              </w:rPr>
              <w:t>Cashbook (if maintained)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969A821"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563B170" w14:textId="77777777" w:rsidR="00C758C6" w:rsidRPr="007A0466" w:rsidRDefault="00C758C6" w:rsidP="00C81515">
            <w:pPr>
              <w:spacing w:before="60" w:after="60"/>
              <w:rPr>
                <w:rFonts w:cs="Arial"/>
                <w:sz w:val="21"/>
                <w:szCs w:val="21"/>
              </w:rPr>
            </w:pPr>
          </w:p>
        </w:tc>
      </w:tr>
      <w:tr w:rsidR="00C758C6" w:rsidRPr="007A0466" w14:paraId="2914CA37"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B858683" w14:textId="77777777" w:rsidR="00C758C6" w:rsidRPr="00853ECD" w:rsidRDefault="006B1F77" w:rsidP="00C81515">
            <w:pPr>
              <w:spacing w:before="60" w:after="60"/>
              <w:rPr>
                <w:rFonts w:cs="Arial"/>
                <w:sz w:val="19"/>
                <w:szCs w:val="19"/>
              </w:rPr>
            </w:pPr>
            <w:r w:rsidRPr="006B1F77">
              <w:rPr>
                <w:rFonts w:cs="Arial"/>
                <w:sz w:val="19"/>
                <w:szCs w:val="19"/>
              </w:rPr>
              <w:t>CGT register (if maintained)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C8631AD"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32C6469" w14:textId="77777777" w:rsidR="00C758C6" w:rsidRPr="007A0466" w:rsidRDefault="00C758C6" w:rsidP="00C81515">
            <w:pPr>
              <w:spacing w:before="60" w:after="60"/>
              <w:rPr>
                <w:rFonts w:cs="Arial"/>
                <w:sz w:val="21"/>
                <w:szCs w:val="21"/>
              </w:rPr>
            </w:pPr>
          </w:p>
        </w:tc>
      </w:tr>
      <w:tr w:rsidR="00C758C6" w:rsidRPr="007A0466" w14:paraId="77A704FA"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D9E710E" w14:textId="77777777" w:rsidR="00C758C6" w:rsidRPr="00853ECD" w:rsidRDefault="006B1F77" w:rsidP="00C81515">
            <w:pPr>
              <w:spacing w:before="60" w:after="60"/>
              <w:rPr>
                <w:rFonts w:cs="Arial"/>
                <w:sz w:val="19"/>
                <w:szCs w:val="19"/>
              </w:rPr>
            </w:pPr>
            <w:r w:rsidRPr="006B1F77">
              <w:rPr>
                <w:rFonts w:cs="Arial"/>
                <w:sz w:val="19"/>
                <w:szCs w:val="19"/>
              </w:rPr>
              <w:t>Cheque butts and deposit books (if maintained)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263EE17"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EB1D78D" w14:textId="77777777" w:rsidR="00C758C6" w:rsidRPr="007A0466" w:rsidRDefault="00C758C6" w:rsidP="00C81515">
            <w:pPr>
              <w:spacing w:before="60" w:after="60"/>
              <w:rPr>
                <w:rFonts w:cs="Arial"/>
                <w:sz w:val="21"/>
                <w:szCs w:val="21"/>
              </w:rPr>
            </w:pPr>
          </w:p>
        </w:tc>
      </w:tr>
      <w:tr w:rsidR="00E937F8" w:rsidRPr="007A0466" w14:paraId="59919B4B"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32141D4" w14:textId="77777777" w:rsidR="00E937F8" w:rsidRPr="006B1F77" w:rsidRDefault="00E937F8" w:rsidP="00C81515">
            <w:pPr>
              <w:spacing w:before="60" w:after="60"/>
              <w:rPr>
                <w:rFonts w:cs="Arial"/>
                <w:sz w:val="19"/>
                <w:szCs w:val="19"/>
              </w:rPr>
            </w:pPr>
            <w:r w:rsidRPr="006B1F77">
              <w:rPr>
                <w:rFonts w:cs="Arial"/>
                <w:sz w:val="19"/>
                <w:szCs w:val="19"/>
              </w:rPr>
              <w:t>Copies of Instalment Activity Statements and/or Business Activity Statements lodged for the income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DE75DCC" w14:textId="77777777" w:rsidR="00E937F8" w:rsidRPr="007A0466" w:rsidRDefault="00E937F8"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00637A6" w14:textId="77777777" w:rsidR="00E937F8" w:rsidRPr="007A0466" w:rsidRDefault="00E937F8" w:rsidP="00C81515">
            <w:pPr>
              <w:spacing w:before="60" w:after="60"/>
              <w:rPr>
                <w:rFonts w:cs="Arial"/>
                <w:sz w:val="21"/>
                <w:szCs w:val="21"/>
              </w:rPr>
            </w:pPr>
          </w:p>
        </w:tc>
      </w:tr>
      <w:tr w:rsidR="00C758C6" w:rsidRPr="007A0466" w14:paraId="2088D6AE"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1FF6ABB" w14:textId="77777777" w:rsidR="00C758C6" w:rsidRPr="00853ECD" w:rsidRDefault="006B1F77" w:rsidP="00C81515">
            <w:pPr>
              <w:spacing w:before="60" w:after="60"/>
              <w:rPr>
                <w:rFonts w:cs="Arial"/>
                <w:sz w:val="19"/>
                <w:szCs w:val="19"/>
              </w:rPr>
            </w:pPr>
            <w:r w:rsidRPr="006B1F77">
              <w:rPr>
                <w:rFonts w:cs="Arial"/>
                <w:sz w:val="19"/>
                <w:szCs w:val="19"/>
              </w:rPr>
              <w:t>Copies of invoices for fees paid to registered tax agent or auditor (if another firm provided services)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EAE63A4"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331975F" w14:textId="77777777" w:rsidR="00C758C6" w:rsidRPr="007A0466" w:rsidRDefault="00C758C6" w:rsidP="00C81515">
            <w:pPr>
              <w:spacing w:before="60" w:after="60"/>
              <w:rPr>
                <w:rFonts w:cs="Arial"/>
                <w:sz w:val="21"/>
                <w:szCs w:val="21"/>
              </w:rPr>
            </w:pPr>
          </w:p>
        </w:tc>
      </w:tr>
      <w:tr w:rsidR="00C758C6" w:rsidRPr="007A0466" w14:paraId="18420C53"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CA08969" w14:textId="77777777" w:rsidR="00C758C6" w:rsidRPr="00853ECD" w:rsidRDefault="006B1F77" w:rsidP="00C81515">
            <w:pPr>
              <w:spacing w:before="60" w:after="60"/>
              <w:rPr>
                <w:rFonts w:cs="Arial"/>
                <w:sz w:val="19"/>
                <w:szCs w:val="19"/>
              </w:rPr>
            </w:pPr>
            <w:r w:rsidRPr="006B1F77">
              <w:rPr>
                <w:rFonts w:cs="Arial"/>
                <w:sz w:val="19"/>
                <w:szCs w:val="19"/>
              </w:rPr>
              <w:t>Copies of invoices or documentation for material amounts or which relate to extraordinary transactions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5C45476"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7E93279" w14:textId="77777777" w:rsidR="00C758C6" w:rsidRPr="007A0466" w:rsidRDefault="00C758C6" w:rsidP="00C81515">
            <w:pPr>
              <w:spacing w:before="60" w:after="60"/>
              <w:rPr>
                <w:rFonts w:cs="Arial"/>
                <w:sz w:val="21"/>
                <w:szCs w:val="21"/>
              </w:rPr>
            </w:pPr>
          </w:p>
        </w:tc>
      </w:tr>
      <w:tr w:rsidR="00E937F8" w:rsidRPr="007A0466" w14:paraId="7D6C34C8"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8DF80C1" w14:textId="77777777" w:rsidR="00E937F8" w:rsidRPr="00853ECD" w:rsidRDefault="00E937F8" w:rsidP="007E5376">
            <w:pPr>
              <w:spacing w:before="60" w:after="60"/>
              <w:rPr>
                <w:rFonts w:cs="Arial"/>
                <w:sz w:val="19"/>
                <w:szCs w:val="19"/>
              </w:rPr>
            </w:pPr>
            <w:r w:rsidRPr="006B1F77">
              <w:rPr>
                <w:rFonts w:cs="Arial"/>
                <w:sz w:val="19"/>
                <w:szCs w:val="19"/>
              </w:rPr>
              <w:t>Copies of sell notes and settlement statements for shares purchased and sold (including original contract notes and settlement statements, if possible)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15B3338" w14:textId="77777777" w:rsidR="00E937F8" w:rsidRPr="007A0466" w:rsidRDefault="00E937F8" w:rsidP="007E537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2C8D3A5" w14:textId="77777777" w:rsidR="00E937F8" w:rsidRPr="007A0466" w:rsidRDefault="00E937F8" w:rsidP="007E5376">
            <w:pPr>
              <w:spacing w:before="60" w:after="60"/>
              <w:rPr>
                <w:rFonts w:cs="Arial"/>
                <w:sz w:val="21"/>
                <w:szCs w:val="21"/>
              </w:rPr>
            </w:pPr>
          </w:p>
        </w:tc>
      </w:tr>
      <w:tr w:rsidR="00E937F8" w:rsidRPr="007A0466" w14:paraId="58A04A3D"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B31E6AD" w14:textId="77777777" w:rsidR="00E937F8" w:rsidRPr="00853ECD" w:rsidRDefault="00E937F8" w:rsidP="007E5376">
            <w:pPr>
              <w:spacing w:before="60" w:after="60"/>
              <w:rPr>
                <w:rFonts w:cs="Arial"/>
                <w:sz w:val="19"/>
                <w:szCs w:val="19"/>
              </w:rPr>
            </w:pPr>
            <w:r w:rsidRPr="006B1F77">
              <w:rPr>
                <w:rFonts w:cs="Arial"/>
                <w:sz w:val="19"/>
                <w:szCs w:val="19"/>
              </w:rPr>
              <w:t>Copies of sell notes for units in managed funds purchased and sold (including original purchase notes, if possible)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46B44CE" w14:textId="77777777" w:rsidR="00E937F8" w:rsidRPr="007A0466" w:rsidRDefault="00E937F8" w:rsidP="007E537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23B5107" w14:textId="77777777" w:rsidR="00E937F8" w:rsidRPr="007A0466" w:rsidRDefault="00E937F8" w:rsidP="007E5376">
            <w:pPr>
              <w:spacing w:before="60" w:after="60"/>
              <w:rPr>
                <w:rFonts w:cs="Arial"/>
                <w:sz w:val="21"/>
                <w:szCs w:val="21"/>
              </w:rPr>
            </w:pPr>
          </w:p>
        </w:tc>
      </w:tr>
      <w:tr w:rsidR="00C758C6" w:rsidRPr="007A0466" w14:paraId="215E2CB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84CF80E" w14:textId="77777777" w:rsidR="00C758C6" w:rsidRPr="00853ECD" w:rsidRDefault="006B1F77" w:rsidP="00C81515">
            <w:pPr>
              <w:spacing w:before="60" w:after="60"/>
              <w:rPr>
                <w:rFonts w:cs="Arial"/>
                <w:sz w:val="19"/>
                <w:szCs w:val="19"/>
              </w:rPr>
            </w:pPr>
            <w:r w:rsidRPr="006B1F77">
              <w:rPr>
                <w:rFonts w:cs="Arial"/>
                <w:sz w:val="19"/>
                <w:szCs w:val="19"/>
              </w:rPr>
              <w:t>Details of any investments purchased during the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BD4E828"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1DB33C8" w14:textId="77777777" w:rsidR="00C758C6" w:rsidRPr="007A0466" w:rsidRDefault="00C758C6" w:rsidP="00C81515">
            <w:pPr>
              <w:spacing w:before="60" w:after="60"/>
              <w:rPr>
                <w:rFonts w:cs="Arial"/>
                <w:sz w:val="21"/>
                <w:szCs w:val="21"/>
              </w:rPr>
            </w:pPr>
          </w:p>
        </w:tc>
      </w:tr>
      <w:tr w:rsidR="00C758C6" w:rsidRPr="007A0466" w14:paraId="300661B9"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4E53C25" w14:textId="77777777" w:rsidR="00C758C6" w:rsidRPr="00853ECD" w:rsidRDefault="006B1F77" w:rsidP="00C81515">
            <w:pPr>
              <w:spacing w:before="60" w:after="60"/>
              <w:rPr>
                <w:rFonts w:cs="Arial"/>
                <w:sz w:val="19"/>
                <w:szCs w:val="19"/>
              </w:rPr>
            </w:pPr>
            <w:r w:rsidRPr="006B1F77">
              <w:rPr>
                <w:rFonts w:cs="Arial"/>
                <w:sz w:val="19"/>
                <w:szCs w:val="19"/>
              </w:rPr>
              <w:t xml:space="preserve">Details of any leases </w:t>
            </w:r>
            <w:proofErr w:type="gramStart"/>
            <w:r w:rsidRPr="006B1F77">
              <w:rPr>
                <w:rFonts w:cs="Arial"/>
                <w:sz w:val="19"/>
                <w:szCs w:val="19"/>
              </w:rPr>
              <w:t>entered into</w:t>
            </w:r>
            <w:proofErr w:type="gramEnd"/>
            <w:r w:rsidRPr="006B1F77">
              <w:rPr>
                <w:rFonts w:cs="Arial"/>
                <w:sz w:val="19"/>
                <w:szCs w:val="19"/>
              </w:rPr>
              <w:t xml:space="preserve"> and terminated during the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94139F9"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659D9D4" w14:textId="77777777" w:rsidR="00C758C6" w:rsidRPr="007A0466" w:rsidRDefault="00C758C6" w:rsidP="00C81515">
            <w:pPr>
              <w:spacing w:before="60" w:after="60"/>
              <w:rPr>
                <w:rFonts w:cs="Arial"/>
                <w:sz w:val="21"/>
                <w:szCs w:val="21"/>
              </w:rPr>
            </w:pPr>
          </w:p>
        </w:tc>
      </w:tr>
      <w:tr w:rsidR="00E937F8" w:rsidRPr="007A0466" w14:paraId="1B0D4A1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FDFC986" w14:textId="77777777" w:rsidR="00E937F8" w:rsidRPr="00C758C6" w:rsidRDefault="00E937F8" w:rsidP="007E5376">
            <w:pPr>
              <w:spacing w:before="60" w:after="60"/>
              <w:rPr>
                <w:rFonts w:cs="Arial"/>
                <w:sz w:val="19"/>
                <w:szCs w:val="19"/>
              </w:rPr>
            </w:pPr>
            <w:r>
              <w:rPr>
                <w:rFonts w:cs="Arial"/>
                <w:sz w:val="19"/>
                <w:szCs w:val="19"/>
              </w:rPr>
              <w:t>Details of p</w:t>
            </w:r>
            <w:r w:rsidRPr="006B1F77">
              <w:rPr>
                <w:rFonts w:cs="Arial"/>
                <w:sz w:val="19"/>
                <w:szCs w:val="19"/>
              </w:rPr>
              <w:t xml:space="preserve">rovision for long service leave, annual leave </w:t>
            </w:r>
            <w:r>
              <w:rPr>
                <w:rFonts w:cs="Arial"/>
                <w:sz w:val="19"/>
                <w:szCs w:val="19"/>
              </w:rPr>
              <w:t xml:space="preserve">or </w:t>
            </w:r>
            <w:r w:rsidRPr="006B1F77">
              <w:rPr>
                <w:rFonts w:cs="Arial"/>
                <w:sz w:val="19"/>
                <w:szCs w:val="19"/>
              </w:rPr>
              <w:t>any other provision or reserve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7431948" w14:textId="77777777" w:rsidR="00E937F8" w:rsidRPr="007A0466" w:rsidRDefault="00E937F8" w:rsidP="007E537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42DC5E1" w14:textId="77777777" w:rsidR="00E937F8" w:rsidRPr="007A0466" w:rsidRDefault="00E937F8" w:rsidP="007E5376">
            <w:pPr>
              <w:spacing w:before="60" w:after="60"/>
              <w:rPr>
                <w:rFonts w:cs="Arial"/>
                <w:sz w:val="21"/>
                <w:szCs w:val="21"/>
              </w:rPr>
            </w:pPr>
          </w:p>
        </w:tc>
      </w:tr>
      <w:tr w:rsidR="00C758C6" w:rsidRPr="007A0466" w14:paraId="272B1178"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7DF356E" w14:textId="77777777" w:rsidR="00C758C6" w:rsidRPr="00C758C6" w:rsidRDefault="006B1F77" w:rsidP="00C81515">
            <w:pPr>
              <w:spacing w:before="60" w:after="60"/>
              <w:rPr>
                <w:rFonts w:cs="Arial"/>
                <w:sz w:val="19"/>
                <w:szCs w:val="19"/>
              </w:rPr>
            </w:pPr>
            <w:r w:rsidRPr="006B1F77">
              <w:rPr>
                <w:rFonts w:cs="Arial"/>
                <w:sz w:val="19"/>
                <w:szCs w:val="19"/>
              </w:rPr>
              <w:t>Details of work-in-progress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911B332"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7147722" w14:textId="77777777" w:rsidR="00C758C6" w:rsidRPr="007A0466" w:rsidRDefault="00C758C6" w:rsidP="00C81515">
            <w:pPr>
              <w:spacing w:before="60" w:after="60"/>
              <w:rPr>
                <w:rFonts w:cs="Arial"/>
                <w:sz w:val="21"/>
                <w:szCs w:val="21"/>
              </w:rPr>
            </w:pPr>
          </w:p>
        </w:tc>
      </w:tr>
      <w:tr w:rsidR="00E937F8" w:rsidRPr="007A0466" w14:paraId="3BEBA42D"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A49F253" w14:textId="77777777" w:rsidR="00E937F8" w:rsidRPr="00C758C6" w:rsidRDefault="00E937F8" w:rsidP="007E5376">
            <w:pPr>
              <w:spacing w:before="60" w:after="60"/>
              <w:rPr>
                <w:rFonts w:cs="Arial"/>
                <w:sz w:val="19"/>
                <w:szCs w:val="19"/>
              </w:rPr>
            </w:pPr>
            <w:r>
              <w:rPr>
                <w:rFonts w:cs="Arial"/>
                <w:sz w:val="19"/>
                <w:szCs w:val="19"/>
              </w:rPr>
              <w:t>D</w:t>
            </w:r>
            <w:r w:rsidRPr="006B1F77">
              <w:rPr>
                <w:rFonts w:cs="Arial"/>
                <w:sz w:val="19"/>
                <w:szCs w:val="19"/>
              </w:rPr>
              <w:t>istribution statements, annual tax statements and capital gains statements</w:t>
            </w:r>
            <w:r>
              <w:rPr>
                <w:rFonts w:cs="Arial"/>
                <w:sz w:val="19"/>
                <w:szCs w:val="19"/>
              </w:rPr>
              <w:t xml:space="preserve"> from managed funds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1E229CD" w14:textId="77777777" w:rsidR="00E937F8" w:rsidRPr="007A0466" w:rsidRDefault="00E937F8" w:rsidP="007E537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C6A7A89" w14:textId="77777777" w:rsidR="00E937F8" w:rsidRPr="007A0466" w:rsidRDefault="00E937F8" w:rsidP="007E5376">
            <w:pPr>
              <w:spacing w:before="60" w:after="60"/>
              <w:rPr>
                <w:rFonts w:cs="Arial"/>
                <w:sz w:val="21"/>
                <w:szCs w:val="21"/>
              </w:rPr>
            </w:pPr>
          </w:p>
        </w:tc>
      </w:tr>
      <w:tr w:rsidR="00C758C6" w:rsidRPr="007A0466" w14:paraId="6D18670B"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A0613FC" w14:textId="77777777" w:rsidR="00C758C6" w:rsidRPr="00C758C6" w:rsidRDefault="006B1F77" w:rsidP="00C81515">
            <w:pPr>
              <w:spacing w:before="60" w:after="60"/>
              <w:rPr>
                <w:rFonts w:cs="Arial"/>
                <w:sz w:val="19"/>
                <w:szCs w:val="19"/>
              </w:rPr>
            </w:pPr>
            <w:r w:rsidRPr="006B1F77">
              <w:rPr>
                <w:rFonts w:cs="Arial"/>
                <w:sz w:val="19"/>
                <w:szCs w:val="19"/>
              </w:rPr>
              <w:t>Dividend statements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63988E2"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84513E0" w14:textId="77777777" w:rsidR="00C758C6" w:rsidRPr="007A0466" w:rsidRDefault="00C758C6" w:rsidP="00C81515">
            <w:pPr>
              <w:spacing w:before="60" w:after="60"/>
              <w:rPr>
                <w:rFonts w:cs="Arial"/>
                <w:sz w:val="21"/>
                <w:szCs w:val="21"/>
              </w:rPr>
            </w:pPr>
          </w:p>
        </w:tc>
      </w:tr>
      <w:tr w:rsidR="00C758C6" w:rsidRPr="007A0466" w14:paraId="374D6F2F"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C35F5B3" w14:textId="77777777" w:rsidR="00C758C6" w:rsidRPr="00C758C6" w:rsidRDefault="006B1F77" w:rsidP="00C81515">
            <w:pPr>
              <w:spacing w:before="60" w:after="60"/>
              <w:rPr>
                <w:rFonts w:cs="Arial"/>
                <w:sz w:val="19"/>
                <w:szCs w:val="19"/>
              </w:rPr>
            </w:pPr>
            <w:r w:rsidRPr="006B1F77">
              <w:rPr>
                <w:rFonts w:cs="Arial"/>
                <w:sz w:val="19"/>
                <w:szCs w:val="19"/>
              </w:rPr>
              <w:t xml:space="preserve">Documentation relating to </w:t>
            </w:r>
            <w:r w:rsidR="00E937F8">
              <w:rPr>
                <w:rFonts w:cs="Arial"/>
                <w:sz w:val="19"/>
                <w:szCs w:val="19"/>
              </w:rPr>
              <w:t xml:space="preserve">acquisition or </w:t>
            </w:r>
            <w:r w:rsidRPr="006B1F77">
              <w:rPr>
                <w:rFonts w:cs="Arial"/>
                <w:sz w:val="19"/>
                <w:szCs w:val="19"/>
              </w:rPr>
              <w:t>disposal of CGT assets (</w:t>
            </w:r>
            <w:proofErr w:type="gramStart"/>
            <w:r w:rsidRPr="006B1F77">
              <w:rPr>
                <w:rFonts w:cs="Arial"/>
                <w:sz w:val="19"/>
                <w:szCs w:val="19"/>
              </w:rPr>
              <w:t>e.g.</w:t>
            </w:r>
            <w:proofErr w:type="gramEnd"/>
            <w:r w:rsidRPr="006B1F77">
              <w:rPr>
                <w:rFonts w:cs="Arial"/>
                <w:sz w:val="19"/>
                <w:szCs w:val="19"/>
              </w:rPr>
              <w:t xml:space="preserve"> purchase contracts and sale contracts)  </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D1FB2AA"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415E70B" w14:textId="77777777" w:rsidR="00C758C6" w:rsidRPr="007A0466" w:rsidRDefault="00C758C6" w:rsidP="00C81515">
            <w:pPr>
              <w:spacing w:before="60" w:after="60"/>
              <w:rPr>
                <w:rFonts w:cs="Arial"/>
                <w:sz w:val="21"/>
                <w:szCs w:val="21"/>
              </w:rPr>
            </w:pPr>
          </w:p>
        </w:tc>
      </w:tr>
      <w:tr w:rsidR="00C758C6" w:rsidRPr="007A0466" w14:paraId="42B56CD0"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0AF1DEA" w14:textId="77777777" w:rsidR="00C758C6" w:rsidRPr="00C758C6" w:rsidRDefault="006B1F77" w:rsidP="00C81515">
            <w:pPr>
              <w:spacing w:before="60" w:after="60"/>
              <w:rPr>
                <w:rFonts w:cs="Arial"/>
                <w:sz w:val="19"/>
                <w:szCs w:val="19"/>
              </w:rPr>
            </w:pPr>
            <w:r w:rsidRPr="006B1F77">
              <w:rPr>
                <w:rFonts w:cs="Arial"/>
                <w:sz w:val="19"/>
                <w:szCs w:val="19"/>
              </w:rPr>
              <w:t>Listing of trade creditors with amounts owing</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91B6A8E"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BD3AD8A" w14:textId="77777777" w:rsidR="00C758C6" w:rsidRPr="007A0466" w:rsidRDefault="00C758C6" w:rsidP="00C81515">
            <w:pPr>
              <w:spacing w:before="60" w:after="60"/>
              <w:rPr>
                <w:rFonts w:cs="Arial"/>
                <w:sz w:val="21"/>
                <w:szCs w:val="21"/>
              </w:rPr>
            </w:pPr>
          </w:p>
        </w:tc>
      </w:tr>
      <w:tr w:rsidR="00C758C6" w:rsidRPr="007A0466" w14:paraId="1B519549"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51C2DB2" w14:textId="77777777" w:rsidR="00C758C6" w:rsidRPr="00C758C6" w:rsidRDefault="006B1F77" w:rsidP="00C81515">
            <w:pPr>
              <w:spacing w:before="60" w:after="60"/>
              <w:rPr>
                <w:rFonts w:cs="Arial"/>
                <w:sz w:val="19"/>
                <w:szCs w:val="19"/>
              </w:rPr>
            </w:pPr>
            <w:r w:rsidRPr="006B1F77">
              <w:rPr>
                <w:rFonts w:cs="Arial"/>
                <w:sz w:val="19"/>
                <w:szCs w:val="19"/>
              </w:rPr>
              <w:t>Listing of trade debtors with amounts outstanding</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511E01A"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9CF287F" w14:textId="77777777" w:rsidR="00C758C6" w:rsidRPr="007A0466" w:rsidRDefault="00C758C6" w:rsidP="00C81515">
            <w:pPr>
              <w:spacing w:before="60" w:after="60"/>
              <w:rPr>
                <w:rFonts w:cs="Arial"/>
                <w:sz w:val="21"/>
                <w:szCs w:val="21"/>
              </w:rPr>
            </w:pPr>
          </w:p>
        </w:tc>
      </w:tr>
      <w:tr w:rsidR="006B1F77" w:rsidRPr="007A0466" w14:paraId="5970EC8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77B76BA" w14:textId="77777777" w:rsidR="006B1F77" w:rsidRPr="006B1F77" w:rsidRDefault="006B1F77" w:rsidP="00C81515">
            <w:pPr>
              <w:spacing w:before="60" w:after="60"/>
              <w:rPr>
                <w:rFonts w:cs="Arial"/>
                <w:sz w:val="19"/>
                <w:szCs w:val="19"/>
              </w:rPr>
            </w:pPr>
            <w:r w:rsidRPr="006B1F77">
              <w:rPr>
                <w:rFonts w:cs="Arial"/>
                <w:sz w:val="19"/>
                <w:szCs w:val="19"/>
              </w:rPr>
              <w:t>Rental statements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6866283"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C7E0420" w14:textId="77777777" w:rsidR="006B1F77" w:rsidRPr="007A0466" w:rsidRDefault="006B1F77" w:rsidP="00C81515">
            <w:pPr>
              <w:spacing w:before="60" w:after="60"/>
              <w:rPr>
                <w:rFonts w:cs="Arial"/>
                <w:sz w:val="21"/>
                <w:szCs w:val="21"/>
              </w:rPr>
            </w:pPr>
          </w:p>
        </w:tc>
      </w:tr>
      <w:tr w:rsidR="006B1F77" w:rsidRPr="00A42380" w14:paraId="30503474" w14:textId="77777777" w:rsidTr="009C5604">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C2E097F" w14:textId="77777777" w:rsidR="006B1F77" w:rsidRPr="006B1F77" w:rsidRDefault="006B1F77" w:rsidP="00C81515">
            <w:pPr>
              <w:spacing w:before="60" w:after="60"/>
              <w:rPr>
                <w:rFonts w:cs="Arial"/>
                <w:sz w:val="19"/>
                <w:szCs w:val="19"/>
              </w:rPr>
            </w:pPr>
            <w:r w:rsidRPr="006B1F77">
              <w:rPr>
                <w:rFonts w:cs="Arial"/>
                <w:sz w:val="19"/>
                <w:szCs w:val="19"/>
              </w:rPr>
              <w:lastRenderedPageBreak/>
              <w:t>Statements from lenders detailing the opening and closing balances of existing loans during the financial year (and any repayments made)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D2F37E8" w14:textId="77777777" w:rsidR="006B1F77" w:rsidRPr="009C5604" w:rsidRDefault="006B1F77" w:rsidP="00C81515">
            <w:pPr>
              <w:spacing w:before="60" w:after="60"/>
              <w:rPr>
                <w:rFonts w:cs="Arial"/>
                <w:sz w:val="19"/>
                <w:szCs w:val="19"/>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780B944" w14:textId="77777777" w:rsidR="006B1F77" w:rsidRPr="009C5604" w:rsidRDefault="006B1F77" w:rsidP="00C81515">
            <w:pPr>
              <w:spacing w:before="60" w:after="60"/>
              <w:rPr>
                <w:rFonts w:cs="Arial"/>
                <w:sz w:val="19"/>
                <w:szCs w:val="19"/>
              </w:rPr>
            </w:pPr>
          </w:p>
        </w:tc>
      </w:tr>
      <w:tr w:rsidR="004B4665" w:rsidRPr="00A42380" w14:paraId="5E4D57EF" w14:textId="77777777" w:rsidTr="00EC197D">
        <w:tc>
          <w:tcPr>
            <w:tcW w:w="7088" w:type="dxa"/>
            <w:tcBorders>
              <w:top w:val="single" w:sz="4" w:space="0" w:color="BFBFBF" w:themeColor="background1" w:themeShade="BF"/>
              <w:left w:val="single" w:sz="4" w:space="0" w:color="auto"/>
              <w:bottom w:val="single" w:sz="4" w:space="0" w:color="auto"/>
              <w:right w:val="single" w:sz="4" w:space="0" w:color="auto"/>
            </w:tcBorders>
          </w:tcPr>
          <w:p w14:paraId="5F6FC7BF" w14:textId="48A05A61" w:rsidR="004B4665" w:rsidRPr="006B1F77" w:rsidRDefault="00A42380" w:rsidP="00C81515">
            <w:pPr>
              <w:spacing w:before="60" w:after="60"/>
              <w:rPr>
                <w:rFonts w:cs="Arial"/>
                <w:sz w:val="19"/>
                <w:szCs w:val="19"/>
              </w:rPr>
            </w:pPr>
            <w:r w:rsidRPr="009C5604">
              <w:rPr>
                <w:rFonts w:cs="Arial"/>
                <w:sz w:val="19"/>
                <w:szCs w:val="19"/>
              </w:rPr>
              <w:t>Details of government grants received during the year</w:t>
            </w:r>
          </w:p>
        </w:tc>
        <w:tc>
          <w:tcPr>
            <w:tcW w:w="1417" w:type="dxa"/>
            <w:tcBorders>
              <w:top w:val="single" w:sz="4" w:space="0" w:color="BFBFBF" w:themeColor="background1" w:themeShade="BF"/>
              <w:left w:val="single" w:sz="4" w:space="0" w:color="auto"/>
              <w:bottom w:val="single" w:sz="4" w:space="0" w:color="auto"/>
              <w:right w:val="single" w:sz="4" w:space="0" w:color="auto"/>
            </w:tcBorders>
          </w:tcPr>
          <w:p w14:paraId="5E4ED0E3" w14:textId="77777777" w:rsidR="004B4665" w:rsidRPr="009C5604" w:rsidRDefault="004B4665" w:rsidP="00C81515">
            <w:pPr>
              <w:spacing w:before="60" w:after="60"/>
              <w:rPr>
                <w:rFonts w:cs="Arial"/>
                <w:sz w:val="19"/>
                <w:szCs w:val="19"/>
              </w:rPr>
            </w:pPr>
          </w:p>
        </w:tc>
        <w:tc>
          <w:tcPr>
            <w:tcW w:w="1276" w:type="dxa"/>
            <w:tcBorders>
              <w:top w:val="single" w:sz="4" w:space="0" w:color="BFBFBF" w:themeColor="background1" w:themeShade="BF"/>
              <w:left w:val="single" w:sz="4" w:space="0" w:color="auto"/>
              <w:bottom w:val="single" w:sz="4" w:space="0" w:color="auto"/>
              <w:right w:val="single" w:sz="4" w:space="0" w:color="auto"/>
            </w:tcBorders>
          </w:tcPr>
          <w:p w14:paraId="10B080E4" w14:textId="77777777" w:rsidR="004B4665" w:rsidRPr="009C5604" w:rsidRDefault="004B4665" w:rsidP="00C81515">
            <w:pPr>
              <w:spacing w:before="60" w:after="60"/>
              <w:rPr>
                <w:rFonts w:cs="Arial"/>
                <w:sz w:val="19"/>
                <w:szCs w:val="19"/>
              </w:rPr>
            </w:pPr>
          </w:p>
        </w:tc>
      </w:tr>
    </w:tbl>
    <w:p w14:paraId="0FF91C50" w14:textId="7550B59C" w:rsidR="006B1F77" w:rsidRDefault="006B1F77">
      <w:pPr>
        <w:rPr>
          <w:rFonts w:cs="Arial"/>
          <w:sz w:val="19"/>
          <w:szCs w:val="19"/>
        </w:rPr>
      </w:pPr>
    </w:p>
    <w:p w14:paraId="34541955" w14:textId="195CAEDE" w:rsidR="00404D60" w:rsidRDefault="00404D60">
      <w:pPr>
        <w:rPr>
          <w:rFonts w:cs="Arial"/>
          <w:sz w:val="19"/>
          <w:szCs w:val="19"/>
        </w:rPr>
      </w:pPr>
    </w:p>
    <w:p w14:paraId="13AD3E16" w14:textId="77777777" w:rsidR="00404D60" w:rsidRPr="009C5604" w:rsidRDefault="00404D60">
      <w:pPr>
        <w:rPr>
          <w:rFonts w:cs="Arial"/>
          <w:sz w:val="19"/>
          <w:szCs w:val="19"/>
        </w:rPr>
      </w:pPr>
    </w:p>
    <w:tbl>
      <w:tblPr>
        <w:tblW w:w="9781" w:type="dxa"/>
        <w:tblInd w:w="-5" w:type="dxa"/>
        <w:tblLook w:val="01E0" w:firstRow="1" w:lastRow="1" w:firstColumn="1" w:lastColumn="1" w:noHBand="0" w:noVBand="0"/>
      </w:tblPr>
      <w:tblGrid>
        <w:gridCol w:w="7088"/>
        <w:gridCol w:w="1417"/>
        <w:gridCol w:w="1276"/>
      </w:tblGrid>
      <w:tr w:rsidR="006B1F77" w:rsidRPr="007A0466" w14:paraId="26AC2E9D" w14:textId="77777777" w:rsidTr="00EC197D">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FD831" w14:textId="77777777" w:rsidR="006B1F77" w:rsidRPr="007A0466" w:rsidRDefault="006B1F77" w:rsidP="00C81515">
            <w:pPr>
              <w:spacing w:before="60" w:after="60"/>
              <w:rPr>
                <w:rFonts w:cs="Arial"/>
                <w:lang w:eastAsia="en-AU"/>
              </w:rPr>
            </w:pPr>
            <w:r>
              <w:rPr>
                <w:rFonts w:cs="Arial"/>
                <w:b/>
              </w:rPr>
              <w:t>Client records required – business clients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5B34D" w14:textId="77777777" w:rsidR="006B1F77" w:rsidRPr="007A0466" w:rsidRDefault="006B1F77" w:rsidP="00C81515">
            <w:pPr>
              <w:spacing w:before="60" w:after="60"/>
              <w:rPr>
                <w:rFonts w:cs="Arial"/>
                <w:lang w:eastAsia="en-AU"/>
              </w:rPr>
            </w:pPr>
            <w:r>
              <w:rPr>
                <w:rFonts w:cs="Arial"/>
                <w:b/>
              </w:rPr>
              <w:t>Information provided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C9991" w14:textId="77777777" w:rsidR="006B1F77" w:rsidRPr="007A0466" w:rsidRDefault="006B1F77" w:rsidP="00C81515">
            <w:pPr>
              <w:spacing w:before="60" w:after="60"/>
              <w:rPr>
                <w:rFonts w:cs="Arial"/>
                <w:b/>
              </w:rPr>
            </w:pPr>
            <w:r>
              <w:rPr>
                <w:rFonts w:cs="Arial"/>
                <w:b/>
              </w:rPr>
              <w:t>Not applicable</w:t>
            </w:r>
          </w:p>
        </w:tc>
      </w:tr>
      <w:tr w:rsidR="006B1F77" w:rsidRPr="007A0466" w14:paraId="25D7BA15" w14:textId="77777777" w:rsidTr="00EC197D">
        <w:tc>
          <w:tcPr>
            <w:tcW w:w="9781" w:type="dxa"/>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F2F2F2" w:themeFill="background1" w:themeFillShade="F2"/>
          </w:tcPr>
          <w:p w14:paraId="3684F5D5" w14:textId="03FFBDA4" w:rsidR="006B1F77" w:rsidRPr="007A0466" w:rsidRDefault="006B1F77" w:rsidP="00C81515">
            <w:pPr>
              <w:spacing w:before="60" w:after="60"/>
              <w:rPr>
                <w:rFonts w:cs="Arial"/>
                <w:sz w:val="21"/>
                <w:szCs w:val="21"/>
              </w:rPr>
            </w:pPr>
            <w:r>
              <w:rPr>
                <w:rFonts w:cs="Arial"/>
                <w:sz w:val="19"/>
                <w:szCs w:val="19"/>
              </w:rPr>
              <w:t xml:space="preserve">ADDITIONAL INFORMATION </w:t>
            </w:r>
            <w:r w:rsidR="00050706">
              <w:rPr>
                <w:rFonts w:cs="Arial"/>
                <w:sz w:val="19"/>
                <w:szCs w:val="19"/>
              </w:rPr>
              <w:t>–</w:t>
            </w:r>
            <w:r>
              <w:rPr>
                <w:rFonts w:cs="Arial"/>
                <w:sz w:val="19"/>
                <w:szCs w:val="19"/>
              </w:rPr>
              <w:t xml:space="preserve"> COMPANY</w:t>
            </w:r>
            <w:r w:rsidR="00050706">
              <w:rPr>
                <w:rFonts w:cs="Arial"/>
                <w:sz w:val="19"/>
                <w:szCs w:val="19"/>
              </w:rPr>
              <w:t xml:space="preserve"> </w:t>
            </w:r>
            <w:r w:rsidR="00050706" w:rsidRPr="00BD45FB">
              <w:rPr>
                <w:rFonts w:cs="Arial"/>
                <w:sz w:val="19"/>
                <w:szCs w:val="19"/>
                <w:highlight w:val="yellow"/>
              </w:rPr>
              <w:t>[Delete if not applicable]</w:t>
            </w:r>
          </w:p>
        </w:tc>
      </w:tr>
      <w:tr w:rsidR="006B1F77" w:rsidRPr="007A0466" w14:paraId="477560A4"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00A78F7" w14:textId="77777777" w:rsidR="006B1F77" w:rsidRPr="006B1F77" w:rsidRDefault="006B1F77" w:rsidP="00C81515">
            <w:pPr>
              <w:spacing w:before="60" w:after="60"/>
              <w:rPr>
                <w:rFonts w:cs="Arial"/>
                <w:sz w:val="19"/>
                <w:szCs w:val="19"/>
              </w:rPr>
            </w:pPr>
            <w:r w:rsidRPr="006B1F77">
              <w:rPr>
                <w:rFonts w:cs="Arial"/>
                <w:sz w:val="19"/>
                <w:szCs w:val="19"/>
              </w:rPr>
              <w:t>Auditor’s report (if applicable)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CCF848F"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01D19D9" w14:textId="77777777" w:rsidR="006B1F77" w:rsidRPr="007A0466" w:rsidRDefault="006B1F77" w:rsidP="00C81515">
            <w:pPr>
              <w:spacing w:before="60" w:after="60"/>
              <w:rPr>
                <w:rFonts w:cs="Arial"/>
                <w:sz w:val="21"/>
                <w:szCs w:val="21"/>
              </w:rPr>
            </w:pPr>
          </w:p>
        </w:tc>
      </w:tr>
      <w:tr w:rsidR="006B1F77" w:rsidRPr="007A0466" w14:paraId="10AF2245"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D094000" w14:textId="77777777" w:rsidR="006B1F77" w:rsidRPr="006B1F77" w:rsidRDefault="006B1F77" w:rsidP="00C81515">
            <w:pPr>
              <w:spacing w:before="60" w:after="60"/>
              <w:rPr>
                <w:rFonts w:cs="Arial"/>
                <w:sz w:val="19"/>
                <w:szCs w:val="19"/>
              </w:rPr>
            </w:pPr>
            <w:r w:rsidRPr="006B1F77">
              <w:rPr>
                <w:rFonts w:cs="Arial"/>
                <w:sz w:val="19"/>
                <w:szCs w:val="19"/>
              </w:rPr>
              <w:t>Copies of Instalment Activity Statements and/or Business Activity Statements lodged for the income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6E94AB1"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EE34A89" w14:textId="77777777" w:rsidR="006B1F77" w:rsidRPr="007A0466" w:rsidRDefault="006B1F77" w:rsidP="00C81515">
            <w:pPr>
              <w:spacing w:before="60" w:after="60"/>
              <w:rPr>
                <w:rFonts w:cs="Arial"/>
                <w:sz w:val="21"/>
                <w:szCs w:val="21"/>
              </w:rPr>
            </w:pPr>
          </w:p>
        </w:tc>
      </w:tr>
      <w:tr w:rsidR="006B1F77" w:rsidRPr="007A0466" w14:paraId="1F87E5DB"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9C262E5" w14:textId="77777777" w:rsidR="006B1F77" w:rsidRPr="006B1F77" w:rsidRDefault="006B1F77" w:rsidP="00C81515">
            <w:pPr>
              <w:spacing w:before="60" w:after="60"/>
              <w:rPr>
                <w:rFonts w:cs="Arial"/>
                <w:sz w:val="19"/>
                <w:szCs w:val="19"/>
              </w:rPr>
            </w:pPr>
            <w:r w:rsidRPr="006B1F77">
              <w:rPr>
                <w:rFonts w:cs="Arial"/>
                <w:sz w:val="19"/>
                <w:szCs w:val="19"/>
              </w:rPr>
              <w:t>Copies of minutes of company meetings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158BD04"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458036A" w14:textId="77777777" w:rsidR="006B1F77" w:rsidRPr="007A0466" w:rsidRDefault="006B1F77" w:rsidP="00C81515">
            <w:pPr>
              <w:spacing w:before="60" w:after="60"/>
              <w:rPr>
                <w:rFonts w:cs="Arial"/>
                <w:sz w:val="21"/>
                <w:szCs w:val="21"/>
              </w:rPr>
            </w:pPr>
          </w:p>
        </w:tc>
      </w:tr>
      <w:tr w:rsidR="006B1F77" w:rsidRPr="007A0466" w14:paraId="59107580"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B89CF10" w14:textId="30D2B73B" w:rsidR="006B1F77" w:rsidRPr="006B1F77" w:rsidRDefault="006B1F77" w:rsidP="00C81515">
            <w:pPr>
              <w:spacing w:before="60" w:after="60"/>
              <w:rPr>
                <w:rFonts w:cs="Arial"/>
                <w:sz w:val="19"/>
                <w:szCs w:val="19"/>
              </w:rPr>
            </w:pPr>
            <w:r w:rsidRPr="006B1F77">
              <w:rPr>
                <w:rFonts w:cs="Arial"/>
                <w:sz w:val="19"/>
                <w:szCs w:val="19"/>
              </w:rPr>
              <w:t>Details of any changes in shareholding</w:t>
            </w:r>
            <w:r w:rsidR="00485B58">
              <w:rPr>
                <w:rFonts w:cs="Arial"/>
                <w:sz w:val="19"/>
                <w:szCs w:val="19"/>
              </w:rPr>
              <w:t>s</w:t>
            </w:r>
            <w:r w:rsidR="000F30CF">
              <w:rPr>
                <w:rFonts w:cs="Arial"/>
                <w:sz w:val="19"/>
                <w:szCs w:val="19"/>
              </w:rPr>
              <w:t>, including the issue of new shares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0D95DBF"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DEE466D" w14:textId="77777777" w:rsidR="006B1F77" w:rsidRPr="007A0466" w:rsidRDefault="006B1F77" w:rsidP="00C81515">
            <w:pPr>
              <w:spacing w:before="60" w:after="60"/>
              <w:rPr>
                <w:rFonts w:cs="Arial"/>
                <w:sz w:val="21"/>
                <w:szCs w:val="21"/>
              </w:rPr>
            </w:pPr>
          </w:p>
        </w:tc>
      </w:tr>
      <w:tr w:rsidR="006B1F77" w:rsidRPr="007A0466" w14:paraId="1F5C7F77"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778884A" w14:textId="77777777" w:rsidR="006B1F77" w:rsidRPr="006B1F77" w:rsidRDefault="006B1F77" w:rsidP="00C81515">
            <w:pPr>
              <w:spacing w:before="60" w:after="60"/>
              <w:rPr>
                <w:rFonts w:cs="Arial"/>
                <w:sz w:val="19"/>
                <w:szCs w:val="19"/>
              </w:rPr>
            </w:pPr>
            <w:r w:rsidRPr="006B1F77">
              <w:rPr>
                <w:rFonts w:cs="Arial"/>
                <w:sz w:val="19"/>
                <w:szCs w:val="19"/>
              </w:rPr>
              <w:t>Details of any share buybacks or share cancellations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6116217"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3ECD2B7" w14:textId="77777777" w:rsidR="006B1F77" w:rsidRPr="007A0466" w:rsidRDefault="006B1F77" w:rsidP="00C81515">
            <w:pPr>
              <w:spacing w:before="60" w:after="60"/>
              <w:rPr>
                <w:rFonts w:cs="Arial"/>
                <w:sz w:val="21"/>
                <w:szCs w:val="21"/>
              </w:rPr>
            </w:pPr>
          </w:p>
        </w:tc>
      </w:tr>
      <w:tr w:rsidR="006B1F77" w:rsidRPr="007A0466" w14:paraId="08D9D59F"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A92A88F" w14:textId="3FC64625" w:rsidR="006B1F77" w:rsidRPr="006B1F77" w:rsidRDefault="006B1F77" w:rsidP="00C81515">
            <w:pPr>
              <w:spacing w:before="60" w:after="60"/>
              <w:rPr>
                <w:rFonts w:cs="Arial"/>
                <w:sz w:val="19"/>
                <w:szCs w:val="19"/>
              </w:rPr>
            </w:pPr>
            <w:r w:rsidRPr="006B1F77">
              <w:rPr>
                <w:rFonts w:cs="Arial"/>
                <w:sz w:val="19"/>
                <w:szCs w:val="19"/>
              </w:rPr>
              <w:t>Loans, payments</w:t>
            </w:r>
            <w:r w:rsidR="000F30CF">
              <w:rPr>
                <w:rFonts w:cs="Arial"/>
                <w:sz w:val="19"/>
                <w:szCs w:val="19"/>
              </w:rPr>
              <w:t>,</w:t>
            </w:r>
            <w:r w:rsidRPr="006B1F77">
              <w:rPr>
                <w:rFonts w:cs="Arial"/>
                <w:sz w:val="19"/>
                <w:szCs w:val="19"/>
              </w:rPr>
              <w:t xml:space="preserve"> debt forgiveness, or use of assets given to shareholders or associates of the shareholders, if private company</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75955DC"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93F9F95" w14:textId="77777777" w:rsidR="006B1F77" w:rsidRPr="007A0466" w:rsidRDefault="006B1F77" w:rsidP="00C81515">
            <w:pPr>
              <w:spacing w:before="60" w:after="60"/>
              <w:rPr>
                <w:rFonts w:cs="Arial"/>
                <w:sz w:val="21"/>
                <w:szCs w:val="21"/>
              </w:rPr>
            </w:pPr>
          </w:p>
        </w:tc>
      </w:tr>
      <w:tr w:rsidR="00B65751" w:rsidRPr="007A0466" w14:paraId="414AB172"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0A08FBA" w14:textId="69C9473C" w:rsidR="00B65751" w:rsidRPr="006B1F77" w:rsidRDefault="00B65751" w:rsidP="00C81515">
            <w:pPr>
              <w:spacing w:before="60" w:after="60"/>
              <w:rPr>
                <w:rFonts w:cs="Arial"/>
                <w:sz w:val="19"/>
                <w:szCs w:val="19"/>
              </w:rPr>
            </w:pPr>
            <w:r>
              <w:rPr>
                <w:rFonts w:cs="Arial"/>
                <w:sz w:val="19"/>
                <w:szCs w:val="19"/>
              </w:rPr>
              <w:t xml:space="preserve">Transfer Pricing documentation (if applicable) </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AB6B699" w14:textId="77777777" w:rsidR="00B65751" w:rsidRPr="007A0466" w:rsidRDefault="00B65751"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E87F839" w14:textId="77777777" w:rsidR="00B65751" w:rsidRPr="007A0466" w:rsidRDefault="00B65751" w:rsidP="00C81515">
            <w:pPr>
              <w:spacing w:before="60" w:after="60"/>
              <w:rPr>
                <w:rFonts w:cs="Arial"/>
                <w:sz w:val="21"/>
                <w:szCs w:val="21"/>
              </w:rPr>
            </w:pPr>
          </w:p>
        </w:tc>
      </w:tr>
      <w:tr w:rsidR="001A7427" w:rsidRPr="007A0466" w14:paraId="6A0905EB"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E95197D" w14:textId="7FFB2C41" w:rsidR="001A7427" w:rsidRPr="006B1F77" w:rsidRDefault="00B65751" w:rsidP="00C81515">
            <w:pPr>
              <w:spacing w:before="60" w:after="60"/>
              <w:rPr>
                <w:rFonts w:cs="Arial"/>
                <w:sz w:val="19"/>
                <w:szCs w:val="19"/>
              </w:rPr>
            </w:pPr>
            <w:r>
              <w:rPr>
                <w:rFonts w:cs="Arial"/>
                <w:sz w:val="19"/>
                <w:szCs w:val="19"/>
              </w:rPr>
              <w:t xml:space="preserve">Significant Global Entity assessment </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8FFAB13" w14:textId="77777777" w:rsidR="001A7427" w:rsidRPr="007A0466" w:rsidRDefault="001A742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352C981" w14:textId="77777777" w:rsidR="001A7427" w:rsidRPr="007A0466" w:rsidRDefault="001A7427" w:rsidP="00C81515">
            <w:pPr>
              <w:spacing w:before="60" w:after="60"/>
              <w:rPr>
                <w:rFonts w:cs="Arial"/>
                <w:sz w:val="21"/>
                <w:szCs w:val="21"/>
              </w:rPr>
            </w:pPr>
          </w:p>
        </w:tc>
      </w:tr>
      <w:tr w:rsidR="006B1F77" w:rsidRPr="007A0466" w14:paraId="167CDD81" w14:textId="77777777" w:rsidTr="00EC197D">
        <w:tc>
          <w:tcPr>
            <w:tcW w:w="9781" w:type="dxa"/>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F2F2F2" w:themeFill="background1" w:themeFillShade="F2"/>
          </w:tcPr>
          <w:p w14:paraId="27E4FAF9" w14:textId="051AF05C" w:rsidR="006B1F77" w:rsidRPr="007A0466" w:rsidRDefault="006B1F77" w:rsidP="00C81515">
            <w:pPr>
              <w:spacing w:before="60" w:after="60"/>
              <w:rPr>
                <w:rFonts w:cs="Arial"/>
                <w:sz w:val="21"/>
                <w:szCs w:val="21"/>
              </w:rPr>
            </w:pPr>
            <w:r>
              <w:rPr>
                <w:rFonts w:cs="Arial"/>
                <w:sz w:val="21"/>
                <w:szCs w:val="21"/>
              </w:rPr>
              <w:t xml:space="preserve">ADDITIONAL INFORMATION </w:t>
            </w:r>
            <w:r w:rsidR="00050706">
              <w:rPr>
                <w:rFonts w:cs="Arial"/>
                <w:sz w:val="21"/>
                <w:szCs w:val="21"/>
              </w:rPr>
              <w:t>–</w:t>
            </w:r>
            <w:r>
              <w:rPr>
                <w:rFonts w:cs="Arial"/>
                <w:sz w:val="21"/>
                <w:szCs w:val="21"/>
              </w:rPr>
              <w:t xml:space="preserve"> TRUST</w:t>
            </w:r>
            <w:r w:rsidR="00050706">
              <w:rPr>
                <w:rFonts w:cs="Arial"/>
                <w:sz w:val="21"/>
                <w:szCs w:val="21"/>
              </w:rPr>
              <w:t xml:space="preserve"> </w:t>
            </w:r>
            <w:r w:rsidR="00050706" w:rsidRPr="00022D4E">
              <w:rPr>
                <w:rFonts w:cs="Arial"/>
                <w:sz w:val="19"/>
                <w:szCs w:val="19"/>
                <w:highlight w:val="yellow"/>
              </w:rPr>
              <w:t>[Delete if not applicable]</w:t>
            </w:r>
          </w:p>
        </w:tc>
      </w:tr>
      <w:tr w:rsidR="006B1F77" w:rsidRPr="007A0466" w14:paraId="71271829"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F4A566F" w14:textId="77777777" w:rsidR="006B1F77" w:rsidRPr="006B1F77" w:rsidRDefault="006B1F77" w:rsidP="00C81515">
            <w:pPr>
              <w:spacing w:before="60" w:after="60"/>
              <w:rPr>
                <w:rFonts w:cs="Arial"/>
                <w:sz w:val="19"/>
                <w:szCs w:val="19"/>
              </w:rPr>
            </w:pPr>
            <w:r w:rsidRPr="006B1F77">
              <w:rPr>
                <w:rFonts w:cs="Arial"/>
                <w:sz w:val="19"/>
                <w:szCs w:val="19"/>
              </w:rPr>
              <w:t>Copies of Instalment Activity Statements and/or Business Activity Statements lodged for the income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1E2BF7B"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2D8C5C0" w14:textId="77777777" w:rsidR="006B1F77" w:rsidRPr="007A0466" w:rsidRDefault="006B1F77" w:rsidP="00C81515">
            <w:pPr>
              <w:spacing w:before="60" w:after="60"/>
              <w:rPr>
                <w:rFonts w:cs="Arial"/>
                <w:sz w:val="21"/>
                <w:szCs w:val="21"/>
              </w:rPr>
            </w:pPr>
          </w:p>
        </w:tc>
      </w:tr>
      <w:tr w:rsidR="006B1F77" w:rsidRPr="007A0466" w14:paraId="5B6D78AE"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3D6CCB1" w14:textId="77777777" w:rsidR="006B1F77" w:rsidRPr="006B1F77" w:rsidRDefault="006B1F77" w:rsidP="00C81515">
            <w:pPr>
              <w:spacing w:before="60" w:after="60"/>
              <w:rPr>
                <w:rFonts w:cs="Arial"/>
                <w:sz w:val="19"/>
                <w:szCs w:val="19"/>
              </w:rPr>
            </w:pPr>
            <w:r w:rsidRPr="006B1F77">
              <w:rPr>
                <w:rFonts w:cs="Arial"/>
                <w:sz w:val="19"/>
                <w:szCs w:val="19"/>
              </w:rPr>
              <w:t>Copies of minutes of trust meetings, in particular trustee resolutions or minutes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2775613"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72E0473" w14:textId="77777777" w:rsidR="006B1F77" w:rsidRPr="007A0466" w:rsidRDefault="006B1F77" w:rsidP="00C81515">
            <w:pPr>
              <w:spacing w:before="60" w:after="60"/>
              <w:rPr>
                <w:rFonts w:cs="Arial"/>
                <w:sz w:val="21"/>
                <w:szCs w:val="21"/>
              </w:rPr>
            </w:pPr>
          </w:p>
        </w:tc>
      </w:tr>
      <w:tr w:rsidR="006B1F77" w:rsidRPr="007A0466" w14:paraId="4FE2194C"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1BBA14D" w14:textId="77777777" w:rsidR="006B1F77" w:rsidRPr="006B1F77" w:rsidRDefault="006B1F77" w:rsidP="00C81515">
            <w:pPr>
              <w:spacing w:before="60" w:after="60"/>
              <w:rPr>
                <w:rFonts w:cs="Arial"/>
                <w:sz w:val="19"/>
                <w:szCs w:val="19"/>
              </w:rPr>
            </w:pPr>
            <w:r w:rsidRPr="006B1F77">
              <w:rPr>
                <w:rFonts w:cs="Arial"/>
                <w:sz w:val="19"/>
                <w:szCs w:val="19"/>
              </w:rPr>
              <w:t>Copy of trust deed or any amendments during year, if not already supplied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627C4A3"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EAF8DDD" w14:textId="77777777" w:rsidR="006B1F77" w:rsidRPr="007A0466" w:rsidRDefault="006B1F77" w:rsidP="00C81515">
            <w:pPr>
              <w:spacing w:before="60" w:after="60"/>
              <w:rPr>
                <w:rFonts w:cs="Arial"/>
                <w:sz w:val="21"/>
                <w:szCs w:val="21"/>
              </w:rPr>
            </w:pPr>
          </w:p>
        </w:tc>
      </w:tr>
      <w:tr w:rsidR="006B1F77" w:rsidRPr="007A0466" w14:paraId="51F6C27B"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FF1536C" w14:textId="77777777" w:rsidR="006B1F77" w:rsidRPr="006B1F77" w:rsidRDefault="006B1F77" w:rsidP="00C81515">
            <w:pPr>
              <w:spacing w:before="60" w:after="60"/>
              <w:rPr>
                <w:rFonts w:cs="Arial"/>
                <w:sz w:val="19"/>
                <w:szCs w:val="19"/>
              </w:rPr>
            </w:pPr>
            <w:r w:rsidRPr="006B1F77">
              <w:rPr>
                <w:rFonts w:cs="Arial"/>
                <w:sz w:val="19"/>
                <w:szCs w:val="19"/>
              </w:rPr>
              <w:t>Details of any units redeemed or issued during the year (for a unit trust)</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81A35C4"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08D90C0" w14:textId="77777777" w:rsidR="006B1F77" w:rsidRPr="007A0466" w:rsidRDefault="006B1F77" w:rsidP="00C81515">
            <w:pPr>
              <w:spacing w:before="60" w:after="60"/>
              <w:rPr>
                <w:rFonts w:cs="Arial"/>
                <w:sz w:val="21"/>
                <w:szCs w:val="21"/>
              </w:rPr>
            </w:pPr>
          </w:p>
        </w:tc>
      </w:tr>
      <w:tr w:rsidR="006B1F77" w:rsidRPr="007A0466" w14:paraId="1D8E961E"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28FD363" w14:textId="77777777" w:rsidR="006B1F77" w:rsidRPr="006B1F77" w:rsidRDefault="006B1F77" w:rsidP="00C81515">
            <w:pPr>
              <w:spacing w:before="60" w:after="60"/>
              <w:rPr>
                <w:rFonts w:cs="Arial"/>
                <w:sz w:val="19"/>
                <w:szCs w:val="19"/>
              </w:rPr>
            </w:pPr>
            <w:r w:rsidRPr="006B1F77">
              <w:rPr>
                <w:rFonts w:cs="Arial"/>
                <w:sz w:val="19"/>
                <w:szCs w:val="19"/>
              </w:rPr>
              <w:t>Details of any unpaid present entitlements to beneficiaries or associate private companies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2AD2EB7"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8E613B4" w14:textId="77777777" w:rsidR="006B1F77" w:rsidRPr="007A0466" w:rsidRDefault="006B1F77" w:rsidP="00C81515">
            <w:pPr>
              <w:spacing w:before="60" w:after="60"/>
              <w:rPr>
                <w:rFonts w:cs="Arial"/>
                <w:sz w:val="21"/>
                <w:szCs w:val="21"/>
              </w:rPr>
            </w:pPr>
          </w:p>
        </w:tc>
      </w:tr>
      <w:tr w:rsidR="006B1F77" w:rsidRPr="007A0466" w14:paraId="20D2AD04"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221B972" w14:textId="77777777" w:rsidR="006B1F77" w:rsidRPr="006B1F77" w:rsidRDefault="006B1F77" w:rsidP="00C81515">
            <w:pPr>
              <w:spacing w:before="60" w:after="60"/>
              <w:rPr>
                <w:rFonts w:cs="Arial"/>
                <w:sz w:val="19"/>
                <w:szCs w:val="19"/>
              </w:rPr>
            </w:pPr>
            <w:r w:rsidRPr="006B1F77">
              <w:rPr>
                <w:rFonts w:cs="Arial"/>
                <w:sz w:val="19"/>
                <w:szCs w:val="19"/>
              </w:rPr>
              <w:t>Details of any elections (</w:t>
            </w:r>
            <w:proofErr w:type="gramStart"/>
            <w:r w:rsidRPr="006B1F77">
              <w:rPr>
                <w:rFonts w:cs="Arial"/>
                <w:sz w:val="19"/>
                <w:szCs w:val="19"/>
              </w:rPr>
              <w:t>e.g.</w:t>
            </w:r>
            <w:proofErr w:type="gramEnd"/>
            <w:r w:rsidRPr="006B1F77">
              <w:rPr>
                <w:rFonts w:cs="Arial"/>
                <w:sz w:val="19"/>
                <w:szCs w:val="19"/>
              </w:rPr>
              <w:t xml:space="preserve"> family trust election, interposed entity election)  </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2D3F4E6"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866F505" w14:textId="77777777" w:rsidR="006B1F77" w:rsidRPr="007A0466" w:rsidRDefault="006B1F77" w:rsidP="00C81515">
            <w:pPr>
              <w:spacing w:before="60" w:after="60"/>
              <w:rPr>
                <w:rFonts w:cs="Arial"/>
                <w:sz w:val="21"/>
                <w:szCs w:val="21"/>
              </w:rPr>
            </w:pPr>
          </w:p>
        </w:tc>
      </w:tr>
      <w:tr w:rsidR="006B1F77" w:rsidRPr="007A0466" w14:paraId="696C474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D443105" w14:textId="77777777" w:rsidR="006B1F77" w:rsidRPr="006B1F77" w:rsidRDefault="006B1F77" w:rsidP="00C81515">
            <w:pPr>
              <w:spacing w:before="60" w:after="60"/>
              <w:rPr>
                <w:rFonts w:cs="Arial"/>
                <w:sz w:val="19"/>
                <w:szCs w:val="19"/>
              </w:rPr>
            </w:pPr>
            <w:r w:rsidRPr="006B1F77">
              <w:rPr>
                <w:rFonts w:cs="Arial"/>
                <w:sz w:val="19"/>
                <w:szCs w:val="19"/>
              </w:rPr>
              <w:t>If a closely held trust, any relevant notices (</w:t>
            </w:r>
            <w:proofErr w:type="gramStart"/>
            <w:r w:rsidRPr="006B1F77">
              <w:rPr>
                <w:rFonts w:cs="Arial"/>
                <w:sz w:val="19"/>
                <w:szCs w:val="19"/>
              </w:rPr>
              <w:t>e.g.</w:t>
            </w:r>
            <w:proofErr w:type="gramEnd"/>
            <w:r w:rsidRPr="006B1F77">
              <w:rPr>
                <w:rFonts w:cs="Arial"/>
                <w:sz w:val="19"/>
                <w:szCs w:val="19"/>
              </w:rPr>
              <w:t xml:space="preserve"> tax file number (TFN) report, trustee beneficiary (TB) statement)</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C1959FE"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39E4290" w14:textId="77777777" w:rsidR="006B1F77" w:rsidRPr="007A0466" w:rsidRDefault="006B1F77" w:rsidP="00C81515">
            <w:pPr>
              <w:spacing w:before="60" w:after="60"/>
              <w:rPr>
                <w:rFonts w:cs="Arial"/>
                <w:sz w:val="21"/>
                <w:szCs w:val="21"/>
              </w:rPr>
            </w:pPr>
          </w:p>
        </w:tc>
      </w:tr>
      <w:tr w:rsidR="006B1F77" w:rsidRPr="007A0466" w14:paraId="0230887F" w14:textId="77777777" w:rsidTr="00EC197D">
        <w:tc>
          <w:tcPr>
            <w:tcW w:w="9781" w:type="dxa"/>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F2F2F2" w:themeFill="background1" w:themeFillShade="F2"/>
          </w:tcPr>
          <w:p w14:paraId="79F68A9C" w14:textId="75839A3D" w:rsidR="006B1F77" w:rsidRPr="007A0466" w:rsidRDefault="006B1F77" w:rsidP="00C81515">
            <w:pPr>
              <w:spacing w:before="60" w:after="60"/>
              <w:rPr>
                <w:rFonts w:cs="Arial"/>
                <w:sz w:val="21"/>
                <w:szCs w:val="21"/>
              </w:rPr>
            </w:pPr>
            <w:r>
              <w:rPr>
                <w:rFonts w:cs="Arial"/>
                <w:sz w:val="19"/>
                <w:szCs w:val="19"/>
              </w:rPr>
              <w:t xml:space="preserve">ADDITIONAL INFORMATION </w:t>
            </w:r>
            <w:r w:rsidR="00050706">
              <w:rPr>
                <w:rFonts w:cs="Arial"/>
                <w:sz w:val="19"/>
                <w:szCs w:val="19"/>
              </w:rPr>
              <w:t>–</w:t>
            </w:r>
            <w:r>
              <w:rPr>
                <w:rFonts w:cs="Arial"/>
                <w:sz w:val="19"/>
                <w:szCs w:val="19"/>
              </w:rPr>
              <w:t xml:space="preserve"> PARTNERSHIP</w:t>
            </w:r>
            <w:r w:rsidR="00050706">
              <w:rPr>
                <w:rFonts w:cs="Arial"/>
                <w:sz w:val="19"/>
                <w:szCs w:val="19"/>
              </w:rPr>
              <w:t xml:space="preserve"> </w:t>
            </w:r>
            <w:r w:rsidR="00050706" w:rsidRPr="00022D4E">
              <w:rPr>
                <w:rFonts w:cs="Arial"/>
                <w:sz w:val="19"/>
                <w:szCs w:val="19"/>
                <w:highlight w:val="yellow"/>
              </w:rPr>
              <w:t>[Delete if not applicable]</w:t>
            </w:r>
          </w:p>
        </w:tc>
      </w:tr>
      <w:tr w:rsidR="006B1F77" w:rsidRPr="007A0466" w14:paraId="35C178F3"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AF13380" w14:textId="77777777" w:rsidR="006B1F77" w:rsidRPr="006B1F77" w:rsidRDefault="006B1F77" w:rsidP="00C81515">
            <w:pPr>
              <w:spacing w:before="60" w:after="60"/>
              <w:rPr>
                <w:rFonts w:cs="Arial"/>
                <w:sz w:val="19"/>
                <w:szCs w:val="19"/>
              </w:rPr>
            </w:pPr>
            <w:r w:rsidRPr="006B1F77">
              <w:rPr>
                <w:rFonts w:cs="Arial"/>
                <w:sz w:val="19"/>
                <w:szCs w:val="19"/>
              </w:rPr>
              <w:t>Copies of Instalment Activity Statements and/or Business Activity Statements lodged for the income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251744B"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9E733F7" w14:textId="77777777" w:rsidR="006B1F77" w:rsidRPr="007A0466" w:rsidRDefault="006B1F77" w:rsidP="00C81515">
            <w:pPr>
              <w:spacing w:before="60" w:after="60"/>
              <w:rPr>
                <w:rFonts w:cs="Arial"/>
                <w:sz w:val="21"/>
                <w:szCs w:val="21"/>
              </w:rPr>
            </w:pPr>
          </w:p>
        </w:tc>
      </w:tr>
      <w:tr w:rsidR="006B1F77" w:rsidRPr="007A0466" w14:paraId="6C1F4C76"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A49E39C" w14:textId="77777777" w:rsidR="006B1F77" w:rsidRPr="006B1F77" w:rsidRDefault="006B1F77" w:rsidP="00C81515">
            <w:pPr>
              <w:spacing w:before="60" w:after="60"/>
              <w:rPr>
                <w:rFonts w:cs="Arial"/>
                <w:sz w:val="19"/>
                <w:szCs w:val="19"/>
              </w:rPr>
            </w:pPr>
            <w:r w:rsidRPr="006B1F77">
              <w:rPr>
                <w:rFonts w:cs="Arial"/>
                <w:sz w:val="19"/>
                <w:szCs w:val="19"/>
              </w:rPr>
              <w:t>Copies of minutes of partnership meetings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FADAFA3"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537E37F" w14:textId="77777777" w:rsidR="006B1F77" w:rsidRPr="007A0466" w:rsidRDefault="006B1F77" w:rsidP="00C81515">
            <w:pPr>
              <w:spacing w:before="60" w:after="60"/>
              <w:rPr>
                <w:rFonts w:cs="Arial"/>
                <w:sz w:val="21"/>
                <w:szCs w:val="21"/>
              </w:rPr>
            </w:pPr>
          </w:p>
        </w:tc>
      </w:tr>
      <w:tr w:rsidR="006B1F77" w:rsidRPr="007A0466" w14:paraId="2A527412"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7C53618" w14:textId="77777777" w:rsidR="006B1F77" w:rsidRPr="006B1F77" w:rsidRDefault="006B1F77" w:rsidP="00C81515">
            <w:pPr>
              <w:spacing w:before="60" w:after="60"/>
              <w:rPr>
                <w:rFonts w:cs="Arial"/>
                <w:sz w:val="19"/>
                <w:szCs w:val="19"/>
              </w:rPr>
            </w:pPr>
            <w:r w:rsidRPr="006B1F77">
              <w:rPr>
                <w:rFonts w:cs="Arial"/>
                <w:sz w:val="19"/>
                <w:szCs w:val="19"/>
              </w:rPr>
              <w:t>Copy of partnership agreement</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3B8E780"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795D67E" w14:textId="77777777" w:rsidR="006B1F77" w:rsidRPr="007A0466" w:rsidRDefault="006B1F77" w:rsidP="00C81515">
            <w:pPr>
              <w:spacing w:before="60" w:after="60"/>
              <w:rPr>
                <w:rFonts w:cs="Arial"/>
                <w:sz w:val="21"/>
                <w:szCs w:val="21"/>
              </w:rPr>
            </w:pPr>
          </w:p>
        </w:tc>
      </w:tr>
      <w:tr w:rsidR="006B1F77" w:rsidRPr="007A0466" w14:paraId="2C398192" w14:textId="77777777" w:rsidTr="00EC197D">
        <w:tc>
          <w:tcPr>
            <w:tcW w:w="7088" w:type="dxa"/>
            <w:tcBorders>
              <w:top w:val="single" w:sz="4" w:space="0" w:color="BFBFBF" w:themeColor="background1" w:themeShade="BF"/>
              <w:left w:val="single" w:sz="4" w:space="0" w:color="auto"/>
              <w:bottom w:val="single" w:sz="4" w:space="0" w:color="auto"/>
              <w:right w:val="single" w:sz="4" w:space="0" w:color="auto"/>
            </w:tcBorders>
          </w:tcPr>
          <w:p w14:paraId="383B9747" w14:textId="77777777" w:rsidR="006B1F77" w:rsidRPr="006B1F77" w:rsidRDefault="006B1F77" w:rsidP="00C81515">
            <w:pPr>
              <w:spacing w:before="60" w:after="60"/>
              <w:rPr>
                <w:rFonts w:cs="Arial"/>
                <w:sz w:val="19"/>
                <w:szCs w:val="19"/>
              </w:rPr>
            </w:pPr>
            <w:r w:rsidRPr="006B1F77">
              <w:rPr>
                <w:rFonts w:cs="Arial"/>
                <w:sz w:val="19"/>
                <w:szCs w:val="19"/>
              </w:rPr>
              <w:t>If the partnership was restructured during the year, please provide details</w:t>
            </w:r>
          </w:p>
        </w:tc>
        <w:tc>
          <w:tcPr>
            <w:tcW w:w="1417" w:type="dxa"/>
            <w:tcBorders>
              <w:top w:val="single" w:sz="4" w:space="0" w:color="BFBFBF" w:themeColor="background1" w:themeShade="BF"/>
              <w:left w:val="single" w:sz="4" w:space="0" w:color="auto"/>
              <w:bottom w:val="single" w:sz="4" w:space="0" w:color="auto"/>
              <w:right w:val="single" w:sz="4" w:space="0" w:color="auto"/>
            </w:tcBorders>
          </w:tcPr>
          <w:p w14:paraId="6127563C"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auto"/>
              <w:right w:val="single" w:sz="4" w:space="0" w:color="auto"/>
            </w:tcBorders>
          </w:tcPr>
          <w:p w14:paraId="3D2414AA" w14:textId="77777777" w:rsidR="006B1F77" w:rsidRPr="007A0466" w:rsidRDefault="006B1F77" w:rsidP="00C81515">
            <w:pPr>
              <w:spacing w:before="60" w:after="60"/>
              <w:rPr>
                <w:rFonts w:cs="Arial"/>
                <w:sz w:val="21"/>
                <w:szCs w:val="21"/>
              </w:rPr>
            </w:pPr>
          </w:p>
        </w:tc>
      </w:tr>
    </w:tbl>
    <w:p w14:paraId="16AD4B17" w14:textId="2AE4B8A0" w:rsidR="003E2D79" w:rsidRDefault="003E2D79" w:rsidP="009C5604">
      <w:pPr>
        <w:spacing w:after="200" w:line="276" w:lineRule="auto"/>
      </w:pPr>
    </w:p>
    <w:sectPr w:rsidR="003E2D79" w:rsidSect="006965F1">
      <w:headerReference w:type="default" r:id="rId11"/>
      <w:footerReference w:type="even" r:id="rId12"/>
      <w:footerReference w:type="default" r:id="rId13"/>
      <w:footerReference w:type="first" r:id="rId14"/>
      <w:pgSz w:w="11907" w:h="16840" w:code="9"/>
      <w:pgMar w:top="1134" w:right="1134" w:bottom="851" w:left="1134" w:header="567" w:footer="397" w:gutter="0"/>
      <w:paperSrc w:first="260" w:other="26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7F51" w14:textId="77777777" w:rsidR="006965F1" w:rsidRDefault="006965F1" w:rsidP="00806A8C">
      <w:r>
        <w:separator/>
      </w:r>
    </w:p>
  </w:endnote>
  <w:endnote w:type="continuationSeparator" w:id="0">
    <w:p w14:paraId="72F94D4F" w14:textId="77777777" w:rsidR="006965F1" w:rsidRDefault="006965F1" w:rsidP="00806A8C">
      <w:r>
        <w:continuationSeparator/>
      </w:r>
    </w:p>
  </w:endnote>
  <w:endnote w:type="continuationNotice" w:id="1">
    <w:p w14:paraId="6790109C" w14:textId="77777777" w:rsidR="006965F1" w:rsidRDefault="00696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1056" w14:textId="3478C019" w:rsidR="00D06D7E" w:rsidRPr="002258AE" w:rsidRDefault="00D06D7E" w:rsidP="00686404">
    <w:pPr>
      <w:pStyle w:val="Footer"/>
    </w:pPr>
    <w:r w:rsidRPr="002258AE">
      <w:fldChar w:fldCharType="begin"/>
    </w:r>
    <w:r>
      <w:instrText xml:space="preserve"> Docproperty DocName </w:instrText>
    </w:r>
    <w:r w:rsidRPr="002258AE">
      <w:fldChar w:fldCharType="separate"/>
    </w:r>
    <w:r>
      <w:rPr>
        <w:b/>
        <w:bCs/>
        <w:lang w:val="en-US"/>
      </w:rPr>
      <w:t>Error! Unknown document property name.</w:t>
    </w:r>
    <w:r w:rsidRPr="002258AE">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8D96" w14:textId="30579249" w:rsidR="00D06D7E" w:rsidRDefault="00D06D7E" w:rsidP="00686404">
    <w:pPr>
      <w:pStyle w:val="Footer"/>
    </w:pPr>
    <w:r>
      <w:tab/>
      <w:t xml:space="preserve">Page </w:t>
    </w:r>
    <w:r>
      <w:fldChar w:fldCharType="begin"/>
    </w:r>
    <w:r>
      <w:instrText xml:space="preserve"> PAGE  \* MERGEFORMAT </w:instrText>
    </w:r>
    <w:r>
      <w:fldChar w:fldCharType="separate"/>
    </w:r>
    <w:r w:rsidR="00556F4A">
      <w:rPr>
        <w:noProof/>
      </w:rPr>
      <w:t>2</w:t>
    </w:r>
    <w:r>
      <w:rPr>
        <w:noProof/>
      </w:rPr>
      <w:fldChar w:fldCharType="end"/>
    </w:r>
    <w:r>
      <w:t xml:space="preserve"> of </w:t>
    </w:r>
    <w:r w:rsidR="00471057">
      <w:fldChar w:fldCharType="begin"/>
    </w:r>
    <w:r w:rsidR="00471057">
      <w:instrText>NUMPAGES   \* MERGEFORMAT</w:instrText>
    </w:r>
    <w:r w:rsidR="00471057">
      <w:fldChar w:fldCharType="separate"/>
    </w:r>
    <w:r w:rsidR="00556F4A">
      <w:rPr>
        <w:noProof/>
      </w:rPr>
      <w:t>13</w:t>
    </w:r>
    <w:r w:rsidR="0047105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D925" w14:textId="1ADAF63F" w:rsidR="00D06D7E" w:rsidRPr="002258AE" w:rsidRDefault="00D06D7E" w:rsidP="00686404">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556F4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56F4A">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1762A" w14:textId="77777777" w:rsidR="006965F1" w:rsidRDefault="006965F1" w:rsidP="00806A8C">
      <w:r>
        <w:separator/>
      </w:r>
    </w:p>
  </w:footnote>
  <w:footnote w:type="continuationSeparator" w:id="0">
    <w:p w14:paraId="30DA56C6" w14:textId="77777777" w:rsidR="006965F1" w:rsidRDefault="006965F1" w:rsidP="00806A8C">
      <w:r>
        <w:continuationSeparator/>
      </w:r>
    </w:p>
  </w:footnote>
  <w:footnote w:type="continuationNotice" w:id="1">
    <w:p w14:paraId="7E1B6732" w14:textId="77777777" w:rsidR="006965F1" w:rsidRDefault="006965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249E" w14:textId="77777777" w:rsidR="00F40AF7" w:rsidRDefault="00F40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99F"/>
    <w:multiLevelType w:val="hybridMultilevel"/>
    <w:tmpl w:val="9496D022"/>
    <w:lvl w:ilvl="0" w:tplc="D908A752">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36E38"/>
    <w:multiLevelType w:val="hybridMultilevel"/>
    <w:tmpl w:val="2F7E6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634D15"/>
    <w:multiLevelType w:val="hybridMultilevel"/>
    <w:tmpl w:val="89BEC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B3EA8"/>
    <w:multiLevelType w:val="hybridMultilevel"/>
    <w:tmpl w:val="F51025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1D00CFF"/>
    <w:multiLevelType w:val="hybridMultilevel"/>
    <w:tmpl w:val="1EFE5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3C2B67"/>
    <w:multiLevelType w:val="hybridMultilevel"/>
    <w:tmpl w:val="877ACE6A"/>
    <w:lvl w:ilvl="0" w:tplc="F7589FF2">
      <w:start w:val="292"/>
      <w:numFmt w:val="bullet"/>
      <w:lvlText w:val="-"/>
      <w:lvlJc w:val="left"/>
      <w:pPr>
        <w:ind w:left="360" w:hanging="360"/>
      </w:pPr>
      <w:rPr>
        <w:rFonts w:ascii="Arial" w:eastAsia="MS Gothic"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986522"/>
    <w:multiLevelType w:val="hybridMultilevel"/>
    <w:tmpl w:val="3A58B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313BA5"/>
    <w:multiLevelType w:val="hybridMultilevel"/>
    <w:tmpl w:val="BD481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32744A"/>
    <w:multiLevelType w:val="hybridMultilevel"/>
    <w:tmpl w:val="F63CF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D736D9"/>
    <w:multiLevelType w:val="hybridMultilevel"/>
    <w:tmpl w:val="CFD81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7C5F7A"/>
    <w:multiLevelType w:val="hybridMultilevel"/>
    <w:tmpl w:val="4442E730"/>
    <w:lvl w:ilvl="0" w:tplc="81DA16CE">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79347A"/>
    <w:multiLevelType w:val="hybridMultilevel"/>
    <w:tmpl w:val="DD489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ED77B1"/>
    <w:multiLevelType w:val="hybridMultilevel"/>
    <w:tmpl w:val="1ADE2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805FAF"/>
    <w:multiLevelType w:val="hybridMultilevel"/>
    <w:tmpl w:val="139E0A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320B078D"/>
    <w:multiLevelType w:val="hybridMultilevel"/>
    <w:tmpl w:val="7D209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3D4E13"/>
    <w:multiLevelType w:val="hybridMultilevel"/>
    <w:tmpl w:val="C4569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E644EC"/>
    <w:multiLevelType w:val="hybridMultilevel"/>
    <w:tmpl w:val="A170EB58"/>
    <w:lvl w:ilvl="0" w:tplc="0C090001">
      <w:start w:val="1"/>
      <w:numFmt w:val="bullet"/>
      <w:lvlText w:val=""/>
      <w:lvlJc w:val="left"/>
      <w:pPr>
        <w:ind w:left="765"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7" w15:restartNumberingAfterBreak="0">
    <w:nsid w:val="4517456D"/>
    <w:multiLevelType w:val="hybridMultilevel"/>
    <w:tmpl w:val="53F41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8C121B"/>
    <w:multiLevelType w:val="hybridMultilevel"/>
    <w:tmpl w:val="987652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49DB092A"/>
    <w:multiLevelType w:val="hybridMultilevel"/>
    <w:tmpl w:val="686EC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D05420"/>
    <w:multiLevelType w:val="hybridMultilevel"/>
    <w:tmpl w:val="31D04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F845DE"/>
    <w:multiLevelType w:val="hybridMultilevel"/>
    <w:tmpl w:val="1FB00D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8E1FA2"/>
    <w:multiLevelType w:val="hybridMultilevel"/>
    <w:tmpl w:val="DB7CBB28"/>
    <w:lvl w:ilvl="0" w:tplc="495EFD6E">
      <w:start w:val="1"/>
      <w:numFmt w:val="bullet"/>
      <w:pStyle w:val="TableBullet"/>
      <w:lvlText w:val=""/>
      <w:lvlJc w:val="left"/>
      <w:pPr>
        <w:ind w:left="360" w:hanging="360"/>
      </w:pPr>
      <w:rPr>
        <w:rFonts w:ascii="Symbol" w:hAnsi="Symbol" w:hint="default"/>
        <w:sz w:val="14"/>
      </w:rPr>
    </w:lvl>
    <w:lvl w:ilvl="1" w:tplc="0C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515A46"/>
    <w:multiLevelType w:val="hybridMultilevel"/>
    <w:tmpl w:val="8DF211B2"/>
    <w:lvl w:ilvl="0" w:tplc="81225E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F862CE"/>
    <w:multiLevelType w:val="hybridMultilevel"/>
    <w:tmpl w:val="3EDA9F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9C2ECD"/>
    <w:multiLevelType w:val="hybridMultilevel"/>
    <w:tmpl w:val="428C4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9660B0"/>
    <w:multiLevelType w:val="hybridMultilevel"/>
    <w:tmpl w:val="343085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58381E64"/>
    <w:multiLevelType w:val="hybridMultilevel"/>
    <w:tmpl w:val="A9FA6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D85ADB"/>
    <w:multiLevelType w:val="hybridMultilevel"/>
    <w:tmpl w:val="B7968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1018C4"/>
    <w:multiLevelType w:val="hybridMultilevel"/>
    <w:tmpl w:val="1F0678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AC56B4"/>
    <w:multiLevelType w:val="hybridMultilevel"/>
    <w:tmpl w:val="238AE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682A02"/>
    <w:multiLevelType w:val="hybridMultilevel"/>
    <w:tmpl w:val="9EDA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D42508"/>
    <w:multiLevelType w:val="hybridMultilevel"/>
    <w:tmpl w:val="A17C7E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67FE50C2"/>
    <w:multiLevelType w:val="hybridMultilevel"/>
    <w:tmpl w:val="DA5A5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81428B"/>
    <w:multiLevelType w:val="hybridMultilevel"/>
    <w:tmpl w:val="0994E360"/>
    <w:lvl w:ilvl="0" w:tplc="8694658E">
      <w:start w:val="1"/>
      <w:numFmt w:val="decimal"/>
      <w:lvlText w:val="%1."/>
      <w:lvlJc w:val="left"/>
      <w:pPr>
        <w:ind w:left="720" w:hanging="360"/>
      </w:pPr>
      <w:rPr>
        <w:rFonts w:hint="default"/>
        <w:b w:val="0"/>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CA4E9E"/>
    <w:multiLevelType w:val="hybridMultilevel"/>
    <w:tmpl w:val="A3603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F11C01"/>
    <w:multiLevelType w:val="hybridMultilevel"/>
    <w:tmpl w:val="FD82F73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7" w15:restartNumberingAfterBreak="0">
    <w:nsid w:val="71620B4E"/>
    <w:multiLevelType w:val="hybridMultilevel"/>
    <w:tmpl w:val="C7689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E016E6"/>
    <w:multiLevelType w:val="hybridMultilevel"/>
    <w:tmpl w:val="4A2AA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520BA3"/>
    <w:multiLevelType w:val="hybridMultilevel"/>
    <w:tmpl w:val="35D8F22A"/>
    <w:lvl w:ilvl="0" w:tplc="178CDB0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0" w15:restartNumberingAfterBreak="0">
    <w:nsid w:val="75BB4796"/>
    <w:multiLevelType w:val="hybridMultilevel"/>
    <w:tmpl w:val="EDB61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450AFC"/>
    <w:multiLevelType w:val="hybridMultilevel"/>
    <w:tmpl w:val="3E5CD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8545071">
    <w:abstractNumId w:val="24"/>
  </w:num>
  <w:num w:numId="2" w16cid:durableId="66147477">
    <w:abstractNumId w:val="1"/>
  </w:num>
  <w:num w:numId="3" w16cid:durableId="1352073418">
    <w:abstractNumId w:val="27"/>
  </w:num>
  <w:num w:numId="4" w16cid:durableId="1214197403">
    <w:abstractNumId w:val="22"/>
  </w:num>
  <w:num w:numId="5" w16cid:durableId="1978413420">
    <w:abstractNumId w:val="14"/>
  </w:num>
  <w:num w:numId="6" w16cid:durableId="123886035">
    <w:abstractNumId w:val="4"/>
  </w:num>
  <w:num w:numId="7" w16cid:durableId="735862999">
    <w:abstractNumId w:val="22"/>
  </w:num>
  <w:num w:numId="8" w16cid:durableId="1620799165">
    <w:abstractNumId w:val="39"/>
  </w:num>
  <w:num w:numId="9" w16cid:durableId="1407072770">
    <w:abstractNumId w:val="8"/>
  </w:num>
  <w:num w:numId="10" w16cid:durableId="1572235909">
    <w:abstractNumId w:val="35"/>
  </w:num>
  <w:num w:numId="11" w16cid:durableId="304507735">
    <w:abstractNumId w:val="40"/>
  </w:num>
  <w:num w:numId="12" w16cid:durableId="1727292242">
    <w:abstractNumId w:val="10"/>
  </w:num>
  <w:num w:numId="13" w16cid:durableId="98186310">
    <w:abstractNumId w:val="28"/>
  </w:num>
  <w:num w:numId="14" w16cid:durableId="348995820">
    <w:abstractNumId w:val="5"/>
  </w:num>
  <w:num w:numId="15" w16cid:durableId="405687039">
    <w:abstractNumId w:val="29"/>
  </w:num>
  <w:num w:numId="16" w16cid:durableId="550267030">
    <w:abstractNumId w:val="17"/>
  </w:num>
  <w:num w:numId="17" w16cid:durableId="1304576146">
    <w:abstractNumId w:val="0"/>
  </w:num>
  <w:num w:numId="18" w16cid:durableId="754785555">
    <w:abstractNumId w:val="34"/>
  </w:num>
  <w:num w:numId="19" w16cid:durableId="1444569219">
    <w:abstractNumId w:val="21"/>
  </w:num>
  <w:num w:numId="20" w16cid:durableId="1116633320">
    <w:abstractNumId w:val="15"/>
  </w:num>
  <w:num w:numId="21" w16cid:durableId="1636255754">
    <w:abstractNumId w:val="7"/>
  </w:num>
  <w:num w:numId="22" w16cid:durableId="1898587207">
    <w:abstractNumId w:val="41"/>
  </w:num>
  <w:num w:numId="23" w16cid:durableId="1415206826">
    <w:abstractNumId w:val="37"/>
  </w:num>
  <w:num w:numId="24" w16cid:durableId="1751348340">
    <w:abstractNumId w:val="11"/>
  </w:num>
  <w:num w:numId="25" w16cid:durableId="437139892">
    <w:abstractNumId w:val="26"/>
  </w:num>
  <w:num w:numId="26" w16cid:durableId="465855988">
    <w:abstractNumId w:val="32"/>
  </w:num>
  <w:num w:numId="27" w16cid:durableId="1732926344">
    <w:abstractNumId w:val="13"/>
  </w:num>
  <w:num w:numId="28" w16cid:durableId="377826736">
    <w:abstractNumId w:val="3"/>
  </w:num>
  <w:num w:numId="29" w16cid:durableId="935939696">
    <w:abstractNumId w:val="19"/>
  </w:num>
  <w:num w:numId="30" w16cid:durableId="862091826">
    <w:abstractNumId w:val="18"/>
  </w:num>
  <w:num w:numId="31" w16cid:durableId="1897274368">
    <w:abstractNumId w:val="31"/>
  </w:num>
  <w:num w:numId="32" w16cid:durableId="1564173798">
    <w:abstractNumId w:val="2"/>
  </w:num>
  <w:num w:numId="33" w16cid:durableId="1021710777">
    <w:abstractNumId w:val="36"/>
  </w:num>
  <w:num w:numId="34" w16cid:durableId="1203709777">
    <w:abstractNumId w:val="23"/>
  </w:num>
  <w:num w:numId="35" w16cid:durableId="937828413">
    <w:abstractNumId w:val="25"/>
  </w:num>
  <w:num w:numId="36" w16cid:durableId="525562811">
    <w:abstractNumId w:val="12"/>
  </w:num>
  <w:num w:numId="37" w16cid:durableId="1321422028">
    <w:abstractNumId w:val="33"/>
  </w:num>
  <w:num w:numId="38" w16cid:durableId="487668479">
    <w:abstractNumId w:val="9"/>
  </w:num>
  <w:num w:numId="39" w16cid:durableId="736823589">
    <w:abstractNumId w:val="20"/>
  </w:num>
  <w:num w:numId="40" w16cid:durableId="89505064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44387773">
    <w:abstractNumId w:val="38"/>
  </w:num>
  <w:num w:numId="42" w16cid:durableId="1323505912">
    <w:abstractNumId w:val="6"/>
  </w:num>
  <w:num w:numId="43" w16cid:durableId="116211388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9C4ECC3-2AA2-45C8-9B52-E2A6503F39F2}"/>
    <w:docVar w:name="dgnword-eventsink" w:val="2130995410304"/>
  </w:docVars>
  <w:rsids>
    <w:rsidRoot w:val="00501AF1"/>
    <w:rsid w:val="00003D48"/>
    <w:rsid w:val="00006FC7"/>
    <w:rsid w:val="000078A6"/>
    <w:rsid w:val="00012FB8"/>
    <w:rsid w:val="000209AD"/>
    <w:rsid w:val="00021537"/>
    <w:rsid w:val="00032ED5"/>
    <w:rsid w:val="00033407"/>
    <w:rsid w:val="00035333"/>
    <w:rsid w:val="000356B9"/>
    <w:rsid w:val="00044731"/>
    <w:rsid w:val="0004631B"/>
    <w:rsid w:val="00050706"/>
    <w:rsid w:val="00051779"/>
    <w:rsid w:val="00051FF7"/>
    <w:rsid w:val="00053299"/>
    <w:rsid w:val="00053459"/>
    <w:rsid w:val="0005578A"/>
    <w:rsid w:val="0006320B"/>
    <w:rsid w:val="00063A60"/>
    <w:rsid w:val="0006529C"/>
    <w:rsid w:val="00065902"/>
    <w:rsid w:val="00066EF7"/>
    <w:rsid w:val="0006700D"/>
    <w:rsid w:val="00076F69"/>
    <w:rsid w:val="000811C1"/>
    <w:rsid w:val="000841AE"/>
    <w:rsid w:val="00091402"/>
    <w:rsid w:val="00095038"/>
    <w:rsid w:val="000A23D0"/>
    <w:rsid w:val="000A475B"/>
    <w:rsid w:val="000A6244"/>
    <w:rsid w:val="000B1FA8"/>
    <w:rsid w:val="000C4AA3"/>
    <w:rsid w:val="000C7156"/>
    <w:rsid w:val="000D0E3A"/>
    <w:rsid w:val="000D30BC"/>
    <w:rsid w:val="000D4DC1"/>
    <w:rsid w:val="000E5C7D"/>
    <w:rsid w:val="000E635C"/>
    <w:rsid w:val="000E78B3"/>
    <w:rsid w:val="000F30CF"/>
    <w:rsid w:val="000F56F0"/>
    <w:rsid w:val="000F6547"/>
    <w:rsid w:val="000F6552"/>
    <w:rsid w:val="001048F1"/>
    <w:rsid w:val="00105E62"/>
    <w:rsid w:val="001107E8"/>
    <w:rsid w:val="00110B2C"/>
    <w:rsid w:val="001133D6"/>
    <w:rsid w:val="00117921"/>
    <w:rsid w:val="00117A69"/>
    <w:rsid w:val="00117E8E"/>
    <w:rsid w:val="00121E15"/>
    <w:rsid w:val="00122632"/>
    <w:rsid w:val="00126BB2"/>
    <w:rsid w:val="001313A6"/>
    <w:rsid w:val="00132F80"/>
    <w:rsid w:val="001332EC"/>
    <w:rsid w:val="00133584"/>
    <w:rsid w:val="001340D2"/>
    <w:rsid w:val="00137D99"/>
    <w:rsid w:val="00141111"/>
    <w:rsid w:val="0014140B"/>
    <w:rsid w:val="001444E3"/>
    <w:rsid w:val="00144803"/>
    <w:rsid w:val="00144FF3"/>
    <w:rsid w:val="00146D2F"/>
    <w:rsid w:val="001474BA"/>
    <w:rsid w:val="001502BC"/>
    <w:rsid w:val="00152A37"/>
    <w:rsid w:val="0015428B"/>
    <w:rsid w:val="0015724F"/>
    <w:rsid w:val="001604E9"/>
    <w:rsid w:val="00161A6D"/>
    <w:rsid w:val="00171F7D"/>
    <w:rsid w:val="00176C93"/>
    <w:rsid w:val="00185FE0"/>
    <w:rsid w:val="0018643D"/>
    <w:rsid w:val="0018668E"/>
    <w:rsid w:val="00194FD6"/>
    <w:rsid w:val="00197B8C"/>
    <w:rsid w:val="001A02AB"/>
    <w:rsid w:val="001A05FC"/>
    <w:rsid w:val="001A1A19"/>
    <w:rsid w:val="001A2301"/>
    <w:rsid w:val="001A3D10"/>
    <w:rsid w:val="001A54C4"/>
    <w:rsid w:val="001A7427"/>
    <w:rsid w:val="001B07D5"/>
    <w:rsid w:val="001B123F"/>
    <w:rsid w:val="001B1A55"/>
    <w:rsid w:val="001C116B"/>
    <w:rsid w:val="001C1616"/>
    <w:rsid w:val="001C4D30"/>
    <w:rsid w:val="001C753C"/>
    <w:rsid w:val="001D5382"/>
    <w:rsid w:val="001D6B7F"/>
    <w:rsid w:val="001E1BA4"/>
    <w:rsid w:val="001E21C5"/>
    <w:rsid w:val="001E2274"/>
    <w:rsid w:val="001E38AD"/>
    <w:rsid w:val="001E4B45"/>
    <w:rsid w:val="001F1FE1"/>
    <w:rsid w:val="001F7AE4"/>
    <w:rsid w:val="0021104A"/>
    <w:rsid w:val="002146C8"/>
    <w:rsid w:val="00224118"/>
    <w:rsid w:val="002262A7"/>
    <w:rsid w:val="00230AEF"/>
    <w:rsid w:val="00232852"/>
    <w:rsid w:val="00233152"/>
    <w:rsid w:val="0024004D"/>
    <w:rsid w:val="00244D03"/>
    <w:rsid w:val="00250DEB"/>
    <w:rsid w:val="00253D70"/>
    <w:rsid w:val="00254B0A"/>
    <w:rsid w:val="002568AD"/>
    <w:rsid w:val="00257CC0"/>
    <w:rsid w:val="002603BB"/>
    <w:rsid w:val="00264580"/>
    <w:rsid w:val="00266A57"/>
    <w:rsid w:val="00266B45"/>
    <w:rsid w:val="00267AE9"/>
    <w:rsid w:val="00267F3D"/>
    <w:rsid w:val="00270832"/>
    <w:rsid w:val="00271C3F"/>
    <w:rsid w:val="0027403F"/>
    <w:rsid w:val="0027593C"/>
    <w:rsid w:val="00285842"/>
    <w:rsid w:val="002866A6"/>
    <w:rsid w:val="00286920"/>
    <w:rsid w:val="00294A62"/>
    <w:rsid w:val="002A31F0"/>
    <w:rsid w:val="002A329F"/>
    <w:rsid w:val="002B7A95"/>
    <w:rsid w:val="002C3D89"/>
    <w:rsid w:val="002D0DA4"/>
    <w:rsid w:val="002D6103"/>
    <w:rsid w:val="002D7B6F"/>
    <w:rsid w:val="002E3E26"/>
    <w:rsid w:val="002E66C3"/>
    <w:rsid w:val="002F23E6"/>
    <w:rsid w:val="002F3E0D"/>
    <w:rsid w:val="002F4FA5"/>
    <w:rsid w:val="00302A58"/>
    <w:rsid w:val="0030325F"/>
    <w:rsid w:val="003068B4"/>
    <w:rsid w:val="003123D8"/>
    <w:rsid w:val="0031344C"/>
    <w:rsid w:val="0032142F"/>
    <w:rsid w:val="00323983"/>
    <w:rsid w:val="003245D3"/>
    <w:rsid w:val="00324B45"/>
    <w:rsid w:val="003253B3"/>
    <w:rsid w:val="003276E3"/>
    <w:rsid w:val="00334B49"/>
    <w:rsid w:val="00335BD3"/>
    <w:rsid w:val="00337808"/>
    <w:rsid w:val="00343F85"/>
    <w:rsid w:val="00345A00"/>
    <w:rsid w:val="00351063"/>
    <w:rsid w:val="00366293"/>
    <w:rsid w:val="00366B2C"/>
    <w:rsid w:val="00367C7F"/>
    <w:rsid w:val="0037025D"/>
    <w:rsid w:val="00372CCD"/>
    <w:rsid w:val="00374C9D"/>
    <w:rsid w:val="00375C6E"/>
    <w:rsid w:val="00377495"/>
    <w:rsid w:val="00377986"/>
    <w:rsid w:val="00382151"/>
    <w:rsid w:val="00382F37"/>
    <w:rsid w:val="003910EB"/>
    <w:rsid w:val="00391570"/>
    <w:rsid w:val="00394278"/>
    <w:rsid w:val="003A0CF6"/>
    <w:rsid w:val="003A56FD"/>
    <w:rsid w:val="003B2604"/>
    <w:rsid w:val="003B5E68"/>
    <w:rsid w:val="003C336A"/>
    <w:rsid w:val="003C628D"/>
    <w:rsid w:val="003D1B05"/>
    <w:rsid w:val="003D263F"/>
    <w:rsid w:val="003D562A"/>
    <w:rsid w:val="003D793E"/>
    <w:rsid w:val="003E183C"/>
    <w:rsid w:val="003E1D14"/>
    <w:rsid w:val="003E2CBD"/>
    <w:rsid w:val="003E2D79"/>
    <w:rsid w:val="003E6B89"/>
    <w:rsid w:val="003F387A"/>
    <w:rsid w:val="003F456D"/>
    <w:rsid w:val="003F4F6D"/>
    <w:rsid w:val="003F543F"/>
    <w:rsid w:val="00404D60"/>
    <w:rsid w:val="00404F80"/>
    <w:rsid w:val="00406083"/>
    <w:rsid w:val="00415A4F"/>
    <w:rsid w:val="00416EBA"/>
    <w:rsid w:val="00420E4C"/>
    <w:rsid w:val="004363B2"/>
    <w:rsid w:val="0044163A"/>
    <w:rsid w:val="004423C4"/>
    <w:rsid w:val="00445CD0"/>
    <w:rsid w:val="0044641A"/>
    <w:rsid w:val="00455A8D"/>
    <w:rsid w:val="00463BC2"/>
    <w:rsid w:val="004659EB"/>
    <w:rsid w:val="0046664A"/>
    <w:rsid w:val="004677E0"/>
    <w:rsid w:val="00471057"/>
    <w:rsid w:val="00485B58"/>
    <w:rsid w:val="00486A4B"/>
    <w:rsid w:val="00487E1B"/>
    <w:rsid w:val="00490D3B"/>
    <w:rsid w:val="00490DCA"/>
    <w:rsid w:val="004B1FF1"/>
    <w:rsid w:val="004B3642"/>
    <w:rsid w:val="004B4665"/>
    <w:rsid w:val="004B60F2"/>
    <w:rsid w:val="004C0D24"/>
    <w:rsid w:val="004C3A07"/>
    <w:rsid w:val="004D1436"/>
    <w:rsid w:val="004E5CC7"/>
    <w:rsid w:val="004E7A79"/>
    <w:rsid w:val="004F3491"/>
    <w:rsid w:val="004F4BEC"/>
    <w:rsid w:val="004F5A34"/>
    <w:rsid w:val="0050043B"/>
    <w:rsid w:val="00501AF1"/>
    <w:rsid w:val="005110AA"/>
    <w:rsid w:val="00511B1A"/>
    <w:rsid w:val="00516CC5"/>
    <w:rsid w:val="00517397"/>
    <w:rsid w:val="0052373F"/>
    <w:rsid w:val="00524F9B"/>
    <w:rsid w:val="00533053"/>
    <w:rsid w:val="00537AA3"/>
    <w:rsid w:val="00540AFD"/>
    <w:rsid w:val="005422B5"/>
    <w:rsid w:val="005430BF"/>
    <w:rsid w:val="005431B6"/>
    <w:rsid w:val="00550A17"/>
    <w:rsid w:val="00554E29"/>
    <w:rsid w:val="00555A5A"/>
    <w:rsid w:val="00555DC2"/>
    <w:rsid w:val="00556F4A"/>
    <w:rsid w:val="005572DF"/>
    <w:rsid w:val="0056053D"/>
    <w:rsid w:val="0056483C"/>
    <w:rsid w:val="005858E8"/>
    <w:rsid w:val="00586812"/>
    <w:rsid w:val="0059023F"/>
    <w:rsid w:val="0059769B"/>
    <w:rsid w:val="005A1277"/>
    <w:rsid w:val="005B2DF9"/>
    <w:rsid w:val="005B2E68"/>
    <w:rsid w:val="005C25FF"/>
    <w:rsid w:val="005C564D"/>
    <w:rsid w:val="005C59E9"/>
    <w:rsid w:val="005C62DA"/>
    <w:rsid w:val="005D34B3"/>
    <w:rsid w:val="005D3634"/>
    <w:rsid w:val="005D7177"/>
    <w:rsid w:val="005D77EB"/>
    <w:rsid w:val="005E181B"/>
    <w:rsid w:val="005E6796"/>
    <w:rsid w:val="005E70D6"/>
    <w:rsid w:val="00602494"/>
    <w:rsid w:val="00605914"/>
    <w:rsid w:val="00606EE9"/>
    <w:rsid w:val="00607FA1"/>
    <w:rsid w:val="006118E0"/>
    <w:rsid w:val="0062481E"/>
    <w:rsid w:val="00625A1F"/>
    <w:rsid w:val="00626202"/>
    <w:rsid w:val="00630783"/>
    <w:rsid w:val="006415D0"/>
    <w:rsid w:val="0064251D"/>
    <w:rsid w:val="00645926"/>
    <w:rsid w:val="00645984"/>
    <w:rsid w:val="00645A03"/>
    <w:rsid w:val="00647FCA"/>
    <w:rsid w:val="00650330"/>
    <w:rsid w:val="00656FDD"/>
    <w:rsid w:val="00666DD9"/>
    <w:rsid w:val="00671BC3"/>
    <w:rsid w:val="00672561"/>
    <w:rsid w:val="006823D7"/>
    <w:rsid w:val="00686404"/>
    <w:rsid w:val="006965F1"/>
    <w:rsid w:val="00697352"/>
    <w:rsid w:val="006A0309"/>
    <w:rsid w:val="006A0D94"/>
    <w:rsid w:val="006A272F"/>
    <w:rsid w:val="006A6BE7"/>
    <w:rsid w:val="006B1F77"/>
    <w:rsid w:val="006B37AD"/>
    <w:rsid w:val="006B5C7A"/>
    <w:rsid w:val="006B6782"/>
    <w:rsid w:val="006C0EE3"/>
    <w:rsid w:val="006C10DA"/>
    <w:rsid w:val="006C6049"/>
    <w:rsid w:val="006E4076"/>
    <w:rsid w:val="006E45FE"/>
    <w:rsid w:val="006F6377"/>
    <w:rsid w:val="006F64BA"/>
    <w:rsid w:val="006F701A"/>
    <w:rsid w:val="00704479"/>
    <w:rsid w:val="00710329"/>
    <w:rsid w:val="00712340"/>
    <w:rsid w:val="00717E42"/>
    <w:rsid w:val="007204D2"/>
    <w:rsid w:val="007245DF"/>
    <w:rsid w:val="0072478C"/>
    <w:rsid w:val="00726382"/>
    <w:rsid w:val="00727386"/>
    <w:rsid w:val="00731CC2"/>
    <w:rsid w:val="007331AB"/>
    <w:rsid w:val="00741359"/>
    <w:rsid w:val="00742105"/>
    <w:rsid w:val="0074456E"/>
    <w:rsid w:val="00744C49"/>
    <w:rsid w:val="00750E2F"/>
    <w:rsid w:val="00752714"/>
    <w:rsid w:val="0075274E"/>
    <w:rsid w:val="00753E4F"/>
    <w:rsid w:val="00760210"/>
    <w:rsid w:val="00763F24"/>
    <w:rsid w:val="007642EE"/>
    <w:rsid w:val="00767CA6"/>
    <w:rsid w:val="007840E9"/>
    <w:rsid w:val="007922FB"/>
    <w:rsid w:val="00793B96"/>
    <w:rsid w:val="007A0466"/>
    <w:rsid w:val="007A0F71"/>
    <w:rsid w:val="007B1D2A"/>
    <w:rsid w:val="007B4BB1"/>
    <w:rsid w:val="007B6BCC"/>
    <w:rsid w:val="007B7349"/>
    <w:rsid w:val="007C0E65"/>
    <w:rsid w:val="007C234C"/>
    <w:rsid w:val="007C3C83"/>
    <w:rsid w:val="007C58F5"/>
    <w:rsid w:val="007C69BC"/>
    <w:rsid w:val="007E16F9"/>
    <w:rsid w:val="007E2F80"/>
    <w:rsid w:val="007E5376"/>
    <w:rsid w:val="007F2692"/>
    <w:rsid w:val="007F5DA8"/>
    <w:rsid w:val="007F7672"/>
    <w:rsid w:val="007F7EF3"/>
    <w:rsid w:val="00806A8C"/>
    <w:rsid w:val="008104DA"/>
    <w:rsid w:val="0081578A"/>
    <w:rsid w:val="008171E6"/>
    <w:rsid w:val="008240F6"/>
    <w:rsid w:val="008303B7"/>
    <w:rsid w:val="008330B3"/>
    <w:rsid w:val="00834AF5"/>
    <w:rsid w:val="00842203"/>
    <w:rsid w:val="008447B3"/>
    <w:rsid w:val="008535C2"/>
    <w:rsid w:val="00853B6D"/>
    <w:rsid w:val="00853BB7"/>
    <w:rsid w:val="00853ECD"/>
    <w:rsid w:val="00856BE9"/>
    <w:rsid w:val="00873A03"/>
    <w:rsid w:val="008802AA"/>
    <w:rsid w:val="008813B7"/>
    <w:rsid w:val="008A6109"/>
    <w:rsid w:val="008B2CCC"/>
    <w:rsid w:val="008B61B6"/>
    <w:rsid w:val="008C3E7D"/>
    <w:rsid w:val="008D4470"/>
    <w:rsid w:val="008E0D12"/>
    <w:rsid w:val="008E3582"/>
    <w:rsid w:val="008F771B"/>
    <w:rsid w:val="008F7F4D"/>
    <w:rsid w:val="009052F5"/>
    <w:rsid w:val="00905B9F"/>
    <w:rsid w:val="00907219"/>
    <w:rsid w:val="00915C79"/>
    <w:rsid w:val="0091634E"/>
    <w:rsid w:val="00916D27"/>
    <w:rsid w:val="00916DE4"/>
    <w:rsid w:val="00930B09"/>
    <w:rsid w:val="00932BC9"/>
    <w:rsid w:val="00932D4A"/>
    <w:rsid w:val="00942FDD"/>
    <w:rsid w:val="00953A3F"/>
    <w:rsid w:val="00954964"/>
    <w:rsid w:val="00957370"/>
    <w:rsid w:val="009600F4"/>
    <w:rsid w:val="0096085C"/>
    <w:rsid w:val="009639A8"/>
    <w:rsid w:val="009647E1"/>
    <w:rsid w:val="00965E0B"/>
    <w:rsid w:val="00970B51"/>
    <w:rsid w:val="0097671C"/>
    <w:rsid w:val="009816FA"/>
    <w:rsid w:val="00992551"/>
    <w:rsid w:val="00992626"/>
    <w:rsid w:val="00997194"/>
    <w:rsid w:val="009A140B"/>
    <w:rsid w:val="009A7B46"/>
    <w:rsid w:val="009C034A"/>
    <w:rsid w:val="009C4E0C"/>
    <w:rsid w:val="009C5604"/>
    <w:rsid w:val="009C60CB"/>
    <w:rsid w:val="009C641C"/>
    <w:rsid w:val="009D102C"/>
    <w:rsid w:val="009E0D99"/>
    <w:rsid w:val="009E4729"/>
    <w:rsid w:val="009E51E3"/>
    <w:rsid w:val="009F7608"/>
    <w:rsid w:val="00A03DED"/>
    <w:rsid w:val="00A1534C"/>
    <w:rsid w:val="00A15F0E"/>
    <w:rsid w:val="00A16A67"/>
    <w:rsid w:val="00A21AD3"/>
    <w:rsid w:val="00A21E0E"/>
    <w:rsid w:val="00A30529"/>
    <w:rsid w:val="00A33583"/>
    <w:rsid w:val="00A37D34"/>
    <w:rsid w:val="00A42380"/>
    <w:rsid w:val="00A46925"/>
    <w:rsid w:val="00A47130"/>
    <w:rsid w:val="00A506A3"/>
    <w:rsid w:val="00A509D5"/>
    <w:rsid w:val="00A51C52"/>
    <w:rsid w:val="00A54184"/>
    <w:rsid w:val="00A5480D"/>
    <w:rsid w:val="00A56472"/>
    <w:rsid w:val="00A636AF"/>
    <w:rsid w:val="00A63B7A"/>
    <w:rsid w:val="00A64E94"/>
    <w:rsid w:val="00A70ADE"/>
    <w:rsid w:val="00A73F1E"/>
    <w:rsid w:val="00A76C5B"/>
    <w:rsid w:val="00A80E00"/>
    <w:rsid w:val="00A824D0"/>
    <w:rsid w:val="00A95CF9"/>
    <w:rsid w:val="00A971FC"/>
    <w:rsid w:val="00AA2536"/>
    <w:rsid w:val="00AB34A0"/>
    <w:rsid w:val="00AB7902"/>
    <w:rsid w:val="00AC07DE"/>
    <w:rsid w:val="00AC371F"/>
    <w:rsid w:val="00AC54BB"/>
    <w:rsid w:val="00AC55EA"/>
    <w:rsid w:val="00AD0355"/>
    <w:rsid w:val="00AD0E4B"/>
    <w:rsid w:val="00AD1175"/>
    <w:rsid w:val="00AD5745"/>
    <w:rsid w:val="00AF0681"/>
    <w:rsid w:val="00AF3B3F"/>
    <w:rsid w:val="00AF3E99"/>
    <w:rsid w:val="00AF6EA4"/>
    <w:rsid w:val="00B006A0"/>
    <w:rsid w:val="00B03C3E"/>
    <w:rsid w:val="00B0672A"/>
    <w:rsid w:val="00B167AF"/>
    <w:rsid w:val="00B422B2"/>
    <w:rsid w:val="00B42EB6"/>
    <w:rsid w:val="00B57741"/>
    <w:rsid w:val="00B61D9E"/>
    <w:rsid w:val="00B63D5E"/>
    <w:rsid w:val="00B65751"/>
    <w:rsid w:val="00B667A3"/>
    <w:rsid w:val="00B70158"/>
    <w:rsid w:val="00B70B24"/>
    <w:rsid w:val="00B70D4B"/>
    <w:rsid w:val="00B73A74"/>
    <w:rsid w:val="00B75D7E"/>
    <w:rsid w:val="00B818EE"/>
    <w:rsid w:val="00B8345E"/>
    <w:rsid w:val="00B84103"/>
    <w:rsid w:val="00B86B3A"/>
    <w:rsid w:val="00B94DA4"/>
    <w:rsid w:val="00B95A09"/>
    <w:rsid w:val="00BA31DE"/>
    <w:rsid w:val="00BA382F"/>
    <w:rsid w:val="00BA64C7"/>
    <w:rsid w:val="00BB3E2F"/>
    <w:rsid w:val="00BB43EA"/>
    <w:rsid w:val="00BC71A2"/>
    <w:rsid w:val="00BC7EA4"/>
    <w:rsid w:val="00BD0848"/>
    <w:rsid w:val="00BD45FB"/>
    <w:rsid w:val="00BD59DA"/>
    <w:rsid w:val="00BD7226"/>
    <w:rsid w:val="00BE7B69"/>
    <w:rsid w:val="00BF5A95"/>
    <w:rsid w:val="00BF66C4"/>
    <w:rsid w:val="00C1092A"/>
    <w:rsid w:val="00C10DDF"/>
    <w:rsid w:val="00C11BCE"/>
    <w:rsid w:val="00C12ADD"/>
    <w:rsid w:val="00C12C6C"/>
    <w:rsid w:val="00C16A33"/>
    <w:rsid w:val="00C20453"/>
    <w:rsid w:val="00C24DDF"/>
    <w:rsid w:val="00C303C3"/>
    <w:rsid w:val="00C351E5"/>
    <w:rsid w:val="00C411C5"/>
    <w:rsid w:val="00C428CA"/>
    <w:rsid w:val="00C44B4F"/>
    <w:rsid w:val="00C4561B"/>
    <w:rsid w:val="00C47ADB"/>
    <w:rsid w:val="00C51375"/>
    <w:rsid w:val="00C5311F"/>
    <w:rsid w:val="00C615D6"/>
    <w:rsid w:val="00C73541"/>
    <w:rsid w:val="00C753F8"/>
    <w:rsid w:val="00C758C6"/>
    <w:rsid w:val="00C80E09"/>
    <w:rsid w:val="00C81194"/>
    <w:rsid w:val="00C81515"/>
    <w:rsid w:val="00C84A89"/>
    <w:rsid w:val="00C876E8"/>
    <w:rsid w:val="00C87D22"/>
    <w:rsid w:val="00C92055"/>
    <w:rsid w:val="00C933C0"/>
    <w:rsid w:val="00C979F2"/>
    <w:rsid w:val="00CA135F"/>
    <w:rsid w:val="00CB4D59"/>
    <w:rsid w:val="00CC1364"/>
    <w:rsid w:val="00CC6D54"/>
    <w:rsid w:val="00CD0A8E"/>
    <w:rsid w:val="00CD3800"/>
    <w:rsid w:val="00CE3687"/>
    <w:rsid w:val="00CF135C"/>
    <w:rsid w:val="00D01D64"/>
    <w:rsid w:val="00D022DE"/>
    <w:rsid w:val="00D04316"/>
    <w:rsid w:val="00D06D7E"/>
    <w:rsid w:val="00D10434"/>
    <w:rsid w:val="00D2062C"/>
    <w:rsid w:val="00D215E1"/>
    <w:rsid w:val="00D2424C"/>
    <w:rsid w:val="00D31223"/>
    <w:rsid w:val="00D32B6D"/>
    <w:rsid w:val="00D335CB"/>
    <w:rsid w:val="00D43F06"/>
    <w:rsid w:val="00D45B46"/>
    <w:rsid w:val="00D472E0"/>
    <w:rsid w:val="00D5426D"/>
    <w:rsid w:val="00D55CFB"/>
    <w:rsid w:val="00D607E0"/>
    <w:rsid w:val="00D63956"/>
    <w:rsid w:val="00D6528B"/>
    <w:rsid w:val="00D70D41"/>
    <w:rsid w:val="00D71CEC"/>
    <w:rsid w:val="00D7312F"/>
    <w:rsid w:val="00D73335"/>
    <w:rsid w:val="00D74F3E"/>
    <w:rsid w:val="00D81A4C"/>
    <w:rsid w:val="00D82733"/>
    <w:rsid w:val="00D841ED"/>
    <w:rsid w:val="00D85ABA"/>
    <w:rsid w:val="00D87F36"/>
    <w:rsid w:val="00DA02C6"/>
    <w:rsid w:val="00DA2A29"/>
    <w:rsid w:val="00DA3350"/>
    <w:rsid w:val="00DA6559"/>
    <w:rsid w:val="00DA7DD7"/>
    <w:rsid w:val="00DB73E2"/>
    <w:rsid w:val="00DC0A1D"/>
    <w:rsid w:val="00DC540B"/>
    <w:rsid w:val="00DC5E99"/>
    <w:rsid w:val="00DD2512"/>
    <w:rsid w:val="00DD3947"/>
    <w:rsid w:val="00DE478F"/>
    <w:rsid w:val="00DF0D28"/>
    <w:rsid w:val="00DF7133"/>
    <w:rsid w:val="00E16D7F"/>
    <w:rsid w:val="00E1731A"/>
    <w:rsid w:val="00E24C55"/>
    <w:rsid w:val="00E264DC"/>
    <w:rsid w:val="00E278B5"/>
    <w:rsid w:val="00E315CB"/>
    <w:rsid w:val="00E31918"/>
    <w:rsid w:val="00E32C68"/>
    <w:rsid w:val="00E33946"/>
    <w:rsid w:val="00E363FC"/>
    <w:rsid w:val="00E36452"/>
    <w:rsid w:val="00E36CA6"/>
    <w:rsid w:val="00E41980"/>
    <w:rsid w:val="00E42FF3"/>
    <w:rsid w:val="00E50450"/>
    <w:rsid w:val="00E612A8"/>
    <w:rsid w:val="00E62B49"/>
    <w:rsid w:val="00E663D4"/>
    <w:rsid w:val="00E7659E"/>
    <w:rsid w:val="00E77729"/>
    <w:rsid w:val="00E77EC8"/>
    <w:rsid w:val="00E77F47"/>
    <w:rsid w:val="00E8523D"/>
    <w:rsid w:val="00E875EE"/>
    <w:rsid w:val="00E937F8"/>
    <w:rsid w:val="00E95D83"/>
    <w:rsid w:val="00EA539C"/>
    <w:rsid w:val="00EB0683"/>
    <w:rsid w:val="00EB0C7B"/>
    <w:rsid w:val="00EB1709"/>
    <w:rsid w:val="00EB471E"/>
    <w:rsid w:val="00EC0731"/>
    <w:rsid w:val="00EC197D"/>
    <w:rsid w:val="00EC3125"/>
    <w:rsid w:val="00EC5E16"/>
    <w:rsid w:val="00ED04F3"/>
    <w:rsid w:val="00ED6962"/>
    <w:rsid w:val="00ED7321"/>
    <w:rsid w:val="00EE56AB"/>
    <w:rsid w:val="00EF313D"/>
    <w:rsid w:val="00EF3D31"/>
    <w:rsid w:val="00EF6FC4"/>
    <w:rsid w:val="00F00AFA"/>
    <w:rsid w:val="00F01005"/>
    <w:rsid w:val="00F026CF"/>
    <w:rsid w:val="00F04EAF"/>
    <w:rsid w:val="00F123F5"/>
    <w:rsid w:val="00F1242D"/>
    <w:rsid w:val="00F13AEE"/>
    <w:rsid w:val="00F13F14"/>
    <w:rsid w:val="00F1403E"/>
    <w:rsid w:val="00F14097"/>
    <w:rsid w:val="00F15411"/>
    <w:rsid w:val="00F26538"/>
    <w:rsid w:val="00F33523"/>
    <w:rsid w:val="00F374D2"/>
    <w:rsid w:val="00F40AF7"/>
    <w:rsid w:val="00F438EC"/>
    <w:rsid w:val="00F45477"/>
    <w:rsid w:val="00F52B1B"/>
    <w:rsid w:val="00F568B5"/>
    <w:rsid w:val="00F61CAE"/>
    <w:rsid w:val="00F677C7"/>
    <w:rsid w:val="00F7558B"/>
    <w:rsid w:val="00F76070"/>
    <w:rsid w:val="00F844C2"/>
    <w:rsid w:val="00F87803"/>
    <w:rsid w:val="00F94B80"/>
    <w:rsid w:val="00F969C0"/>
    <w:rsid w:val="00FA38F2"/>
    <w:rsid w:val="00FA3E67"/>
    <w:rsid w:val="00FA4446"/>
    <w:rsid w:val="00FB3765"/>
    <w:rsid w:val="00FB5137"/>
    <w:rsid w:val="00FB56F6"/>
    <w:rsid w:val="00FB63AA"/>
    <w:rsid w:val="00FC1FC4"/>
    <w:rsid w:val="00FC28F6"/>
    <w:rsid w:val="00FC4CD8"/>
    <w:rsid w:val="00FD49CB"/>
    <w:rsid w:val="00FD64C3"/>
    <w:rsid w:val="00FD7E8A"/>
    <w:rsid w:val="00FE1874"/>
    <w:rsid w:val="00FE5034"/>
    <w:rsid w:val="00FE671A"/>
    <w:rsid w:val="00FE6BCD"/>
    <w:rsid w:val="00FF1A97"/>
    <w:rsid w:val="00FF3AFC"/>
    <w:rsid w:val="00FF3E6A"/>
    <w:rsid w:val="00FF61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279A2"/>
  <w15:docId w15:val="{E50D03CA-928F-4E6B-B0F6-AC277D9B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AF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1AF1"/>
    <w:pPr>
      <w:tabs>
        <w:tab w:val="right" w:pos="9639"/>
      </w:tabs>
    </w:pPr>
    <w:rPr>
      <w:sz w:val="16"/>
    </w:rPr>
  </w:style>
  <w:style w:type="character" w:customStyle="1" w:styleId="FooterChar">
    <w:name w:val="Footer Char"/>
    <w:basedOn w:val="DefaultParagraphFont"/>
    <w:link w:val="Footer"/>
    <w:rsid w:val="00501AF1"/>
    <w:rPr>
      <w:rFonts w:ascii="Arial" w:eastAsia="Times New Roman" w:hAnsi="Arial" w:cs="Times New Roman"/>
      <w:sz w:val="16"/>
      <w:szCs w:val="20"/>
    </w:rPr>
  </w:style>
  <w:style w:type="character" w:styleId="PageNumber">
    <w:name w:val="page number"/>
    <w:basedOn w:val="DefaultParagraphFont"/>
    <w:rsid w:val="00501AF1"/>
  </w:style>
  <w:style w:type="paragraph" w:customStyle="1" w:styleId="thomson-article">
    <w:name w:val="thomson-article"/>
    <w:basedOn w:val="Normal"/>
    <w:uiPriority w:val="99"/>
    <w:rsid w:val="00501AF1"/>
    <w:pPr>
      <w:spacing w:before="100" w:beforeAutospacing="1" w:after="100" w:afterAutospacing="1" w:line="360" w:lineRule="auto"/>
      <w:jc w:val="both"/>
    </w:pPr>
    <w:rPr>
      <w:rFonts w:eastAsiaTheme="minorHAnsi" w:cs="Arial"/>
      <w:color w:val="444444"/>
      <w:sz w:val="18"/>
      <w:szCs w:val="18"/>
      <w:lang w:eastAsia="en-AU"/>
    </w:rPr>
  </w:style>
  <w:style w:type="paragraph" w:styleId="ListParagraph">
    <w:name w:val="List Paragraph"/>
    <w:basedOn w:val="Normal"/>
    <w:uiPriority w:val="34"/>
    <w:qFormat/>
    <w:rsid w:val="00501AF1"/>
    <w:pPr>
      <w:ind w:left="720"/>
      <w:contextualSpacing/>
    </w:pPr>
  </w:style>
  <w:style w:type="paragraph" w:styleId="NoSpacing">
    <w:name w:val="No Spacing"/>
    <w:uiPriority w:val="1"/>
    <w:qFormat/>
    <w:rsid w:val="00501AF1"/>
    <w:p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01AF1"/>
    <w:rPr>
      <w:rFonts w:ascii="Tahoma" w:hAnsi="Tahoma" w:cs="Tahoma"/>
      <w:sz w:val="16"/>
      <w:szCs w:val="16"/>
    </w:rPr>
  </w:style>
  <w:style w:type="character" w:customStyle="1" w:styleId="BalloonTextChar">
    <w:name w:val="Balloon Text Char"/>
    <w:basedOn w:val="DefaultParagraphFont"/>
    <w:link w:val="BalloonText"/>
    <w:uiPriority w:val="99"/>
    <w:semiHidden/>
    <w:rsid w:val="00501AF1"/>
    <w:rPr>
      <w:rFonts w:ascii="Tahoma" w:eastAsia="Times New Roman" w:hAnsi="Tahoma" w:cs="Tahoma"/>
      <w:sz w:val="16"/>
      <w:szCs w:val="16"/>
    </w:rPr>
  </w:style>
  <w:style w:type="paragraph" w:styleId="Header">
    <w:name w:val="header"/>
    <w:basedOn w:val="Normal"/>
    <w:link w:val="HeaderChar"/>
    <w:uiPriority w:val="99"/>
    <w:unhideWhenUsed/>
    <w:rsid w:val="003E2D79"/>
    <w:pPr>
      <w:tabs>
        <w:tab w:val="center" w:pos="4513"/>
        <w:tab w:val="right" w:pos="9026"/>
      </w:tabs>
    </w:pPr>
  </w:style>
  <w:style w:type="character" w:customStyle="1" w:styleId="HeaderChar">
    <w:name w:val="Header Char"/>
    <w:basedOn w:val="DefaultParagraphFont"/>
    <w:link w:val="Header"/>
    <w:uiPriority w:val="99"/>
    <w:rsid w:val="003E2D79"/>
    <w:rPr>
      <w:rFonts w:ascii="Arial" w:eastAsia="Times New Roman" w:hAnsi="Arial" w:cs="Times New Roman"/>
      <w:sz w:val="20"/>
      <w:szCs w:val="20"/>
    </w:rPr>
  </w:style>
  <w:style w:type="paragraph" w:customStyle="1" w:styleId="TableBullet">
    <w:name w:val="_Table Bullet"/>
    <w:basedOn w:val="Normal"/>
    <w:rsid w:val="0059023F"/>
    <w:pPr>
      <w:numPr>
        <w:numId w:val="4"/>
      </w:numPr>
      <w:tabs>
        <w:tab w:val="left" w:pos="567"/>
      </w:tabs>
      <w:spacing w:before="60" w:after="60"/>
    </w:pPr>
    <w:rPr>
      <w:rFonts w:eastAsia="MS Gothic"/>
      <w:sz w:val="17"/>
      <w:szCs w:val="17"/>
    </w:rPr>
  </w:style>
  <w:style w:type="paragraph" w:customStyle="1" w:styleId="Tableheading">
    <w:name w:val="_Table heading"/>
    <w:basedOn w:val="Normal"/>
    <w:rsid w:val="00F04EAF"/>
    <w:pPr>
      <w:spacing w:before="100" w:after="100"/>
    </w:pPr>
    <w:rPr>
      <w:rFonts w:eastAsia="MS Gothic"/>
      <w:b/>
      <w:sz w:val="17"/>
      <w:szCs w:val="17"/>
    </w:rPr>
  </w:style>
  <w:style w:type="paragraph" w:styleId="BodyTextIndent">
    <w:name w:val="Body Text Indent"/>
    <w:basedOn w:val="Normal"/>
    <w:link w:val="BodyTextIndentChar"/>
    <w:semiHidden/>
    <w:unhideWhenUsed/>
    <w:rsid w:val="007B7349"/>
    <w:pPr>
      <w:spacing w:after="120"/>
      <w:ind w:left="283"/>
      <w:jc w:val="both"/>
    </w:pPr>
    <w:rPr>
      <w:rFonts w:ascii="Times New Roman" w:hAnsi="Times New Roman"/>
      <w:sz w:val="23"/>
    </w:rPr>
  </w:style>
  <w:style w:type="character" w:customStyle="1" w:styleId="BodyTextIndentChar">
    <w:name w:val="Body Text Indent Char"/>
    <w:basedOn w:val="DefaultParagraphFont"/>
    <w:link w:val="BodyTextIndent"/>
    <w:semiHidden/>
    <w:rsid w:val="007B7349"/>
    <w:rPr>
      <w:rFonts w:ascii="Times New Roman" w:eastAsia="Times New Roman" w:hAnsi="Times New Roman" w:cs="Times New Roman"/>
      <w:sz w:val="23"/>
      <w:szCs w:val="20"/>
    </w:rPr>
  </w:style>
  <w:style w:type="paragraph" w:customStyle="1" w:styleId="Table">
    <w:name w:val="_Table"/>
    <w:basedOn w:val="Normal"/>
    <w:rsid w:val="007C58F5"/>
    <w:pPr>
      <w:spacing w:before="60" w:after="60"/>
    </w:pPr>
    <w:rPr>
      <w:rFonts w:eastAsia="MS Gothic"/>
      <w:sz w:val="17"/>
      <w:szCs w:val="17"/>
    </w:rPr>
  </w:style>
  <w:style w:type="paragraph" w:styleId="Revision">
    <w:name w:val="Revision"/>
    <w:hidden/>
    <w:uiPriority w:val="99"/>
    <w:semiHidden/>
    <w:rsid w:val="00965E0B"/>
    <w:pPr>
      <w:spacing w:after="0" w:line="240" w:lineRule="auto"/>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DE478F"/>
    <w:pPr>
      <w:spacing w:after="120"/>
    </w:pPr>
  </w:style>
  <w:style w:type="character" w:customStyle="1" w:styleId="BodyTextChar">
    <w:name w:val="Body Text Char"/>
    <w:basedOn w:val="DefaultParagraphFont"/>
    <w:link w:val="BodyText"/>
    <w:uiPriority w:val="99"/>
    <w:semiHidden/>
    <w:rsid w:val="00DE478F"/>
    <w:rPr>
      <w:rFonts w:ascii="Arial" w:eastAsia="Times New Roman" w:hAnsi="Arial" w:cs="Times New Roman"/>
      <w:sz w:val="20"/>
      <w:szCs w:val="20"/>
    </w:rPr>
  </w:style>
  <w:style w:type="paragraph" w:customStyle="1" w:styleId="Clear">
    <w:name w:val="Clear`"/>
    <w:basedOn w:val="Normal"/>
    <w:semiHidden/>
    <w:rsid w:val="005D3634"/>
    <w:pPr>
      <w:spacing w:before="80" w:after="40"/>
      <w:ind w:left="-126" w:right="-120"/>
    </w:pPr>
    <w:rPr>
      <w:rFonts w:eastAsia="MS Gothic"/>
      <w:i/>
      <w:color w:val="000000"/>
      <w:sz w:val="17"/>
      <w:szCs w:val="17"/>
    </w:rPr>
  </w:style>
  <w:style w:type="character" w:styleId="CommentReference">
    <w:name w:val="annotation reference"/>
    <w:basedOn w:val="DefaultParagraphFont"/>
    <w:uiPriority w:val="99"/>
    <w:semiHidden/>
    <w:unhideWhenUsed/>
    <w:rsid w:val="0006529C"/>
    <w:rPr>
      <w:sz w:val="16"/>
      <w:szCs w:val="16"/>
    </w:rPr>
  </w:style>
  <w:style w:type="paragraph" w:styleId="CommentText">
    <w:name w:val="annotation text"/>
    <w:basedOn w:val="Normal"/>
    <w:link w:val="CommentTextChar"/>
    <w:unhideWhenUsed/>
    <w:rsid w:val="0006529C"/>
  </w:style>
  <w:style w:type="character" w:customStyle="1" w:styleId="CommentTextChar">
    <w:name w:val="Comment Text Char"/>
    <w:basedOn w:val="DefaultParagraphFont"/>
    <w:link w:val="CommentText"/>
    <w:rsid w:val="0006529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6529C"/>
    <w:rPr>
      <w:b/>
      <w:bCs/>
    </w:rPr>
  </w:style>
  <w:style w:type="character" w:customStyle="1" w:styleId="CommentSubjectChar">
    <w:name w:val="Comment Subject Char"/>
    <w:basedOn w:val="CommentTextChar"/>
    <w:link w:val="CommentSubject"/>
    <w:uiPriority w:val="99"/>
    <w:semiHidden/>
    <w:rsid w:val="0006529C"/>
    <w:rPr>
      <w:rFonts w:ascii="Arial" w:eastAsia="Times New Roman" w:hAnsi="Arial" w:cs="Times New Roman"/>
      <w:b/>
      <w:bCs/>
      <w:sz w:val="20"/>
      <w:szCs w:val="20"/>
    </w:rPr>
  </w:style>
  <w:style w:type="character" w:styleId="Hyperlink">
    <w:name w:val="Hyperlink"/>
    <w:basedOn w:val="DefaultParagraphFont"/>
    <w:uiPriority w:val="99"/>
    <w:unhideWhenUsed/>
    <w:rsid w:val="00EC197D"/>
    <w:rPr>
      <w:color w:val="0000FF" w:themeColor="hyperlink"/>
      <w:u w:val="single"/>
    </w:rPr>
  </w:style>
  <w:style w:type="paragraph" w:styleId="FootnoteText">
    <w:name w:val="footnote text"/>
    <w:basedOn w:val="Normal"/>
    <w:link w:val="FootnoteTextChar"/>
    <w:uiPriority w:val="99"/>
    <w:semiHidden/>
    <w:unhideWhenUsed/>
    <w:rsid w:val="00AC54BB"/>
  </w:style>
  <w:style w:type="character" w:customStyle="1" w:styleId="FootnoteTextChar">
    <w:name w:val="Footnote Text Char"/>
    <w:basedOn w:val="DefaultParagraphFont"/>
    <w:link w:val="FootnoteText"/>
    <w:uiPriority w:val="99"/>
    <w:semiHidden/>
    <w:rsid w:val="00AC54B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C54BB"/>
    <w:rPr>
      <w:vertAlign w:val="superscript"/>
    </w:rPr>
  </w:style>
  <w:style w:type="character" w:styleId="FollowedHyperlink">
    <w:name w:val="FollowedHyperlink"/>
    <w:basedOn w:val="DefaultParagraphFont"/>
    <w:uiPriority w:val="99"/>
    <w:semiHidden/>
    <w:unhideWhenUsed/>
    <w:rsid w:val="00645926"/>
    <w:rPr>
      <w:color w:val="800080" w:themeColor="followedHyperlink"/>
      <w:u w:val="single"/>
    </w:rPr>
  </w:style>
  <w:style w:type="table" w:customStyle="1" w:styleId="TableGrid1">
    <w:name w:val="Table Grid1"/>
    <w:rsid w:val="0006700D"/>
    <w:pPr>
      <w:spacing w:after="0" w:line="240" w:lineRule="auto"/>
    </w:pPr>
    <w:rPr>
      <w:rFonts w:eastAsiaTheme="minorEastAsia"/>
      <w:lang w:eastAsia="en-AU"/>
    </w:rPr>
    <w:tblPr>
      <w:tblCellMar>
        <w:top w:w="0" w:type="dxa"/>
        <w:left w:w="0" w:type="dxa"/>
        <w:bottom w:w="0" w:type="dxa"/>
        <w:right w:w="0" w:type="dxa"/>
      </w:tblCellMar>
    </w:tblPr>
  </w:style>
  <w:style w:type="table" w:customStyle="1" w:styleId="TableGrid0">
    <w:name w:val="Table Grid0"/>
    <w:basedOn w:val="TableNormal"/>
    <w:uiPriority w:val="59"/>
    <w:rsid w:val="00067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4C49"/>
    <w:rPr>
      <w:color w:val="605E5C"/>
      <w:shd w:val="clear" w:color="auto" w:fill="E1DFDD"/>
    </w:rPr>
  </w:style>
  <w:style w:type="character" w:customStyle="1" w:styleId="MSBodyChar">
    <w:name w:val="MS Body Char"/>
    <w:link w:val="MSBody"/>
    <w:locked/>
    <w:rsid w:val="00645A03"/>
    <w:rPr>
      <w:rFonts w:ascii="Arial" w:hAnsi="Arial"/>
    </w:rPr>
  </w:style>
  <w:style w:type="paragraph" w:customStyle="1" w:styleId="MSBody">
    <w:name w:val="MS Body"/>
    <w:basedOn w:val="Normal"/>
    <w:link w:val="MSBodyChar"/>
    <w:rsid w:val="00645A03"/>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5814">
      <w:bodyDiv w:val="1"/>
      <w:marLeft w:val="0"/>
      <w:marRight w:val="0"/>
      <w:marTop w:val="0"/>
      <w:marBottom w:val="0"/>
      <w:divBdr>
        <w:top w:val="none" w:sz="0" w:space="0" w:color="auto"/>
        <w:left w:val="none" w:sz="0" w:space="0" w:color="auto"/>
        <w:bottom w:val="none" w:sz="0" w:space="0" w:color="auto"/>
        <w:right w:val="none" w:sz="0" w:space="0" w:color="auto"/>
      </w:divBdr>
    </w:div>
    <w:div w:id="73867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198dda-0dff-4ff4-83f0-e7650db7c443">
      <UserInfo>
        <DisplayName>Gavan Ord</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81F4249C512E4C874D32988C85A511" ma:contentTypeVersion="6" ma:contentTypeDescription="Create a new document." ma:contentTypeScope="" ma:versionID="fd3ebcce4c8fcfe26141bef4aa10941e">
  <xsd:schema xmlns:xsd="http://www.w3.org/2001/XMLSchema" xmlns:xs="http://www.w3.org/2001/XMLSchema" xmlns:p="http://schemas.microsoft.com/office/2006/metadata/properties" xmlns:ns2="48198dda-0dff-4ff4-83f0-e7650db7c443" xmlns:ns3="18aefd93-688c-4f5f-8d55-0aa7c34b1a55" targetNamespace="http://schemas.microsoft.com/office/2006/metadata/properties" ma:root="true" ma:fieldsID="340dbd796e844c761a9642d2fa35ece0" ns2:_="" ns3:_="">
    <xsd:import namespace="48198dda-0dff-4ff4-83f0-e7650db7c443"/>
    <xsd:import namespace="18aefd93-688c-4f5f-8d55-0aa7c34b1a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98dda-0dff-4ff4-83f0-e7650db7c4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aefd93-688c-4f5f-8d55-0aa7c34b1a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54EDB-A85A-44E4-A65F-3E9754C8E59C}">
  <ds:schemaRefs>
    <ds:schemaRef ds:uri="http://purl.org/dc/dcmitype/"/>
    <ds:schemaRef ds:uri="http://purl.org/dc/terms/"/>
    <ds:schemaRef ds:uri="18aefd93-688c-4f5f-8d55-0aa7c34b1a55"/>
    <ds:schemaRef ds:uri="http://schemas.microsoft.com/office/infopath/2007/PartnerControls"/>
    <ds:schemaRef ds:uri="http://purl.org/dc/elements/1.1/"/>
    <ds:schemaRef ds:uri="http://schemas.microsoft.com/office/2006/documentManagement/types"/>
    <ds:schemaRef ds:uri="http://schemas.microsoft.com/office/2006/metadata/properties"/>
    <ds:schemaRef ds:uri="48198dda-0dff-4ff4-83f0-e7650db7c44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5534046-79E6-42E5-8D52-E03AFC242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98dda-0dff-4ff4-83f0-e7650db7c443"/>
    <ds:schemaRef ds:uri="18aefd93-688c-4f5f-8d55-0aa7c34b1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524AA4-7B5B-4215-9AA1-F8C3BAF8CD76}">
  <ds:schemaRefs>
    <ds:schemaRef ds:uri="http://schemas.microsoft.com/sharepoint/v3/contenttype/forms"/>
  </ds:schemaRefs>
</ds:datastoreItem>
</file>

<file path=customXml/itemProps4.xml><?xml version="1.0" encoding="utf-8"?>
<ds:datastoreItem xmlns:ds="http://schemas.openxmlformats.org/officeDocument/2006/customXml" ds:itemID="{59F39B4D-1C96-4E73-BF0D-F851BA73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11</Pages>
  <Words>5237</Words>
  <Characters>29851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Tax Preparation Client Letter</vt:lpstr>
    </vt:vector>
  </TitlesOfParts>
  <Company/>
  <LinksUpToDate>false</LinksUpToDate>
  <CharactersWithSpaces>35018</CharactersWithSpaces>
  <SharedDoc>false</SharedDoc>
  <HLinks>
    <vt:vector size="60" baseType="variant">
      <vt:variant>
        <vt:i4>5242897</vt:i4>
      </vt:variant>
      <vt:variant>
        <vt:i4>27</vt:i4>
      </vt:variant>
      <vt:variant>
        <vt:i4>0</vt:i4>
      </vt:variant>
      <vt:variant>
        <vt:i4>5</vt:i4>
      </vt:variant>
      <vt:variant>
        <vt:lpwstr>https://www.ato.gov.au/individuals/super/withdrawing-and-using-your-super/first-home-super-saver-scheme/</vt:lpwstr>
      </vt:variant>
      <vt:variant>
        <vt:lpwstr/>
      </vt:variant>
      <vt:variant>
        <vt:i4>4063292</vt:i4>
      </vt:variant>
      <vt:variant>
        <vt:i4>24</vt:i4>
      </vt:variant>
      <vt:variant>
        <vt:i4>0</vt:i4>
      </vt:variant>
      <vt:variant>
        <vt:i4>5</vt:i4>
      </vt:variant>
      <vt:variant>
        <vt:lpwstr>https://www.ato.gov.au/individuals/super/growing-your-super/adding-to-your-super/downsizing-contributions-into-superannuation/</vt:lpwstr>
      </vt:variant>
      <vt:variant>
        <vt:lpwstr>:~:text=If%20you%20have%20reached%20the,55%20years%20old%20or%20older</vt:lpwstr>
      </vt:variant>
      <vt:variant>
        <vt:i4>4194385</vt:i4>
      </vt:variant>
      <vt:variant>
        <vt:i4>21</vt:i4>
      </vt:variant>
      <vt:variant>
        <vt:i4>0</vt:i4>
      </vt:variant>
      <vt:variant>
        <vt:i4>5</vt:i4>
      </vt:variant>
      <vt:variant>
        <vt:lpwstr>https://www.ato.gov.au/Individuals/Capital-gains-tax/Foreign-residents-and-capital-gains-tax/Foreign-resident-capital-gains-withholding/Capital-gains-withholding---Impacts-on-foreign-and-Australian-residents/</vt:lpwstr>
      </vt:variant>
      <vt:variant>
        <vt:lpwstr>:~:text=Foreign%20resident%20capital%20gains%20withholding%20(FRCGW)%20applies%20to%20vendors%20disposing,FRCGW%20tax%20rate%20is%2012.5%25.</vt:lpwstr>
      </vt:variant>
      <vt:variant>
        <vt:i4>6946939</vt:i4>
      </vt:variant>
      <vt:variant>
        <vt:i4>18</vt:i4>
      </vt:variant>
      <vt:variant>
        <vt:i4>0</vt:i4>
      </vt:variant>
      <vt:variant>
        <vt:i4>5</vt:i4>
      </vt:variant>
      <vt:variant>
        <vt:lpwstr>https://www.ato.gov.au/individuals/income-and-deductions/deductions-you-can-claim/working-from-home-expenses/fixed-rate-method---67-cents/</vt:lpwstr>
      </vt:variant>
      <vt:variant>
        <vt:lpwstr/>
      </vt:variant>
      <vt:variant>
        <vt:i4>6946939</vt:i4>
      </vt:variant>
      <vt:variant>
        <vt:i4>15</vt:i4>
      </vt:variant>
      <vt:variant>
        <vt:i4>0</vt:i4>
      </vt:variant>
      <vt:variant>
        <vt:i4>5</vt:i4>
      </vt:variant>
      <vt:variant>
        <vt:lpwstr>https://www.ato.gov.au/individuals/income-and-deductions/deductions-you-can-claim/working-from-home-expenses/fixed-rate-method---67-cents/</vt:lpwstr>
      </vt:variant>
      <vt:variant>
        <vt:lpwstr/>
      </vt:variant>
      <vt:variant>
        <vt:i4>6488111</vt:i4>
      </vt:variant>
      <vt:variant>
        <vt:i4>12</vt:i4>
      </vt:variant>
      <vt:variant>
        <vt:i4>0</vt:i4>
      </vt:variant>
      <vt:variant>
        <vt:i4>5</vt:i4>
      </vt:variant>
      <vt:variant>
        <vt:lpwstr>https://www.ato.gov.au/individuals/super/in-detail/growing-your-super/super-contributions---too-much-can-mean-extra-tax/?page=3</vt:lpwstr>
      </vt:variant>
      <vt:variant>
        <vt:lpwstr>:~:text=concessional%20contributions%20form.-,Working%20out%20your%20concessional%20contributions%20cap,ordinary%20time%20earnings%20(AWOTE).&amp;text=Before%201%20July%202017%2C%20your,was%20dependent%20on%20your%20age.</vt:lpwstr>
      </vt:variant>
      <vt:variant>
        <vt:i4>7143535</vt:i4>
      </vt:variant>
      <vt:variant>
        <vt:i4>9</vt:i4>
      </vt:variant>
      <vt:variant>
        <vt:i4>0</vt:i4>
      </vt:variant>
      <vt:variant>
        <vt:i4>5</vt:i4>
      </vt:variant>
      <vt:variant>
        <vt:lpwstr>https://www.ato.gov.au/business/income-and-deductions-for-business/in-detail/small-business-income-tax-offset/?anchor=Eligibility</vt:lpwstr>
      </vt:variant>
      <vt:variant>
        <vt:lpwstr>Eligibility</vt:lpwstr>
      </vt:variant>
      <vt:variant>
        <vt:i4>7143535</vt:i4>
      </vt:variant>
      <vt:variant>
        <vt:i4>6</vt:i4>
      </vt:variant>
      <vt:variant>
        <vt:i4>0</vt:i4>
      </vt:variant>
      <vt:variant>
        <vt:i4>5</vt:i4>
      </vt:variant>
      <vt:variant>
        <vt:lpwstr>https://www.ato.gov.au/business/income-and-deductions-for-business/in-detail/small-business-income-tax-offset/?anchor=Eligibility</vt:lpwstr>
      </vt:variant>
      <vt:variant>
        <vt:lpwstr>Eligibility</vt:lpwstr>
      </vt:variant>
      <vt:variant>
        <vt:i4>7209045</vt:i4>
      </vt:variant>
      <vt:variant>
        <vt:i4>3</vt:i4>
      </vt:variant>
      <vt:variant>
        <vt:i4>0</vt:i4>
      </vt:variant>
      <vt:variant>
        <vt:i4>5</vt:i4>
      </vt:variant>
      <vt:variant>
        <vt:lpwstr>http://classic.austlii.edu.au/au/legis/cth/consol_act/itaa1997240/s59.97.html</vt:lpwstr>
      </vt:variant>
      <vt:variant>
        <vt:lpwstr>:~:text=INCOME%20TAX%20ASSESSMENT%20ACT%201997,coronavirus%20known%20as%20COVID%2D19</vt:lpwstr>
      </vt:variant>
      <vt:variant>
        <vt:i4>2097195</vt:i4>
      </vt:variant>
      <vt:variant>
        <vt:i4>0</vt:i4>
      </vt:variant>
      <vt:variant>
        <vt:i4>0</vt:i4>
      </vt:variant>
      <vt:variant>
        <vt:i4>5</vt:i4>
      </vt:variant>
      <vt:variant>
        <vt:lpwstr>https://www.ato.gov.au/Individuals/Tax-return/2022/In-detail/Publications/Deductions-for-prepaid-expenses-2022/?page=6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Preparation Client Letter</dc:title>
  <dc:subject/>
  <dc:creator>Michelle Webb</dc:creator>
  <cp:keywords>tax returns, tax preparation, client letters, tax agents</cp:keywords>
  <cp:lastModifiedBy>Belinda Zohrab-McConnell</cp:lastModifiedBy>
  <cp:revision>73</cp:revision>
  <cp:lastPrinted>2021-05-20T06:37:00Z</cp:lastPrinted>
  <dcterms:created xsi:type="dcterms:W3CDTF">2024-05-07T02:11:00Z</dcterms:created>
  <dcterms:modified xsi:type="dcterms:W3CDTF">2024-05-22T04:09:00Z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0x0101005881F4249C512E4C874D32988C85A511</vt:lpwstr>
  </property>
  <property fmtid="{D5CDD505-2E9C-101B-9397-08002B2CF9AE}" pid="3" name="Sent">
    <vt:bool>false</vt:bool>
  </property>
</Properties>
</file>