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518E7DD9" w:rsidR="003E4D00" w:rsidRPr="00734B65" w:rsidRDefault="00704316" w:rsidP="00734B65">
      <w:pPr>
        <w:pStyle w:val="Title"/>
      </w:pPr>
      <w:r>
        <w:t>Tax Preparation Checklist</w:t>
      </w:r>
    </w:p>
    <w:p w14:paraId="797E4143" w14:textId="40B8DCD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D7444D">
          <w:headerReference w:type="default" r:id="rId11"/>
          <w:pgSz w:w="11906" w:h="16838" w:code="9"/>
          <w:pgMar w:top="1701" w:right="964" w:bottom="1701" w:left="964" w:header="737" w:footer="680" w:gutter="0"/>
          <w:cols w:space="708"/>
          <w:vAlign w:val="center"/>
          <w:docGrid w:linePitch="360"/>
        </w:sectPr>
      </w:pPr>
    </w:p>
    <w:p w14:paraId="2F8D250C" w14:textId="77777777" w:rsidR="00704316" w:rsidRPr="00704316" w:rsidRDefault="00704316" w:rsidP="00704316">
      <w:pPr>
        <w:pStyle w:val="ListBullet"/>
        <w:ind w:left="0" w:firstLine="0"/>
      </w:pPr>
      <w:r w:rsidRPr="00704316">
        <w:rPr>
          <w:rFonts w:asciiTheme="majorHAnsi" w:eastAsiaTheme="minorHAnsi" w:hAnsiTheme="majorHAnsi"/>
          <w:color w:val="0A5CC7" w:themeColor="accent3"/>
          <w:spacing w:val="20"/>
          <w:sz w:val="52"/>
          <w:szCs w:val="44"/>
          <w:lang w:eastAsia="en-US"/>
        </w:rPr>
        <w:lastRenderedPageBreak/>
        <w:t>Tax Preparation Checklist</w:t>
      </w:r>
    </w:p>
    <w:p w14:paraId="190806A3" w14:textId="77777777" w:rsidR="004631A2" w:rsidRDefault="004631A2" w:rsidP="004631A2">
      <w:r>
        <w:t>This tax preparation checklist provides a general list of major issues that public practice members should address but it is not designed to be an exhaustive list of all issues that may warrant consideration when discharging your obligations in preparing upcoming tax returns or considering tax planning with clients.</w:t>
      </w:r>
    </w:p>
    <w:p w14:paraId="63F36B9C" w14:textId="77777777" w:rsidR="004631A2" w:rsidRDefault="004631A2" w:rsidP="004631A2"/>
    <w:p w14:paraId="0C743C0E" w14:textId="77777777" w:rsidR="004631A2" w:rsidRDefault="004631A2" w:rsidP="004631A2"/>
    <w:p w14:paraId="34C895F6" w14:textId="2A0C9A6C" w:rsidR="00704316" w:rsidRDefault="004631A2" w:rsidP="004631A2">
      <w:r>
        <w:t xml:space="preserve">This information is based on legislation current as </w:t>
      </w:r>
      <w:proofErr w:type="gramStart"/>
      <w:r>
        <w:t>at</w:t>
      </w:r>
      <w:proofErr w:type="gramEnd"/>
      <w:r>
        <w:t xml:space="preserve"> </w:t>
      </w:r>
      <w:r w:rsidR="00B45B14">
        <w:t xml:space="preserve">May </w:t>
      </w:r>
      <w:r>
        <w:t>202</w:t>
      </w:r>
      <w:r w:rsidR="00576DFF">
        <w:t>4</w:t>
      </w:r>
      <w:r>
        <w:t>.</w:t>
      </w:r>
    </w:p>
    <w:p w14:paraId="4E0583EC" w14:textId="1DC495B1" w:rsidR="004631A2" w:rsidRDefault="004631A2" w:rsidP="004631A2"/>
    <w:p w14:paraId="21F50135" w14:textId="77777777" w:rsidR="004631A2" w:rsidRDefault="004631A2" w:rsidP="004631A2">
      <w:pPr>
        <w:pStyle w:val="Body"/>
        <w:spacing w:before="0" w:after="0"/>
        <w:ind w:left="-125" w:right="-119"/>
        <w:rPr>
          <w:sz w:val="18"/>
          <w:szCs w:val="18"/>
        </w:rPr>
      </w:pPr>
    </w:p>
    <w:p w14:paraId="4F3C11B1" w14:textId="77777777" w:rsidR="004631A2" w:rsidRDefault="004631A2" w:rsidP="004631A2">
      <w:pPr>
        <w:pStyle w:val="Body"/>
        <w:spacing w:before="0" w:after="0"/>
        <w:ind w:left="-125" w:right="-119"/>
        <w:rPr>
          <w:sz w:val="18"/>
          <w:szCs w:val="18"/>
        </w:rPr>
      </w:pPr>
    </w:p>
    <w:p w14:paraId="4F86FC23" w14:textId="77777777" w:rsidR="004631A2" w:rsidRDefault="004631A2" w:rsidP="004631A2">
      <w:pPr>
        <w:spacing w:line="276" w:lineRule="auto"/>
        <w:rPr>
          <w:b/>
          <w:bCs/>
        </w:rPr>
      </w:pPr>
    </w:p>
    <w:p w14:paraId="0F6B6601" w14:textId="77777777" w:rsidR="004631A2" w:rsidRDefault="004631A2" w:rsidP="004631A2">
      <w:pPr>
        <w:spacing w:line="276" w:lineRule="auto"/>
        <w:rPr>
          <w:b/>
          <w:bCs/>
        </w:rPr>
      </w:pPr>
    </w:p>
    <w:p w14:paraId="603D55C4" w14:textId="77777777" w:rsidR="004631A2" w:rsidRDefault="004631A2" w:rsidP="004631A2">
      <w:pPr>
        <w:spacing w:line="276" w:lineRule="auto"/>
        <w:rPr>
          <w:b/>
          <w:bCs/>
        </w:rPr>
      </w:pPr>
    </w:p>
    <w:p w14:paraId="03643814" w14:textId="77777777" w:rsidR="004631A2" w:rsidRDefault="004631A2" w:rsidP="004631A2">
      <w:pPr>
        <w:spacing w:line="276" w:lineRule="auto"/>
        <w:rPr>
          <w:b/>
          <w:bCs/>
        </w:rPr>
      </w:pPr>
    </w:p>
    <w:p w14:paraId="55214BCF" w14:textId="77777777" w:rsidR="004631A2" w:rsidRDefault="004631A2" w:rsidP="004631A2">
      <w:pPr>
        <w:spacing w:line="276" w:lineRule="auto"/>
        <w:rPr>
          <w:b/>
          <w:bCs/>
        </w:rPr>
      </w:pPr>
    </w:p>
    <w:p w14:paraId="4E369ADB" w14:textId="77777777" w:rsidR="004631A2" w:rsidRDefault="004631A2" w:rsidP="004631A2">
      <w:pPr>
        <w:spacing w:line="276" w:lineRule="auto"/>
        <w:rPr>
          <w:b/>
          <w:bCs/>
        </w:rPr>
      </w:pPr>
    </w:p>
    <w:p w14:paraId="01F71C12" w14:textId="77777777" w:rsidR="004631A2" w:rsidRDefault="004631A2" w:rsidP="004631A2">
      <w:pPr>
        <w:spacing w:line="276" w:lineRule="auto"/>
        <w:rPr>
          <w:b/>
          <w:bCs/>
        </w:rPr>
      </w:pPr>
    </w:p>
    <w:p w14:paraId="1E3B399C" w14:textId="77777777" w:rsidR="004631A2" w:rsidRDefault="004631A2" w:rsidP="004631A2">
      <w:pPr>
        <w:spacing w:line="276" w:lineRule="auto"/>
        <w:rPr>
          <w:b/>
          <w:bCs/>
        </w:rPr>
      </w:pPr>
    </w:p>
    <w:p w14:paraId="302D306E" w14:textId="77777777" w:rsidR="004631A2" w:rsidRDefault="004631A2" w:rsidP="004631A2">
      <w:pPr>
        <w:spacing w:line="276" w:lineRule="auto"/>
        <w:rPr>
          <w:b/>
          <w:bCs/>
        </w:rPr>
      </w:pPr>
    </w:p>
    <w:p w14:paraId="39BFB3A6" w14:textId="77777777" w:rsidR="004631A2" w:rsidRDefault="004631A2" w:rsidP="004631A2">
      <w:pPr>
        <w:spacing w:line="276" w:lineRule="auto"/>
        <w:rPr>
          <w:b/>
          <w:bCs/>
        </w:rPr>
      </w:pPr>
    </w:p>
    <w:p w14:paraId="1B392571" w14:textId="77777777" w:rsidR="004631A2" w:rsidRDefault="004631A2" w:rsidP="004631A2">
      <w:pPr>
        <w:spacing w:line="276" w:lineRule="auto"/>
        <w:rPr>
          <w:b/>
          <w:bCs/>
        </w:rPr>
      </w:pPr>
    </w:p>
    <w:p w14:paraId="31515BCA" w14:textId="77777777" w:rsidR="004631A2" w:rsidRDefault="004631A2" w:rsidP="004631A2">
      <w:pPr>
        <w:spacing w:line="276" w:lineRule="auto"/>
        <w:rPr>
          <w:b/>
          <w:bCs/>
        </w:rPr>
      </w:pPr>
    </w:p>
    <w:p w14:paraId="3941BF44" w14:textId="77777777" w:rsidR="004631A2" w:rsidRDefault="004631A2" w:rsidP="004631A2">
      <w:pPr>
        <w:spacing w:line="276" w:lineRule="auto"/>
        <w:rPr>
          <w:b/>
          <w:bCs/>
        </w:rPr>
      </w:pPr>
    </w:p>
    <w:p w14:paraId="4E7F848F" w14:textId="728D7EAE" w:rsidR="004631A2" w:rsidRPr="004631A2" w:rsidRDefault="004631A2" w:rsidP="004631A2">
      <w:pPr>
        <w:spacing w:line="276" w:lineRule="auto"/>
        <w:rPr>
          <w:b/>
          <w:bCs/>
        </w:rPr>
      </w:pPr>
      <w:r w:rsidRPr="004631A2">
        <w:rPr>
          <w:b/>
          <w:bCs/>
        </w:rPr>
        <w:t>About the author</w:t>
      </w:r>
    </w:p>
    <w:p w14:paraId="0D0D4E99" w14:textId="77777777" w:rsidR="004631A2" w:rsidRPr="004631A2" w:rsidRDefault="004631A2" w:rsidP="004631A2">
      <w:pPr>
        <w:spacing w:line="276" w:lineRule="auto"/>
      </w:pPr>
      <w:r w:rsidRPr="004631A2">
        <w:t>This checklist was prepared by SW Accountants and Advisors on behalf of CPA Australia.</w:t>
      </w:r>
    </w:p>
    <w:p w14:paraId="528D0598" w14:textId="77777777" w:rsidR="004631A2" w:rsidRPr="004631A2" w:rsidRDefault="004631A2" w:rsidP="004631A2">
      <w:pPr>
        <w:pStyle w:val="Body"/>
        <w:spacing w:before="0" w:after="0" w:line="276" w:lineRule="auto"/>
        <w:ind w:left="0" w:right="0"/>
        <w:rPr>
          <w:rFonts w:asciiTheme="minorHAnsi" w:eastAsiaTheme="minorHAnsi" w:hAnsiTheme="minorHAnsi"/>
          <w:i w:val="0"/>
          <w:color w:val="090D46" w:themeColor="text1"/>
          <w:sz w:val="22"/>
          <w:szCs w:val="22"/>
        </w:rPr>
      </w:pPr>
    </w:p>
    <w:p w14:paraId="071C7309" w14:textId="77777777" w:rsidR="004631A2" w:rsidRPr="004631A2" w:rsidRDefault="004631A2" w:rsidP="004631A2">
      <w:pPr>
        <w:pStyle w:val="Body"/>
        <w:snapToGrid w:val="0"/>
        <w:spacing w:before="0" w:after="0" w:line="276" w:lineRule="auto"/>
        <w:ind w:left="0" w:right="0"/>
        <w:rPr>
          <w:rFonts w:asciiTheme="minorHAnsi" w:eastAsiaTheme="minorHAnsi" w:hAnsiTheme="minorHAnsi"/>
          <w:b/>
          <w:bCs/>
          <w:i w:val="0"/>
          <w:color w:val="090D46" w:themeColor="text1"/>
          <w:sz w:val="22"/>
          <w:szCs w:val="22"/>
        </w:rPr>
      </w:pPr>
      <w:r w:rsidRPr="004631A2">
        <w:rPr>
          <w:rFonts w:asciiTheme="minorHAnsi" w:eastAsiaTheme="minorHAnsi" w:hAnsiTheme="minorHAnsi"/>
          <w:b/>
          <w:bCs/>
          <w:i w:val="0"/>
          <w:color w:val="090D46" w:themeColor="text1"/>
          <w:sz w:val="22"/>
          <w:szCs w:val="22"/>
        </w:rPr>
        <w:t>Disclaimer</w:t>
      </w:r>
    </w:p>
    <w:p w14:paraId="109B1D20" w14:textId="42308A61" w:rsidR="00E72752" w:rsidRPr="004631A2" w:rsidRDefault="004631A2" w:rsidP="004631A2">
      <w:pPr>
        <w:pStyle w:val="Body"/>
        <w:snapToGrid w:val="0"/>
        <w:spacing w:before="0" w:after="0" w:line="276" w:lineRule="auto"/>
        <w:ind w:left="0" w:right="0"/>
        <w:rPr>
          <w:rFonts w:asciiTheme="minorHAnsi" w:eastAsiaTheme="minorHAnsi" w:hAnsiTheme="minorHAnsi"/>
          <w:i w:val="0"/>
          <w:color w:val="090D46" w:themeColor="text1"/>
          <w:sz w:val="22"/>
          <w:szCs w:val="22"/>
        </w:rPr>
      </w:pPr>
      <w:r w:rsidRPr="004631A2">
        <w:rPr>
          <w:rFonts w:asciiTheme="minorHAnsi" w:eastAsiaTheme="minorHAnsi" w:hAnsiTheme="minorHAnsi"/>
          <w:i w:val="0"/>
          <w:color w:val="090D46" w:themeColor="text1"/>
          <w:sz w:val="22"/>
          <w:szCs w:val="22"/>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4631A2">
        <w:rPr>
          <w:rFonts w:asciiTheme="minorHAnsi" w:eastAsiaTheme="minorHAnsi" w:hAnsiTheme="minorHAnsi"/>
          <w:i w:val="0"/>
          <w:color w:val="090D46" w:themeColor="text1"/>
          <w:sz w:val="22"/>
          <w:szCs w:val="22"/>
        </w:rPr>
        <w:t>viewers</w:t>
      </w:r>
      <w:proofErr w:type="gramEnd"/>
      <w:r w:rsidRPr="004631A2">
        <w:rPr>
          <w:rFonts w:asciiTheme="minorHAnsi" w:eastAsiaTheme="minorHAnsi" w:hAnsiTheme="minorHAnsi"/>
          <w:i w:val="0"/>
          <w:color w:val="090D46" w:themeColor="text1"/>
          <w:sz w:val="22"/>
          <w:szCs w:val="22"/>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4631A2">
        <w:rPr>
          <w:rFonts w:asciiTheme="minorHAnsi" w:eastAsiaTheme="minorHAnsi" w:hAnsiTheme="minorHAnsi"/>
          <w:i w:val="0"/>
          <w:color w:val="090D46" w:themeColor="text1"/>
          <w:sz w:val="22"/>
          <w:szCs w:val="22"/>
        </w:rPr>
        <w:t>agents</w:t>
      </w:r>
      <w:proofErr w:type="gramEnd"/>
      <w:r w:rsidRPr="004631A2">
        <w:rPr>
          <w:rFonts w:asciiTheme="minorHAnsi" w:eastAsiaTheme="minorHAnsi" w:hAnsiTheme="minorHAnsi"/>
          <w:i w:val="0"/>
          <w:color w:val="090D46" w:themeColor="text1"/>
          <w:sz w:val="22"/>
          <w:szCs w:val="22"/>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r>
        <w:rPr>
          <w:rFonts w:asciiTheme="minorHAnsi" w:eastAsiaTheme="minorHAnsi" w:hAnsiTheme="minorHAnsi"/>
          <w:i w:val="0"/>
          <w:color w:val="090D46" w:themeColor="text1"/>
          <w:sz w:val="22"/>
          <w:szCs w:val="22"/>
        </w:rPr>
        <w:t>.</w:t>
      </w:r>
    </w:p>
    <w:p w14:paraId="2CCBDD94" w14:textId="77777777" w:rsidR="00E72752" w:rsidRDefault="00E72752" w:rsidP="00E94C5B">
      <w:pPr>
        <w:ind w:right="-119"/>
        <w:rPr>
          <w:b/>
        </w:rPr>
      </w:pPr>
    </w:p>
    <w:tbl>
      <w:tblPr>
        <w:tblStyle w:val="RACVTable"/>
        <w:tblW w:w="10468" w:type="dxa"/>
        <w:tblLook w:val="04A0" w:firstRow="1" w:lastRow="0" w:firstColumn="1" w:lastColumn="0" w:noHBand="0" w:noVBand="1"/>
      </w:tblPr>
      <w:tblGrid>
        <w:gridCol w:w="6924"/>
        <w:gridCol w:w="1418"/>
        <w:gridCol w:w="2126"/>
      </w:tblGrid>
      <w:tr w:rsidR="00E72752" w14:paraId="45A303C0" w14:textId="77777777" w:rsidTr="009C7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4" w:type="dxa"/>
          </w:tcPr>
          <w:p w14:paraId="240043B8" w14:textId="77777777" w:rsidR="00E72752" w:rsidRPr="00D61F3D" w:rsidRDefault="00E72752" w:rsidP="009C7A83">
            <w:pPr>
              <w:spacing w:before="100" w:after="100"/>
              <w:rPr>
                <w:bCs w:val="0"/>
                <w:szCs w:val="18"/>
              </w:rPr>
            </w:pPr>
          </w:p>
        </w:tc>
        <w:tc>
          <w:tcPr>
            <w:tcW w:w="1418" w:type="dxa"/>
            <w:hideMark/>
          </w:tcPr>
          <w:p w14:paraId="3932B23A" w14:textId="77777777" w:rsidR="00E72752" w:rsidRPr="00D61F3D" w:rsidRDefault="00E72752" w:rsidP="009C7A83">
            <w:pPr>
              <w:spacing w:before="100" w:after="100"/>
              <w:cnfStyle w:val="100000000000" w:firstRow="1" w:lastRow="0" w:firstColumn="0" w:lastColumn="0" w:oddVBand="0" w:evenVBand="0" w:oddHBand="0" w:evenHBand="0" w:firstRowFirstColumn="0" w:firstRowLastColumn="0" w:lastRowFirstColumn="0" w:lastRowLastColumn="0"/>
              <w:rPr>
                <w:bCs w:val="0"/>
                <w:szCs w:val="18"/>
              </w:rPr>
            </w:pPr>
            <w:r w:rsidRPr="00D61F3D">
              <w:rPr>
                <w:bCs w:val="0"/>
                <w:szCs w:val="18"/>
              </w:rPr>
              <w:t>INITIAL</w:t>
            </w:r>
          </w:p>
        </w:tc>
        <w:tc>
          <w:tcPr>
            <w:tcW w:w="2126" w:type="dxa"/>
            <w:hideMark/>
          </w:tcPr>
          <w:p w14:paraId="68EC2060" w14:textId="77777777" w:rsidR="00E72752" w:rsidRPr="00D61F3D" w:rsidRDefault="00E72752" w:rsidP="009C7A83">
            <w:pPr>
              <w:spacing w:before="100" w:after="100"/>
              <w:cnfStyle w:val="100000000000" w:firstRow="1" w:lastRow="0" w:firstColumn="0" w:lastColumn="0" w:oddVBand="0" w:evenVBand="0" w:oddHBand="0" w:evenHBand="0" w:firstRowFirstColumn="0" w:firstRowLastColumn="0" w:lastRowFirstColumn="0" w:lastRowLastColumn="0"/>
              <w:rPr>
                <w:bCs w:val="0"/>
                <w:szCs w:val="18"/>
              </w:rPr>
            </w:pPr>
            <w:r w:rsidRPr="00D61F3D">
              <w:rPr>
                <w:bCs w:val="0"/>
                <w:szCs w:val="18"/>
              </w:rPr>
              <w:t>DATE</w:t>
            </w:r>
          </w:p>
        </w:tc>
      </w:tr>
      <w:tr w:rsidR="00E72752" w14:paraId="18CE706D" w14:textId="77777777" w:rsidTr="009C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4" w:type="dxa"/>
            <w:hideMark/>
          </w:tcPr>
          <w:p w14:paraId="19D3C6C7" w14:textId="77777777" w:rsidR="00E72752" w:rsidRDefault="00E72752" w:rsidP="009C7A83">
            <w:pPr>
              <w:spacing w:before="100" w:after="100"/>
              <w:rPr>
                <w:b w:val="0"/>
                <w:sz w:val="20"/>
                <w:szCs w:val="20"/>
              </w:rPr>
            </w:pPr>
            <w:r>
              <w:rPr>
                <w:sz w:val="20"/>
                <w:szCs w:val="20"/>
              </w:rPr>
              <w:t>Preparer:</w:t>
            </w:r>
          </w:p>
        </w:tc>
        <w:tc>
          <w:tcPr>
            <w:tcW w:w="1418" w:type="dxa"/>
          </w:tcPr>
          <w:p w14:paraId="6C7D7497"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c>
          <w:tcPr>
            <w:tcW w:w="2126" w:type="dxa"/>
          </w:tcPr>
          <w:p w14:paraId="23EEBCD1"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r>
      <w:tr w:rsidR="00E72752" w14:paraId="24017F8E" w14:textId="77777777" w:rsidTr="009C7A83">
        <w:tc>
          <w:tcPr>
            <w:cnfStyle w:val="001000000000" w:firstRow="0" w:lastRow="0" w:firstColumn="1" w:lastColumn="0" w:oddVBand="0" w:evenVBand="0" w:oddHBand="0" w:evenHBand="0" w:firstRowFirstColumn="0" w:firstRowLastColumn="0" w:lastRowFirstColumn="0" w:lastRowLastColumn="0"/>
            <w:tcW w:w="6924" w:type="dxa"/>
            <w:hideMark/>
          </w:tcPr>
          <w:p w14:paraId="42BBB88D" w14:textId="77777777" w:rsidR="00E72752" w:rsidRDefault="00E72752" w:rsidP="009C7A83">
            <w:pPr>
              <w:spacing w:before="100" w:after="100"/>
              <w:rPr>
                <w:b w:val="0"/>
                <w:sz w:val="20"/>
                <w:szCs w:val="20"/>
              </w:rPr>
            </w:pPr>
            <w:r>
              <w:rPr>
                <w:sz w:val="20"/>
                <w:szCs w:val="20"/>
              </w:rPr>
              <w:t>Reviewer:</w:t>
            </w:r>
          </w:p>
        </w:tc>
        <w:tc>
          <w:tcPr>
            <w:tcW w:w="1418" w:type="dxa"/>
          </w:tcPr>
          <w:p w14:paraId="36A3C07B" w14:textId="77777777" w:rsidR="00E72752" w:rsidRDefault="00E72752" w:rsidP="009C7A83">
            <w:pPr>
              <w:spacing w:before="100" w:after="100"/>
              <w:cnfStyle w:val="000000000000" w:firstRow="0" w:lastRow="0" w:firstColumn="0" w:lastColumn="0" w:oddVBand="0" w:evenVBand="0" w:oddHBand="0" w:evenHBand="0" w:firstRowFirstColumn="0" w:firstRowLastColumn="0" w:lastRowFirstColumn="0" w:lastRowLastColumn="0"/>
              <w:rPr>
                <w:b/>
                <w:sz w:val="20"/>
                <w:szCs w:val="20"/>
              </w:rPr>
            </w:pPr>
          </w:p>
        </w:tc>
        <w:tc>
          <w:tcPr>
            <w:tcW w:w="2126" w:type="dxa"/>
          </w:tcPr>
          <w:p w14:paraId="431BFE8F" w14:textId="77777777" w:rsidR="00E72752" w:rsidRDefault="00E72752" w:rsidP="009C7A83">
            <w:pPr>
              <w:spacing w:before="100" w:after="100"/>
              <w:cnfStyle w:val="000000000000" w:firstRow="0" w:lastRow="0" w:firstColumn="0" w:lastColumn="0" w:oddVBand="0" w:evenVBand="0" w:oddHBand="0" w:evenHBand="0" w:firstRowFirstColumn="0" w:firstRowLastColumn="0" w:lastRowFirstColumn="0" w:lastRowLastColumn="0"/>
              <w:rPr>
                <w:b/>
                <w:sz w:val="20"/>
                <w:szCs w:val="20"/>
              </w:rPr>
            </w:pPr>
          </w:p>
        </w:tc>
      </w:tr>
      <w:tr w:rsidR="00E72752" w14:paraId="48857E81" w14:textId="77777777" w:rsidTr="009C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4" w:type="dxa"/>
            <w:hideMark/>
          </w:tcPr>
          <w:p w14:paraId="688728A0" w14:textId="77777777" w:rsidR="00E72752" w:rsidRDefault="00E72752" w:rsidP="009C7A83">
            <w:pPr>
              <w:spacing w:before="100" w:after="100"/>
              <w:rPr>
                <w:b w:val="0"/>
                <w:sz w:val="20"/>
                <w:szCs w:val="20"/>
              </w:rPr>
            </w:pPr>
            <w:r>
              <w:rPr>
                <w:sz w:val="20"/>
                <w:szCs w:val="20"/>
              </w:rPr>
              <w:t>Partner:</w:t>
            </w:r>
          </w:p>
        </w:tc>
        <w:tc>
          <w:tcPr>
            <w:tcW w:w="1418" w:type="dxa"/>
          </w:tcPr>
          <w:p w14:paraId="242E6B40"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c>
          <w:tcPr>
            <w:tcW w:w="2126" w:type="dxa"/>
          </w:tcPr>
          <w:p w14:paraId="23D54A06" w14:textId="77777777" w:rsidR="00E72752" w:rsidRDefault="00E72752" w:rsidP="009C7A83">
            <w:pPr>
              <w:spacing w:before="100" w:after="100"/>
              <w:cnfStyle w:val="000000100000" w:firstRow="0" w:lastRow="0" w:firstColumn="0" w:lastColumn="0" w:oddVBand="0" w:evenVBand="0" w:oddHBand="1" w:evenHBand="0" w:firstRowFirstColumn="0" w:firstRowLastColumn="0" w:lastRowFirstColumn="0" w:lastRowLastColumn="0"/>
              <w:rPr>
                <w:b/>
                <w:sz w:val="20"/>
                <w:szCs w:val="20"/>
              </w:rPr>
            </w:pPr>
          </w:p>
        </w:tc>
      </w:tr>
    </w:tbl>
    <w:p w14:paraId="4452E8CA" w14:textId="77777777" w:rsidR="00E72752" w:rsidRDefault="00E72752" w:rsidP="00E72752">
      <w:pPr>
        <w:pStyle w:val="Body"/>
        <w:rPr>
          <w:sz w:val="22"/>
        </w:rPr>
      </w:pPr>
    </w:p>
    <w:tbl>
      <w:tblPr>
        <w:tblStyle w:val="RACVTable"/>
        <w:tblW w:w="5206" w:type="pct"/>
        <w:tblLook w:val="00A0" w:firstRow="1" w:lastRow="0" w:firstColumn="1" w:lastColumn="0" w:noHBand="0" w:noVBand="0"/>
      </w:tblPr>
      <w:tblGrid>
        <w:gridCol w:w="1824"/>
        <w:gridCol w:w="8565"/>
      </w:tblGrid>
      <w:tr w:rsidR="00E72752" w14:paraId="0EEED2E1" w14:textId="77777777" w:rsidTr="009C7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hideMark/>
          </w:tcPr>
          <w:p w14:paraId="3BB963A0" w14:textId="77777777" w:rsidR="00E72752" w:rsidRPr="00292595" w:rsidRDefault="00E72752" w:rsidP="00E94C5B">
            <w:pPr>
              <w:pStyle w:val="Table"/>
              <w:spacing w:before="100" w:after="100"/>
              <w:rPr>
                <w:color w:val="090D46" w:themeColor="text1"/>
              </w:rPr>
            </w:pPr>
            <w:r w:rsidRPr="00292595">
              <w:rPr>
                <w:bCs w:val="0"/>
                <w:color w:val="090D46" w:themeColor="text1"/>
                <w:sz w:val="18"/>
                <w:szCs w:val="18"/>
              </w:rPr>
              <w:t>ENTITY’S NAME</w:t>
            </w:r>
          </w:p>
        </w:tc>
        <w:tc>
          <w:tcPr>
            <w:tcW w:w="4122" w:type="pct"/>
          </w:tcPr>
          <w:p w14:paraId="522FCD96" w14:textId="77777777" w:rsidR="00E72752" w:rsidRDefault="00E72752" w:rsidP="009C7A83">
            <w:pPr>
              <w:pStyle w:val="Table"/>
              <w:cnfStyle w:val="100000000000" w:firstRow="1" w:lastRow="0" w:firstColumn="0" w:lastColumn="0" w:oddVBand="0" w:evenVBand="0" w:oddHBand="0" w:evenHBand="0" w:firstRowFirstColumn="0" w:firstRowLastColumn="0" w:lastRowFirstColumn="0" w:lastRowLastColumn="0"/>
            </w:pPr>
          </w:p>
        </w:tc>
      </w:tr>
    </w:tbl>
    <w:p w14:paraId="7B1CBDFA" w14:textId="77777777" w:rsidR="00E72752" w:rsidRDefault="00E72752" w:rsidP="00E72752">
      <w:pPr>
        <w:pStyle w:val="Body"/>
      </w:pPr>
    </w:p>
    <w:tbl>
      <w:tblPr>
        <w:tblStyle w:val="RACVTable"/>
        <w:tblW w:w="5200" w:type="pct"/>
        <w:tblLook w:val="00A0" w:firstRow="1" w:lastRow="0" w:firstColumn="1" w:lastColumn="0" w:noHBand="0" w:noVBand="0"/>
      </w:tblPr>
      <w:tblGrid>
        <w:gridCol w:w="8551"/>
        <w:gridCol w:w="695"/>
        <w:gridCol w:w="558"/>
        <w:gridCol w:w="573"/>
      </w:tblGrid>
      <w:tr w:rsidR="00E72752" w14:paraId="286F012E" w14:textId="77777777" w:rsidTr="002B2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18B12186" w14:textId="77777777" w:rsidR="00E72752" w:rsidRPr="00292595" w:rsidRDefault="00E72752" w:rsidP="00E94C5B">
            <w:pPr>
              <w:pStyle w:val="Table"/>
              <w:spacing w:before="100" w:after="100"/>
              <w:rPr>
                <w:bCs w:val="0"/>
                <w:color w:val="090D46" w:themeColor="text1"/>
                <w:sz w:val="18"/>
                <w:szCs w:val="18"/>
              </w:rPr>
            </w:pPr>
            <w:bookmarkStart w:id="0" w:name="_Hlk515185246"/>
            <w:r w:rsidRPr="00292595">
              <w:rPr>
                <w:bCs w:val="0"/>
                <w:color w:val="090D46" w:themeColor="text1"/>
                <w:sz w:val="18"/>
                <w:szCs w:val="18"/>
              </w:rPr>
              <w:t>DEFERRING ASSESSABLE INCOME</w:t>
            </w:r>
          </w:p>
        </w:tc>
        <w:tc>
          <w:tcPr>
            <w:tcW w:w="335" w:type="pct"/>
            <w:hideMark/>
          </w:tcPr>
          <w:p w14:paraId="5E5FD557" w14:textId="77777777" w:rsidR="00E72752" w:rsidRPr="00292595" w:rsidRDefault="00E72752" w:rsidP="009C7A83">
            <w:pPr>
              <w:cnfStyle w:val="100000000000" w:firstRow="1" w:lastRow="0" w:firstColumn="0" w:lastColumn="0" w:oddVBand="0" w:evenVBand="0" w:oddHBand="0" w:evenHBand="0" w:firstRowFirstColumn="0" w:firstRowLastColumn="0" w:lastRowFirstColumn="0" w:lastRowLastColumn="0"/>
              <w:rPr>
                <w:rFonts w:ascii="Arial" w:eastAsia="MS Gothic" w:hAnsi="Arial"/>
                <w:bCs w:val="0"/>
                <w:szCs w:val="18"/>
              </w:rPr>
            </w:pPr>
            <w:r w:rsidRPr="00292595">
              <w:rPr>
                <w:rFonts w:ascii="Arial" w:eastAsia="MS Gothic" w:hAnsi="Arial"/>
                <w:bCs w:val="0"/>
                <w:szCs w:val="18"/>
              </w:rPr>
              <w:t>YES</w:t>
            </w:r>
          </w:p>
        </w:tc>
        <w:tc>
          <w:tcPr>
            <w:tcW w:w="269" w:type="pct"/>
            <w:hideMark/>
          </w:tcPr>
          <w:p w14:paraId="1D884545" w14:textId="77777777" w:rsidR="00E72752" w:rsidRPr="00292595" w:rsidRDefault="00E72752" w:rsidP="009C7A83">
            <w:pPr>
              <w:cnfStyle w:val="100000000000" w:firstRow="1" w:lastRow="0" w:firstColumn="0" w:lastColumn="0" w:oddVBand="0" w:evenVBand="0" w:oddHBand="0" w:evenHBand="0" w:firstRowFirstColumn="0" w:firstRowLastColumn="0" w:lastRowFirstColumn="0" w:lastRowLastColumn="0"/>
              <w:rPr>
                <w:rFonts w:ascii="Arial" w:eastAsia="MS Gothic" w:hAnsi="Arial"/>
                <w:bCs w:val="0"/>
                <w:szCs w:val="18"/>
              </w:rPr>
            </w:pPr>
            <w:r w:rsidRPr="00292595">
              <w:rPr>
                <w:rFonts w:ascii="Arial" w:eastAsia="MS Gothic" w:hAnsi="Arial"/>
                <w:bCs w:val="0"/>
                <w:szCs w:val="18"/>
              </w:rPr>
              <w:t>NO</w:t>
            </w:r>
          </w:p>
        </w:tc>
        <w:tc>
          <w:tcPr>
            <w:tcW w:w="276" w:type="pct"/>
            <w:hideMark/>
          </w:tcPr>
          <w:p w14:paraId="0FD639AB" w14:textId="77777777" w:rsidR="00E72752" w:rsidRPr="00292595" w:rsidRDefault="00E72752" w:rsidP="009C7A83">
            <w:pPr>
              <w:cnfStyle w:val="100000000000" w:firstRow="1" w:lastRow="0" w:firstColumn="0" w:lastColumn="0" w:oddVBand="0" w:evenVBand="0" w:oddHBand="0" w:evenHBand="0" w:firstRowFirstColumn="0" w:firstRowLastColumn="0" w:lastRowFirstColumn="0" w:lastRowLastColumn="0"/>
              <w:rPr>
                <w:rFonts w:ascii="Arial" w:eastAsia="MS Gothic" w:hAnsi="Arial"/>
                <w:bCs w:val="0"/>
                <w:szCs w:val="18"/>
              </w:rPr>
            </w:pPr>
            <w:r w:rsidRPr="00292595">
              <w:rPr>
                <w:rFonts w:ascii="Arial" w:eastAsia="MS Gothic" w:hAnsi="Arial"/>
                <w:bCs w:val="0"/>
                <w:szCs w:val="18"/>
              </w:rPr>
              <w:t>N/A</w:t>
            </w:r>
          </w:p>
        </w:tc>
        <w:bookmarkEnd w:id="0"/>
      </w:tr>
      <w:tr w:rsidR="00E72752" w14:paraId="50474ED4" w14:textId="77777777" w:rsidTr="00E9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58D140F" w14:textId="77777777" w:rsidR="00E72752" w:rsidRDefault="00E72752" w:rsidP="00E94C5B">
            <w:pPr>
              <w:pStyle w:val="Table"/>
              <w:spacing w:before="100" w:after="100"/>
              <w:rPr>
                <w:b w:val="0"/>
                <w:sz w:val="18"/>
                <w:szCs w:val="18"/>
              </w:rPr>
            </w:pPr>
            <w:r w:rsidRPr="00E94C5B">
              <w:rPr>
                <w:bCs w:val="0"/>
                <w:color w:val="FFFFFF" w:themeColor="background1"/>
                <w:sz w:val="18"/>
                <w:szCs w:val="18"/>
              </w:rPr>
              <w:t>APPLICATION OF ARTHUR MURRAY PRINCIPLE TO RECEIPTS</w:t>
            </w:r>
          </w:p>
        </w:tc>
      </w:tr>
      <w:tr w:rsidR="00E72752" w14:paraId="35261971"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5AA7EA83" w14:textId="77777777" w:rsidR="00E72752" w:rsidRPr="00E94C5B" w:rsidRDefault="00E72752" w:rsidP="00E94C5B">
            <w:pPr>
              <w:rPr>
                <w:b w:val="0"/>
                <w:bCs w:val="0"/>
              </w:rPr>
            </w:pPr>
            <w:r w:rsidRPr="00E94C5B">
              <w:rPr>
                <w:b w:val="0"/>
                <w:bCs w:val="0"/>
              </w:rPr>
              <w:t>Review contracts to identify income that has been received or is receivable in advance for the provision of services to determine whether income from such contracts can be regarded as only being derived as and when the services are rendered.</w:t>
            </w:r>
          </w:p>
        </w:tc>
        <w:tc>
          <w:tcPr>
            <w:tcW w:w="335" w:type="pct"/>
          </w:tcPr>
          <w:p w14:paraId="76DC991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7E966E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01DDFF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3EC47228"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1AAD08E" w14:textId="2F00773F" w:rsidR="00E72752" w:rsidRPr="00E94C5B" w:rsidRDefault="00E72752" w:rsidP="00E94C5B">
            <w:pPr>
              <w:rPr>
                <w:b w:val="0"/>
                <w:bCs w:val="0"/>
              </w:rPr>
            </w:pPr>
            <w:r w:rsidRPr="00E94C5B">
              <w:rPr>
                <w:b w:val="0"/>
                <w:bCs w:val="0"/>
              </w:rPr>
              <w:t xml:space="preserve">Review any deferred income or other creditors accounts shown in the balance sheet to ensure that there is no income which needs to be recognised as being derived for income tax purposes, applying the principle in </w:t>
            </w:r>
            <w:r w:rsidRPr="00996940">
              <w:rPr>
                <w:b w:val="0"/>
                <w:bCs w:val="0"/>
                <w:i/>
                <w:iCs/>
                <w:szCs w:val="18"/>
              </w:rPr>
              <w:t>Arthur Murray (NSW) Pty Ltd v FCT (1965) 114 CLR 314.</w:t>
            </w:r>
          </w:p>
        </w:tc>
        <w:tc>
          <w:tcPr>
            <w:tcW w:w="0" w:type="pct"/>
            <w:shd w:val="clear" w:color="auto" w:fill="auto"/>
          </w:tcPr>
          <w:p w14:paraId="610F9C8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2EF4785A"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73B9ECF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1CD537E4"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15C4BD0" w14:textId="77777777" w:rsidR="00E72752" w:rsidRPr="00E94C5B" w:rsidRDefault="00E72752" w:rsidP="00E94C5B">
            <w:pPr>
              <w:pStyle w:val="Table"/>
              <w:spacing w:before="100" w:after="100"/>
              <w:rPr>
                <w:bCs w:val="0"/>
                <w:color w:val="FFFFFF" w:themeColor="background1"/>
                <w:sz w:val="18"/>
                <w:szCs w:val="18"/>
              </w:rPr>
            </w:pPr>
            <w:r w:rsidRPr="00E94C5B">
              <w:rPr>
                <w:bCs w:val="0"/>
                <w:color w:val="FFFFFF" w:themeColor="background1"/>
                <w:sz w:val="18"/>
                <w:szCs w:val="18"/>
              </w:rPr>
              <w:t>ACCRUALS OF INTEREST, RENT AND OTHER REGULAR CONTRACTUAL PAYMENTS</w:t>
            </w:r>
          </w:p>
        </w:tc>
      </w:tr>
      <w:tr w:rsidR="00E72752" w14:paraId="42D0C4B2"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3ACDEAB0"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the basis on which interest, rental or other income is derived and the scope for income deferral where income is recognised on a cash basis when received.</w:t>
            </w:r>
          </w:p>
          <w:p w14:paraId="11E4B7C1" w14:textId="571F12E2" w:rsidR="00E72752" w:rsidRDefault="00E72752" w:rsidP="009C7A83">
            <w:pPr>
              <w:pStyle w:val="Table"/>
              <w:spacing w:before="100" w:after="100"/>
              <w:rPr>
                <w:sz w:val="18"/>
                <w:szCs w:val="18"/>
              </w:rPr>
            </w:pPr>
            <w:r w:rsidRPr="00E94C5B">
              <w:rPr>
                <w:rFonts w:asciiTheme="minorHAnsi" w:hAnsiTheme="minorHAnsi" w:cstheme="minorHAnsi"/>
                <w:b w:val="0"/>
                <w:bCs w:val="0"/>
                <w:color w:val="090D46" w:themeColor="text1"/>
                <w:sz w:val="18"/>
                <w:szCs w:val="18"/>
              </w:rPr>
              <w:t>Interest and rent may be derived on an accruals basis if the taxpayer is in the business of lending money or of leasing property.</w:t>
            </w:r>
            <w:r w:rsidRPr="00E94C5B">
              <w:rPr>
                <w:color w:val="090D46" w:themeColor="text1"/>
                <w:sz w:val="18"/>
                <w:szCs w:val="18"/>
              </w:rPr>
              <w:t xml:space="preserve">    </w:t>
            </w:r>
          </w:p>
        </w:tc>
        <w:tc>
          <w:tcPr>
            <w:tcW w:w="0" w:type="pct"/>
            <w:shd w:val="clear" w:color="auto" w:fill="auto"/>
          </w:tcPr>
          <w:p w14:paraId="0E6A192B"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75446FD"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7340C83"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2B287F94"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E16C8F6" w14:textId="77777777" w:rsidR="00E72752" w:rsidRDefault="00E72752" w:rsidP="00E94C5B">
            <w:pPr>
              <w:pStyle w:val="Table"/>
              <w:spacing w:before="100" w:after="100"/>
              <w:rPr>
                <w:b w:val="0"/>
                <w:sz w:val="18"/>
                <w:szCs w:val="18"/>
              </w:rPr>
            </w:pPr>
            <w:r w:rsidRPr="00E94C5B">
              <w:rPr>
                <w:bCs w:val="0"/>
                <w:color w:val="FFFFFF" w:themeColor="background1"/>
                <w:sz w:val="18"/>
                <w:szCs w:val="18"/>
              </w:rPr>
              <w:t>RECEIPT OF DIVIDENDS</w:t>
            </w:r>
          </w:p>
        </w:tc>
      </w:tr>
      <w:tr w:rsidR="00E72752" w14:paraId="43F4256B"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BB30E0E" w14:textId="77777777"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Dividends are only included in assessable income under section 44(1) of the </w:t>
            </w:r>
            <w:r w:rsidRPr="00E94C5B">
              <w:rPr>
                <w:rFonts w:asciiTheme="minorHAnsi" w:hAnsiTheme="minorHAnsi" w:cstheme="minorHAnsi"/>
                <w:b w:val="0"/>
                <w:bCs w:val="0"/>
                <w:i/>
                <w:color w:val="090D46" w:themeColor="text1"/>
                <w:sz w:val="18"/>
                <w:szCs w:val="18"/>
              </w:rPr>
              <w:t xml:space="preserve">Income Tax Assessment Act 1936 </w:t>
            </w:r>
            <w:r w:rsidRPr="00E94C5B">
              <w:rPr>
                <w:rFonts w:asciiTheme="minorHAnsi" w:hAnsiTheme="minorHAnsi" w:cstheme="minorHAnsi"/>
                <w:b w:val="0"/>
                <w:bCs w:val="0"/>
                <w:color w:val="090D46" w:themeColor="text1"/>
                <w:sz w:val="18"/>
                <w:szCs w:val="18"/>
              </w:rPr>
              <w:t>(</w:t>
            </w:r>
            <w:r w:rsidRPr="006B320A">
              <w:rPr>
                <w:rFonts w:asciiTheme="minorHAnsi" w:hAnsiTheme="minorHAnsi" w:cstheme="minorHAnsi"/>
                <w:iCs/>
                <w:color w:val="090D46" w:themeColor="text1"/>
                <w:sz w:val="18"/>
                <w:szCs w:val="18"/>
              </w:rPr>
              <w:t>ITAA 1936</w:t>
            </w:r>
            <w:r w:rsidRPr="008172C5">
              <w:rPr>
                <w:rFonts w:asciiTheme="minorHAnsi" w:hAnsiTheme="minorHAnsi" w:cstheme="minorHAnsi"/>
                <w:b w:val="0"/>
                <w:bCs w:val="0"/>
                <w:color w:val="090D46" w:themeColor="text1"/>
                <w:sz w:val="18"/>
                <w:szCs w:val="18"/>
              </w:rPr>
              <w:t>)</w:t>
            </w:r>
            <w:r w:rsidRPr="008172C5">
              <w:rPr>
                <w:rFonts w:asciiTheme="minorHAnsi" w:hAnsiTheme="minorHAnsi" w:cstheme="minorHAnsi"/>
                <w:b w:val="0"/>
                <w:bCs w:val="0"/>
                <w:i/>
                <w:color w:val="090D46" w:themeColor="text1"/>
                <w:sz w:val="18"/>
                <w:szCs w:val="18"/>
              </w:rPr>
              <w:t xml:space="preserve"> </w:t>
            </w:r>
            <w:r w:rsidRPr="008172C5">
              <w:rPr>
                <w:rFonts w:asciiTheme="minorHAnsi" w:hAnsiTheme="minorHAnsi" w:cstheme="minorHAnsi"/>
                <w:b w:val="0"/>
                <w:bCs w:val="0"/>
                <w:color w:val="090D46" w:themeColor="text1"/>
                <w:sz w:val="18"/>
                <w:szCs w:val="18"/>
              </w:rPr>
              <w:t xml:space="preserve">when distributions are paid or credited to shareholders (including any dividend paid under a dividend reinvestment plan). </w:t>
            </w:r>
          </w:p>
          <w:p w14:paraId="2F2F1F41" w14:textId="08A7812E"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For related entities, consider whether a dividend should be paid around year end or be deferred until the 202</w:t>
            </w:r>
            <w:r w:rsidR="003F196C" w:rsidRPr="008172C5">
              <w:rPr>
                <w:rFonts w:asciiTheme="minorHAnsi" w:hAnsiTheme="minorHAnsi" w:cstheme="minorHAnsi"/>
                <w:b w:val="0"/>
                <w:bCs w:val="0"/>
                <w:color w:val="090D46" w:themeColor="text1"/>
                <w:sz w:val="18"/>
                <w:szCs w:val="18"/>
              </w:rPr>
              <w:t>5</w:t>
            </w:r>
            <w:r w:rsidRPr="008172C5">
              <w:rPr>
                <w:rFonts w:asciiTheme="minorHAnsi" w:hAnsiTheme="minorHAnsi" w:cstheme="minorHAnsi"/>
                <w:b w:val="0"/>
                <w:bCs w:val="0"/>
                <w:color w:val="090D46" w:themeColor="text1"/>
                <w:sz w:val="18"/>
                <w:szCs w:val="18"/>
              </w:rPr>
              <w:t xml:space="preserve"> </w:t>
            </w:r>
            <w:r w:rsidR="00F50EFF" w:rsidRPr="008172C5">
              <w:rPr>
                <w:rFonts w:asciiTheme="minorHAnsi" w:hAnsiTheme="minorHAnsi" w:cstheme="minorHAnsi"/>
                <w:b w:val="0"/>
                <w:bCs w:val="0"/>
                <w:color w:val="090D46" w:themeColor="text1"/>
                <w:sz w:val="18"/>
                <w:szCs w:val="18"/>
              </w:rPr>
              <w:t xml:space="preserve">income </w:t>
            </w:r>
            <w:r w:rsidRPr="008172C5">
              <w:rPr>
                <w:rFonts w:asciiTheme="minorHAnsi" w:hAnsiTheme="minorHAnsi" w:cstheme="minorHAnsi"/>
                <w:b w:val="0"/>
                <w:bCs w:val="0"/>
                <w:color w:val="090D46" w:themeColor="text1"/>
                <w:sz w:val="18"/>
                <w:szCs w:val="18"/>
              </w:rPr>
              <w:t xml:space="preserve">year. It is also important to check that requirements under section 254T of the </w:t>
            </w:r>
            <w:r w:rsidRPr="008172C5">
              <w:rPr>
                <w:rFonts w:asciiTheme="minorHAnsi" w:hAnsiTheme="minorHAnsi" w:cstheme="minorHAnsi"/>
                <w:b w:val="0"/>
                <w:bCs w:val="0"/>
                <w:i/>
                <w:color w:val="090D46" w:themeColor="text1"/>
                <w:sz w:val="18"/>
                <w:szCs w:val="18"/>
              </w:rPr>
              <w:t xml:space="preserve">Corporations Act 2001 </w:t>
            </w:r>
            <w:r w:rsidRPr="008172C5">
              <w:rPr>
                <w:rFonts w:asciiTheme="minorHAnsi" w:hAnsiTheme="minorHAnsi" w:cstheme="minorHAnsi"/>
                <w:b w:val="0"/>
                <w:bCs w:val="0"/>
                <w:color w:val="090D46" w:themeColor="text1"/>
                <w:sz w:val="18"/>
                <w:szCs w:val="18"/>
              </w:rPr>
              <w:t>are met in relation to whether a dividend can be paid.</w:t>
            </w:r>
          </w:p>
          <w:p w14:paraId="3DCED73B" w14:textId="3ECA54CD"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 xml:space="preserve">Ensure that all deemed dividends arising under the </w:t>
            </w:r>
            <w:r w:rsidRPr="006B320A">
              <w:rPr>
                <w:rFonts w:asciiTheme="minorHAnsi" w:hAnsiTheme="minorHAnsi" w:cstheme="minorHAnsi"/>
                <w:iCs/>
                <w:color w:val="090D46" w:themeColor="text1"/>
                <w:sz w:val="18"/>
                <w:szCs w:val="18"/>
              </w:rPr>
              <w:t>ITAA 1936</w:t>
            </w:r>
            <w:r w:rsidRPr="008172C5">
              <w:rPr>
                <w:rFonts w:asciiTheme="minorHAnsi" w:hAnsiTheme="minorHAnsi" w:cstheme="minorHAnsi"/>
                <w:b w:val="0"/>
                <w:bCs w:val="0"/>
                <w:i/>
                <w:color w:val="090D46" w:themeColor="text1"/>
                <w:sz w:val="18"/>
                <w:szCs w:val="18"/>
              </w:rPr>
              <w:t xml:space="preserve"> </w:t>
            </w:r>
            <w:r w:rsidRPr="008172C5">
              <w:rPr>
                <w:rFonts w:asciiTheme="minorHAnsi" w:hAnsiTheme="minorHAnsi" w:cstheme="minorHAnsi"/>
                <w:b w:val="0"/>
                <w:bCs w:val="0"/>
                <w:color w:val="090D46" w:themeColor="text1"/>
                <w:sz w:val="18"/>
                <w:szCs w:val="18"/>
              </w:rPr>
              <w:t>have</w:t>
            </w:r>
            <w:r w:rsidRPr="00E94C5B">
              <w:rPr>
                <w:rFonts w:asciiTheme="minorHAnsi" w:hAnsiTheme="minorHAnsi" w:cstheme="minorHAnsi"/>
                <w:b w:val="0"/>
                <w:bCs w:val="0"/>
                <w:color w:val="090D46" w:themeColor="text1"/>
                <w:sz w:val="18"/>
                <w:szCs w:val="18"/>
              </w:rPr>
              <w:t xml:space="preserve"> been identified including, amongst others, payments, </w:t>
            </w:r>
            <w:proofErr w:type="gramStart"/>
            <w:r w:rsidRPr="00E94C5B">
              <w:rPr>
                <w:rFonts w:asciiTheme="minorHAnsi" w:hAnsiTheme="minorHAnsi" w:cstheme="minorHAnsi"/>
                <w:b w:val="0"/>
                <w:bCs w:val="0"/>
                <w:color w:val="090D46" w:themeColor="text1"/>
                <w:sz w:val="18"/>
                <w:szCs w:val="18"/>
              </w:rPr>
              <w:t>loans</w:t>
            </w:r>
            <w:proofErr w:type="gramEnd"/>
            <w:r w:rsidRPr="00E94C5B">
              <w:rPr>
                <w:rFonts w:asciiTheme="minorHAnsi" w:hAnsiTheme="minorHAnsi" w:cstheme="minorHAnsi"/>
                <w:b w:val="0"/>
                <w:bCs w:val="0"/>
                <w:color w:val="090D46" w:themeColor="text1"/>
                <w:sz w:val="18"/>
                <w:szCs w:val="18"/>
              </w:rPr>
              <w:t xml:space="preserve"> and debt forgiveness transactions that result in a deemed dividend arising under Division 7A, excess payments to associates under section 109, distribution benefits provided by controlled foreign companies under section 47A and dividends arising on off-market share buy-backs under section 159GZZZP. </w:t>
            </w:r>
            <w:r w:rsidR="000B579F">
              <w:rPr>
                <w:rFonts w:asciiTheme="minorHAnsi" w:hAnsiTheme="minorHAnsi" w:cstheme="minorHAnsi"/>
                <w:b w:val="0"/>
                <w:bCs w:val="0"/>
                <w:color w:val="090D46" w:themeColor="text1"/>
                <w:sz w:val="18"/>
                <w:szCs w:val="18"/>
              </w:rPr>
              <w:t xml:space="preserve">Note that </w:t>
            </w:r>
            <w:r w:rsidR="00C43F16">
              <w:rPr>
                <w:rFonts w:asciiTheme="minorHAnsi" w:hAnsiTheme="minorHAnsi" w:cstheme="minorHAnsi"/>
                <w:b w:val="0"/>
                <w:bCs w:val="0"/>
                <w:color w:val="090D46" w:themeColor="text1"/>
                <w:sz w:val="18"/>
                <w:szCs w:val="18"/>
              </w:rPr>
              <w:t xml:space="preserve">on or after 7.30pm AEST 25 October 2022, </w:t>
            </w:r>
            <w:r w:rsidR="000B579F">
              <w:rPr>
                <w:rFonts w:asciiTheme="minorHAnsi" w:hAnsiTheme="minorHAnsi" w:cstheme="minorHAnsi"/>
                <w:b w:val="0"/>
                <w:bCs w:val="0"/>
                <w:color w:val="090D46" w:themeColor="text1"/>
                <w:sz w:val="18"/>
                <w:szCs w:val="18"/>
              </w:rPr>
              <w:t xml:space="preserve">no part of the </w:t>
            </w:r>
            <w:r w:rsidR="00B42CD9">
              <w:rPr>
                <w:rFonts w:asciiTheme="minorHAnsi" w:hAnsiTheme="minorHAnsi" w:cstheme="minorHAnsi"/>
                <w:b w:val="0"/>
                <w:bCs w:val="0"/>
                <w:color w:val="090D46" w:themeColor="text1"/>
                <w:sz w:val="18"/>
                <w:szCs w:val="18"/>
              </w:rPr>
              <w:t xml:space="preserve">purchase price of </w:t>
            </w:r>
            <w:r w:rsidR="000B579F">
              <w:rPr>
                <w:rFonts w:asciiTheme="minorHAnsi" w:hAnsiTheme="minorHAnsi" w:cstheme="minorHAnsi"/>
                <w:b w:val="0"/>
                <w:bCs w:val="0"/>
                <w:color w:val="090D46" w:themeColor="text1"/>
                <w:sz w:val="18"/>
                <w:szCs w:val="18"/>
              </w:rPr>
              <w:t>off-market share buy-backs undertaken by listed public companies</w:t>
            </w:r>
            <w:r w:rsidR="003519ED">
              <w:rPr>
                <w:rFonts w:asciiTheme="minorHAnsi" w:hAnsiTheme="minorHAnsi" w:cstheme="minorHAnsi"/>
                <w:b w:val="0"/>
                <w:bCs w:val="0"/>
                <w:color w:val="090D46" w:themeColor="text1"/>
                <w:sz w:val="18"/>
                <w:szCs w:val="18"/>
              </w:rPr>
              <w:t xml:space="preserve"> </w:t>
            </w:r>
            <w:r w:rsidR="00C43F16">
              <w:rPr>
                <w:rFonts w:asciiTheme="minorHAnsi" w:hAnsiTheme="minorHAnsi" w:cstheme="minorHAnsi"/>
                <w:b w:val="0"/>
                <w:bCs w:val="0"/>
                <w:color w:val="090D46" w:themeColor="text1"/>
                <w:sz w:val="18"/>
                <w:szCs w:val="18"/>
              </w:rPr>
              <w:t>will be a dividend.</w:t>
            </w:r>
          </w:p>
          <w:p w14:paraId="4323CB60" w14:textId="2229B1BF" w:rsidR="00E72752" w:rsidRDefault="00E72752" w:rsidP="009C7A83">
            <w:pPr>
              <w:pStyle w:val="Table"/>
              <w:spacing w:before="100" w:after="100"/>
              <w:rPr>
                <w:sz w:val="18"/>
                <w:szCs w:val="18"/>
              </w:rPr>
            </w:pPr>
            <w:r w:rsidRPr="00E94C5B">
              <w:rPr>
                <w:rFonts w:asciiTheme="minorHAnsi" w:hAnsiTheme="minorHAnsi" w:cstheme="minorHAnsi"/>
                <w:b w:val="0"/>
                <w:bCs w:val="0"/>
                <w:color w:val="090D46" w:themeColor="text1"/>
                <w:sz w:val="18"/>
                <w:szCs w:val="18"/>
              </w:rPr>
              <w:lastRenderedPageBreak/>
              <w:t xml:space="preserve">Foreign dividends received from a foreign company are non-assessable non-exempt income when received by an Australian company who has at least a 10% equity in the foreign company (see Subdivision 768-A of the </w:t>
            </w:r>
            <w:r w:rsidRPr="00E94C5B">
              <w:rPr>
                <w:rFonts w:asciiTheme="minorHAnsi" w:hAnsiTheme="minorHAnsi" w:cstheme="minorHAnsi"/>
                <w:b w:val="0"/>
                <w:bCs w:val="0"/>
                <w:i/>
                <w:color w:val="090D46" w:themeColor="text1"/>
                <w:sz w:val="18"/>
                <w:szCs w:val="18"/>
              </w:rPr>
              <w:t xml:space="preserve">Income Tax Assessment Act </w:t>
            </w:r>
            <w:r w:rsidRPr="008172C5">
              <w:rPr>
                <w:rFonts w:asciiTheme="minorHAnsi" w:hAnsiTheme="minorHAnsi" w:cstheme="minorHAnsi"/>
                <w:b w:val="0"/>
                <w:bCs w:val="0"/>
                <w:i/>
                <w:color w:val="090D46" w:themeColor="text1"/>
                <w:sz w:val="18"/>
                <w:szCs w:val="18"/>
              </w:rPr>
              <w:t xml:space="preserve">1997 </w:t>
            </w:r>
            <w:r w:rsidRPr="008172C5">
              <w:rPr>
                <w:rFonts w:asciiTheme="minorHAnsi" w:hAnsiTheme="minorHAnsi" w:cstheme="minorHAnsi"/>
                <w:b w:val="0"/>
                <w:bCs w:val="0"/>
                <w:color w:val="090D46" w:themeColor="text1"/>
                <w:sz w:val="18"/>
                <w:szCs w:val="18"/>
              </w:rPr>
              <w:t>(</w:t>
            </w:r>
            <w:r w:rsidRPr="006B320A">
              <w:rPr>
                <w:rFonts w:asciiTheme="minorHAnsi" w:hAnsiTheme="minorHAnsi" w:cstheme="minorHAnsi"/>
                <w:iCs/>
                <w:color w:val="090D46" w:themeColor="text1"/>
                <w:sz w:val="18"/>
                <w:szCs w:val="18"/>
              </w:rPr>
              <w:t>ITAA 1997</w:t>
            </w:r>
            <w:r w:rsidRPr="008172C5">
              <w:rPr>
                <w:rFonts w:asciiTheme="minorHAnsi" w:hAnsiTheme="minorHAnsi" w:cstheme="minorHAnsi"/>
                <w:b w:val="0"/>
                <w:bCs w:val="0"/>
                <w:color w:val="090D46" w:themeColor="text1"/>
                <w:sz w:val="18"/>
                <w:szCs w:val="18"/>
              </w:rPr>
              <w:t>)</w:t>
            </w:r>
            <w:r w:rsidR="003D32BD" w:rsidRPr="008172C5">
              <w:rPr>
                <w:rFonts w:asciiTheme="minorHAnsi" w:hAnsiTheme="minorHAnsi" w:cstheme="minorHAnsi"/>
                <w:b w:val="0"/>
                <w:bCs w:val="0"/>
                <w:color w:val="090D46" w:themeColor="text1"/>
                <w:sz w:val="18"/>
                <w:szCs w:val="18"/>
              </w:rPr>
              <w:t>)</w:t>
            </w:r>
            <w:r w:rsidRPr="008172C5">
              <w:rPr>
                <w:rFonts w:asciiTheme="minorHAnsi" w:hAnsiTheme="minorHAnsi" w:cstheme="minorHAnsi"/>
                <w:b w:val="0"/>
                <w:bCs w:val="0"/>
                <w:color w:val="090D46" w:themeColor="text1"/>
                <w:sz w:val="18"/>
                <w:szCs w:val="18"/>
              </w:rPr>
              <w:t>.</w:t>
            </w:r>
            <w:r w:rsidRPr="00E94C5B">
              <w:rPr>
                <w:color w:val="090D46" w:themeColor="text1"/>
                <w:sz w:val="18"/>
                <w:szCs w:val="18"/>
              </w:rPr>
              <w:t xml:space="preserve">              </w:t>
            </w:r>
          </w:p>
        </w:tc>
        <w:tc>
          <w:tcPr>
            <w:tcW w:w="0" w:type="pct"/>
            <w:shd w:val="clear" w:color="auto" w:fill="auto"/>
          </w:tcPr>
          <w:p w14:paraId="4F3DECA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5ACA726"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B95268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73AFD93A"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84C56F0" w14:textId="77777777" w:rsidR="00E72752" w:rsidRPr="00E94C5B" w:rsidRDefault="00E72752" w:rsidP="00E94C5B">
            <w:pPr>
              <w:pStyle w:val="Table"/>
              <w:spacing w:before="100" w:after="100"/>
              <w:rPr>
                <w:b w:val="0"/>
                <w:color w:val="FFFFFF" w:themeColor="background1"/>
                <w:sz w:val="18"/>
                <w:szCs w:val="18"/>
              </w:rPr>
            </w:pPr>
            <w:r w:rsidRPr="00E94C5B">
              <w:rPr>
                <w:bCs w:val="0"/>
                <w:color w:val="FFFFFF" w:themeColor="background1"/>
                <w:sz w:val="18"/>
                <w:szCs w:val="18"/>
              </w:rPr>
              <w:t>SALES AND WORK IN PROGRESS</w:t>
            </w:r>
          </w:p>
        </w:tc>
      </w:tr>
      <w:tr w:rsidR="00E72752" w14:paraId="32AA4108"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C2D6E12" w14:textId="6097E10E"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the deferral of business income, including delaying the issue of an invoice for sales and/or work in progress until the 202</w:t>
            </w:r>
            <w:r w:rsidR="00B8526E">
              <w:rPr>
                <w:rFonts w:asciiTheme="minorHAnsi" w:hAnsiTheme="minorHAnsi" w:cstheme="minorHAnsi"/>
                <w:b w:val="0"/>
                <w:bCs w:val="0"/>
                <w:color w:val="090D46" w:themeColor="text1"/>
                <w:sz w:val="18"/>
                <w:szCs w:val="18"/>
              </w:rPr>
              <w:t>5</w:t>
            </w:r>
            <w:r w:rsidRPr="00E94C5B">
              <w:rPr>
                <w:rFonts w:asciiTheme="minorHAnsi" w:hAnsiTheme="minorHAnsi" w:cstheme="minorHAnsi"/>
                <w:b w:val="0"/>
                <w:bCs w:val="0"/>
                <w:color w:val="090D46" w:themeColor="text1"/>
                <w:sz w:val="18"/>
                <w:szCs w:val="18"/>
              </w:rPr>
              <w:t xml:space="preserve"> year.</w:t>
            </w:r>
          </w:p>
          <w:p w14:paraId="35E486E0" w14:textId="5A99ACDA" w:rsidR="00E72752" w:rsidRDefault="00E72752" w:rsidP="009C7A83">
            <w:pPr>
              <w:pStyle w:val="Table"/>
              <w:spacing w:before="100" w:after="100"/>
              <w:rPr>
                <w:sz w:val="18"/>
                <w:szCs w:val="18"/>
              </w:rPr>
            </w:pPr>
            <w:r w:rsidRPr="00E94C5B">
              <w:rPr>
                <w:rFonts w:asciiTheme="minorHAnsi" w:hAnsiTheme="minorHAnsi" w:cstheme="minorHAnsi"/>
                <w:b w:val="0"/>
                <w:bCs w:val="0"/>
                <w:color w:val="090D46" w:themeColor="text1"/>
                <w:sz w:val="18"/>
                <w:szCs w:val="18"/>
              </w:rPr>
              <w:t>Work in progress for the provision of services will only typically be assessable where an invoice is issued, or the work is completed as set out in Taxation Ruing TR 93/11.</w:t>
            </w:r>
            <w:r w:rsidRPr="00E94C5B">
              <w:rPr>
                <w:color w:val="090D46" w:themeColor="text1"/>
                <w:sz w:val="18"/>
                <w:szCs w:val="18"/>
              </w:rPr>
              <w:t xml:space="preserve">  </w:t>
            </w:r>
          </w:p>
        </w:tc>
        <w:tc>
          <w:tcPr>
            <w:tcW w:w="0" w:type="pct"/>
            <w:shd w:val="clear" w:color="auto" w:fill="auto"/>
          </w:tcPr>
          <w:p w14:paraId="1B170D2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5E60597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31555BA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0868DD69" w14:textId="77777777" w:rsidTr="00E94C5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FBFB3FD" w14:textId="77777777" w:rsidR="00E72752" w:rsidRPr="00E94C5B" w:rsidRDefault="00E72752" w:rsidP="009C7A83">
            <w:pPr>
              <w:pStyle w:val="Tableheading"/>
              <w:rPr>
                <w:b/>
                <w:bCs w:val="0"/>
                <w:color w:val="FFFFFF" w:themeColor="background1"/>
                <w:sz w:val="18"/>
                <w:szCs w:val="18"/>
              </w:rPr>
            </w:pPr>
            <w:r w:rsidRPr="00E94C5B">
              <w:rPr>
                <w:b/>
                <w:color w:val="FFFFFF" w:themeColor="background1"/>
                <w:sz w:val="18"/>
                <w:szCs w:val="18"/>
              </w:rPr>
              <w:t>REALISATION OF ASSETS</w:t>
            </w:r>
          </w:p>
        </w:tc>
      </w:tr>
      <w:tr w:rsidR="00E72752" w14:paraId="03594103"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A02B938"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the postponement of the realisation of any assessable gains such as capital gains on the disposal of assets until after year end.</w:t>
            </w:r>
          </w:p>
          <w:p w14:paraId="15887C67"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 xml:space="preserve">It is generally the contract execution date that determines the timing of a disposal of an asset for CGT purposes and not the settlement date. It is therefore important to review any contract where the entry and settlement of the contract straddle year end. </w:t>
            </w:r>
          </w:p>
          <w:p w14:paraId="301933D7"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Prior to deferring any capital gain check to see whether the gain would be either exempt or concessionally taxed, and whether the sale should be deferred so that the asset satisfies the 12-month holding period under the CGT Discount (if applicable and subject to the integrity measures in Subdivision 115-A).</w:t>
            </w:r>
          </w:p>
        </w:tc>
        <w:tc>
          <w:tcPr>
            <w:tcW w:w="0" w:type="pct"/>
            <w:shd w:val="clear" w:color="auto" w:fill="auto"/>
          </w:tcPr>
          <w:p w14:paraId="51E69054"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53BBC76"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2FB9BB7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94C5B" w14:paraId="24AFD82B" w14:textId="77777777" w:rsidTr="006B320A">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21FCAD6" w14:textId="61BBB855"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Identify any sale consideration which has been received during the year under an eligible earnout arrangement relating to the prior year disposal of a CGT active asset, in which case the consideration received is disregarded in the 202</w:t>
            </w:r>
            <w:r w:rsidR="005B69BB" w:rsidRPr="008172C5">
              <w:rPr>
                <w:rFonts w:asciiTheme="minorHAnsi" w:hAnsiTheme="minorHAnsi" w:cstheme="minorHAnsi"/>
                <w:b w:val="0"/>
                <w:bCs w:val="0"/>
                <w:color w:val="090D46" w:themeColor="text1"/>
                <w:sz w:val="18"/>
                <w:szCs w:val="18"/>
              </w:rPr>
              <w:t>4</w:t>
            </w:r>
            <w:r w:rsidRPr="008172C5">
              <w:rPr>
                <w:rFonts w:asciiTheme="minorHAnsi" w:hAnsiTheme="minorHAnsi" w:cstheme="minorHAnsi"/>
                <w:b w:val="0"/>
                <w:bCs w:val="0"/>
                <w:color w:val="090D46" w:themeColor="text1"/>
                <w:sz w:val="18"/>
                <w:szCs w:val="18"/>
              </w:rPr>
              <w:t xml:space="preserve"> year but will form part of the capital proceeds relating to the disposal of that asset in that earlier year. </w:t>
            </w:r>
          </w:p>
          <w:p w14:paraId="68B536CD" w14:textId="439164CA"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 xml:space="preserve">Care should be taken to ensure that all the requirements of being an eligible </w:t>
            </w:r>
            <w:r w:rsidR="00650BAC" w:rsidRPr="008172C5">
              <w:rPr>
                <w:rFonts w:asciiTheme="minorHAnsi" w:hAnsiTheme="minorHAnsi" w:cstheme="minorHAnsi"/>
                <w:b w:val="0"/>
                <w:bCs w:val="0"/>
                <w:color w:val="090D46" w:themeColor="text1"/>
                <w:sz w:val="18"/>
                <w:szCs w:val="18"/>
              </w:rPr>
              <w:t xml:space="preserve">look-through </w:t>
            </w:r>
            <w:r w:rsidRPr="008172C5">
              <w:rPr>
                <w:rFonts w:asciiTheme="minorHAnsi" w:hAnsiTheme="minorHAnsi" w:cstheme="minorHAnsi"/>
                <w:b w:val="0"/>
                <w:bCs w:val="0"/>
                <w:color w:val="090D46" w:themeColor="text1"/>
                <w:sz w:val="18"/>
                <w:szCs w:val="18"/>
              </w:rPr>
              <w:t xml:space="preserve">earnout arrangement under section 118-565 of the </w:t>
            </w:r>
            <w:r w:rsidRPr="006B320A">
              <w:rPr>
                <w:rFonts w:asciiTheme="minorHAnsi" w:hAnsiTheme="minorHAnsi" w:cstheme="minorHAnsi"/>
                <w:iCs/>
                <w:color w:val="090D46" w:themeColor="text1"/>
                <w:sz w:val="18"/>
                <w:szCs w:val="18"/>
              </w:rPr>
              <w:t>ITAA 1997</w:t>
            </w:r>
            <w:r w:rsidRPr="008172C5">
              <w:rPr>
                <w:rFonts w:asciiTheme="minorHAnsi" w:hAnsiTheme="minorHAnsi" w:cstheme="minorHAnsi"/>
                <w:b w:val="0"/>
                <w:bCs w:val="0"/>
                <w:color w:val="090D46" w:themeColor="text1"/>
                <w:sz w:val="18"/>
                <w:szCs w:val="18"/>
              </w:rPr>
              <w:t xml:space="preserve"> are satisfied.         </w:t>
            </w:r>
          </w:p>
        </w:tc>
        <w:tc>
          <w:tcPr>
            <w:tcW w:w="0" w:type="pct"/>
            <w:shd w:val="clear" w:color="auto" w:fill="auto"/>
          </w:tcPr>
          <w:p w14:paraId="0B04461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shd w:val="clear" w:color="auto" w:fill="auto"/>
          </w:tcPr>
          <w:p w14:paraId="3E02B91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shd w:val="clear" w:color="auto" w:fill="auto"/>
          </w:tcPr>
          <w:p w14:paraId="0983E9D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11D9DDE8"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904C064" w14:textId="77777777"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Consider deferring the disposal of a depreciating asset that would result in an assessable balancing charge.</w:t>
            </w:r>
          </w:p>
        </w:tc>
        <w:tc>
          <w:tcPr>
            <w:tcW w:w="0" w:type="pct"/>
            <w:shd w:val="clear" w:color="auto" w:fill="auto"/>
          </w:tcPr>
          <w:p w14:paraId="16557CD8"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68A32D01"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5702649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94C5B" w14:paraId="6FDE15CC"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6E22DA15" w14:textId="77777777"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 xml:space="preserve">Consider CGT and/or depreciation rollover relief where possible, especially the availability of the small business restructure rollover under Subdivision 328-G of the </w:t>
            </w:r>
            <w:r w:rsidRPr="006B320A">
              <w:rPr>
                <w:rFonts w:asciiTheme="minorHAnsi" w:hAnsiTheme="minorHAnsi" w:cstheme="minorHAnsi"/>
                <w:iCs/>
                <w:color w:val="090D46" w:themeColor="text1"/>
                <w:sz w:val="18"/>
                <w:szCs w:val="18"/>
              </w:rPr>
              <w:t>ITAA 1997</w:t>
            </w:r>
            <w:r w:rsidRPr="008172C5">
              <w:rPr>
                <w:rFonts w:asciiTheme="minorHAnsi" w:hAnsiTheme="minorHAnsi" w:cstheme="minorHAnsi"/>
                <w:b w:val="0"/>
                <w:bCs w:val="0"/>
                <w:color w:val="090D46" w:themeColor="text1"/>
                <w:sz w:val="18"/>
                <w:szCs w:val="18"/>
              </w:rPr>
              <w:t>.</w:t>
            </w:r>
          </w:p>
        </w:tc>
        <w:tc>
          <w:tcPr>
            <w:tcW w:w="335" w:type="pct"/>
          </w:tcPr>
          <w:p w14:paraId="4A15387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2B22EE3D"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61A73E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68080F57" w14:textId="77777777" w:rsidTr="00E9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5F7370F" w14:textId="77777777" w:rsidR="00E72752" w:rsidRPr="00E94C5B" w:rsidRDefault="00E72752" w:rsidP="009C7A83">
            <w:pPr>
              <w:pStyle w:val="Tableheading"/>
              <w:rPr>
                <w:color w:val="FFFFFF" w:themeColor="background1"/>
                <w:sz w:val="18"/>
                <w:szCs w:val="18"/>
              </w:rPr>
            </w:pPr>
            <w:r w:rsidRPr="00E94C5B">
              <w:rPr>
                <w:b/>
                <w:color w:val="FFFFFF" w:themeColor="background1"/>
                <w:sz w:val="18"/>
                <w:szCs w:val="18"/>
              </w:rPr>
              <w:t>REALISATION OF FOREIGN EXCHANGE GAIN</w:t>
            </w:r>
          </w:p>
        </w:tc>
      </w:tr>
      <w:tr w:rsidR="00E94C5B" w14:paraId="05ABD5B1"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18417518" w14:textId="77777777" w:rsidR="00E72752" w:rsidRPr="00E94C5B" w:rsidRDefault="00E72752" w:rsidP="009C7A83">
            <w:pPr>
              <w:pStyle w:val="Table"/>
              <w:spacing w:before="100" w:after="100"/>
              <w:rPr>
                <w:rFonts w:asciiTheme="minorHAnsi" w:hAnsiTheme="minorHAnsi" w:cstheme="minorHAnsi"/>
                <w:b w:val="0"/>
                <w:bCs w:val="0"/>
                <w:color w:val="090D46" w:themeColor="text1"/>
                <w:sz w:val="18"/>
                <w:szCs w:val="18"/>
              </w:rPr>
            </w:pPr>
            <w:r w:rsidRPr="00E94C5B">
              <w:rPr>
                <w:rFonts w:asciiTheme="minorHAnsi" w:hAnsiTheme="minorHAnsi" w:cstheme="minorHAnsi"/>
                <w:b w:val="0"/>
                <w:bCs w:val="0"/>
                <w:color w:val="090D46" w:themeColor="text1"/>
                <w:sz w:val="18"/>
                <w:szCs w:val="18"/>
              </w:rPr>
              <w:t>Consider deferring the realisation of foreign exchange gains until after year end.</w:t>
            </w:r>
          </w:p>
        </w:tc>
        <w:tc>
          <w:tcPr>
            <w:tcW w:w="335" w:type="pct"/>
          </w:tcPr>
          <w:p w14:paraId="2235D03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580C3A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37DF1EC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05D2188E" w14:textId="77777777" w:rsidTr="00F2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C319948" w14:textId="77777777" w:rsidR="00E72752" w:rsidRPr="00F223D8" w:rsidRDefault="00E72752" w:rsidP="009C7A83">
            <w:pPr>
              <w:pStyle w:val="Tableheading"/>
              <w:rPr>
                <w:color w:val="FFFFFF" w:themeColor="background1"/>
                <w:sz w:val="18"/>
                <w:szCs w:val="18"/>
              </w:rPr>
            </w:pPr>
            <w:r w:rsidRPr="00F223D8">
              <w:rPr>
                <w:b/>
                <w:color w:val="FFFFFF" w:themeColor="background1"/>
                <w:sz w:val="18"/>
                <w:szCs w:val="18"/>
              </w:rPr>
              <w:t>INSURANCE PROCEEDS</w:t>
            </w:r>
          </w:p>
        </w:tc>
      </w:tr>
      <w:tr w:rsidR="00E94C5B" w14:paraId="2E0BC645"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6804B84E" w14:textId="77777777" w:rsidR="00E72752" w:rsidRPr="00F223D8" w:rsidRDefault="00E72752" w:rsidP="009C7A83">
            <w:pPr>
              <w:pStyle w:val="Table"/>
              <w:spacing w:before="100" w:after="100"/>
              <w:rPr>
                <w:rFonts w:asciiTheme="minorHAnsi" w:hAnsiTheme="minorHAnsi" w:cstheme="minorHAnsi"/>
                <w:b w:val="0"/>
                <w:bCs w:val="0"/>
                <w:color w:val="090D46" w:themeColor="text1"/>
                <w:sz w:val="18"/>
                <w:szCs w:val="18"/>
              </w:rPr>
            </w:pPr>
            <w:r w:rsidRPr="00F223D8">
              <w:rPr>
                <w:rFonts w:asciiTheme="minorHAnsi" w:hAnsiTheme="minorHAnsi" w:cstheme="minorHAnsi"/>
                <w:b w:val="0"/>
                <w:bCs w:val="0"/>
                <w:color w:val="090D46" w:themeColor="text1"/>
                <w:sz w:val="18"/>
                <w:szCs w:val="18"/>
              </w:rPr>
              <w:t xml:space="preserve">Consider the timing of lodgement of an insurance recovery claim for a loss amount, subsequent negotiations with the insurer and the date the final insurance payment is received. </w:t>
            </w:r>
          </w:p>
          <w:p w14:paraId="181F756F" w14:textId="09FF38FD" w:rsidR="00F223D8" w:rsidRDefault="00E72752" w:rsidP="009C7A83">
            <w:pPr>
              <w:pStyle w:val="Table"/>
              <w:spacing w:before="100" w:after="100"/>
              <w:rPr>
                <w:sz w:val="18"/>
                <w:szCs w:val="18"/>
              </w:rPr>
            </w:pPr>
            <w:r w:rsidRPr="00F223D8">
              <w:rPr>
                <w:rFonts w:asciiTheme="minorHAnsi" w:hAnsiTheme="minorHAnsi" w:cstheme="minorHAnsi"/>
                <w:b w:val="0"/>
                <w:bCs w:val="0"/>
                <w:color w:val="090D46" w:themeColor="text1"/>
                <w:sz w:val="18"/>
                <w:szCs w:val="18"/>
              </w:rPr>
              <w:t xml:space="preserve">Review the terms of the insurance policy to determine if the amount of insurance </w:t>
            </w:r>
            <w:r w:rsidRPr="008172C5">
              <w:rPr>
                <w:rFonts w:asciiTheme="minorHAnsi" w:hAnsiTheme="minorHAnsi" w:cstheme="minorHAnsi"/>
                <w:b w:val="0"/>
                <w:bCs w:val="0"/>
                <w:color w:val="090D46" w:themeColor="text1"/>
                <w:sz w:val="18"/>
                <w:szCs w:val="18"/>
              </w:rPr>
              <w:t xml:space="preserve">proceeds is only regarded as being derived when received, such is the case with section 15-30 of the </w:t>
            </w:r>
            <w:r w:rsidRPr="006B320A">
              <w:rPr>
                <w:rFonts w:cstheme="minorHAnsi"/>
                <w:iCs/>
                <w:sz w:val="18"/>
                <w:szCs w:val="18"/>
              </w:rPr>
              <w:t>ITAA 1997</w:t>
            </w:r>
            <w:r w:rsidRPr="00F223D8">
              <w:rPr>
                <w:rFonts w:asciiTheme="minorHAnsi" w:hAnsiTheme="minorHAnsi" w:cstheme="minorHAnsi"/>
                <w:b w:val="0"/>
                <w:bCs w:val="0"/>
                <w:color w:val="090D46" w:themeColor="text1"/>
                <w:sz w:val="18"/>
                <w:szCs w:val="18"/>
              </w:rPr>
              <w:t>, which applies to insurance proceeds for the loss of an amount which would otherwise have been included in assessable income.</w:t>
            </w:r>
          </w:p>
        </w:tc>
        <w:tc>
          <w:tcPr>
            <w:tcW w:w="335" w:type="pct"/>
          </w:tcPr>
          <w:p w14:paraId="09E8E8C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4737291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A30D297"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3DE1655" w14:textId="77777777" w:rsidTr="00F2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4C20F9F" w14:textId="77777777" w:rsidR="00E72752" w:rsidRPr="00F223D8" w:rsidRDefault="00E72752" w:rsidP="009C7A83">
            <w:pPr>
              <w:pStyle w:val="Tableheading"/>
              <w:rPr>
                <w:color w:val="FFFFFF" w:themeColor="background1"/>
                <w:sz w:val="18"/>
                <w:szCs w:val="18"/>
              </w:rPr>
            </w:pPr>
            <w:r w:rsidRPr="00F223D8">
              <w:rPr>
                <w:b/>
                <w:color w:val="FFFFFF" w:themeColor="background1"/>
                <w:sz w:val="18"/>
                <w:szCs w:val="18"/>
              </w:rPr>
              <w:lastRenderedPageBreak/>
              <w:t>TRADING STOCK – VALUATION</w:t>
            </w:r>
          </w:p>
        </w:tc>
      </w:tr>
      <w:tr w:rsidR="00E94C5B" w14:paraId="478C395D" w14:textId="77777777" w:rsidTr="00D124EC">
        <w:tc>
          <w:tcPr>
            <w:cnfStyle w:val="001000000000" w:firstRow="0" w:lastRow="0" w:firstColumn="1" w:lastColumn="0" w:oddVBand="0" w:evenVBand="0" w:oddHBand="0" w:evenHBand="0" w:firstRowFirstColumn="0" w:firstRowLastColumn="0" w:lastRowFirstColumn="0" w:lastRowLastColumn="0"/>
            <w:tcW w:w="4120" w:type="pct"/>
            <w:hideMark/>
          </w:tcPr>
          <w:p w14:paraId="2A0BB756" w14:textId="77777777" w:rsidR="00E72752" w:rsidRPr="00F223D8" w:rsidRDefault="00E72752" w:rsidP="009C7A83">
            <w:pPr>
              <w:pStyle w:val="Tableheading"/>
              <w:rPr>
                <w:rFonts w:asciiTheme="minorHAnsi" w:hAnsiTheme="minorHAnsi" w:cstheme="minorHAnsi"/>
                <w:bCs w:val="0"/>
                <w:color w:val="090D46" w:themeColor="text1"/>
                <w:sz w:val="18"/>
                <w:szCs w:val="18"/>
              </w:rPr>
            </w:pPr>
            <w:r w:rsidRPr="00F223D8">
              <w:rPr>
                <w:rFonts w:asciiTheme="minorHAnsi" w:hAnsiTheme="minorHAnsi" w:cstheme="minorHAnsi"/>
                <w:bCs w:val="0"/>
                <w:color w:val="090D46" w:themeColor="text1"/>
                <w:sz w:val="18"/>
                <w:szCs w:val="18"/>
              </w:rPr>
              <w:t>Consider the benefits of revaluing the closing value of trading stock at year end using the lower of cost, market selling value or replacement value to lower taxable income.</w:t>
            </w:r>
          </w:p>
          <w:p w14:paraId="1E852CD8" w14:textId="77777777" w:rsidR="00E72752" w:rsidRDefault="00E72752" w:rsidP="009C7A83">
            <w:pPr>
              <w:pStyle w:val="Tableheading"/>
              <w:rPr>
                <w:b/>
                <w:color w:val="FFFFFF" w:themeColor="background1"/>
                <w:sz w:val="18"/>
                <w:szCs w:val="18"/>
              </w:rPr>
            </w:pPr>
            <w:r w:rsidRPr="00F223D8">
              <w:rPr>
                <w:rFonts w:asciiTheme="minorHAnsi" w:hAnsiTheme="minorHAnsi" w:cstheme="minorHAnsi"/>
                <w:bCs w:val="0"/>
                <w:color w:val="090D46" w:themeColor="text1"/>
                <w:sz w:val="18"/>
                <w:szCs w:val="18"/>
              </w:rPr>
              <w:t>The choice is available in relation to each item or category of trading stock.</w:t>
            </w:r>
          </w:p>
        </w:tc>
        <w:tc>
          <w:tcPr>
            <w:tcW w:w="335" w:type="pct"/>
          </w:tcPr>
          <w:p w14:paraId="761622B2"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4A3E0AC3"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492FBDAC"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B374CC" w14:paraId="4123F40A"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75B2CAC8" w14:textId="77777777" w:rsidR="00B374CC" w:rsidRPr="006B320A" w:rsidRDefault="00B374CC" w:rsidP="00B374CC">
            <w:pPr>
              <w:rPr>
                <w:rFonts w:eastAsia="MS Gothic" w:cstheme="minorHAnsi"/>
                <w:szCs w:val="18"/>
              </w:rPr>
            </w:pPr>
            <w:r w:rsidRPr="00B054B8">
              <w:rPr>
                <w:rFonts w:eastAsia="MS Gothic" w:cstheme="minorHAnsi"/>
                <w:szCs w:val="18"/>
              </w:rPr>
              <w:t>Comments:</w:t>
            </w:r>
          </w:p>
          <w:p w14:paraId="2DE5FC04" w14:textId="77777777" w:rsidR="00B374CC" w:rsidRDefault="00B374CC" w:rsidP="009C7A83">
            <w:pPr>
              <w:pStyle w:val="Tableheading"/>
              <w:rPr>
                <w:rFonts w:asciiTheme="minorHAnsi" w:hAnsiTheme="minorHAnsi" w:cstheme="minorHAnsi"/>
                <w:b/>
                <w:bCs w:val="0"/>
                <w:color w:val="090D46" w:themeColor="text1"/>
                <w:sz w:val="18"/>
                <w:szCs w:val="18"/>
              </w:rPr>
            </w:pPr>
          </w:p>
          <w:p w14:paraId="766A427D" w14:textId="77777777" w:rsidR="00B374CC" w:rsidRDefault="00B374CC" w:rsidP="009C7A83">
            <w:pPr>
              <w:pStyle w:val="Tableheading"/>
              <w:rPr>
                <w:rFonts w:asciiTheme="minorHAnsi" w:hAnsiTheme="minorHAnsi" w:cstheme="minorHAnsi"/>
                <w:b/>
                <w:bCs w:val="0"/>
                <w:color w:val="090D46" w:themeColor="text1"/>
                <w:sz w:val="18"/>
                <w:szCs w:val="18"/>
              </w:rPr>
            </w:pPr>
          </w:p>
          <w:p w14:paraId="62B63F65" w14:textId="177ECC24" w:rsidR="00B374CC" w:rsidRPr="00F223D8" w:rsidRDefault="00B374CC" w:rsidP="009C7A83">
            <w:pPr>
              <w:pStyle w:val="Tableheading"/>
              <w:rPr>
                <w:rFonts w:asciiTheme="minorHAnsi" w:hAnsiTheme="minorHAnsi" w:cstheme="minorHAnsi"/>
                <w:color w:val="090D46" w:themeColor="text1"/>
                <w:sz w:val="18"/>
                <w:szCs w:val="18"/>
              </w:rPr>
            </w:pPr>
          </w:p>
        </w:tc>
        <w:tc>
          <w:tcPr>
            <w:tcW w:w="0" w:type="pct"/>
            <w:shd w:val="clear" w:color="auto" w:fill="auto"/>
          </w:tcPr>
          <w:p w14:paraId="04AAEF58" w14:textId="77777777" w:rsidR="00B374CC" w:rsidRDefault="00B374CC"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2CACBACB" w14:textId="77777777" w:rsidR="00B374CC" w:rsidRDefault="00B374CC"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7986BD95" w14:textId="77777777" w:rsidR="00B374CC" w:rsidRDefault="00B374CC"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bl>
    <w:p w14:paraId="1F874710" w14:textId="77777777" w:rsidR="00B374CC" w:rsidRDefault="00B374CC" w:rsidP="00E72752">
      <w:pPr>
        <w:rPr>
          <w:rFonts w:ascii="Arial" w:hAnsi="Arial"/>
          <w:color w:val="auto"/>
          <w:sz w:val="24"/>
        </w:rPr>
      </w:pPr>
    </w:p>
    <w:tbl>
      <w:tblPr>
        <w:tblStyle w:val="RACVTable"/>
        <w:tblW w:w="5200" w:type="pct"/>
        <w:tblLook w:val="00A0" w:firstRow="1" w:lastRow="0" w:firstColumn="1" w:lastColumn="0" w:noHBand="0" w:noVBand="0"/>
      </w:tblPr>
      <w:tblGrid>
        <w:gridCol w:w="8551"/>
        <w:gridCol w:w="695"/>
        <w:gridCol w:w="558"/>
        <w:gridCol w:w="573"/>
      </w:tblGrid>
      <w:tr w:rsidR="00E72752" w14:paraId="67D25905" w14:textId="77777777" w:rsidTr="00077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4845CCF9" w14:textId="77777777" w:rsidR="00E72752" w:rsidRPr="00292595" w:rsidRDefault="00E72752" w:rsidP="00292595">
            <w:pPr>
              <w:pStyle w:val="Table"/>
              <w:spacing w:before="100" w:after="100"/>
              <w:rPr>
                <w:bCs w:val="0"/>
                <w:color w:val="090D46" w:themeColor="text1"/>
                <w:sz w:val="18"/>
                <w:szCs w:val="18"/>
              </w:rPr>
            </w:pPr>
            <w:r w:rsidRPr="00292595">
              <w:rPr>
                <w:bCs w:val="0"/>
                <w:color w:val="090D46" w:themeColor="text1"/>
                <w:sz w:val="18"/>
                <w:szCs w:val="18"/>
              </w:rPr>
              <w:t>ACCELERATING DEDUCTIONS</w:t>
            </w:r>
          </w:p>
        </w:tc>
        <w:tc>
          <w:tcPr>
            <w:tcW w:w="335" w:type="pct"/>
            <w:hideMark/>
          </w:tcPr>
          <w:p w14:paraId="38D539B5" w14:textId="77777777" w:rsidR="00E72752" w:rsidRPr="00292595" w:rsidRDefault="00E72752" w:rsidP="00292595">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292595">
              <w:rPr>
                <w:bCs w:val="0"/>
                <w:color w:val="090D46" w:themeColor="text1"/>
                <w:sz w:val="18"/>
                <w:szCs w:val="18"/>
              </w:rPr>
              <w:t>YES</w:t>
            </w:r>
          </w:p>
        </w:tc>
        <w:tc>
          <w:tcPr>
            <w:tcW w:w="269" w:type="pct"/>
            <w:hideMark/>
          </w:tcPr>
          <w:p w14:paraId="6713B902" w14:textId="77777777" w:rsidR="00E72752" w:rsidRPr="00292595" w:rsidRDefault="00E72752" w:rsidP="00292595">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292595">
              <w:rPr>
                <w:bCs w:val="0"/>
                <w:color w:val="090D46" w:themeColor="text1"/>
                <w:sz w:val="18"/>
                <w:szCs w:val="18"/>
              </w:rPr>
              <w:t>NO</w:t>
            </w:r>
          </w:p>
        </w:tc>
        <w:tc>
          <w:tcPr>
            <w:tcW w:w="276" w:type="pct"/>
            <w:hideMark/>
          </w:tcPr>
          <w:p w14:paraId="7AAD5CE9" w14:textId="77777777" w:rsidR="00E72752" w:rsidRPr="00292595" w:rsidRDefault="00E72752" w:rsidP="00292595">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292595">
              <w:rPr>
                <w:bCs w:val="0"/>
                <w:color w:val="090D46" w:themeColor="text1"/>
                <w:sz w:val="18"/>
                <w:szCs w:val="18"/>
              </w:rPr>
              <w:t>N/A</w:t>
            </w:r>
          </w:p>
        </w:tc>
      </w:tr>
      <w:tr w:rsidR="00E72752" w14:paraId="2AF9F115" w14:textId="77777777" w:rsidTr="00292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BADF0C2" w14:textId="77777777" w:rsidR="00E72752" w:rsidRDefault="00E72752" w:rsidP="009C7A83">
            <w:pPr>
              <w:pStyle w:val="Tableheading"/>
              <w:rPr>
                <w:sz w:val="18"/>
                <w:szCs w:val="18"/>
              </w:rPr>
            </w:pPr>
            <w:r w:rsidRPr="00292595">
              <w:rPr>
                <w:b/>
                <w:color w:val="FFFFFF" w:themeColor="background1"/>
                <w:sz w:val="18"/>
                <w:szCs w:val="18"/>
              </w:rPr>
              <w:t>GENERAL</w:t>
            </w:r>
          </w:p>
        </w:tc>
      </w:tr>
      <w:tr w:rsidR="00E72752" w14:paraId="6D918308" w14:textId="77777777" w:rsidTr="007902F0">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51A28BB8" w14:textId="6DDA5FF7" w:rsidR="00E72752" w:rsidRPr="008172C5"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 xml:space="preserve">Have the outgoings </w:t>
            </w:r>
            <w:r w:rsidR="005B17D7" w:rsidRPr="008172C5">
              <w:rPr>
                <w:rFonts w:asciiTheme="minorHAnsi" w:hAnsiTheme="minorHAnsi" w:cstheme="minorHAnsi"/>
                <w:b w:val="0"/>
                <w:bCs w:val="0"/>
                <w:color w:val="090D46" w:themeColor="text1"/>
                <w:sz w:val="18"/>
                <w:szCs w:val="18"/>
              </w:rPr>
              <w:t>been</w:t>
            </w:r>
            <w:r w:rsidRPr="008172C5">
              <w:rPr>
                <w:rFonts w:asciiTheme="minorHAnsi" w:hAnsiTheme="minorHAnsi" w:cstheme="minorHAnsi"/>
                <w:b w:val="0"/>
                <w:bCs w:val="0"/>
                <w:color w:val="090D46" w:themeColor="text1"/>
                <w:sz w:val="18"/>
                <w:szCs w:val="18"/>
              </w:rPr>
              <w:t xml:space="preserve"> claimed been properly ‘incurred’? </w:t>
            </w:r>
          </w:p>
          <w:p w14:paraId="337D7404" w14:textId="77777777" w:rsidR="00E72752" w:rsidRPr="006B320A" w:rsidRDefault="00E72752" w:rsidP="009C7A83">
            <w:pPr>
              <w:pStyle w:val="Table"/>
              <w:spacing w:before="100" w:after="100"/>
              <w:rPr>
                <w:rFonts w:asciiTheme="minorHAnsi" w:hAnsiTheme="minorHAnsi" w:cstheme="minorHAnsi"/>
                <w:b w:val="0"/>
                <w:bCs w:val="0"/>
                <w:color w:val="090D46" w:themeColor="text1"/>
                <w:sz w:val="18"/>
                <w:szCs w:val="18"/>
              </w:rPr>
            </w:pPr>
            <w:r w:rsidRPr="008172C5">
              <w:rPr>
                <w:rFonts w:asciiTheme="minorHAnsi" w:hAnsiTheme="minorHAnsi" w:cstheme="minorHAnsi"/>
                <w:b w:val="0"/>
                <w:bCs w:val="0"/>
                <w:color w:val="090D46" w:themeColor="text1"/>
                <w:sz w:val="18"/>
                <w:szCs w:val="18"/>
              </w:rPr>
              <w:t>Applying the principle</w:t>
            </w:r>
            <w:r w:rsidR="00637D63" w:rsidRPr="008172C5">
              <w:rPr>
                <w:rFonts w:asciiTheme="minorHAnsi" w:hAnsiTheme="minorHAnsi" w:cstheme="minorHAnsi"/>
                <w:b w:val="0"/>
                <w:bCs w:val="0"/>
                <w:color w:val="090D46" w:themeColor="text1"/>
                <w:sz w:val="18"/>
                <w:szCs w:val="18"/>
              </w:rPr>
              <w:t>s</w:t>
            </w:r>
            <w:r w:rsidRPr="008172C5">
              <w:rPr>
                <w:rFonts w:asciiTheme="minorHAnsi" w:hAnsiTheme="minorHAnsi" w:cstheme="minorHAnsi"/>
                <w:b w:val="0"/>
                <w:bCs w:val="0"/>
                <w:color w:val="090D46" w:themeColor="text1"/>
                <w:sz w:val="18"/>
                <w:szCs w:val="18"/>
              </w:rPr>
              <w:t xml:space="preserve"> in </w:t>
            </w:r>
            <w:r w:rsidRPr="008172C5">
              <w:rPr>
                <w:rFonts w:asciiTheme="minorHAnsi" w:hAnsiTheme="minorHAnsi" w:cstheme="minorHAnsi"/>
                <w:b w:val="0"/>
                <w:bCs w:val="0"/>
                <w:i/>
                <w:color w:val="090D46" w:themeColor="text1"/>
                <w:sz w:val="18"/>
                <w:szCs w:val="18"/>
              </w:rPr>
              <w:t>New Zealand Flax Investments Ltd v FCT (1937) 56 CLR 290</w:t>
            </w:r>
            <w:r w:rsidR="00637D63" w:rsidRPr="008172C5">
              <w:rPr>
                <w:rFonts w:asciiTheme="minorHAnsi" w:hAnsiTheme="minorHAnsi" w:cstheme="minorHAnsi"/>
                <w:b w:val="0"/>
                <w:bCs w:val="0"/>
                <w:i/>
                <w:color w:val="090D46" w:themeColor="text1"/>
                <w:sz w:val="18"/>
                <w:szCs w:val="18"/>
              </w:rPr>
              <w:t>,</w:t>
            </w:r>
            <w:r w:rsidRPr="008172C5">
              <w:rPr>
                <w:rFonts w:asciiTheme="minorHAnsi" w:hAnsiTheme="minorHAnsi" w:cstheme="minorHAnsi"/>
                <w:b w:val="0"/>
                <w:bCs w:val="0"/>
                <w:i/>
                <w:color w:val="090D46" w:themeColor="text1"/>
                <w:sz w:val="18"/>
                <w:szCs w:val="18"/>
              </w:rPr>
              <w:t xml:space="preserve"> </w:t>
            </w:r>
            <w:r w:rsidRPr="008172C5">
              <w:rPr>
                <w:rFonts w:asciiTheme="minorHAnsi" w:hAnsiTheme="minorHAnsi" w:cstheme="minorHAnsi"/>
                <w:b w:val="0"/>
                <w:bCs w:val="0"/>
                <w:color w:val="090D46" w:themeColor="text1"/>
                <w:sz w:val="18"/>
                <w:szCs w:val="18"/>
              </w:rPr>
              <w:t xml:space="preserve">a loss or outgoing is generally incurred and deductible under the general deductibility provisions of section 8-1(1) of the </w:t>
            </w:r>
            <w:r w:rsidRPr="006B320A">
              <w:rPr>
                <w:rFonts w:asciiTheme="minorHAnsi" w:hAnsiTheme="minorHAnsi" w:cstheme="minorHAnsi"/>
                <w:color w:val="090D46" w:themeColor="text1"/>
                <w:sz w:val="18"/>
                <w:szCs w:val="18"/>
              </w:rPr>
              <w:t>ITAA 1997</w:t>
            </w:r>
            <w:r w:rsidRPr="008172C5">
              <w:rPr>
                <w:rFonts w:asciiTheme="minorHAnsi" w:hAnsiTheme="minorHAnsi" w:cstheme="minorHAnsi"/>
                <w:b w:val="0"/>
                <w:bCs w:val="0"/>
                <w:color w:val="090D46" w:themeColor="text1"/>
                <w:sz w:val="18"/>
                <w:szCs w:val="18"/>
              </w:rPr>
              <w:t xml:space="preserve"> when the taxpayer is ‘definitely committed’ or has completely ‘subjected’ itself to the loss or outgoing. Payments made in respect of contingent liabilities or potential liabilities should therefore be excluded. </w:t>
            </w:r>
          </w:p>
          <w:p w14:paraId="63D6EA8F" w14:textId="731F58C4" w:rsidR="00CD2D6C" w:rsidRPr="006B320A" w:rsidRDefault="00CD2D6C" w:rsidP="009C7A83">
            <w:pPr>
              <w:pStyle w:val="Table"/>
              <w:spacing w:before="100" w:after="100"/>
              <w:rPr>
                <w:rFonts w:asciiTheme="minorHAnsi" w:hAnsiTheme="minorHAnsi" w:cstheme="minorHAnsi"/>
                <w:b w:val="0"/>
                <w:bCs w:val="0"/>
                <w:iCs/>
                <w:color w:val="090D46" w:themeColor="text1"/>
                <w:sz w:val="18"/>
                <w:szCs w:val="18"/>
              </w:rPr>
            </w:pPr>
            <w:r w:rsidRPr="008172C5">
              <w:rPr>
                <w:rFonts w:asciiTheme="minorHAnsi" w:hAnsiTheme="minorHAnsi" w:cstheme="minorHAnsi"/>
                <w:b w:val="0"/>
                <w:bCs w:val="0"/>
                <w:iCs/>
                <w:color w:val="090D46" w:themeColor="text1"/>
                <w:sz w:val="18"/>
                <w:szCs w:val="18"/>
              </w:rPr>
              <w:t xml:space="preserve">The </w:t>
            </w:r>
            <w:r w:rsidR="00896BF3" w:rsidRPr="008172C5">
              <w:rPr>
                <w:rFonts w:asciiTheme="minorHAnsi" w:hAnsiTheme="minorHAnsi" w:cstheme="minorHAnsi"/>
                <w:b w:val="0"/>
                <w:bCs w:val="0"/>
                <w:iCs/>
                <w:color w:val="090D46" w:themeColor="text1"/>
                <w:sz w:val="18"/>
                <w:szCs w:val="18"/>
              </w:rPr>
              <w:t>Commissioner’s</w:t>
            </w:r>
            <w:r w:rsidRPr="008172C5">
              <w:rPr>
                <w:rFonts w:asciiTheme="minorHAnsi" w:hAnsiTheme="minorHAnsi" w:cstheme="minorHAnsi"/>
                <w:b w:val="0"/>
                <w:bCs w:val="0"/>
                <w:iCs/>
                <w:color w:val="090D46" w:themeColor="text1"/>
                <w:sz w:val="18"/>
                <w:szCs w:val="18"/>
              </w:rPr>
              <w:t xml:space="preserve"> views on when an expense is ‘incurred’ is outlined in Taxation Ruling 97/7.</w:t>
            </w:r>
          </w:p>
        </w:tc>
        <w:tc>
          <w:tcPr>
            <w:tcW w:w="335" w:type="pct"/>
            <w:shd w:val="clear" w:color="auto" w:fill="auto"/>
          </w:tcPr>
          <w:p w14:paraId="46F14C3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shd w:val="clear" w:color="auto" w:fill="auto"/>
          </w:tcPr>
          <w:p w14:paraId="320497E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544DAF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5378AF53"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025CBE6D" w14:textId="43230809" w:rsidR="00E72752" w:rsidRPr="008172C5" w:rsidRDefault="005B17D7" w:rsidP="009C7A83">
            <w:pPr>
              <w:pStyle w:val="Table"/>
              <w:spacing w:before="100" w:after="100"/>
              <w:rPr>
                <w:rFonts w:asciiTheme="minorHAnsi" w:hAnsiTheme="minorHAnsi" w:cstheme="minorHAnsi"/>
                <w:b w:val="0"/>
                <w:bCs w:val="0"/>
                <w:color w:val="090D46" w:themeColor="text1"/>
                <w:sz w:val="18"/>
                <w:szCs w:val="18"/>
              </w:rPr>
            </w:pPr>
            <w:bookmarkStart w:id="1" w:name="_Hlk40947795"/>
            <w:r w:rsidRPr="008172C5">
              <w:rPr>
                <w:rFonts w:asciiTheme="minorHAnsi" w:hAnsiTheme="minorHAnsi" w:cstheme="minorHAnsi"/>
                <w:b w:val="0"/>
                <w:bCs w:val="0"/>
                <w:color w:val="090D46" w:themeColor="text1"/>
                <w:sz w:val="18"/>
                <w:szCs w:val="18"/>
              </w:rPr>
              <w:t>Has</w:t>
            </w:r>
            <w:r w:rsidR="00E72752" w:rsidRPr="008172C5">
              <w:rPr>
                <w:rFonts w:asciiTheme="minorHAnsi" w:hAnsiTheme="minorHAnsi" w:cstheme="minorHAnsi"/>
                <w:b w:val="0"/>
                <w:bCs w:val="0"/>
                <w:color w:val="090D46" w:themeColor="text1"/>
                <w:sz w:val="18"/>
                <w:szCs w:val="18"/>
              </w:rPr>
              <w:t xml:space="preserve"> all business expenditure been reviewed to determine whether any deductions would be regarded as capital expenditure and non-allowable under the general deductibility provision of section 8-1 of the </w:t>
            </w:r>
            <w:r w:rsidR="00E72752" w:rsidRPr="006B320A">
              <w:rPr>
                <w:rFonts w:asciiTheme="minorHAnsi" w:hAnsiTheme="minorHAnsi" w:cstheme="minorHAnsi"/>
                <w:iCs/>
                <w:color w:val="090D46" w:themeColor="text1"/>
                <w:sz w:val="18"/>
                <w:szCs w:val="18"/>
              </w:rPr>
              <w:t>ITAA 1997</w:t>
            </w:r>
            <w:r w:rsidR="00E72752" w:rsidRPr="008172C5">
              <w:rPr>
                <w:rFonts w:asciiTheme="minorHAnsi" w:hAnsiTheme="minorHAnsi" w:cstheme="minorHAnsi"/>
                <w:b w:val="0"/>
                <w:bCs w:val="0"/>
                <w:iCs/>
                <w:color w:val="090D46" w:themeColor="text1"/>
                <w:sz w:val="18"/>
                <w:szCs w:val="18"/>
              </w:rPr>
              <w:t>?</w:t>
            </w:r>
          </w:p>
          <w:p w14:paraId="7195238D" w14:textId="7AE6FAE8" w:rsidR="00E72752" w:rsidRPr="006B320A" w:rsidRDefault="00E72752" w:rsidP="009C7A83">
            <w:pPr>
              <w:spacing w:before="100" w:after="100"/>
              <w:rPr>
                <w:rFonts w:cstheme="minorHAnsi"/>
                <w:b w:val="0"/>
                <w:bCs w:val="0"/>
                <w:szCs w:val="18"/>
              </w:rPr>
            </w:pPr>
            <w:r w:rsidRPr="008172C5">
              <w:rPr>
                <w:rFonts w:cstheme="minorHAnsi"/>
                <w:b w:val="0"/>
                <w:bCs w:val="0"/>
                <w:szCs w:val="18"/>
              </w:rPr>
              <w:t>Where non-deductible business capital expenditure is incurred, such an amount may be included in the cost base of an asset for CGT purposes (</w:t>
            </w:r>
            <w:proofErr w:type="gramStart"/>
            <w:r w:rsidR="000C0C00" w:rsidRPr="008172C5">
              <w:rPr>
                <w:rFonts w:cstheme="minorHAnsi"/>
                <w:b w:val="0"/>
                <w:bCs w:val="0"/>
                <w:szCs w:val="18"/>
              </w:rPr>
              <w:t>e.g.</w:t>
            </w:r>
            <w:proofErr w:type="gramEnd"/>
            <w:r w:rsidRPr="008172C5">
              <w:rPr>
                <w:rFonts w:cstheme="minorHAnsi"/>
                <w:b w:val="0"/>
                <w:bCs w:val="0"/>
                <w:szCs w:val="18"/>
              </w:rPr>
              <w:t xml:space="preserve"> the cost of an improvement) or may be potentially deducted over five years under the blackhole deductibility provisions under section 40-880 of the </w:t>
            </w:r>
            <w:r w:rsidRPr="006B320A">
              <w:rPr>
                <w:rFonts w:cstheme="minorHAnsi"/>
                <w:iCs/>
                <w:szCs w:val="18"/>
              </w:rPr>
              <w:t>ITAA 1997</w:t>
            </w:r>
            <w:r w:rsidR="007E132D" w:rsidRPr="008172C5">
              <w:rPr>
                <w:rFonts w:cstheme="minorHAnsi"/>
                <w:b w:val="0"/>
                <w:bCs w:val="0"/>
                <w:i/>
                <w:szCs w:val="18"/>
              </w:rPr>
              <w:t>.</w:t>
            </w:r>
            <w:r w:rsidRPr="008172C5">
              <w:rPr>
                <w:rFonts w:cstheme="minorHAnsi"/>
                <w:b w:val="0"/>
                <w:bCs w:val="0"/>
                <w:szCs w:val="18"/>
              </w:rPr>
              <w:t xml:space="preserve"> </w:t>
            </w:r>
            <w:r w:rsidR="007E132D" w:rsidRPr="008172C5">
              <w:rPr>
                <w:rFonts w:cstheme="minorHAnsi"/>
                <w:b w:val="0"/>
                <w:bCs w:val="0"/>
                <w:szCs w:val="18"/>
              </w:rPr>
              <w:t>This is</w:t>
            </w:r>
            <w:r w:rsidRPr="008172C5">
              <w:rPr>
                <w:rFonts w:cstheme="minorHAnsi"/>
                <w:b w:val="0"/>
                <w:bCs w:val="0"/>
                <w:szCs w:val="18"/>
              </w:rPr>
              <w:t xml:space="preserve"> discussed further below.</w:t>
            </w:r>
            <w:bookmarkEnd w:id="1"/>
          </w:p>
          <w:p w14:paraId="3B01FA18" w14:textId="66AE0A0E" w:rsidR="005E4846" w:rsidRPr="008172C5" w:rsidRDefault="005E4846" w:rsidP="009C7A83">
            <w:pPr>
              <w:spacing w:before="100" w:after="100"/>
              <w:rPr>
                <w:rFonts w:cstheme="minorHAnsi"/>
                <w:b w:val="0"/>
                <w:bCs w:val="0"/>
                <w:szCs w:val="18"/>
              </w:rPr>
            </w:pPr>
            <w:r w:rsidRPr="008172C5">
              <w:rPr>
                <w:b w:val="0"/>
                <w:bCs w:val="0"/>
              </w:rPr>
              <w:t>Note that if a non-contingent liability to pay a specified amount is included in the cost base of a CGT asset under either s</w:t>
            </w:r>
            <w:r w:rsidR="00CB17C1" w:rsidRPr="008172C5">
              <w:rPr>
                <w:b w:val="0"/>
                <w:bCs w:val="0"/>
              </w:rPr>
              <w:t>ection</w:t>
            </w:r>
            <w:r w:rsidRPr="008172C5">
              <w:rPr>
                <w:b w:val="0"/>
                <w:bCs w:val="0"/>
              </w:rPr>
              <w:t xml:space="preserve"> 112-35 or s</w:t>
            </w:r>
            <w:r w:rsidR="00CB17C1" w:rsidRPr="008172C5">
              <w:rPr>
                <w:b w:val="0"/>
                <w:bCs w:val="0"/>
              </w:rPr>
              <w:t>ubsection</w:t>
            </w:r>
            <w:r w:rsidRPr="008172C5">
              <w:rPr>
                <w:b w:val="0"/>
                <w:bCs w:val="0"/>
              </w:rPr>
              <w:t xml:space="preserve"> 110-25(2) of ITAA</w:t>
            </w:r>
            <w:r w:rsidR="007E132D" w:rsidRPr="008172C5">
              <w:rPr>
                <w:b w:val="0"/>
                <w:bCs w:val="0"/>
              </w:rPr>
              <w:t xml:space="preserve"> 19</w:t>
            </w:r>
            <w:r w:rsidRPr="008172C5">
              <w:rPr>
                <w:b w:val="0"/>
                <w:bCs w:val="0"/>
              </w:rPr>
              <w:t>97</w:t>
            </w:r>
            <w:r w:rsidR="007E132D" w:rsidRPr="008172C5">
              <w:rPr>
                <w:b w:val="0"/>
                <w:bCs w:val="0"/>
              </w:rPr>
              <w:t>,</w:t>
            </w:r>
            <w:r w:rsidRPr="008172C5">
              <w:rPr>
                <w:b w:val="0"/>
                <w:bCs w:val="0"/>
              </w:rPr>
              <w:t xml:space="preserve"> and that specific amount is deductible for income tax purposes, </w:t>
            </w:r>
            <w:r w:rsidR="007E132D" w:rsidRPr="008172C5">
              <w:rPr>
                <w:b w:val="0"/>
                <w:bCs w:val="0"/>
              </w:rPr>
              <w:t>the Commissioner’s views under</w:t>
            </w:r>
            <w:r w:rsidRPr="008172C5">
              <w:rPr>
                <w:b w:val="0"/>
                <w:bCs w:val="0"/>
              </w:rPr>
              <w:t xml:space="preserve"> </w:t>
            </w:r>
            <w:r w:rsidR="007E132D" w:rsidRPr="008172C5">
              <w:rPr>
                <w:b w:val="0"/>
                <w:bCs w:val="0"/>
              </w:rPr>
              <w:t xml:space="preserve">Tax Determination </w:t>
            </w:r>
            <w:r w:rsidRPr="008172C5">
              <w:rPr>
                <w:b w:val="0"/>
                <w:bCs w:val="0"/>
              </w:rPr>
              <w:t xml:space="preserve">TD 2022/14 </w:t>
            </w:r>
            <w:r w:rsidR="00127ADC" w:rsidRPr="008172C5">
              <w:rPr>
                <w:b w:val="0"/>
                <w:bCs w:val="0"/>
              </w:rPr>
              <w:t xml:space="preserve">is </w:t>
            </w:r>
            <w:r w:rsidRPr="008172C5">
              <w:rPr>
                <w:b w:val="0"/>
                <w:bCs w:val="0"/>
              </w:rPr>
              <w:t>that</w:t>
            </w:r>
            <w:r w:rsidR="00127ADC" w:rsidRPr="008172C5">
              <w:rPr>
                <w:b w:val="0"/>
                <w:bCs w:val="0"/>
              </w:rPr>
              <w:t xml:space="preserve"> the</w:t>
            </w:r>
            <w:r w:rsidRPr="008172C5">
              <w:rPr>
                <w:b w:val="0"/>
                <w:bCs w:val="0"/>
              </w:rPr>
              <w:t xml:space="preserve"> amount does not form part of the cost base of the CGT asset under s</w:t>
            </w:r>
            <w:r w:rsidR="00127ADC" w:rsidRPr="008172C5">
              <w:rPr>
                <w:b w:val="0"/>
                <w:bCs w:val="0"/>
              </w:rPr>
              <w:t>ubsection</w:t>
            </w:r>
            <w:r w:rsidRPr="008172C5">
              <w:rPr>
                <w:b w:val="0"/>
                <w:bCs w:val="0"/>
              </w:rPr>
              <w:t xml:space="preserve"> 110-45(2).</w:t>
            </w:r>
          </w:p>
        </w:tc>
        <w:tc>
          <w:tcPr>
            <w:tcW w:w="335" w:type="pct"/>
            <w:shd w:val="clear" w:color="auto" w:fill="auto"/>
          </w:tcPr>
          <w:p w14:paraId="55E441C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30BCAF6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51A21E7E"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3188B33B" w14:textId="77777777" w:rsidTr="007902F0">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57EADE0A" w14:textId="77777777" w:rsidR="00E72752" w:rsidRPr="00292595" w:rsidRDefault="00E72752" w:rsidP="009C7A83">
            <w:pPr>
              <w:pStyle w:val="Table"/>
              <w:spacing w:before="100" w:after="100"/>
              <w:rPr>
                <w:rFonts w:asciiTheme="minorHAnsi" w:hAnsiTheme="minorHAnsi" w:cstheme="minorHAnsi"/>
                <w:b w:val="0"/>
                <w:bCs w:val="0"/>
                <w:color w:val="090D46" w:themeColor="text1"/>
                <w:sz w:val="18"/>
                <w:szCs w:val="18"/>
              </w:rPr>
            </w:pPr>
            <w:r w:rsidRPr="00292595">
              <w:rPr>
                <w:rFonts w:asciiTheme="minorHAnsi" w:hAnsiTheme="minorHAnsi" w:cstheme="minorHAnsi"/>
                <w:b w:val="0"/>
                <w:bCs w:val="0"/>
                <w:color w:val="090D46" w:themeColor="text1"/>
                <w:sz w:val="18"/>
                <w:szCs w:val="18"/>
              </w:rPr>
              <w:t xml:space="preserve">Has Division 26 of the </w:t>
            </w:r>
            <w:r w:rsidRPr="00292595">
              <w:rPr>
                <w:rFonts w:asciiTheme="minorHAnsi" w:hAnsiTheme="minorHAnsi" w:cstheme="minorHAnsi"/>
                <w:b w:val="0"/>
                <w:bCs w:val="0"/>
                <w:i/>
                <w:color w:val="090D46" w:themeColor="text1"/>
                <w:sz w:val="18"/>
                <w:szCs w:val="18"/>
              </w:rPr>
              <w:t>ITAA 1997</w:t>
            </w:r>
            <w:r w:rsidRPr="00292595">
              <w:rPr>
                <w:rFonts w:asciiTheme="minorHAnsi" w:hAnsiTheme="minorHAnsi" w:cstheme="minorHAnsi"/>
                <w:b w:val="0"/>
                <w:bCs w:val="0"/>
                <w:color w:val="090D46" w:themeColor="text1"/>
                <w:sz w:val="18"/>
                <w:szCs w:val="18"/>
              </w:rPr>
              <w:t xml:space="preserve"> been considered to determine if any specific provisions apply to deny deductions?</w:t>
            </w:r>
          </w:p>
        </w:tc>
        <w:tc>
          <w:tcPr>
            <w:tcW w:w="335" w:type="pct"/>
            <w:shd w:val="clear" w:color="auto" w:fill="auto"/>
          </w:tcPr>
          <w:p w14:paraId="68550C2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shd w:val="clear" w:color="auto" w:fill="auto"/>
          </w:tcPr>
          <w:p w14:paraId="21BF60C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shd w:val="clear" w:color="auto" w:fill="auto"/>
          </w:tcPr>
          <w:p w14:paraId="45F05F6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50723B5B"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77E49DC0" w14:textId="77777777" w:rsidR="00E72752" w:rsidRDefault="00E72752" w:rsidP="009C7A83">
            <w:pPr>
              <w:pStyle w:val="Table"/>
              <w:spacing w:before="100" w:after="100"/>
              <w:rPr>
                <w:rFonts w:asciiTheme="minorHAnsi" w:hAnsiTheme="minorHAnsi" w:cstheme="minorHAnsi"/>
                <w:color w:val="090D46" w:themeColor="text1"/>
                <w:sz w:val="18"/>
                <w:szCs w:val="18"/>
              </w:rPr>
            </w:pPr>
            <w:r w:rsidRPr="00292595">
              <w:rPr>
                <w:rFonts w:asciiTheme="minorHAnsi" w:hAnsiTheme="minorHAnsi" w:cstheme="minorHAnsi"/>
                <w:b w:val="0"/>
                <w:bCs w:val="0"/>
                <w:color w:val="090D46" w:themeColor="text1"/>
                <w:sz w:val="18"/>
                <w:szCs w:val="18"/>
              </w:rPr>
              <w:t>Where amounts are required to be withheld from expenses, such as withholding tax, ensure withholding has occurred and amounts remitted to the ATO before a deduction is claimed.</w:t>
            </w:r>
          </w:p>
          <w:p w14:paraId="1F635948" w14:textId="77777777" w:rsidR="00B054B8" w:rsidRDefault="00B054B8" w:rsidP="009C7A83">
            <w:pPr>
              <w:pStyle w:val="Table"/>
              <w:spacing w:before="100" w:after="100"/>
              <w:rPr>
                <w:rFonts w:asciiTheme="minorHAnsi" w:hAnsiTheme="minorHAnsi" w:cstheme="minorHAnsi"/>
                <w:b w:val="0"/>
                <w:bCs w:val="0"/>
                <w:color w:val="090D46" w:themeColor="text1"/>
                <w:sz w:val="18"/>
                <w:szCs w:val="18"/>
              </w:rPr>
            </w:pPr>
          </w:p>
          <w:p w14:paraId="2CA2B38B" w14:textId="77777777" w:rsidR="006F6ED2" w:rsidRDefault="006F6ED2" w:rsidP="009C7A83">
            <w:pPr>
              <w:pStyle w:val="Table"/>
              <w:spacing w:before="100" w:after="100"/>
              <w:rPr>
                <w:rFonts w:asciiTheme="minorHAnsi" w:hAnsiTheme="minorHAnsi" w:cstheme="minorHAnsi"/>
                <w:color w:val="090D46" w:themeColor="text1"/>
                <w:sz w:val="18"/>
                <w:szCs w:val="18"/>
              </w:rPr>
            </w:pPr>
          </w:p>
          <w:p w14:paraId="7A48A782" w14:textId="77777777" w:rsidR="00B054B8" w:rsidRDefault="00B054B8" w:rsidP="009C7A83">
            <w:pPr>
              <w:pStyle w:val="Table"/>
              <w:spacing w:before="100" w:after="100"/>
              <w:rPr>
                <w:rFonts w:asciiTheme="minorHAnsi" w:hAnsiTheme="minorHAnsi" w:cstheme="minorHAnsi"/>
                <w:color w:val="090D46" w:themeColor="text1"/>
                <w:sz w:val="18"/>
                <w:szCs w:val="18"/>
              </w:rPr>
            </w:pPr>
          </w:p>
          <w:p w14:paraId="62B1827C" w14:textId="77777777" w:rsidR="00B054B8" w:rsidRDefault="00B054B8" w:rsidP="009C7A83">
            <w:pPr>
              <w:pStyle w:val="Table"/>
              <w:spacing w:before="100" w:after="100"/>
              <w:rPr>
                <w:rFonts w:asciiTheme="minorHAnsi" w:hAnsiTheme="minorHAnsi" w:cstheme="minorHAnsi"/>
                <w:color w:val="090D46" w:themeColor="text1"/>
                <w:sz w:val="18"/>
                <w:szCs w:val="18"/>
              </w:rPr>
            </w:pPr>
          </w:p>
          <w:p w14:paraId="6450BCD7" w14:textId="77777777" w:rsidR="00B054B8" w:rsidRPr="00292595" w:rsidRDefault="00B054B8" w:rsidP="009C7A83">
            <w:pPr>
              <w:pStyle w:val="Table"/>
              <w:spacing w:before="100" w:after="100"/>
              <w:rPr>
                <w:rFonts w:asciiTheme="minorHAnsi" w:hAnsiTheme="minorHAnsi" w:cstheme="minorHAnsi"/>
                <w:b w:val="0"/>
                <w:bCs w:val="0"/>
                <w:color w:val="090D46" w:themeColor="text1"/>
                <w:sz w:val="18"/>
                <w:szCs w:val="18"/>
              </w:rPr>
            </w:pPr>
          </w:p>
        </w:tc>
        <w:tc>
          <w:tcPr>
            <w:tcW w:w="335" w:type="pct"/>
            <w:shd w:val="clear" w:color="auto" w:fill="auto"/>
          </w:tcPr>
          <w:p w14:paraId="08697F3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5242252A"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4E98A156"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65BDB080" w14:textId="77777777" w:rsidTr="0029259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95BE71A" w14:textId="77777777" w:rsidR="00E72752" w:rsidRDefault="00E72752" w:rsidP="009C7A83">
            <w:pPr>
              <w:pStyle w:val="Tableheading"/>
              <w:rPr>
                <w:sz w:val="18"/>
                <w:szCs w:val="18"/>
              </w:rPr>
            </w:pPr>
            <w:r w:rsidRPr="00292595">
              <w:rPr>
                <w:b/>
                <w:color w:val="FFFFFF" w:themeColor="background1"/>
                <w:sz w:val="18"/>
                <w:szCs w:val="18"/>
              </w:rPr>
              <w:t>PREPAYMENTS</w:t>
            </w:r>
          </w:p>
        </w:tc>
      </w:tr>
      <w:tr w:rsidR="00400580" w14:paraId="68F2CCF4"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59AB8DA5" w14:textId="77777777" w:rsidR="00406FCA" w:rsidRPr="006E39AA" w:rsidRDefault="00E72752" w:rsidP="00B374CC">
            <w:pPr>
              <w:pStyle w:val="TableBullet"/>
              <w:numPr>
                <w:ilvl w:val="0"/>
                <w:numId w:val="0"/>
              </w:numPr>
              <w:spacing w:before="100" w:after="100"/>
              <w:rPr>
                <w:rFonts w:asciiTheme="minorHAnsi" w:hAnsiTheme="minorHAnsi" w:cstheme="minorHAnsi"/>
                <w:b w:val="0"/>
                <w:bCs w:val="0"/>
                <w:color w:val="090D46" w:themeColor="text1"/>
                <w:sz w:val="18"/>
                <w:szCs w:val="18"/>
              </w:rPr>
            </w:pPr>
            <w:r w:rsidRPr="00400580">
              <w:rPr>
                <w:rFonts w:asciiTheme="minorHAnsi" w:hAnsiTheme="minorHAnsi" w:cstheme="minorHAnsi"/>
                <w:b w:val="0"/>
                <w:bCs w:val="0"/>
                <w:color w:val="090D46" w:themeColor="text1"/>
                <w:sz w:val="18"/>
                <w:szCs w:val="18"/>
              </w:rPr>
              <w:t xml:space="preserve">Has an immediate deduction been claimed for all eligible prepayments incurred by a Small Business Entity (SBE) taxpayer, or for non-business expenditure incurred by an individual taxpayer, with an </w:t>
            </w:r>
            <w:r w:rsidRPr="008172C5">
              <w:rPr>
                <w:rFonts w:asciiTheme="minorHAnsi" w:hAnsiTheme="minorHAnsi" w:cstheme="minorHAnsi"/>
                <w:b w:val="0"/>
                <w:bCs w:val="0"/>
                <w:color w:val="090D46" w:themeColor="text1"/>
                <w:sz w:val="18"/>
                <w:szCs w:val="18"/>
              </w:rPr>
              <w:t>eligible service period of no more than 12 months?</w:t>
            </w:r>
          </w:p>
          <w:p w14:paraId="57D397DB" w14:textId="5621374D" w:rsidR="00CD18E2" w:rsidRPr="005B17D7" w:rsidRDefault="005B17D7" w:rsidP="00B374CC">
            <w:pPr>
              <w:pStyle w:val="TableBullet"/>
              <w:numPr>
                <w:ilvl w:val="0"/>
                <w:numId w:val="0"/>
              </w:numPr>
              <w:spacing w:before="100" w:after="100"/>
              <w:rPr>
                <w:rFonts w:asciiTheme="minorHAnsi" w:hAnsiTheme="minorHAnsi" w:cstheme="minorHAnsi"/>
                <w:b w:val="0"/>
                <w:bCs w:val="0"/>
                <w:color w:val="090D46" w:themeColor="text1"/>
                <w:sz w:val="18"/>
                <w:szCs w:val="18"/>
              </w:rPr>
            </w:pPr>
            <w:r w:rsidRPr="005B17D7">
              <w:rPr>
                <w:rFonts w:asciiTheme="minorHAnsi" w:hAnsiTheme="minorHAnsi" w:cstheme="minorHAnsi"/>
                <w:color w:val="090D46" w:themeColor="text1"/>
                <w:sz w:val="18"/>
                <w:szCs w:val="18"/>
              </w:rPr>
              <w:t>Note:</w:t>
            </w:r>
            <w:r w:rsidRPr="007902F0">
              <w:rPr>
                <w:rFonts w:asciiTheme="minorHAnsi" w:hAnsiTheme="minorHAnsi" w:cstheme="minorHAnsi"/>
                <w:b w:val="0"/>
                <w:bCs w:val="0"/>
                <w:color w:val="090D46" w:themeColor="text1"/>
                <w:sz w:val="18"/>
                <w:szCs w:val="18"/>
              </w:rPr>
              <w:t xml:space="preserve"> </w:t>
            </w:r>
            <w:r w:rsidR="00CD18E2" w:rsidRPr="007902F0">
              <w:rPr>
                <w:rFonts w:asciiTheme="minorHAnsi" w:hAnsiTheme="minorHAnsi" w:cstheme="minorHAnsi"/>
                <w:b w:val="0"/>
                <w:bCs w:val="0"/>
                <w:color w:val="090D46" w:themeColor="text1"/>
                <w:sz w:val="18"/>
                <w:szCs w:val="18"/>
              </w:rPr>
              <w:t>For payments made from 1 July 2023, an entity will be regarded as an SBE for the year ended 30 June 2024 if it carries on business in the 2024 income year, and its aggregated turnover was less than $</w:t>
            </w:r>
            <w:r w:rsidR="0087018E" w:rsidRPr="007902F0">
              <w:rPr>
                <w:rFonts w:asciiTheme="minorHAnsi" w:hAnsiTheme="minorHAnsi" w:cstheme="minorHAnsi"/>
                <w:b w:val="0"/>
                <w:bCs w:val="0"/>
                <w:color w:val="090D46" w:themeColor="text1"/>
                <w:sz w:val="18"/>
                <w:szCs w:val="18"/>
              </w:rPr>
              <w:t>1</w:t>
            </w:r>
            <w:r w:rsidR="00CD18E2" w:rsidRPr="007902F0">
              <w:rPr>
                <w:rFonts w:asciiTheme="minorHAnsi" w:hAnsiTheme="minorHAnsi" w:cstheme="minorHAnsi"/>
                <w:b w:val="0"/>
                <w:bCs w:val="0"/>
                <w:color w:val="090D46" w:themeColor="text1"/>
                <w:sz w:val="18"/>
                <w:szCs w:val="18"/>
              </w:rPr>
              <w:t>0 million for the year ended 30 June 2023 or its aggregated turnover is likely to be less than $</w:t>
            </w:r>
            <w:r w:rsidR="006F6ED2" w:rsidRPr="007902F0">
              <w:rPr>
                <w:rFonts w:asciiTheme="minorHAnsi" w:hAnsiTheme="minorHAnsi" w:cstheme="minorHAnsi"/>
                <w:b w:val="0"/>
                <w:bCs w:val="0"/>
                <w:color w:val="090D46" w:themeColor="text1"/>
                <w:sz w:val="18"/>
                <w:szCs w:val="18"/>
              </w:rPr>
              <w:t>1</w:t>
            </w:r>
            <w:r w:rsidR="00CD18E2" w:rsidRPr="007902F0">
              <w:rPr>
                <w:rFonts w:asciiTheme="minorHAnsi" w:hAnsiTheme="minorHAnsi" w:cstheme="minorHAnsi"/>
                <w:b w:val="0"/>
                <w:bCs w:val="0"/>
                <w:color w:val="090D46" w:themeColor="text1"/>
                <w:sz w:val="18"/>
                <w:szCs w:val="18"/>
              </w:rPr>
              <w:t>0 million in the 2024 year. The aggregated turnover test not only requires the calculation of the taxpayer’s annual turnover but also that of any affiliate or entity connected with the taxpayer at any time during the year</w:t>
            </w:r>
            <w:r w:rsidR="00CD18E2" w:rsidRPr="005B17D7">
              <w:rPr>
                <w:rFonts w:asciiTheme="minorHAnsi" w:hAnsiTheme="minorHAnsi" w:cstheme="minorHAnsi"/>
                <w:b w:val="0"/>
                <w:bCs w:val="0"/>
                <w:color w:val="090D46" w:themeColor="text1"/>
                <w:sz w:val="18"/>
                <w:szCs w:val="18"/>
              </w:rPr>
              <w:t>.</w:t>
            </w:r>
          </w:p>
        </w:tc>
        <w:tc>
          <w:tcPr>
            <w:tcW w:w="335" w:type="pct"/>
          </w:tcPr>
          <w:p w14:paraId="6B7586FF"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6C8C7B2"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FA1B03C"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77302" w14:paraId="2D9A95A9"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45ADA0B4" w14:textId="77777777" w:rsidR="00077302" w:rsidRPr="00400580" w:rsidRDefault="00077302" w:rsidP="00077302">
            <w:pPr>
              <w:pStyle w:val="Table"/>
              <w:spacing w:before="100" w:after="100"/>
              <w:outlineLvl w:val="5"/>
              <w:rPr>
                <w:b w:val="0"/>
                <w:bCs w:val="0"/>
                <w:color w:val="090D46" w:themeColor="text1"/>
                <w:sz w:val="18"/>
                <w:szCs w:val="18"/>
              </w:rPr>
            </w:pPr>
            <w:r w:rsidRPr="00400580">
              <w:rPr>
                <w:b w:val="0"/>
                <w:bCs w:val="0"/>
                <w:color w:val="090D46" w:themeColor="text1"/>
                <w:sz w:val="18"/>
                <w:szCs w:val="18"/>
              </w:rPr>
              <w:t>Have the following categories of immediately deductible expenditure excluded from the prepayment rules been identified? Being expenses that are:</w:t>
            </w:r>
          </w:p>
          <w:p w14:paraId="30FB0118" w14:textId="77777777" w:rsidR="00077302" w:rsidRPr="00077302" w:rsidRDefault="00077302" w:rsidP="006B320A">
            <w:pPr>
              <w:pStyle w:val="ListBullet"/>
              <w:numPr>
                <w:ilvl w:val="0"/>
                <w:numId w:val="46"/>
              </w:numPr>
              <w:rPr>
                <w:b w:val="0"/>
                <w:bCs w:val="0"/>
              </w:rPr>
            </w:pPr>
            <w:r w:rsidRPr="00077302">
              <w:rPr>
                <w:b w:val="0"/>
                <w:bCs w:val="0"/>
              </w:rPr>
              <w:t>less than $1,000 (GST exclusive)</w:t>
            </w:r>
          </w:p>
          <w:p w14:paraId="2865B82F" w14:textId="2254B06A" w:rsidR="00077302" w:rsidRPr="00077302" w:rsidRDefault="00077302" w:rsidP="006B320A">
            <w:pPr>
              <w:pStyle w:val="ListBullet"/>
              <w:numPr>
                <w:ilvl w:val="0"/>
                <w:numId w:val="46"/>
              </w:numPr>
              <w:rPr>
                <w:b w:val="0"/>
                <w:bCs w:val="0"/>
              </w:rPr>
            </w:pPr>
            <w:r w:rsidRPr="00077302">
              <w:rPr>
                <w:b w:val="0"/>
                <w:bCs w:val="0"/>
              </w:rPr>
              <w:t>required to be made by a Commonwealth, State or Territory law or court order</w:t>
            </w:r>
            <w:r w:rsidR="00526901">
              <w:rPr>
                <w:b w:val="0"/>
                <w:bCs w:val="0"/>
              </w:rPr>
              <w:t>, and</w:t>
            </w:r>
          </w:p>
          <w:p w14:paraId="61579AF8" w14:textId="45852B4B" w:rsidR="00077302" w:rsidRPr="00400580" w:rsidRDefault="00077302" w:rsidP="006B320A">
            <w:pPr>
              <w:pStyle w:val="ListBullet"/>
              <w:numPr>
                <w:ilvl w:val="0"/>
                <w:numId w:val="46"/>
              </w:numPr>
            </w:pPr>
            <w:r w:rsidRPr="00077302">
              <w:rPr>
                <w:b w:val="0"/>
                <w:bCs w:val="0"/>
              </w:rPr>
              <w:t xml:space="preserve">payments made under a contract of service </w:t>
            </w:r>
            <w:proofErr w:type="gramStart"/>
            <w:r w:rsidR="002901AF" w:rsidRPr="00077302">
              <w:rPr>
                <w:b w:val="0"/>
                <w:bCs w:val="0"/>
              </w:rPr>
              <w:t>e.g.</w:t>
            </w:r>
            <w:proofErr w:type="gramEnd"/>
            <w:r w:rsidRPr="00077302">
              <w:rPr>
                <w:b w:val="0"/>
                <w:bCs w:val="0"/>
              </w:rPr>
              <w:t xml:space="preserve"> salary and wages</w:t>
            </w:r>
            <w:r w:rsidRPr="00400580">
              <w:t>.</w:t>
            </w:r>
          </w:p>
        </w:tc>
        <w:tc>
          <w:tcPr>
            <w:tcW w:w="335" w:type="pct"/>
          </w:tcPr>
          <w:p w14:paraId="78E10943"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6C2D4221"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1F4ED052" w14:textId="77777777" w:rsidR="00077302" w:rsidRDefault="00077302"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D655E" w14:paraId="7966A8F3"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0A5CC7" w:themeFill="accent3"/>
          </w:tcPr>
          <w:p w14:paraId="085FA390" w14:textId="5A71E0E5" w:rsidR="00ED655E" w:rsidRPr="00400580" w:rsidRDefault="00ED655E" w:rsidP="00077302">
            <w:pPr>
              <w:pStyle w:val="Table"/>
              <w:spacing w:before="100" w:after="100"/>
              <w:outlineLvl w:val="5"/>
              <w:rPr>
                <w:color w:val="090D46" w:themeColor="text1"/>
                <w:sz w:val="18"/>
                <w:szCs w:val="18"/>
              </w:rPr>
            </w:pPr>
            <w:r w:rsidRPr="005D15DA">
              <w:rPr>
                <w:color w:val="FFFFFF" w:themeColor="background1"/>
                <w:sz w:val="18"/>
                <w:szCs w:val="18"/>
              </w:rPr>
              <w:t>CAPITAL ALLOWANCES</w:t>
            </w:r>
          </w:p>
        </w:tc>
        <w:tc>
          <w:tcPr>
            <w:tcW w:w="335" w:type="pct"/>
            <w:shd w:val="clear" w:color="auto" w:fill="0A5CC7" w:themeFill="accent3"/>
          </w:tcPr>
          <w:p w14:paraId="5812926B" w14:textId="77777777" w:rsidR="00ED655E" w:rsidRDefault="00ED655E"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0A5CC7" w:themeFill="accent3"/>
          </w:tcPr>
          <w:p w14:paraId="5B8806AC" w14:textId="77777777" w:rsidR="00ED655E" w:rsidRDefault="00ED655E"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0A5CC7" w:themeFill="accent3"/>
          </w:tcPr>
          <w:p w14:paraId="0C74D6F2" w14:textId="77777777" w:rsidR="00ED655E" w:rsidRDefault="00ED655E"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D655E" w14:paraId="0B651969" w14:textId="77777777" w:rsidTr="00077302">
        <w:tc>
          <w:tcPr>
            <w:cnfStyle w:val="001000000000" w:firstRow="0" w:lastRow="0" w:firstColumn="1" w:lastColumn="0" w:oddVBand="0" w:evenVBand="0" w:oddHBand="0" w:evenHBand="0" w:firstRowFirstColumn="0" w:firstRowLastColumn="0" w:lastRowFirstColumn="0" w:lastRowLastColumn="0"/>
            <w:tcW w:w="4120" w:type="pct"/>
          </w:tcPr>
          <w:p w14:paraId="460A7C7F" w14:textId="77777777" w:rsidR="00ED655E" w:rsidRPr="003C3B7B" w:rsidRDefault="00ED655E" w:rsidP="00ED655E">
            <w:pPr>
              <w:pStyle w:val="Table"/>
              <w:spacing w:before="100" w:after="100"/>
              <w:rPr>
                <w:rFonts w:asciiTheme="minorHAnsi" w:hAnsiTheme="minorHAnsi" w:cstheme="minorHAnsi"/>
                <w:color w:val="090D46" w:themeColor="text1"/>
                <w:sz w:val="18"/>
                <w:szCs w:val="18"/>
              </w:rPr>
            </w:pPr>
            <w:r w:rsidRPr="003C3B7B">
              <w:rPr>
                <w:rFonts w:asciiTheme="minorHAnsi" w:hAnsiTheme="minorHAnsi" w:cstheme="minorHAnsi"/>
                <w:color w:val="090D46" w:themeColor="text1"/>
                <w:sz w:val="18"/>
                <w:szCs w:val="18"/>
              </w:rPr>
              <w:t>Instant asset write-off</w:t>
            </w:r>
          </w:p>
          <w:p w14:paraId="1B56EE94" w14:textId="77777777" w:rsidR="00ED655E" w:rsidRPr="003C3B7B" w:rsidRDefault="00ED655E" w:rsidP="00ED655E">
            <w:pPr>
              <w:pStyle w:val="Table"/>
              <w:spacing w:before="100" w:after="100"/>
              <w:rPr>
                <w:rFonts w:asciiTheme="minorHAnsi" w:hAnsiTheme="minorHAnsi" w:cstheme="minorHAnsi"/>
                <w:color w:val="090D46" w:themeColor="text1"/>
                <w:sz w:val="18"/>
                <w:szCs w:val="18"/>
              </w:rPr>
            </w:pPr>
            <w:r w:rsidRPr="003C3B7B">
              <w:rPr>
                <w:rFonts w:asciiTheme="minorHAnsi" w:hAnsiTheme="minorHAnsi" w:cstheme="minorHAnsi"/>
                <w:b w:val="0"/>
                <w:bCs w:val="0"/>
                <w:color w:val="090D46" w:themeColor="text1"/>
                <w:sz w:val="18"/>
                <w:szCs w:val="18"/>
              </w:rPr>
              <w:t>Has the instant-asset write-off (IAWO) provisions been considered in respect of eligible assets?</w:t>
            </w:r>
          </w:p>
          <w:p w14:paraId="710B6074" w14:textId="77777777" w:rsidR="00ED655E" w:rsidRPr="003C3B7B" w:rsidRDefault="00ED655E" w:rsidP="00ED655E">
            <w:pPr>
              <w:pStyle w:val="Table"/>
              <w:spacing w:before="100" w:after="100"/>
              <w:rPr>
                <w:rFonts w:asciiTheme="minorHAnsi" w:hAnsiTheme="minorHAnsi" w:cstheme="minorHAnsi"/>
                <w:color w:val="090D46" w:themeColor="text1"/>
                <w:sz w:val="18"/>
                <w:szCs w:val="18"/>
              </w:rPr>
            </w:pPr>
            <w:r w:rsidRPr="003C3B7B">
              <w:rPr>
                <w:rFonts w:asciiTheme="minorHAnsi" w:hAnsiTheme="minorHAnsi" w:cstheme="minorHAnsi"/>
                <w:b w:val="0"/>
                <w:bCs w:val="0"/>
                <w:color w:val="090D46" w:themeColor="text1"/>
                <w:sz w:val="18"/>
                <w:szCs w:val="18"/>
              </w:rPr>
              <w:t>Small businesses with an aggregated annual turnover of less than $10 million will be able to immediately deduct the full cost of eligible assets costing less than $20,000 that are first used or installed ready for use between 1 July 2023 and 30 June 2024.</w:t>
            </w:r>
          </w:p>
          <w:p w14:paraId="5C804749" w14:textId="77777777" w:rsidR="00ED655E" w:rsidRPr="003C3B7B" w:rsidRDefault="00ED655E" w:rsidP="00ED655E">
            <w:pPr>
              <w:rPr>
                <w:rFonts w:cs="Arial"/>
                <w:b w:val="0"/>
                <w:bCs w:val="0"/>
                <w:szCs w:val="18"/>
              </w:rPr>
            </w:pPr>
            <w:r w:rsidRPr="007902F0">
              <w:rPr>
                <w:rFonts w:cs="Arial"/>
                <w:b w:val="0"/>
                <w:bCs w:val="0"/>
                <w:szCs w:val="18"/>
              </w:rPr>
              <w:t>The $20,000 threshold will apply on a per asset basis, so small businesses can instantly write-off multiple assets. Assets valued at $20,000 or more (which cannot be immediately deducted) can continue to be placed into the small business depreciation pool and depreciated at 15% in the first income year and 30% each income year after that.</w:t>
            </w:r>
          </w:p>
          <w:p w14:paraId="403BB32E" w14:textId="47D83D1E" w:rsidR="00ED655E" w:rsidRPr="003C3B7B" w:rsidRDefault="00ED655E" w:rsidP="00ED655E">
            <w:pPr>
              <w:pStyle w:val="Table"/>
              <w:spacing w:before="100" w:after="100"/>
              <w:rPr>
                <w:rFonts w:asciiTheme="minorHAnsi" w:hAnsiTheme="minorHAnsi" w:cstheme="minorHAnsi"/>
                <w:b w:val="0"/>
                <w:bCs w:val="0"/>
                <w:color w:val="090D46" w:themeColor="text1"/>
                <w:sz w:val="18"/>
                <w:szCs w:val="18"/>
              </w:rPr>
            </w:pPr>
            <w:r w:rsidRPr="003C3B7B">
              <w:rPr>
                <w:rFonts w:asciiTheme="minorHAnsi" w:hAnsiTheme="minorHAnsi" w:cstheme="minorHAnsi"/>
                <w:b w:val="0"/>
                <w:bCs w:val="0"/>
                <w:color w:val="090D46" w:themeColor="text1"/>
                <w:sz w:val="18"/>
                <w:szCs w:val="18"/>
              </w:rPr>
              <w:t>While the Bill containing the IAWO measure is still progressing Parliament as of the date of this document, i</w:t>
            </w:r>
            <w:r w:rsidR="003C3B7B">
              <w:rPr>
                <w:rFonts w:asciiTheme="minorHAnsi" w:hAnsiTheme="minorHAnsi" w:cstheme="minorHAnsi"/>
                <w:b w:val="0"/>
                <w:bCs w:val="0"/>
                <w:color w:val="090D46" w:themeColor="text1"/>
                <w:sz w:val="18"/>
                <w:szCs w:val="18"/>
              </w:rPr>
              <w:t>f</w:t>
            </w:r>
            <w:r w:rsidRPr="003C3B7B">
              <w:rPr>
                <w:rFonts w:asciiTheme="minorHAnsi" w:hAnsiTheme="minorHAnsi" w:cstheme="minorHAnsi"/>
                <w:b w:val="0"/>
                <w:bCs w:val="0"/>
                <w:color w:val="090D46" w:themeColor="text1"/>
                <w:sz w:val="18"/>
                <w:szCs w:val="18"/>
              </w:rPr>
              <w:t xml:space="preserve"> passed, the IAWO measure will apply to the 2024 income year.</w:t>
            </w:r>
          </w:p>
          <w:p w14:paraId="0F853974" w14:textId="02A7882A" w:rsidR="00ED655E" w:rsidRPr="003C3B7B" w:rsidRDefault="003C3B7B" w:rsidP="006B320A">
            <w:pPr>
              <w:rPr>
                <w:rFonts w:cs="Arial"/>
                <w:b w:val="0"/>
                <w:bCs w:val="0"/>
                <w:szCs w:val="18"/>
              </w:rPr>
            </w:pPr>
            <w:r w:rsidRPr="003C3B7B">
              <w:rPr>
                <w:rFonts w:cs="Arial"/>
                <w:szCs w:val="18"/>
              </w:rPr>
              <w:t>Note:</w:t>
            </w:r>
            <w:r w:rsidRPr="007902F0">
              <w:rPr>
                <w:rFonts w:cs="Arial"/>
                <w:b w:val="0"/>
                <w:bCs w:val="0"/>
                <w:szCs w:val="18"/>
              </w:rPr>
              <w:t xml:space="preserve"> </w:t>
            </w:r>
            <w:r>
              <w:rPr>
                <w:rFonts w:cs="Arial"/>
                <w:b w:val="0"/>
                <w:bCs w:val="0"/>
                <w:szCs w:val="18"/>
              </w:rPr>
              <w:t>I</w:t>
            </w:r>
            <w:r w:rsidR="00ED655E" w:rsidRPr="007902F0">
              <w:rPr>
                <w:rFonts w:cs="Arial"/>
                <w:b w:val="0"/>
                <w:bCs w:val="0"/>
                <w:szCs w:val="18"/>
              </w:rPr>
              <w:t>n the 2024-25 Federal Budget, the Government announced that the small business instant asset write off will be extended for 12 months to 30 June 2025.</w:t>
            </w:r>
          </w:p>
        </w:tc>
        <w:tc>
          <w:tcPr>
            <w:tcW w:w="335" w:type="pct"/>
          </w:tcPr>
          <w:p w14:paraId="04F9CDD8" w14:textId="77777777" w:rsidR="00ED655E" w:rsidRDefault="00ED655E"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7E5A7B81" w14:textId="77777777" w:rsidR="00ED655E" w:rsidRDefault="00ED655E"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0411239" w14:textId="77777777" w:rsidR="00ED655E" w:rsidRDefault="00ED655E"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D655E" w14:paraId="54DD59EE"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6C57A936" w14:textId="77777777" w:rsidR="00ED655E" w:rsidRPr="007902F0" w:rsidRDefault="00ED655E" w:rsidP="00ED655E">
            <w:pPr>
              <w:rPr>
                <w:rFonts w:cs="Arial"/>
                <w:szCs w:val="18"/>
              </w:rPr>
            </w:pPr>
            <w:r w:rsidRPr="003C3B7B">
              <w:rPr>
                <w:rFonts w:cs="Arial"/>
                <w:szCs w:val="18"/>
              </w:rPr>
              <w:t>Small business energy initiative</w:t>
            </w:r>
          </w:p>
          <w:p w14:paraId="7A037C4B" w14:textId="77777777" w:rsidR="00ED655E" w:rsidRPr="003C3B7B" w:rsidRDefault="00ED655E" w:rsidP="00ED655E">
            <w:pPr>
              <w:rPr>
                <w:rFonts w:cs="Arial"/>
                <w:b w:val="0"/>
                <w:bCs w:val="0"/>
                <w:szCs w:val="18"/>
              </w:rPr>
            </w:pPr>
            <w:r w:rsidRPr="007902F0">
              <w:rPr>
                <w:rFonts w:cs="Arial"/>
                <w:b w:val="0"/>
                <w:bCs w:val="0"/>
                <w:szCs w:val="18"/>
              </w:rPr>
              <w:t xml:space="preserve">Small and medium businesses with an aggregated annual turnover of less than $50 million will be able to claim an additional 20 per cent deduction on spending that supports electrification and more efficient use of energy. </w:t>
            </w:r>
          </w:p>
          <w:p w14:paraId="72C436DD" w14:textId="77777777" w:rsidR="00ED655E" w:rsidRPr="007902F0" w:rsidRDefault="00ED655E" w:rsidP="00ED655E">
            <w:pPr>
              <w:pStyle w:val="Table"/>
              <w:spacing w:before="100" w:after="100"/>
              <w:rPr>
                <w:rFonts w:cs="Arial"/>
                <w:b w:val="0"/>
                <w:bCs w:val="0"/>
                <w:sz w:val="18"/>
                <w:szCs w:val="18"/>
              </w:rPr>
            </w:pPr>
            <w:r w:rsidRPr="007902F0">
              <w:rPr>
                <w:rFonts w:asciiTheme="minorHAnsi" w:hAnsiTheme="minorHAnsi" w:cstheme="minorHAnsi"/>
                <w:b w:val="0"/>
                <w:bCs w:val="0"/>
                <w:color w:val="090D46" w:themeColor="text1"/>
                <w:sz w:val="18"/>
                <w:szCs w:val="18"/>
              </w:rPr>
              <w:t xml:space="preserve">Broadly, </w:t>
            </w:r>
            <w:r w:rsidRPr="007902F0">
              <w:rPr>
                <w:rFonts w:asciiTheme="minorHAnsi" w:eastAsia="SimSun" w:hAnsiTheme="minorHAnsi" w:cs="Arial"/>
                <w:b w:val="0"/>
                <w:bCs w:val="0"/>
                <w:color w:val="090D46" w:themeColor="text1"/>
                <w:sz w:val="18"/>
                <w:szCs w:val="18"/>
              </w:rPr>
              <w:t>a depreciating asset is eligible for the bonus deduction if:</w:t>
            </w:r>
          </w:p>
          <w:p w14:paraId="6C79B298" w14:textId="77777777" w:rsidR="00ED655E" w:rsidRPr="003C3B7B" w:rsidRDefault="00ED655E" w:rsidP="00ED655E">
            <w:pPr>
              <w:pStyle w:val="ListParagraph"/>
              <w:numPr>
                <w:ilvl w:val="0"/>
                <w:numId w:val="48"/>
              </w:numPr>
              <w:spacing w:before="60" w:after="60"/>
              <w:rPr>
                <w:rFonts w:cs="Arial"/>
                <w:b w:val="0"/>
                <w:bCs w:val="0"/>
                <w:color w:val="090D46" w:themeColor="text1"/>
                <w:sz w:val="18"/>
                <w:szCs w:val="18"/>
              </w:rPr>
            </w:pPr>
            <w:r w:rsidRPr="007902F0">
              <w:rPr>
                <w:rFonts w:cs="Arial"/>
                <w:b w:val="0"/>
                <w:bCs w:val="0"/>
                <w:color w:val="090D46" w:themeColor="text1"/>
                <w:sz w:val="18"/>
                <w:szCs w:val="18"/>
              </w:rPr>
              <w:t xml:space="preserve">it uses electricity instead of fossil </w:t>
            </w:r>
            <w:proofErr w:type="gramStart"/>
            <w:r w:rsidRPr="007902F0">
              <w:rPr>
                <w:rFonts w:cs="Arial"/>
                <w:b w:val="0"/>
                <w:bCs w:val="0"/>
                <w:color w:val="090D46" w:themeColor="text1"/>
                <w:sz w:val="18"/>
                <w:szCs w:val="18"/>
              </w:rPr>
              <w:t>fuel</w:t>
            </w:r>
            <w:proofErr w:type="gramEnd"/>
          </w:p>
          <w:p w14:paraId="13C56A3B" w14:textId="77777777" w:rsidR="00ED655E" w:rsidRPr="003C3B7B" w:rsidRDefault="00ED655E" w:rsidP="00ED655E">
            <w:pPr>
              <w:pStyle w:val="ListParagraph"/>
              <w:numPr>
                <w:ilvl w:val="0"/>
                <w:numId w:val="48"/>
              </w:numPr>
              <w:spacing w:before="60" w:after="60"/>
              <w:rPr>
                <w:rFonts w:cs="Arial"/>
                <w:b w:val="0"/>
                <w:bCs w:val="0"/>
                <w:color w:val="090D46" w:themeColor="text1"/>
                <w:sz w:val="18"/>
                <w:szCs w:val="18"/>
              </w:rPr>
            </w:pPr>
            <w:r w:rsidRPr="007902F0">
              <w:rPr>
                <w:rFonts w:cs="Arial"/>
                <w:b w:val="0"/>
                <w:bCs w:val="0"/>
                <w:color w:val="090D46" w:themeColor="text1"/>
                <w:sz w:val="18"/>
                <w:szCs w:val="18"/>
              </w:rPr>
              <w:t>it is more energy efficient than the asset it is replacing or a comparable asset available on the market and</w:t>
            </w:r>
          </w:p>
          <w:p w14:paraId="17891A66" w14:textId="77777777" w:rsidR="00ED655E" w:rsidRPr="003C3B7B" w:rsidRDefault="00ED655E" w:rsidP="00ED655E">
            <w:pPr>
              <w:pStyle w:val="ListParagraph"/>
              <w:numPr>
                <w:ilvl w:val="0"/>
                <w:numId w:val="48"/>
              </w:numPr>
              <w:spacing w:before="60" w:after="60"/>
              <w:rPr>
                <w:rFonts w:cs="Arial"/>
                <w:b w:val="0"/>
                <w:bCs w:val="0"/>
                <w:color w:val="090D46" w:themeColor="text1"/>
                <w:sz w:val="18"/>
                <w:szCs w:val="18"/>
              </w:rPr>
            </w:pPr>
            <w:r w:rsidRPr="007902F0">
              <w:rPr>
                <w:rFonts w:cs="Arial"/>
                <w:b w:val="0"/>
                <w:bCs w:val="0"/>
                <w:color w:val="090D46" w:themeColor="text1"/>
                <w:sz w:val="18"/>
                <w:szCs w:val="18"/>
              </w:rPr>
              <w:t>it is an energy storage, time-shirting or monitoring asset, or an asset that improves the energy efficiency of another asset.</w:t>
            </w:r>
          </w:p>
          <w:p w14:paraId="01C6810B" w14:textId="77777777" w:rsidR="00ED655E" w:rsidRPr="007902F0" w:rsidRDefault="00ED655E" w:rsidP="00ED655E">
            <w:pPr>
              <w:pStyle w:val="Table"/>
              <w:spacing w:before="100" w:after="100"/>
              <w:rPr>
                <w:rFonts w:cstheme="minorHAnsi"/>
                <w:b w:val="0"/>
                <w:bCs w:val="0"/>
                <w:sz w:val="18"/>
                <w:szCs w:val="18"/>
              </w:rPr>
            </w:pPr>
            <w:r w:rsidRPr="007902F0">
              <w:rPr>
                <w:rFonts w:asciiTheme="minorHAnsi" w:hAnsiTheme="minorHAnsi" w:cstheme="minorHAnsi"/>
                <w:b w:val="0"/>
                <w:bCs w:val="0"/>
                <w:color w:val="090D46" w:themeColor="text1"/>
                <w:sz w:val="18"/>
                <w:szCs w:val="18"/>
              </w:rPr>
              <w:t>Eligible assets or upgrades must be first used or installed ready for use between 1 July 2023 and 30 June 2024. Up to $100,000 of total expenditure is eligible for this initiative, with the maximum bonus tax deduction being $20,000 per business.</w:t>
            </w:r>
          </w:p>
          <w:p w14:paraId="64E02053" w14:textId="22120E83" w:rsidR="00ED655E" w:rsidRPr="003C3B7B" w:rsidRDefault="00ED655E" w:rsidP="00ED655E">
            <w:pPr>
              <w:pStyle w:val="Table"/>
              <w:spacing w:before="100" w:after="100"/>
              <w:rPr>
                <w:rFonts w:asciiTheme="minorHAnsi" w:hAnsiTheme="minorHAnsi" w:cstheme="minorHAnsi"/>
                <w:color w:val="090D46" w:themeColor="text1"/>
                <w:sz w:val="18"/>
                <w:szCs w:val="18"/>
              </w:rPr>
            </w:pPr>
            <w:r w:rsidRPr="003C3B7B">
              <w:rPr>
                <w:rFonts w:asciiTheme="minorHAnsi" w:hAnsiTheme="minorHAnsi" w:cstheme="minorHAnsi"/>
                <w:b w:val="0"/>
                <w:bCs w:val="0"/>
                <w:color w:val="090D46" w:themeColor="text1"/>
                <w:sz w:val="18"/>
                <w:szCs w:val="18"/>
              </w:rPr>
              <w:lastRenderedPageBreak/>
              <w:t>While the Bill containing the IAWO measure is still progressing Parliament as of the date of this document, i</w:t>
            </w:r>
            <w:r w:rsidR="003C3B7B">
              <w:rPr>
                <w:rFonts w:asciiTheme="minorHAnsi" w:hAnsiTheme="minorHAnsi" w:cstheme="minorHAnsi"/>
                <w:b w:val="0"/>
                <w:bCs w:val="0"/>
                <w:color w:val="090D46" w:themeColor="text1"/>
                <w:sz w:val="18"/>
                <w:szCs w:val="18"/>
              </w:rPr>
              <w:t>f</w:t>
            </w:r>
            <w:r w:rsidRPr="003C3B7B">
              <w:rPr>
                <w:rFonts w:asciiTheme="minorHAnsi" w:hAnsiTheme="minorHAnsi" w:cstheme="minorHAnsi"/>
                <w:b w:val="0"/>
                <w:bCs w:val="0"/>
                <w:color w:val="090D46" w:themeColor="text1"/>
                <w:sz w:val="18"/>
                <w:szCs w:val="18"/>
              </w:rPr>
              <w:t xml:space="preserve"> passed, the IAWO measure will apply to the 2024 income year.</w:t>
            </w:r>
          </w:p>
        </w:tc>
        <w:tc>
          <w:tcPr>
            <w:tcW w:w="335" w:type="pct"/>
          </w:tcPr>
          <w:p w14:paraId="0544EE91" w14:textId="77777777" w:rsidR="00ED655E" w:rsidRDefault="00ED655E"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4080DF0F" w14:textId="77777777" w:rsidR="00ED655E" w:rsidRDefault="00ED655E"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AFA06A3" w14:textId="77777777" w:rsidR="00ED655E" w:rsidRDefault="00ED655E"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77302" w14:paraId="3702FF05" w14:textId="77777777" w:rsidTr="0007730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E6C2CE5" w14:textId="77777777" w:rsidR="00077302" w:rsidRPr="00077302" w:rsidRDefault="00077302" w:rsidP="00077302">
            <w:pPr>
              <w:pStyle w:val="Tableheading"/>
              <w:rPr>
                <w:color w:val="FFFFFF" w:themeColor="background1"/>
                <w:sz w:val="18"/>
                <w:szCs w:val="18"/>
              </w:rPr>
            </w:pPr>
            <w:r w:rsidRPr="00077302">
              <w:rPr>
                <w:b/>
                <w:color w:val="FFFFFF" w:themeColor="background1"/>
                <w:sz w:val="18"/>
                <w:szCs w:val="18"/>
              </w:rPr>
              <w:t>REALISATION OF ASSETS</w:t>
            </w:r>
          </w:p>
        </w:tc>
      </w:tr>
      <w:tr w:rsidR="00077302" w14:paraId="0F8B2421"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08FE34A4" w14:textId="77777777" w:rsidR="00077302" w:rsidRPr="00077302" w:rsidRDefault="00077302" w:rsidP="00077302">
            <w:pPr>
              <w:pStyle w:val="Table"/>
              <w:spacing w:before="100" w:after="100"/>
              <w:rPr>
                <w:rFonts w:asciiTheme="minorHAnsi" w:hAnsiTheme="minorHAnsi" w:cstheme="minorHAnsi"/>
                <w:b w:val="0"/>
                <w:bCs w:val="0"/>
                <w:color w:val="090D46" w:themeColor="text1"/>
                <w:sz w:val="18"/>
                <w:szCs w:val="18"/>
              </w:rPr>
            </w:pPr>
            <w:r w:rsidRPr="00077302">
              <w:rPr>
                <w:rFonts w:asciiTheme="minorHAnsi" w:hAnsiTheme="minorHAnsi" w:cstheme="minorHAnsi"/>
                <w:b w:val="0"/>
                <w:bCs w:val="0"/>
                <w:color w:val="090D46" w:themeColor="text1"/>
                <w:sz w:val="18"/>
                <w:szCs w:val="18"/>
              </w:rPr>
              <w:t>Consider realising assets that will produce capital or revenue losses which can be used to offset capital gains or revenue income in the income year.</w:t>
            </w:r>
          </w:p>
          <w:p w14:paraId="1B36388B" w14:textId="77777777" w:rsidR="00077302" w:rsidRPr="00077302" w:rsidRDefault="00077302" w:rsidP="00077302">
            <w:pPr>
              <w:pStyle w:val="Table"/>
              <w:spacing w:before="100" w:after="100"/>
              <w:rPr>
                <w:rFonts w:asciiTheme="minorHAnsi" w:hAnsiTheme="minorHAnsi" w:cstheme="minorHAnsi"/>
                <w:b w:val="0"/>
                <w:bCs w:val="0"/>
                <w:color w:val="090D46" w:themeColor="text1"/>
                <w:sz w:val="18"/>
                <w:szCs w:val="18"/>
              </w:rPr>
            </w:pPr>
            <w:r w:rsidRPr="00077302">
              <w:rPr>
                <w:rFonts w:asciiTheme="minorHAnsi" w:hAnsiTheme="minorHAnsi" w:cstheme="minorHAnsi"/>
                <w:b w:val="0"/>
                <w:bCs w:val="0"/>
                <w:color w:val="090D46" w:themeColor="text1"/>
                <w:sz w:val="18"/>
                <w:szCs w:val="18"/>
              </w:rPr>
              <w:t>In considering whether any such sales should proceed it is also necessary to consider the application of the general anti-avoidance provisions of Part IVA of th</w:t>
            </w:r>
            <w:r w:rsidRPr="008172C5">
              <w:rPr>
                <w:rFonts w:asciiTheme="minorHAnsi" w:hAnsiTheme="minorHAnsi" w:cstheme="minorHAnsi"/>
                <w:b w:val="0"/>
                <w:bCs w:val="0"/>
                <w:color w:val="090D46" w:themeColor="text1"/>
                <w:sz w:val="18"/>
                <w:szCs w:val="18"/>
              </w:rPr>
              <w:t xml:space="preserve">e </w:t>
            </w:r>
            <w:r w:rsidRPr="006B320A">
              <w:rPr>
                <w:rFonts w:asciiTheme="minorHAnsi" w:hAnsiTheme="minorHAnsi" w:cstheme="minorHAnsi"/>
                <w:iCs/>
                <w:color w:val="090D46" w:themeColor="text1"/>
                <w:sz w:val="18"/>
                <w:szCs w:val="18"/>
              </w:rPr>
              <w:t>ITAA 1936</w:t>
            </w:r>
            <w:r w:rsidRPr="008172C5">
              <w:rPr>
                <w:rFonts w:asciiTheme="minorHAnsi" w:hAnsiTheme="minorHAnsi" w:cstheme="minorHAnsi"/>
                <w:b w:val="0"/>
                <w:bCs w:val="0"/>
                <w:color w:val="090D46" w:themeColor="text1"/>
                <w:sz w:val="18"/>
                <w:szCs w:val="18"/>
              </w:rPr>
              <w:t>.</w:t>
            </w:r>
            <w:r w:rsidRPr="00077302">
              <w:rPr>
                <w:rFonts w:asciiTheme="minorHAnsi" w:hAnsiTheme="minorHAnsi" w:cstheme="minorHAnsi"/>
                <w:b w:val="0"/>
                <w:bCs w:val="0"/>
                <w:color w:val="090D46" w:themeColor="text1"/>
                <w:sz w:val="18"/>
                <w:szCs w:val="18"/>
              </w:rPr>
              <w:t xml:space="preserve"> </w:t>
            </w:r>
          </w:p>
          <w:p w14:paraId="0A23F27C" w14:textId="4F395CFE" w:rsidR="00077302" w:rsidRDefault="00077302" w:rsidP="00077302">
            <w:pPr>
              <w:pStyle w:val="Table"/>
              <w:spacing w:before="100" w:after="100"/>
              <w:rPr>
                <w:sz w:val="18"/>
                <w:szCs w:val="18"/>
              </w:rPr>
            </w:pPr>
            <w:r w:rsidRPr="00077302">
              <w:rPr>
                <w:rFonts w:asciiTheme="minorHAnsi" w:hAnsiTheme="minorHAnsi" w:cstheme="minorHAnsi"/>
                <w:b w:val="0"/>
                <w:bCs w:val="0"/>
                <w:color w:val="090D46" w:themeColor="text1"/>
                <w:sz w:val="18"/>
                <w:szCs w:val="18"/>
              </w:rPr>
              <w:t>Taxation Ruling TR 2008/1 provides</w:t>
            </w:r>
            <w:r w:rsidR="0082351F">
              <w:rPr>
                <w:rFonts w:asciiTheme="minorHAnsi" w:hAnsiTheme="minorHAnsi" w:cstheme="minorHAnsi"/>
                <w:b w:val="0"/>
                <w:bCs w:val="0"/>
                <w:color w:val="090D46" w:themeColor="text1"/>
                <w:sz w:val="18"/>
                <w:szCs w:val="18"/>
              </w:rPr>
              <w:t xml:space="preserve"> the Commissioner’s views</w:t>
            </w:r>
            <w:r w:rsidRPr="00077302">
              <w:rPr>
                <w:rFonts w:asciiTheme="minorHAnsi" w:hAnsiTheme="minorHAnsi" w:cstheme="minorHAnsi"/>
                <w:b w:val="0"/>
                <w:bCs w:val="0"/>
                <w:color w:val="090D46" w:themeColor="text1"/>
                <w:sz w:val="18"/>
                <w:szCs w:val="18"/>
              </w:rPr>
              <w:t xml:space="preserve"> that an asset sold under a ‘wash sale’ to generate a capital or revenue loss will have those amounts cancelled under Part IVA</w:t>
            </w:r>
            <w:r w:rsidR="00CA41C4">
              <w:rPr>
                <w:rFonts w:asciiTheme="minorHAnsi" w:hAnsiTheme="minorHAnsi" w:cstheme="minorHAnsi"/>
                <w:b w:val="0"/>
                <w:bCs w:val="0"/>
                <w:color w:val="090D46" w:themeColor="text1"/>
                <w:sz w:val="18"/>
                <w:szCs w:val="18"/>
              </w:rPr>
              <w:t>,</w:t>
            </w:r>
            <w:r w:rsidRPr="00077302">
              <w:rPr>
                <w:rFonts w:asciiTheme="minorHAnsi" w:hAnsiTheme="minorHAnsi" w:cstheme="minorHAnsi"/>
                <w:b w:val="0"/>
                <w:bCs w:val="0"/>
                <w:color w:val="090D46" w:themeColor="text1"/>
                <w:sz w:val="18"/>
                <w:szCs w:val="18"/>
              </w:rPr>
              <w:t xml:space="preserve"> where in substance there has been no significant change in the taxpayer’s economic exposure in the asset (</w:t>
            </w:r>
            <w:proofErr w:type="gramStart"/>
            <w:r w:rsidR="002901AF" w:rsidRPr="00077302">
              <w:rPr>
                <w:rFonts w:asciiTheme="minorHAnsi" w:hAnsiTheme="minorHAnsi" w:cstheme="minorHAnsi"/>
                <w:b w:val="0"/>
                <w:bCs w:val="0"/>
                <w:color w:val="090D46" w:themeColor="text1"/>
                <w:sz w:val="18"/>
                <w:szCs w:val="18"/>
              </w:rPr>
              <w:t>e.g.</w:t>
            </w:r>
            <w:proofErr w:type="gramEnd"/>
            <w:r w:rsidRPr="00077302">
              <w:rPr>
                <w:rFonts w:asciiTheme="minorHAnsi" w:hAnsiTheme="minorHAnsi" w:cstheme="minorHAnsi"/>
                <w:b w:val="0"/>
                <w:bCs w:val="0"/>
                <w:color w:val="090D46" w:themeColor="text1"/>
                <w:sz w:val="18"/>
                <w:szCs w:val="18"/>
              </w:rPr>
              <w:t xml:space="preserve"> selling a CGT asset and creating a trust over the asset or transferring the asset to a related trust).</w:t>
            </w:r>
          </w:p>
        </w:tc>
        <w:tc>
          <w:tcPr>
            <w:tcW w:w="335" w:type="pct"/>
          </w:tcPr>
          <w:p w14:paraId="201A2530"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26116760"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04B7858D"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77302" w14:paraId="6D3352B4" w14:textId="77777777" w:rsidTr="00CD503D">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056637B" w14:textId="77777777" w:rsidR="00077302" w:rsidRPr="00CD503D" w:rsidRDefault="00077302" w:rsidP="00077302">
            <w:pPr>
              <w:pStyle w:val="Tableheading"/>
              <w:rPr>
                <w:b/>
                <w:bCs w:val="0"/>
                <w:color w:val="FFFFFF" w:themeColor="background1"/>
                <w:sz w:val="18"/>
                <w:szCs w:val="18"/>
              </w:rPr>
            </w:pPr>
            <w:r w:rsidRPr="00CD503D">
              <w:rPr>
                <w:b/>
                <w:color w:val="FFFFFF" w:themeColor="background1"/>
                <w:sz w:val="18"/>
                <w:szCs w:val="18"/>
              </w:rPr>
              <w:t xml:space="preserve">SUPERANNUATION CONTRIBUTIONS </w:t>
            </w:r>
          </w:p>
        </w:tc>
      </w:tr>
      <w:tr w:rsidR="00077302" w14:paraId="313E7858"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4F8A83E" w14:textId="1F3A7F61" w:rsidR="00077302" w:rsidRPr="00CD503D" w:rsidRDefault="00077302" w:rsidP="00077302">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Ensure superannuation contributions are actually paid</w:t>
            </w:r>
            <w:r w:rsidR="00560991">
              <w:rPr>
                <w:rFonts w:asciiTheme="minorHAnsi" w:hAnsiTheme="minorHAnsi" w:cstheme="minorHAnsi"/>
                <w:b w:val="0"/>
                <w:bCs w:val="0"/>
                <w:color w:val="090D46" w:themeColor="text1"/>
                <w:sz w:val="18"/>
                <w:szCs w:val="18"/>
              </w:rPr>
              <w:t xml:space="preserve"> to employees</w:t>
            </w:r>
            <w:r w:rsidR="00CA41C4">
              <w:rPr>
                <w:rFonts w:asciiTheme="minorHAnsi" w:hAnsiTheme="minorHAnsi" w:cstheme="minorHAnsi"/>
                <w:b w:val="0"/>
                <w:bCs w:val="0"/>
                <w:color w:val="090D46" w:themeColor="text1"/>
                <w:sz w:val="18"/>
                <w:szCs w:val="18"/>
              </w:rPr>
              <w:t>’</w:t>
            </w:r>
            <w:r w:rsidR="00560991">
              <w:rPr>
                <w:rFonts w:asciiTheme="minorHAnsi" w:hAnsiTheme="minorHAnsi" w:cstheme="minorHAnsi"/>
                <w:b w:val="0"/>
                <w:bCs w:val="0"/>
                <w:color w:val="090D46" w:themeColor="text1"/>
                <w:sz w:val="18"/>
                <w:szCs w:val="18"/>
              </w:rPr>
              <w:t xml:space="preserve"> superannuation fund</w:t>
            </w:r>
            <w:r w:rsidR="00CA41C4">
              <w:rPr>
                <w:rFonts w:asciiTheme="minorHAnsi" w:hAnsiTheme="minorHAnsi" w:cstheme="minorHAnsi"/>
                <w:b w:val="0"/>
                <w:bCs w:val="0"/>
                <w:color w:val="090D46" w:themeColor="text1"/>
                <w:sz w:val="18"/>
                <w:szCs w:val="18"/>
              </w:rPr>
              <w:t>s</w:t>
            </w:r>
            <w:r w:rsidRPr="00CD503D">
              <w:rPr>
                <w:rFonts w:asciiTheme="minorHAnsi" w:hAnsiTheme="minorHAnsi" w:cstheme="minorHAnsi"/>
                <w:b w:val="0"/>
                <w:bCs w:val="0"/>
                <w:color w:val="090D46" w:themeColor="text1"/>
                <w:sz w:val="18"/>
                <w:szCs w:val="18"/>
              </w:rPr>
              <w:t xml:space="preserve"> by year end and all required conditions for deductibility</w:t>
            </w:r>
            <w:r w:rsidR="00CA41C4">
              <w:rPr>
                <w:rFonts w:asciiTheme="minorHAnsi" w:hAnsiTheme="minorHAnsi" w:cstheme="minorHAnsi"/>
                <w:b w:val="0"/>
                <w:bCs w:val="0"/>
                <w:color w:val="090D46" w:themeColor="text1"/>
                <w:sz w:val="18"/>
                <w:szCs w:val="18"/>
              </w:rPr>
              <w:t xml:space="preserve"> are met</w:t>
            </w:r>
            <w:r w:rsidRPr="00CD503D">
              <w:rPr>
                <w:rFonts w:asciiTheme="minorHAnsi" w:hAnsiTheme="minorHAnsi" w:cstheme="minorHAnsi"/>
                <w:b w:val="0"/>
                <w:bCs w:val="0"/>
                <w:color w:val="090D46" w:themeColor="text1"/>
                <w:sz w:val="18"/>
                <w:szCs w:val="18"/>
              </w:rPr>
              <w:t xml:space="preserve">. </w:t>
            </w:r>
          </w:p>
          <w:p w14:paraId="0E236FC0" w14:textId="7CD345D5" w:rsidR="00CA41C4" w:rsidRPr="005B17D7" w:rsidRDefault="00077302" w:rsidP="00077302">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Where an employer makes contributions in respect of an eligible employee</w:t>
            </w:r>
            <w:r w:rsidR="00CA41C4">
              <w:rPr>
                <w:rFonts w:asciiTheme="minorHAnsi" w:hAnsiTheme="minorHAnsi" w:cstheme="minorHAnsi"/>
                <w:b w:val="0"/>
                <w:bCs w:val="0"/>
                <w:color w:val="090D46" w:themeColor="text1"/>
                <w:sz w:val="18"/>
                <w:szCs w:val="18"/>
              </w:rPr>
              <w:t>,</w:t>
            </w:r>
            <w:r w:rsidR="00D13A5D">
              <w:rPr>
                <w:rFonts w:asciiTheme="minorHAnsi" w:hAnsiTheme="minorHAnsi" w:cstheme="minorHAnsi"/>
                <w:b w:val="0"/>
                <w:bCs w:val="0"/>
                <w:color w:val="090D46" w:themeColor="text1"/>
                <w:sz w:val="18"/>
                <w:szCs w:val="18"/>
              </w:rPr>
              <w:t xml:space="preserve"> </w:t>
            </w:r>
            <w:r w:rsidRPr="00CD503D">
              <w:rPr>
                <w:rFonts w:asciiTheme="minorHAnsi" w:hAnsiTheme="minorHAnsi" w:cstheme="minorHAnsi"/>
                <w:b w:val="0"/>
                <w:bCs w:val="0"/>
                <w:color w:val="090D46" w:themeColor="text1"/>
                <w:sz w:val="18"/>
                <w:szCs w:val="18"/>
              </w:rPr>
              <w:t>a deduction will only be available where</w:t>
            </w:r>
            <w:r w:rsidR="00CA41C4">
              <w:rPr>
                <w:rFonts w:asciiTheme="minorHAnsi" w:hAnsiTheme="minorHAnsi" w:cstheme="minorHAnsi"/>
                <w:b w:val="0"/>
                <w:bCs w:val="0"/>
                <w:color w:val="090D46" w:themeColor="text1"/>
                <w:sz w:val="18"/>
                <w:szCs w:val="18"/>
              </w:rPr>
              <w:t>:</w:t>
            </w:r>
          </w:p>
          <w:p w14:paraId="4792A4A4" w14:textId="3EF858D0" w:rsidR="00CA41C4" w:rsidRPr="005B17D7" w:rsidRDefault="00077302" w:rsidP="00CA41C4">
            <w:pPr>
              <w:pStyle w:val="Table"/>
              <w:numPr>
                <w:ilvl w:val="0"/>
                <w:numId w:val="47"/>
              </w:numPr>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 xml:space="preserve">the employee is engaged in producing the employer’s assessable </w:t>
            </w:r>
            <w:proofErr w:type="gramStart"/>
            <w:r w:rsidRPr="00CD503D">
              <w:rPr>
                <w:rFonts w:asciiTheme="minorHAnsi" w:hAnsiTheme="minorHAnsi" w:cstheme="minorHAnsi"/>
                <w:b w:val="0"/>
                <w:bCs w:val="0"/>
                <w:color w:val="090D46" w:themeColor="text1"/>
                <w:sz w:val="18"/>
                <w:szCs w:val="18"/>
              </w:rPr>
              <w:t>income</w:t>
            </w:r>
            <w:proofErr w:type="gramEnd"/>
          </w:p>
          <w:p w14:paraId="483A364B" w14:textId="2235E0C2" w:rsidR="00CA41C4" w:rsidRPr="005B17D7" w:rsidRDefault="00077302" w:rsidP="00CA41C4">
            <w:pPr>
              <w:pStyle w:val="Table"/>
              <w:numPr>
                <w:ilvl w:val="0"/>
                <w:numId w:val="47"/>
              </w:numPr>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the contribution has been made to a complying superannuation fund or retirement savings account</w:t>
            </w:r>
            <w:r w:rsidR="00CA41C4">
              <w:rPr>
                <w:rFonts w:asciiTheme="minorHAnsi" w:hAnsiTheme="minorHAnsi" w:cstheme="minorHAnsi"/>
                <w:b w:val="0"/>
                <w:bCs w:val="0"/>
                <w:color w:val="090D46" w:themeColor="text1"/>
                <w:sz w:val="18"/>
                <w:szCs w:val="18"/>
              </w:rPr>
              <w:t>,</w:t>
            </w:r>
            <w:r w:rsidRPr="00CD503D">
              <w:rPr>
                <w:rFonts w:asciiTheme="minorHAnsi" w:hAnsiTheme="minorHAnsi" w:cstheme="minorHAnsi"/>
                <w:b w:val="0"/>
                <w:bCs w:val="0"/>
                <w:color w:val="090D46" w:themeColor="text1"/>
                <w:sz w:val="18"/>
                <w:szCs w:val="18"/>
              </w:rPr>
              <w:t xml:space="preserve"> and </w:t>
            </w:r>
          </w:p>
          <w:p w14:paraId="325B3F3F" w14:textId="3BF1D9B8" w:rsidR="00077302" w:rsidRPr="00CD503D" w:rsidRDefault="00077302" w:rsidP="006B320A">
            <w:pPr>
              <w:pStyle w:val="Table"/>
              <w:numPr>
                <w:ilvl w:val="0"/>
                <w:numId w:val="47"/>
              </w:numPr>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where the employee has turned 75, the contribution has been made on or before the 28</w:t>
            </w:r>
            <w:r w:rsidRPr="00CD503D">
              <w:rPr>
                <w:rFonts w:asciiTheme="minorHAnsi" w:hAnsiTheme="minorHAnsi" w:cstheme="minorHAnsi"/>
                <w:b w:val="0"/>
                <w:bCs w:val="0"/>
                <w:color w:val="090D46" w:themeColor="text1"/>
                <w:sz w:val="18"/>
                <w:szCs w:val="18"/>
                <w:vertAlign w:val="superscript"/>
              </w:rPr>
              <w:t>th</w:t>
            </w:r>
            <w:r w:rsidRPr="00CD503D">
              <w:rPr>
                <w:rFonts w:asciiTheme="minorHAnsi" w:hAnsiTheme="minorHAnsi" w:cstheme="minorHAnsi"/>
                <w:b w:val="0"/>
                <w:bCs w:val="0"/>
                <w:color w:val="090D46" w:themeColor="text1"/>
                <w:sz w:val="18"/>
                <w:szCs w:val="18"/>
              </w:rPr>
              <w:t xml:space="preserve"> day after the end of the month in which the employee turned 75. </w:t>
            </w:r>
          </w:p>
          <w:p w14:paraId="71961CDD" w14:textId="548907C7" w:rsidR="00077302" w:rsidRPr="00CD503D" w:rsidRDefault="00077302" w:rsidP="00077302">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 xml:space="preserve">An employee may also make additional voluntary superannuation contributions under a valid salary sacrifice arrangement under Taxation Ruling TR 2001/10 where the employer has agreed to the employee’s request to forego future gross salary for the making of additional superannuation contributions on their behalf.      </w:t>
            </w:r>
          </w:p>
          <w:p w14:paraId="1011BEC5" w14:textId="77777777" w:rsidR="00754918" w:rsidRPr="005B17D7" w:rsidRDefault="00077302" w:rsidP="00472298">
            <w:pPr>
              <w:pStyle w:val="Table"/>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An individual will also be entitled to a deduction for personal superannuation contributions provided such contributions are</w:t>
            </w:r>
            <w:r w:rsidR="00754918">
              <w:rPr>
                <w:rFonts w:asciiTheme="minorHAnsi" w:hAnsiTheme="minorHAnsi" w:cstheme="minorHAnsi"/>
                <w:b w:val="0"/>
                <w:bCs w:val="0"/>
                <w:color w:val="090D46" w:themeColor="text1"/>
                <w:sz w:val="18"/>
                <w:szCs w:val="18"/>
              </w:rPr>
              <w:t>:</w:t>
            </w:r>
          </w:p>
          <w:p w14:paraId="5D12F30E" w14:textId="54198D3E" w:rsidR="00754918" w:rsidRPr="006B320A" w:rsidRDefault="00077302" w:rsidP="00754918">
            <w:pPr>
              <w:pStyle w:val="Table"/>
              <w:numPr>
                <w:ilvl w:val="0"/>
                <w:numId w:val="48"/>
              </w:numPr>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 xml:space="preserve">made to a complying superannuation </w:t>
            </w:r>
            <w:proofErr w:type="gramStart"/>
            <w:r w:rsidRPr="00CD503D">
              <w:rPr>
                <w:rFonts w:asciiTheme="minorHAnsi" w:hAnsiTheme="minorHAnsi" w:cstheme="minorHAnsi"/>
                <w:b w:val="0"/>
                <w:bCs w:val="0"/>
                <w:color w:val="090D46" w:themeColor="text1"/>
                <w:sz w:val="18"/>
                <w:szCs w:val="18"/>
              </w:rPr>
              <w:t>fund</w:t>
            </w:r>
            <w:proofErr w:type="gramEnd"/>
          </w:p>
          <w:p w14:paraId="67988428" w14:textId="77777777" w:rsidR="00754918" w:rsidRPr="006B320A" w:rsidRDefault="00077302" w:rsidP="00754918">
            <w:pPr>
              <w:pStyle w:val="Table"/>
              <w:numPr>
                <w:ilvl w:val="0"/>
                <w:numId w:val="48"/>
              </w:numPr>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the contributions are made on or before the 28</w:t>
            </w:r>
            <w:r w:rsidRPr="00CD503D">
              <w:rPr>
                <w:rFonts w:asciiTheme="minorHAnsi" w:hAnsiTheme="minorHAnsi" w:cstheme="minorHAnsi"/>
                <w:b w:val="0"/>
                <w:bCs w:val="0"/>
                <w:color w:val="090D46" w:themeColor="text1"/>
                <w:sz w:val="18"/>
                <w:szCs w:val="18"/>
                <w:vertAlign w:val="superscript"/>
              </w:rPr>
              <w:t>th</w:t>
            </w:r>
            <w:r w:rsidRPr="00CD503D">
              <w:rPr>
                <w:rFonts w:asciiTheme="minorHAnsi" w:hAnsiTheme="minorHAnsi" w:cstheme="minorHAnsi"/>
                <w:b w:val="0"/>
                <w:bCs w:val="0"/>
                <w:color w:val="090D46" w:themeColor="text1"/>
                <w:sz w:val="18"/>
                <w:szCs w:val="18"/>
              </w:rPr>
              <w:t xml:space="preserve"> day after the end of the month in which that person turns 75, and </w:t>
            </w:r>
          </w:p>
          <w:p w14:paraId="28723634" w14:textId="77777777" w:rsidR="00CB3A24" w:rsidRPr="008E463D" w:rsidRDefault="00CB3A24" w:rsidP="00CB3A24">
            <w:pPr>
              <w:pStyle w:val="Table"/>
              <w:numPr>
                <w:ilvl w:val="0"/>
                <w:numId w:val="48"/>
              </w:numPr>
              <w:spacing w:before="100" w:after="100"/>
              <w:rPr>
                <w:rFonts w:asciiTheme="minorHAnsi" w:hAnsiTheme="minorHAnsi" w:cstheme="minorHAnsi"/>
                <w:b w:val="0"/>
                <w:bCs w:val="0"/>
                <w:color w:val="090D46" w:themeColor="text1"/>
                <w:sz w:val="18"/>
                <w:szCs w:val="18"/>
              </w:rPr>
            </w:pPr>
            <w:r w:rsidRPr="00CD503D">
              <w:rPr>
                <w:rFonts w:asciiTheme="minorHAnsi" w:hAnsiTheme="minorHAnsi" w:cstheme="minorHAnsi"/>
                <w:b w:val="0"/>
                <w:bCs w:val="0"/>
                <w:color w:val="090D46" w:themeColor="text1"/>
                <w:sz w:val="18"/>
                <w:szCs w:val="18"/>
              </w:rPr>
              <w:t xml:space="preserve">that person provides a notice to their fund of their intention to claim a deduction for those personal superannuation contributions. </w:t>
            </w:r>
          </w:p>
          <w:p w14:paraId="09166C59" w14:textId="77777777" w:rsidR="00CB3A24" w:rsidRDefault="00CB3A24" w:rsidP="00CB3A24">
            <w:pPr>
              <w:pStyle w:val="Table"/>
              <w:spacing w:before="100" w:after="100"/>
              <w:rPr>
                <w:rFonts w:asciiTheme="minorHAnsi" w:hAnsiTheme="minorHAnsi" w:cstheme="minorHAnsi"/>
                <w:color w:val="090D46" w:themeColor="text1"/>
                <w:sz w:val="18"/>
                <w:szCs w:val="18"/>
              </w:rPr>
            </w:pPr>
            <w:r>
              <w:rPr>
                <w:rFonts w:asciiTheme="minorHAnsi" w:hAnsiTheme="minorHAnsi" w:cstheme="minorHAnsi"/>
                <w:b w:val="0"/>
                <w:bCs w:val="0"/>
                <w:color w:val="090D46" w:themeColor="text1"/>
                <w:sz w:val="18"/>
                <w:szCs w:val="18"/>
              </w:rPr>
              <w:t xml:space="preserve">Employees aged between 67 and 74 may be entitled to deductions if they satisfy a work test or meet the work test exemption criteria for each financial year in which a distribution is made. </w:t>
            </w:r>
          </w:p>
          <w:p w14:paraId="3C47570B" w14:textId="77777777" w:rsidR="00CB3A24" w:rsidRPr="00CD503D" w:rsidRDefault="00CB3A24" w:rsidP="00CB3A24">
            <w:pPr>
              <w:pStyle w:val="Table"/>
              <w:spacing w:before="100" w:after="100"/>
              <w:rPr>
                <w:rFonts w:asciiTheme="minorHAnsi" w:hAnsiTheme="minorHAnsi" w:cstheme="minorHAnsi"/>
                <w:b w:val="0"/>
                <w:bCs w:val="0"/>
                <w:color w:val="090D46" w:themeColor="text1"/>
                <w:sz w:val="18"/>
                <w:szCs w:val="18"/>
              </w:rPr>
            </w:pPr>
            <w:r>
              <w:rPr>
                <w:rFonts w:asciiTheme="minorHAnsi" w:hAnsiTheme="minorHAnsi" w:cstheme="minorHAnsi"/>
                <w:b w:val="0"/>
                <w:bCs w:val="0"/>
                <w:color w:val="090D46" w:themeColor="text1"/>
                <w:sz w:val="18"/>
                <w:szCs w:val="18"/>
              </w:rPr>
              <w:t xml:space="preserve">Individuals under 18 must have derived income from carrying on of a business or been treated as an employee for the purposes of the </w:t>
            </w:r>
            <w:r w:rsidRPr="008E463D">
              <w:rPr>
                <w:rFonts w:asciiTheme="minorHAnsi" w:hAnsiTheme="minorHAnsi" w:cstheme="minorHAnsi"/>
                <w:b w:val="0"/>
                <w:bCs w:val="0"/>
                <w:i/>
                <w:iCs/>
                <w:color w:val="090D46" w:themeColor="text1"/>
                <w:sz w:val="18"/>
                <w:szCs w:val="18"/>
              </w:rPr>
              <w:t>Superannuation Guarantee (Administration) Act 1992</w:t>
            </w:r>
            <w:r>
              <w:rPr>
                <w:rFonts w:asciiTheme="minorHAnsi" w:hAnsiTheme="minorHAnsi" w:cstheme="minorHAnsi"/>
                <w:b w:val="0"/>
                <w:bCs w:val="0"/>
                <w:color w:val="090D46" w:themeColor="text1"/>
                <w:sz w:val="18"/>
                <w:szCs w:val="18"/>
              </w:rPr>
              <w:t xml:space="preserve">. </w:t>
            </w:r>
          </w:p>
          <w:p w14:paraId="17E30A21" w14:textId="73A7A4DC" w:rsidR="00CB3A24" w:rsidRDefault="00CB3A24" w:rsidP="00CB3A24">
            <w:pPr>
              <w:pStyle w:val="Table"/>
              <w:spacing w:before="100" w:after="100"/>
              <w:rPr>
                <w:sz w:val="18"/>
                <w:szCs w:val="18"/>
              </w:rPr>
            </w:pPr>
            <w:r w:rsidRPr="00CD503D">
              <w:rPr>
                <w:rFonts w:asciiTheme="minorHAnsi" w:hAnsiTheme="minorHAnsi" w:cstheme="minorHAnsi"/>
                <w:b w:val="0"/>
                <w:bCs w:val="0"/>
                <w:color w:val="090D46" w:themeColor="text1"/>
                <w:sz w:val="18"/>
                <w:szCs w:val="18"/>
              </w:rPr>
              <w:t xml:space="preserve">Such a deduction is available to both self-employed individuals as well as employees seeking to make additional superannuation contributions in addition to those made by their employer. However, any such personal superannuation contribution cannot create or increase a tax loss under section 26-55 of the </w:t>
            </w:r>
            <w:r w:rsidRPr="008E463D">
              <w:rPr>
                <w:rFonts w:asciiTheme="minorHAnsi" w:hAnsiTheme="minorHAnsi" w:cstheme="minorHAnsi"/>
                <w:b w:val="0"/>
                <w:bCs w:val="0"/>
                <w:iCs/>
                <w:color w:val="090D46" w:themeColor="text1"/>
                <w:sz w:val="18"/>
                <w:szCs w:val="18"/>
              </w:rPr>
              <w:t>ITAA 1997</w:t>
            </w:r>
            <w:r w:rsidRPr="00B221FC">
              <w:rPr>
                <w:rFonts w:asciiTheme="minorHAnsi" w:hAnsiTheme="minorHAnsi" w:cstheme="minorHAnsi"/>
                <w:b w:val="0"/>
                <w:bCs w:val="0"/>
                <w:iCs/>
                <w:color w:val="090D46" w:themeColor="text1"/>
                <w:sz w:val="18"/>
                <w:szCs w:val="18"/>
              </w:rPr>
              <w:t>.</w:t>
            </w:r>
          </w:p>
          <w:p w14:paraId="7C496F37" w14:textId="303C2ACA" w:rsidR="00CB3A24" w:rsidRDefault="00CB3A24" w:rsidP="00CB3A24">
            <w:pPr>
              <w:pStyle w:val="Table"/>
              <w:spacing w:before="100" w:after="100"/>
              <w:rPr>
                <w:rFonts w:asciiTheme="minorHAnsi" w:hAnsiTheme="minorHAnsi" w:cstheme="minorHAnsi"/>
                <w:color w:val="090D46" w:themeColor="text1"/>
                <w:sz w:val="18"/>
                <w:szCs w:val="18"/>
              </w:rPr>
            </w:pPr>
            <w:r w:rsidRPr="00CD503D">
              <w:rPr>
                <w:rFonts w:asciiTheme="minorHAnsi" w:hAnsiTheme="minorHAnsi" w:cstheme="minorHAnsi"/>
                <w:b w:val="0"/>
                <w:bCs w:val="0"/>
                <w:color w:val="090D46" w:themeColor="text1"/>
                <w:sz w:val="18"/>
                <w:szCs w:val="18"/>
              </w:rPr>
              <w:t>Both employees and self-employed persons are subject to a cap on such concessional contributions (</w:t>
            </w:r>
            <w:proofErr w:type="gramStart"/>
            <w:r w:rsidRPr="00CD503D">
              <w:rPr>
                <w:rFonts w:asciiTheme="minorHAnsi" w:hAnsiTheme="minorHAnsi" w:cstheme="minorHAnsi"/>
                <w:b w:val="0"/>
                <w:bCs w:val="0"/>
                <w:color w:val="090D46" w:themeColor="text1"/>
                <w:sz w:val="18"/>
                <w:szCs w:val="18"/>
              </w:rPr>
              <w:t>i.e.</w:t>
            </w:r>
            <w:proofErr w:type="gramEnd"/>
            <w:r w:rsidRPr="00CD503D">
              <w:rPr>
                <w:rFonts w:asciiTheme="minorHAnsi" w:hAnsiTheme="minorHAnsi" w:cstheme="minorHAnsi"/>
                <w:b w:val="0"/>
                <w:bCs w:val="0"/>
                <w:color w:val="090D46" w:themeColor="text1"/>
                <w:sz w:val="18"/>
                <w:szCs w:val="18"/>
              </w:rPr>
              <w:t xml:space="preserve"> deductible contributions) which</w:t>
            </w:r>
            <w:r w:rsidR="00192D25">
              <w:rPr>
                <w:rFonts w:asciiTheme="minorHAnsi" w:hAnsiTheme="minorHAnsi" w:cstheme="minorHAnsi"/>
                <w:b w:val="0"/>
                <w:bCs w:val="0"/>
                <w:color w:val="090D46" w:themeColor="text1"/>
                <w:sz w:val="18"/>
                <w:szCs w:val="18"/>
              </w:rPr>
              <w:t>,</w:t>
            </w:r>
            <w:r w:rsidRPr="00CD503D">
              <w:rPr>
                <w:rFonts w:asciiTheme="minorHAnsi" w:hAnsiTheme="minorHAnsi" w:cstheme="minorHAnsi"/>
                <w:b w:val="0"/>
                <w:bCs w:val="0"/>
                <w:color w:val="090D46" w:themeColor="text1"/>
                <w:sz w:val="18"/>
                <w:szCs w:val="18"/>
              </w:rPr>
              <w:t xml:space="preserve"> </w:t>
            </w:r>
            <w:r w:rsidR="00192D25" w:rsidRPr="00CD503D">
              <w:rPr>
                <w:rFonts w:asciiTheme="minorHAnsi" w:hAnsiTheme="minorHAnsi" w:cstheme="minorHAnsi"/>
                <w:b w:val="0"/>
                <w:bCs w:val="0"/>
                <w:color w:val="090D46" w:themeColor="text1"/>
                <w:sz w:val="18"/>
                <w:szCs w:val="18"/>
              </w:rPr>
              <w:t>for the year ended 30 June 202</w:t>
            </w:r>
            <w:r w:rsidR="00192D25">
              <w:rPr>
                <w:rFonts w:asciiTheme="minorHAnsi" w:hAnsiTheme="minorHAnsi" w:cstheme="minorHAnsi"/>
                <w:b w:val="0"/>
                <w:bCs w:val="0"/>
                <w:color w:val="090D46" w:themeColor="text1"/>
                <w:sz w:val="18"/>
                <w:szCs w:val="18"/>
              </w:rPr>
              <w:t xml:space="preserve">4, </w:t>
            </w:r>
            <w:r w:rsidRPr="00CD503D">
              <w:rPr>
                <w:rFonts w:asciiTheme="minorHAnsi" w:hAnsiTheme="minorHAnsi" w:cstheme="minorHAnsi"/>
                <w:b w:val="0"/>
                <w:bCs w:val="0"/>
                <w:color w:val="090D46" w:themeColor="text1"/>
                <w:sz w:val="18"/>
                <w:szCs w:val="18"/>
              </w:rPr>
              <w:t>is $27,500 for each individual regardless of their age.</w:t>
            </w:r>
          </w:p>
          <w:p w14:paraId="7ED06473" w14:textId="57ABE596" w:rsidR="00077302" w:rsidRDefault="00CB3A24" w:rsidP="00192D25">
            <w:pPr>
              <w:pStyle w:val="Table"/>
              <w:spacing w:before="100" w:after="100"/>
              <w:rPr>
                <w:sz w:val="18"/>
                <w:szCs w:val="18"/>
              </w:rPr>
            </w:pPr>
            <w:r w:rsidRPr="00CD503D">
              <w:rPr>
                <w:rFonts w:asciiTheme="minorHAnsi" w:hAnsiTheme="minorHAnsi" w:cstheme="minorHAnsi"/>
                <w:b w:val="0"/>
                <w:bCs w:val="0"/>
                <w:color w:val="090D46" w:themeColor="text1"/>
                <w:sz w:val="18"/>
                <w:szCs w:val="18"/>
              </w:rPr>
              <w:t>You should consult an appropriately licensed financial adviser to consider the merits of maximising concessional superannuation contributions by 30 June 202</w:t>
            </w:r>
            <w:r>
              <w:rPr>
                <w:rFonts w:asciiTheme="minorHAnsi" w:hAnsiTheme="minorHAnsi" w:cstheme="minorHAnsi"/>
                <w:b w:val="0"/>
                <w:bCs w:val="0"/>
                <w:color w:val="090D46" w:themeColor="text1"/>
                <w:sz w:val="18"/>
                <w:szCs w:val="18"/>
              </w:rPr>
              <w:t>4</w:t>
            </w:r>
            <w:r w:rsidRPr="00CD503D">
              <w:rPr>
                <w:rFonts w:asciiTheme="minorHAnsi" w:hAnsiTheme="minorHAnsi" w:cstheme="minorHAnsi"/>
                <w:b w:val="0"/>
                <w:bCs w:val="0"/>
                <w:color w:val="090D46" w:themeColor="text1"/>
                <w:sz w:val="18"/>
                <w:szCs w:val="18"/>
              </w:rPr>
              <w:t xml:space="preserve"> if the cap has not been fully utilised for that </w:t>
            </w:r>
            <w:r w:rsidRPr="00CD503D">
              <w:rPr>
                <w:rFonts w:asciiTheme="minorHAnsi" w:hAnsiTheme="minorHAnsi" w:cstheme="minorHAnsi"/>
                <w:b w:val="0"/>
                <w:bCs w:val="0"/>
                <w:color w:val="090D46" w:themeColor="text1"/>
                <w:sz w:val="18"/>
                <w:szCs w:val="18"/>
              </w:rPr>
              <w:lastRenderedPageBreak/>
              <w:t>year. Care should be taken to include employer contributions made for superannuation contribution purposes in any calculation of deductible superannuation contributions that should be made by year end to ensure that the $27,500 cap is not exceeded.</w:t>
            </w:r>
          </w:p>
        </w:tc>
        <w:tc>
          <w:tcPr>
            <w:tcW w:w="335" w:type="pct"/>
          </w:tcPr>
          <w:p w14:paraId="1BAA9407"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79FD9AF2"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112E1DEB" w14:textId="77777777" w:rsidR="00077302" w:rsidRDefault="00077302" w:rsidP="00077302">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B3A24" w14:paraId="2209752C" w14:textId="77777777" w:rsidTr="007902F0">
        <w:tc>
          <w:tcPr>
            <w:cnfStyle w:val="001000000000" w:firstRow="0" w:lastRow="0" w:firstColumn="1" w:lastColumn="0" w:oddVBand="0" w:evenVBand="0" w:oddHBand="0" w:evenHBand="0" w:firstRowFirstColumn="0" w:firstRowLastColumn="0" w:lastRowFirstColumn="0" w:lastRowLastColumn="0"/>
            <w:tcW w:w="4120" w:type="pct"/>
            <w:shd w:val="clear" w:color="auto" w:fill="0A5CC7" w:themeFill="accent3"/>
          </w:tcPr>
          <w:p w14:paraId="7393A800" w14:textId="07258AC5" w:rsidR="00CB3A24" w:rsidRPr="00CD503D" w:rsidRDefault="00CB3A24" w:rsidP="00077302">
            <w:pPr>
              <w:pStyle w:val="Table"/>
              <w:spacing w:before="100" w:after="100"/>
              <w:rPr>
                <w:rFonts w:asciiTheme="minorHAnsi" w:hAnsiTheme="minorHAnsi" w:cstheme="minorHAnsi"/>
                <w:color w:val="090D46" w:themeColor="text1"/>
                <w:sz w:val="18"/>
                <w:szCs w:val="18"/>
              </w:rPr>
            </w:pPr>
            <w:r w:rsidRPr="00CD503D">
              <w:rPr>
                <w:color w:val="FFFFFF" w:themeColor="background1"/>
                <w:sz w:val="18"/>
                <w:szCs w:val="18"/>
              </w:rPr>
              <w:t>SUPERANNUATION CONTRIBUTIONS</w:t>
            </w:r>
            <w:r>
              <w:rPr>
                <w:color w:val="FFFFFF" w:themeColor="background1"/>
                <w:sz w:val="18"/>
                <w:szCs w:val="18"/>
              </w:rPr>
              <w:t xml:space="preserve"> (CONTINUED)</w:t>
            </w:r>
          </w:p>
        </w:tc>
        <w:tc>
          <w:tcPr>
            <w:tcW w:w="335" w:type="pct"/>
            <w:shd w:val="clear" w:color="auto" w:fill="0A5CC7" w:themeFill="accent3"/>
          </w:tcPr>
          <w:p w14:paraId="02A11039" w14:textId="77777777" w:rsidR="00CB3A24" w:rsidRDefault="00CB3A24"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shd w:val="clear" w:color="auto" w:fill="0A5CC7" w:themeFill="accent3"/>
          </w:tcPr>
          <w:p w14:paraId="77F816DF" w14:textId="77777777" w:rsidR="00CB3A24" w:rsidRDefault="00CB3A24"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shd w:val="clear" w:color="auto" w:fill="0A5CC7" w:themeFill="accent3"/>
          </w:tcPr>
          <w:p w14:paraId="039263C0" w14:textId="77777777" w:rsidR="00CB3A24" w:rsidRDefault="00CB3A24" w:rsidP="00077302">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221FC" w14:paraId="7F7EF757"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tcPr>
          <w:p w14:paraId="7CCC4BFA" w14:textId="24F7FAB4" w:rsidR="00B221FC" w:rsidRPr="00CD503D" w:rsidRDefault="00B221FC" w:rsidP="00B221FC">
            <w:pPr>
              <w:pStyle w:val="NoSpacing"/>
              <w:spacing w:before="100" w:after="100"/>
              <w:rPr>
                <w:rFonts w:cstheme="minorHAnsi"/>
                <w:b w:val="0"/>
                <w:bCs w:val="0"/>
                <w:color w:val="090D46" w:themeColor="text1"/>
                <w:sz w:val="18"/>
                <w:szCs w:val="18"/>
                <w:lang w:eastAsia="zh-CN"/>
              </w:rPr>
            </w:pPr>
            <w:r w:rsidRPr="00CD503D">
              <w:rPr>
                <w:rFonts w:cstheme="minorHAnsi"/>
                <w:b w:val="0"/>
                <w:bCs w:val="0"/>
                <w:color w:val="090D46" w:themeColor="text1"/>
                <w:sz w:val="18"/>
                <w:szCs w:val="18"/>
              </w:rPr>
              <w:t>Division 293 imposes an additional 15% tax on concessional contributions where the combined total of the individual’s adjusted taxable income and low tax contributions exceed $250,000 for the year ended 30 June 202</w:t>
            </w:r>
            <w:r>
              <w:rPr>
                <w:rFonts w:cstheme="minorHAnsi"/>
                <w:b w:val="0"/>
                <w:bCs w:val="0"/>
                <w:color w:val="090D46" w:themeColor="text1"/>
                <w:sz w:val="18"/>
                <w:szCs w:val="18"/>
              </w:rPr>
              <w:t>4</w:t>
            </w:r>
            <w:r w:rsidRPr="00CD503D">
              <w:rPr>
                <w:rFonts w:cstheme="minorHAnsi"/>
                <w:b w:val="0"/>
                <w:bCs w:val="0"/>
                <w:color w:val="090D46" w:themeColor="text1"/>
                <w:sz w:val="18"/>
                <w:szCs w:val="18"/>
              </w:rPr>
              <w:t>. In this context adjusted taxable income for Division 293 purposes is the aggregate of income for Medicare levy surcharge purposes (other than reportable superannuation contributions), and low tax contributions means concessional contributions up to the amount of the prevailing concessional contributions cap in the relevant year.</w:t>
            </w:r>
          </w:p>
          <w:p w14:paraId="11D2512B" w14:textId="24DEEB85" w:rsidR="00B221FC" w:rsidRPr="00192D25" w:rsidRDefault="00B221FC" w:rsidP="00B221FC">
            <w:pPr>
              <w:pStyle w:val="Table"/>
              <w:spacing w:before="100" w:after="100"/>
              <w:rPr>
                <w:rFonts w:asciiTheme="minorHAnsi" w:hAnsiTheme="minorHAnsi" w:cstheme="minorHAnsi"/>
                <w:b w:val="0"/>
                <w:bCs w:val="0"/>
                <w:color w:val="090D46" w:themeColor="text1"/>
                <w:sz w:val="18"/>
                <w:szCs w:val="18"/>
              </w:rPr>
            </w:pPr>
            <w:r w:rsidRPr="007902F0">
              <w:rPr>
                <w:rFonts w:asciiTheme="minorHAnsi" w:hAnsiTheme="minorHAnsi" w:cstheme="minorHAnsi"/>
                <w:b w:val="0"/>
                <w:bCs w:val="0"/>
                <w:color w:val="090D46" w:themeColor="text1"/>
                <w:sz w:val="18"/>
                <w:szCs w:val="18"/>
              </w:rPr>
              <w:t>The annual cap on non-concessional contributions (</w:t>
            </w:r>
            <w:proofErr w:type="gramStart"/>
            <w:r w:rsidRPr="007902F0">
              <w:rPr>
                <w:rFonts w:asciiTheme="minorHAnsi" w:hAnsiTheme="minorHAnsi" w:cstheme="minorHAnsi"/>
                <w:b w:val="0"/>
                <w:bCs w:val="0"/>
                <w:color w:val="090D46" w:themeColor="text1"/>
                <w:sz w:val="18"/>
                <w:szCs w:val="18"/>
              </w:rPr>
              <w:t>i.e.</w:t>
            </w:r>
            <w:proofErr w:type="gramEnd"/>
            <w:r w:rsidRPr="007902F0">
              <w:rPr>
                <w:rFonts w:asciiTheme="minorHAnsi" w:hAnsiTheme="minorHAnsi" w:cstheme="minorHAnsi"/>
                <w:b w:val="0"/>
                <w:bCs w:val="0"/>
                <w:color w:val="090D46" w:themeColor="text1"/>
                <w:sz w:val="18"/>
                <w:szCs w:val="18"/>
              </w:rPr>
              <w:t xml:space="preserve"> post-tax contributions) for the 2024 year is $110,000. The amount of non-concessional contributions that a person aged under 67 can bring forward under the three-year rule is $330,000 (subject to certain transitional arrangements). However, an individual will only be able to make additional non-concessional contributions where that person’s total superannuation balance was less than the $1.9 million general transfer balance cap as </w:t>
            </w:r>
            <w:proofErr w:type="gramStart"/>
            <w:r w:rsidRPr="007902F0">
              <w:rPr>
                <w:rFonts w:asciiTheme="minorHAnsi" w:hAnsiTheme="minorHAnsi" w:cstheme="minorHAnsi"/>
                <w:b w:val="0"/>
                <w:bCs w:val="0"/>
                <w:color w:val="090D46" w:themeColor="text1"/>
                <w:sz w:val="18"/>
                <w:szCs w:val="18"/>
              </w:rPr>
              <w:t>at</w:t>
            </w:r>
            <w:proofErr w:type="gramEnd"/>
            <w:r w:rsidRPr="007902F0">
              <w:rPr>
                <w:rFonts w:asciiTheme="minorHAnsi" w:hAnsiTheme="minorHAnsi" w:cstheme="minorHAnsi"/>
                <w:b w:val="0"/>
                <w:bCs w:val="0"/>
                <w:color w:val="090D46" w:themeColor="text1"/>
                <w:sz w:val="18"/>
                <w:szCs w:val="18"/>
              </w:rPr>
              <w:t xml:space="preserve"> </w:t>
            </w:r>
            <w:r w:rsidR="00EE4547" w:rsidRPr="00192D25">
              <w:rPr>
                <w:rFonts w:asciiTheme="minorHAnsi" w:hAnsiTheme="minorHAnsi" w:cstheme="minorHAnsi"/>
                <w:b w:val="0"/>
                <w:bCs w:val="0"/>
                <w:color w:val="090D46" w:themeColor="text1"/>
                <w:sz w:val="18"/>
                <w:szCs w:val="18"/>
              </w:rPr>
              <w:t>1</w:t>
            </w:r>
            <w:r w:rsidRPr="007902F0">
              <w:rPr>
                <w:rFonts w:asciiTheme="minorHAnsi" w:hAnsiTheme="minorHAnsi" w:cstheme="minorHAnsi"/>
                <w:b w:val="0"/>
                <w:bCs w:val="0"/>
                <w:color w:val="090D46" w:themeColor="text1"/>
                <w:sz w:val="18"/>
                <w:szCs w:val="18"/>
              </w:rPr>
              <w:t xml:space="preserve"> </w:t>
            </w:r>
            <w:r w:rsidR="00EE4547" w:rsidRPr="00192D25">
              <w:rPr>
                <w:rFonts w:asciiTheme="minorHAnsi" w:hAnsiTheme="minorHAnsi" w:cstheme="minorHAnsi"/>
                <w:b w:val="0"/>
                <w:bCs w:val="0"/>
                <w:color w:val="090D46" w:themeColor="text1"/>
                <w:sz w:val="18"/>
                <w:szCs w:val="18"/>
              </w:rPr>
              <w:t>July</w:t>
            </w:r>
            <w:r w:rsidRPr="007902F0">
              <w:rPr>
                <w:rFonts w:asciiTheme="minorHAnsi" w:hAnsiTheme="minorHAnsi" w:cstheme="minorHAnsi"/>
                <w:b w:val="0"/>
                <w:bCs w:val="0"/>
                <w:color w:val="090D46" w:themeColor="text1"/>
                <w:sz w:val="18"/>
                <w:szCs w:val="18"/>
              </w:rPr>
              <w:t xml:space="preserve"> 2023. The general transfer balance cap </w:t>
            </w:r>
            <w:r w:rsidR="00A2065C" w:rsidRPr="00192D25">
              <w:rPr>
                <w:rFonts w:asciiTheme="minorHAnsi" w:hAnsiTheme="minorHAnsi" w:cstheme="minorHAnsi"/>
                <w:b w:val="0"/>
                <w:bCs w:val="0"/>
                <w:color w:val="090D46" w:themeColor="text1"/>
                <w:sz w:val="18"/>
                <w:szCs w:val="18"/>
              </w:rPr>
              <w:t xml:space="preserve">is </w:t>
            </w:r>
            <w:r w:rsidRPr="007902F0">
              <w:rPr>
                <w:rFonts w:asciiTheme="minorHAnsi" w:hAnsiTheme="minorHAnsi" w:cstheme="minorHAnsi"/>
                <w:b w:val="0"/>
                <w:bCs w:val="0"/>
                <w:color w:val="090D46" w:themeColor="text1"/>
                <w:sz w:val="18"/>
                <w:szCs w:val="18"/>
              </w:rPr>
              <w:t xml:space="preserve">indexed </w:t>
            </w:r>
            <w:r w:rsidR="00E93292" w:rsidRPr="00192D25">
              <w:rPr>
                <w:rFonts w:asciiTheme="minorHAnsi" w:hAnsiTheme="minorHAnsi" w:cstheme="minorHAnsi"/>
                <w:b w:val="0"/>
                <w:bCs w:val="0"/>
                <w:color w:val="090D46" w:themeColor="text1"/>
                <w:sz w:val="18"/>
                <w:szCs w:val="18"/>
              </w:rPr>
              <w:t>annually;</w:t>
            </w:r>
            <w:r w:rsidR="00A2065C" w:rsidRPr="00192D25">
              <w:rPr>
                <w:rFonts w:asciiTheme="minorHAnsi" w:hAnsiTheme="minorHAnsi" w:cstheme="minorHAnsi"/>
                <w:b w:val="0"/>
                <w:bCs w:val="0"/>
                <w:color w:val="090D46" w:themeColor="text1"/>
                <w:sz w:val="18"/>
                <w:szCs w:val="18"/>
              </w:rPr>
              <w:t xml:space="preserve"> </w:t>
            </w:r>
            <w:r w:rsidRPr="007902F0">
              <w:rPr>
                <w:rFonts w:asciiTheme="minorHAnsi" w:hAnsiTheme="minorHAnsi" w:cstheme="minorHAnsi"/>
                <w:b w:val="0"/>
                <w:bCs w:val="0"/>
                <w:color w:val="090D46" w:themeColor="text1"/>
                <w:sz w:val="18"/>
                <w:szCs w:val="18"/>
              </w:rPr>
              <w:t>however</w:t>
            </w:r>
            <w:r w:rsidR="00A2065C" w:rsidRPr="00192D25">
              <w:rPr>
                <w:rFonts w:asciiTheme="minorHAnsi" w:hAnsiTheme="minorHAnsi" w:cstheme="minorHAnsi"/>
                <w:b w:val="0"/>
                <w:bCs w:val="0"/>
                <w:color w:val="090D46" w:themeColor="text1"/>
                <w:sz w:val="18"/>
                <w:szCs w:val="18"/>
              </w:rPr>
              <w:t>,</w:t>
            </w:r>
            <w:r w:rsidRPr="007902F0">
              <w:rPr>
                <w:rFonts w:asciiTheme="minorHAnsi" w:hAnsiTheme="minorHAnsi" w:cstheme="minorHAnsi"/>
                <w:b w:val="0"/>
                <w:bCs w:val="0"/>
                <w:color w:val="090D46" w:themeColor="text1"/>
                <w:sz w:val="18"/>
                <w:szCs w:val="18"/>
              </w:rPr>
              <w:t xml:space="preserve"> a different cap will apply to individuals based on their circumstances.</w:t>
            </w:r>
          </w:p>
        </w:tc>
        <w:tc>
          <w:tcPr>
            <w:tcW w:w="335" w:type="pct"/>
          </w:tcPr>
          <w:p w14:paraId="4C80A73A"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7E9C3648"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49DB5CAB"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221FC" w14:paraId="1FCC88B2" w14:textId="77777777" w:rsidTr="005D15D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49B95BF" w14:textId="77777777" w:rsidR="00B221FC" w:rsidRPr="005D15DA" w:rsidRDefault="00B221FC" w:rsidP="00B221FC">
            <w:pPr>
              <w:pStyle w:val="Tableheading"/>
              <w:rPr>
                <w:color w:val="FFFFFF" w:themeColor="background1"/>
                <w:sz w:val="18"/>
                <w:szCs w:val="18"/>
              </w:rPr>
            </w:pPr>
            <w:r w:rsidRPr="005D15DA">
              <w:rPr>
                <w:b/>
                <w:color w:val="FFFFFF" w:themeColor="background1"/>
                <w:sz w:val="18"/>
                <w:szCs w:val="18"/>
              </w:rPr>
              <w:t>EMPLOYEE BONUSES</w:t>
            </w:r>
          </w:p>
        </w:tc>
      </w:tr>
      <w:tr w:rsidR="00B221FC" w14:paraId="6EFC2C97"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04A4D302" w14:textId="7F45882A" w:rsidR="00B221FC" w:rsidRPr="005D15DA" w:rsidRDefault="00B221FC" w:rsidP="00B221FC">
            <w:pPr>
              <w:pStyle w:val="Table"/>
              <w:spacing w:before="100" w:after="100"/>
              <w:rPr>
                <w:rFonts w:asciiTheme="minorHAnsi" w:hAnsiTheme="minorHAnsi" w:cstheme="minorHAnsi"/>
                <w:b w:val="0"/>
                <w:bCs w:val="0"/>
                <w:color w:val="090D46" w:themeColor="text1"/>
                <w:sz w:val="18"/>
                <w:szCs w:val="18"/>
              </w:rPr>
            </w:pPr>
            <w:r w:rsidRPr="005D15DA">
              <w:rPr>
                <w:rFonts w:asciiTheme="minorHAnsi" w:hAnsiTheme="minorHAnsi" w:cstheme="minorHAnsi"/>
                <w:b w:val="0"/>
                <w:bCs w:val="0"/>
                <w:color w:val="090D46" w:themeColor="text1"/>
                <w:sz w:val="18"/>
                <w:szCs w:val="18"/>
              </w:rPr>
              <w:t>Ensure that staff bonuses are quantified and documented in a properly authorised resolution (e.g.</w:t>
            </w:r>
            <w:r w:rsidRPr="005D15DA">
              <w:rPr>
                <w:rFonts w:asciiTheme="minorHAnsi" w:hAnsiTheme="minorHAnsi" w:cstheme="minorHAnsi"/>
                <w:color w:val="090D46" w:themeColor="text1"/>
                <w:sz w:val="18"/>
                <w:szCs w:val="18"/>
              </w:rPr>
              <w:t>,</w:t>
            </w:r>
            <w:r w:rsidRPr="005D15DA">
              <w:rPr>
                <w:rFonts w:asciiTheme="minorHAnsi" w:hAnsiTheme="minorHAnsi" w:cstheme="minorHAnsi"/>
                <w:b w:val="0"/>
                <w:bCs w:val="0"/>
                <w:color w:val="090D46" w:themeColor="text1"/>
                <w:sz w:val="18"/>
                <w:szCs w:val="18"/>
              </w:rPr>
              <w:t xml:space="preserve"> Board minutes) prior to year-end to enable a deduction to be incurred for employee bonuses where such amounts are not paid or credited until the subsequent year </w:t>
            </w:r>
            <w:r w:rsidRPr="005D15DA">
              <w:rPr>
                <w:rFonts w:asciiTheme="minorHAnsi" w:hAnsiTheme="minorHAnsi" w:cstheme="minorHAnsi"/>
                <w:b w:val="0"/>
                <w:bCs w:val="0"/>
                <w:i/>
                <w:color w:val="090D46" w:themeColor="text1"/>
                <w:sz w:val="18"/>
                <w:szCs w:val="18"/>
              </w:rPr>
              <w:t>(</w:t>
            </w:r>
            <w:r w:rsidRPr="005D15DA">
              <w:rPr>
                <w:rFonts w:asciiTheme="minorHAnsi" w:hAnsiTheme="minorHAnsi" w:cstheme="minorHAnsi"/>
                <w:b w:val="0"/>
                <w:bCs w:val="0"/>
                <w:color w:val="090D46" w:themeColor="text1"/>
                <w:sz w:val="18"/>
                <w:szCs w:val="18"/>
              </w:rPr>
              <w:t>see</w:t>
            </w:r>
            <w:r w:rsidRPr="005D15DA">
              <w:rPr>
                <w:rFonts w:asciiTheme="minorHAnsi" w:hAnsiTheme="minorHAnsi" w:cstheme="minorHAnsi"/>
                <w:b w:val="0"/>
                <w:bCs w:val="0"/>
                <w:i/>
                <w:color w:val="090D46" w:themeColor="text1"/>
                <w:sz w:val="18"/>
                <w:szCs w:val="18"/>
              </w:rPr>
              <w:t xml:space="preserve"> </w:t>
            </w:r>
            <w:r w:rsidRPr="005D15DA">
              <w:rPr>
                <w:rFonts w:asciiTheme="minorHAnsi" w:hAnsiTheme="minorHAnsi" w:cstheme="minorHAnsi"/>
                <w:b w:val="0"/>
                <w:bCs w:val="0"/>
                <w:color w:val="090D46" w:themeColor="text1"/>
                <w:sz w:val="18"/>
                <w:szCs w:val="18"/>
              </w:rPr>
              <w:t>Income Tax Ruling IT 2534</w:t>
            </w:r>
            <w:r w:rsidRPr="005D15DA">
              <w:rPr>
                <w:rFonts w:asciiTheme="minorHAnsi" w:hAnsiTheme="minorHAnsi" w:cstheme="minorHAnsi"/>
                <w:b w:val="0"/>
                <w:bCs w:val="0"/>
                <w:i/>
                <w:color w:val="090D46" w:themeColor="text1"/>
                <w:sz w:val="18"/>
                <w:szCs w:val="18"/>
              </w:rPr>
              <w:t xml:space="preserve"> </w:t>
            </w:r>
            <w:r w:rsidRPr="005D15DA">
              <w:rPr>
                <w:rFonts w:asciiTheme="minorHAnsi" w:hAnsiTheme="minorHAnsi" w:cstheme="minorHAnsi"/>
                <w:b w:val="0"/>
                <w:bCs w:val="0"/>
                <w:color w:val="090D46" w:themeColor="text1"/>
                <w:sz w:val="18"/>
                <w:szCs w:val="18"/>
              </w:rPr>
              <w:t>and</w:t>
            </w:r>
            <w:r w:rsidRPr="005D15DA">
              <w:rPr>
                <w:rFonts w:asciiTheme="minorHAnsi" w:hAnsiTheme="minorHAnsi" w:cstheme="minorHAnsi"/>
                <w:b w:val="0"/>
                <w:bCs w:val="0"/>
                <w:i/>
                <w:color w:val="090D46" w:themeColor="text1"/>
                <w:sz w:val="18"/>
                <w:szCs w:val="18"/>
              </w:rPr>
              <w:t xml:space="preserve"> Merrill Lynch International (Australia) Ltd v FCT (2001) 47 ATR 611).</w:t>
            </w:r>
          </w:p>
        </w:tc>
        <w:tc>
          <w:tcPr>
            <w:tcW w:w="335" w:type="pct"/>
          </w:tcPr>
          <w:p w14:paraId="423FABFF"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1FB63F4A"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2DA6B1B5"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221FC" w14:paraId="63FCAA3B" w14:textId="77777777" w:rsidTr="005D15D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B4793C4" w14:textId="77777777" w:rsidR="00B221FC" w:rsidRPr="005D15DA" w:rsidRDefault="00B221FC" w:rsidP="00B221FC">
            <w:pPr>
              <w:pStyle w:val="Tableheading"/>
              <w:rPr>
                <w:color w:val="FFFFFF" w:themeColor="background1"/>
                <w:sz w:val="18"/>
                <w:szCs w:val="18"/>
              </w:rPr>
            </w:pPr>
            <w:r w:rsidRPr="005D15DA">
              <w:rPr>
                <w:b/>
                <w:color w:val="FFFFFF" w:themeColor="background1"/>
                <w:sz w:val="18"/>
                <w:szCs w:val="18"/>
              </w:rPr>
              <w:t>FOREIGN EXCHANGE LOSSES</w:t>
            </w:r>
          </w:p>
        </w:tc>
      </w:tr>
      <w:tr w:rsidR="00B221FC" w14:paraId="6AD8285A" w14:textId="77777777" w:rsidTr="00077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6F1B8614" w14:textId="77777777" w:rsidR="00B221FC" w:rsidRPr="005D15DA" w:rsidRDefault="00B221FC" w:rsidP="00B221FC">
            <w:pPr>
              <w:pStyle w:val="Table"/>
              <w:spacing w:before="100" w:after="100"/>
              <w:rPr>
                <w:rFonts w:asciiTheme="minorHAnsi" w:hAnsiTheme="minorHAnsi" w:cstheme="minorHAnsi"/>
                <w:b w:val="0"/>
                <w:bCs w:val="0"/>
                <w:color w:val="090D46" w:themeColor="text1"/>
                <w:sz w:val="18"/>
                <w:szCs w:val="18"/>
              </w:rPr>
            </w:pPr>
            <w:r w:rsidRPr="005D15DA">
              <w:rPr>
                <w:rFonts w:asciiTheme="minorHAnsi" w:hAnsiTheme="minorHAnsi" w:cstheme="minorHAnsi"/>
                <w:b w:val="0"/>
                <w:bCs w:val="0"/>
                <w:color w:val="090D46" w:themeColor="text1"/>
                <w:sz w:val="18"/>
                <w:szCs w:val="18"/>
              </w:rPr>
              <w:t>Consider the realisation of foreign exchange losses before year end so that a deduction can be claimed.</w:t>
            </w:r>
          </w:p>
        </w:tc>
        <w:tc>
          <w:tcPr>
            <w:tcW w:w="335" w:type="pct"/>
          </w:tcPr>
          <w:p w14:paraId="0DF395A5"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tcPr>
          <w:p w14:paraId="54C08F77"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tcPr>
          <w:p w14:paraId="7A4CAEBB"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221FC" w14:paraId="0E1D11A7" w14:textId="77777777" w:rsidTr="000A603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0DBDF95" w14:textId="77777777" w:rsidR="00B221FC" w:rsidRPr="000A603B" w:rsidRDefault="00B221FC" w:rsidP="00B221FC">
            <w:pPr>
              <w:pStyle w:val="Tableheading"/>
              <w:rPr>
                <w:color w:val="FFFFFF" w:themeColor="background1"/>
                <w:sz w:val="18"/>
                <w:szCs w:val="18"/>
              </w:rPr>
            </w:pPr>
            <w:r w:rsidRPr="000A603B">
              <w:rPr>
                <w:b/>
                <w:color w:val="FFFFFF" w:themeColor="background1"/>
                <w:sz w:val="18"/>
                <w:szCs w:val="18"/>
              </w:rPr>
              <w:t>TRADING STOCK WRITE-OFFS</w:t>
            </w:r>
          </w:p>
        </w:tc>
      </w:tr>
      <w:tr w:rsidR="00D22C4C" w14:paraId="1FBA7E19"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0C3AE1D4" w14:textId="77777777" w:rsidR="00B221FC" w:rsidRPr="000A603B" w:rsidRDefault="00B221FC" w:rsidP="00B221FC">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Determine whether items or lines of trading stock should be scrapped or have become obsolete and whether such items can be valued at their scrapped value (see Taxation Ruling TR 93/23).</w:t>
            </w:r>
          </w:p>
          <w:p w14:paraId="49F63CCC" w14:textId="3366E3A9" w:rsidR="00B221FC" w:rsidRDefault="00B221FC" w:rsidP="00B221FC">
            <w:pPr>
              <w:pStyle w:val="Table"/>
              <w:spacing w:before="100" w:after="100"/>
              <w:rPr>
                <w:sz w:val="18"/>
                <w:szCs w:val="18"/>
              </w:rPr>
            </w:pPr>
            <w:r w:rsidRPr="000A603B">
              <w:rPr>
                <w:rFonts w:asciiTheme="minorHAnsi" w:hAnsiTheme="minorHAnsi" w:cstheme="minorHAnsi"/>
                <w:b w:val="0"/>
                <w:bCs w:val="0"/>
                <w:color w:val="090D46" w:themeColor="text1"/>
                <w:sz w:val="18"/>
                <w:szCs w:val="18"/>
              </w:rPr>
              <w:t xml:space="preserve">An entity must use a reasonable scrap value and elect for this provision to apply under section 70-50 of the </w:t>
            </w:r>
            <w:r w:rsidRPr="006B320A">
              <w:rPr>
                <w:rFonts w:asciiTheme="minorHAnsi" w:hAnsiTheme="minorHAnsi" w:cstheme="minorHAnsi"/>
                <w:iCs/>
                <w:color w:val="090D46" w:themeColor="text1"/>
                <w:sz w:val="18"/>
                <w:szCs w:val="18"/>
              </w:rPr>
              <w:t>ITAA 1997.</w:t>
            </w:r>
          </w:p>
        </w:tc>
        <w:tc>
          <w:tcPr>
            <w:tcW w:w="335" w:type="pct"/>
            <w:shd w:val="clear" w:color="auto" w:fill="auto"/>
          </w:tcPr>
          <w:p w14:paraId="068737D7"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0C75E71C"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222FD2E6"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221FC" w14:paraId="480E4B09" w14:textId="77777777" w:rsidTr="000A603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C5C329C" w14:textId="77777777" w:rsidR="00B221FC" w:rsidRPr="000A603B" w:rsidRDefault="00B221FC" w:rsidP="00B221FC">
            <w:pPr>
              <w:pStyle w:val="Tableheading"/>
              <w:rPr>
                <w:color w:val="FFFFFF" w:themeColor="background1"/>
                <w:sz w:val="18"/>
                <w:szCs w:val="18"/>
              </w:rPr>
            </w:pPr>
            <w:r w:rsidRPr="000A603B">
              <w:rPr>
                <w:b/>
                <w:color w:val="FFFFFF" w:themeColor="background1"/>
                <w:sz w:val="18"/>
                <w:szCs w:val="18"/>
              </w:rPr>
              <w:t>BLACKHOLE EXPENDITURE</w:t>
            </w:r>
          </w:p>
        </w:tc>
      </w:tr>
      <w:tr w:rsidR="00D22C4C" w14:paraId="27C89F01"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6761733B" w14:textId="77777777" w:rsidR="00B221FC" w:rsidRPr="000A603B" w:rsidRDefault="00B221FC" w:rsidP="00B221FC">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 xml:space="preserve">Determine whether business capital expenditure incurred that is not deductible, </w:t>
            </w:r>
            <w:proofErr w:type="gramStart"/>
            <w:r w:rsidRPr="000A603B">
              <w:rPr>
                <w:rFonts w:asciiTheme="minorHAnsi" w:hAnsiTheme="minorHAnsi" w:cstheme="minorHAnsi"/>
                <w:b w:val="0"/>
                <w:bCs w:val="0"/>
                <w:color w:val="090D46" w:themeColor="text1"/>
                <w:sz w:val="18"/>
                <w:szCs w:val="18"/>
              </w:rPr>
              <w:t>depreciable</w:t>
            </w:r>
            <w:proofErr w:type="gramEnd"/>
            <w:r w:rsidRPr="000A603B">
              <w:rPr>
                <w:rFonts w:asciiTheme="minorHAnsi" w:hAnsiTheme="minorHAnsi" w:cstheme="minorHAnsi"/>
                <w:b w:val="0"/>
                <w:bCs w:val="0"/>
                <w:color w:val="090D46" w:themeColor="text1"/>
                <w:sz w:val="18"/>
                <w:szCs w:val="18"/>
              </w:rPr>
              <w:t xml:space="preserve"> or included in the cost base of an asset may be deductible as ‘blackhole expenditure’ under section 40-880 of the </w:t>
            </w:r>
            <w:r w:rsidRPr="006B320A">
              <w:rPr>
                <w:rFonts w:asciiTheme="minorHAnsi" w:hAnsiTheme="minorHAnsi" w:cstheme="minorHAnsi"/>
                <w:iCs/>
                <w:color w:val="090D46" w:themeColor="text1"/>
                <w:sz w:val="18"/>
                <w:szCs w:val="18"/>
              </w:rPr>
              <w:t>ITAA 1997.</w:t>
            </w:r>
          </w:p>
          <w:p w14:paraId="208E8BE8" w14:textId="77777777" w:rsidR="00B221FC" w:rsidRPr="000A603B" w:rsidRDefault="00B221FC" w:rsidP="00B221FC">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Eligible blackhole expenditure is deductible over five years in equal proportions (and there is no pro-rating of the deduction in the year the expenditure is incurred by the taxpayer).</w:t>
            </w:r>
          </w:p>
          <w:p w14:paraId="179A0539" w14:textId="77777777" w:rsidR="00B221FC" w:rsidRPr="000A603B" w:rsidRDefault="00B221FC" w:rsidP="00B221FC">
            <w:pPr>
              <w:pStyle w:val="Table"/>
              <w:spacing w:before="100" w:after="100"/>
              <w:rPr>
                <w:rFonts w:asciiTheme="minorHAnsi" w:hAnsiTheme="minorHAnsi" w:cstheme="minorHAnsi"/>
                <w:b w:val="0"/>
                <w:bCs w:val="0"/>
                <w:color w:val="090D46" w:themeColor="text1"/>
                <w:sz w:val="18"/>
                <w:szCs w:val="18"/>
              </w:rPr>
            </w:pPr>
            <w:r w:rsidRPr="000A603B">
              <w:rPr>
                <w:rFonts w:asciiTheme="minorHAnsi" w:hAnsiTheme="minorHAnsi" w:cstheme="minorHAnsi"/>
                <w:b w:val="0"/>
                <w:bCs w:val="0"/>
                <w:color w:val="090D46" w:themeColor="text1"/>
                <w:sz w:val="18"/>
                <w:szCs w:val="18"/>
              </w:rPr>
              <w:t xml:space="preserve">It may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Taxation Ruling TR 2011/6). </w:t>
            </w:r>
          </w:p>
          <w:p w14:paraId="10B85A18" w14:textId="196DC5D9" w:rsidR="00B221FC" w:rsidRDefault="00B221FC" w:rsidP="00E93292">
            <w:pPr>
              <w:pStyle w:val="Table"/>
              <w:spacing w:before="100" w:after="100"/>
              <w:rPr>
                <w:sz w:val="18"/>
                <w:szCs w:val="18"/>
              </w:rPr>
            </w:pPr>
            <w:r w:rsidRPr="000A603B">
              <w:rPr>
                <w:rFonts w:asciiTheme="minorHAnsi" w:hAnsiTheme="minorHAnsi" w:cstheme="minorHAnsi"/>
                <w:b w:val="0"/>
                <w:bCs w:val="0"/>
                <w:color w:val="090D46" w:themeColor="text1"/>
                <w:sz w:val="18"/>
                <w:szCs w:val="18"/>
              </w:rPr>
              <w:lastRenderedPageBreak/>
              <w:t>Section 40-880(5) provides that no deduction is available under the blackhole deductibility rules where, amongst other things, the expenditure forms part of the cost of land or a depreciating asset; it would be taken into account in working out an assessable profit, deductible loss, capital gain or capital loss; it relates to a lease or other legal or equitable right; or if it is deductible under another provision of the Income Tax Assessment Acts.</w:t>
            </w:r>
          </w:p>
        </w:tc>
        <w:tc>
          <w:tcPr>
            <w:tcW w:w="335" w:type="pct"/>
            <w:shd w:val="clear" w:color="auto" w:fill="auto"/>
          </w:tcPr>
          <w:p w14:paraId="0B651487"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3FD12F4C"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57104F8C"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E1693" w14:paraId="3DB03510" w14:textId="77777777" w:rsidTr="007902F0">
        <w:tc>
          <w:tcPr>
            <w:cnfStyle w:val="001000000000" w:firstRow="0" w:lastRow="0" w:firstColumn="1" w:lastColumn="0" w:oddVBand="0" w:evenVBand="0" w:oddHBand="0" w:evenHBand="0" w:firstRowFirstColumn="0" w:firstRowLastColumn="0" w:lastRowFirstColumn="0" w:lastRowLastColumn="0"/>
            <w:tcW w:w="4120" w:type="pct"/>
            <w:shd w:val="clear" w:color="auto" w:fill="0A5CC7" w:themeFill="accent3"/>
          </w:tcPr>
          <w:p w14:paraId="49BE3A60" w14:textId="6AE35D89" w:rsidR="00EE1693" w:rsidRPr="000A603B" w:rsidRDefault="00187C60" w:rsidP="00B221FC">
            <w:pPr>
              <w:pStyle w:val="Table"/>
              <w:spacing w:before="100" w:after="100"/>
              <w:rPr>
                <w:rFonts w:asciiTheme="minorHAnsi" w:hAnsiTheme="minorHAnsi" w:cstheme="minorHAnsi"/>
                <w:color w:val="090D46" w:themeColor="text1"/>
                <w:sz w:val="18"/>
                <w:szCs w:val="18"/>
              </w:rPr>
            </w:pPr>
            <w:r w:rsidRPr="000A603B">
              <w:rPr>
                <w:color w:val="FFFFFF" w:themeColor="background1"/>
                <w:sz w:val="18"/>
                <w:szCs w:val="18"/>
              </w:rPr>
              <w:t>BLACKHOLE EXPENDITURE</w:t>
            </w:r>
            <w:r>
              <w:rPr>
                <w:color w:val="FFFFFF" w:themeColor="background1"/>
                <w:sz w:val="18"/>
                <w:szCs w:val="18"/>
              </w:rPr>
              <w:t xml:space="preserve"> (CONTINUED)</w:t>
            </w:r>
          </w:p>
        </w:tc>
        <w:tc>
          <w:tcPr>
            <w:tcW w:w="335" w:type="pct"/>
            <w:shd w:val="clear" w:color="auto" w:fill="0A5CC7" w:themeFill="accent3"/>
          </w:tcPr>
          <w:p w14:paraId="21D24BB8" w14:textId="77777777" w:rsidR="00EE1693" w:rsidRDefault="00EE1693"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shd w:val="clear" w:color="auto" w:fill="0A5CC7" w:themeFill="accent3"/>
          </w:tcPr>
          <w:p w14:paraId="1BAF9954" w14:textId="77777777" w:rsidR="00EE1693" w:rsidRDefault="00EE1693"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shd w:val="clear" w:color="auto" w:fill="0A5CC7" w:themeFill="accent3"/>
          </w:tcPr>
          <w:p w14:paraId="3A99E9EE" w14:textId="77777777" w:rsidR="00EE1693" w:rsidRDefault="00EE1693"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87C60" w14:paraId="12755EFB" w14:textId="77777777" w:rsidTr="00ED6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tcPr>
          <w:p w14:paraId="779B2471" w14:textId="45AFD6ED" w:rsidR="00187C60" w:rsidRPr="000A603B" w:rsidRDefault="00187C60" w:rsidP="00B221FC">
            <w:pPr>
              <w:pStyle w:val="Table"/>
              <w:spacing w:before="100" w:after="100"/>
              <w:rPr>
                <w:rFonts w:asciiTheme="minorHAnsi" w:hAnsiTheme="minorHAnsi" w:cstheme="minorHAnsi"/>
                <w:color w:val="090D46" w:themeColor="text1"/>
                <w:sz w:val="18"/>
                <w:szCs w:val="18"/>
              </w:rPr>
            </w:pPr>
            <w:r w:rsidRPr="000A603B">
              <w:rPr>
                <w:rFonts w:asciiTheme="minorHAnsi" w:hAnsiTheme="minorHAnsi" w:cstheme="minorHAnsi"/>
                <w:b w:val="0"/>
                <w:bCs w:val="0"/>
                <w:color w:val="090D46" w:themeColor="text1"/>
                <w:sz w:val="18"/>
                <w:szCs w:val="18"/>
              </w:rPr>
              <w:t>There is a 100% immediate write off available to an SBE for capital expenditure incurred in relation to a proposed business structure or operation where the costs are incurred on or after 1 July 2015. Eligible start-up costs which can be written off include, amongst others, legal and accounting advice on how the business can best be structured and implemented. For expenditure incurred on or after 1 July 2020, the 100% immediate write off is available for entities with aggregated turnover of less than $50 million</w:t>
            </w:r>
            <w:r>
              <w:rPr>
                <w:rFonts w:asciiTheme="minorHAnsi" w:hAnsiTheme="minorHAnsi" w:cstheme="minorHAnsi"/>
                <w:b w:val="0"/>
                <w:bCs w:val="0"/>
                <w:color w:val="090D46" w:themeColor="text1"/>
                <w:sz w:val="18"/>
                <w:szCs w:val="18"/>
              </w:rPr>
              <w:t>.</w:t>
            </w:r>
          </w:p>
        </w:tc>
        <w:tc>
          <w:tcPr>
            <w:tcW w:w="335" w:type="pct"/>
            <w:shd w:val="clear" w:color="auto" w:fill="auto"/>
          </w:tcPr>
          <w:p w14:paraId="15D203B5" w14:textId="77777777" w:rsidR="00187C60" w:rsidRDefault="00187C60"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34E4E596" w14:textId="77777777" w:rsidR="00187C60" w:rsidRDefault="00187C60"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4C487320" w14:textId="77777777" w:rsidR="00187C60" w:rsidRDefault="00187C60"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B221FC" w14:paraId="538DE36A" w14:textId="77777777" w:rsidTr="000A603B">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688A77A" w14:textId="77777777" w:rsidR="00B221FC" w:rsidRPr="000A603B" w:rsidRDefault="00B221FC" w:rsidP="00B221FC">
            <w:pPr>
              <w:pStyle w:val="Tableheading"/>
              <w:rPr>
                <w:color w:val="FFFFFF" w:themeColor="background1"/>
                <w:sz w:val="18"/>
                <w:szCs w:val="18"/>
              </w:rPr>
            </w:pPr>
            <w:r w:rsidRPr="000A603B">
              <w:rPr>
                <w:b/>
                <w:color w:val="FFFFFF" w:themeColor="background1"/>
                <w:sz w:val="18"/>
                <w:szCs w:val="18"/>
              </w:rPr>
              <w:t>BAD DEBTS</w:t>
            </w:r>
          </w:p>
        </w:tc>
      </w:tr>
      <w:tr w:rsidR="00D22C4C" w14:paraId="33D17F0C"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23DF6F28" w14:textId="77777777" w:rsidR="004218E2" w:rsidRDefault="00B221FC" w:rsidP="004218E2">
            <w:pPr>
              <w:pStyle w:val="Table"/>
              <w:spacing w:before="100" w:after="100"/>
              <w:rPr>
                <w:rFonts w:asciiTheme="minorHAnsi" w:hAnsiTheme="minorHAnsi" w:cstheme="minorHAnsi"/>
                <w:color w:val="090D46" w:themeColor="text1"/>
                <w:sz w:val="18"/>
                <w:szCs w:val="18"/>
              </w:rPr>
            </w:pPr>
            <w:r w:rsidRPr="00694350">
              <w:rPr>
                <w:rFonts w:asciiTheme="minorHAnsi" w:hAnsiTheme="minorHAnsi" w:cstheme="minorHAnsi"/>
                <w:b w:val="0"/>
                <w:bCs w:val="0"/>
                <w:color w:val="090D46" w:themeColor="text1"/>
                <w:sz w:val="18"/>
                <w:szCs w:val="18"/>
              </w:rPr>
              <w:t xml:space="preserve">Ensure that all necessary steps required to write off a debt are completed prior to </w:t>
            </w:r>
            <w:proofErr w:type="spellStart"/>
            <w:r w:rsidRPr="00694350">
              <w:rPr>
                <w:rFonts w:asciiTheme="minorHAnsi" w:hAnsiTheme="minorHAnsi" w:cstheme="minorHAnsi"/>
                <w:b w:val="0"/>
                <w:bCs w:val="0"/>
                <w:color w:val="090D46" w:themeColor="text1"/>
                <w:sz w:val="18"/>
                <w:szCs w:val="18"/>
              </w:rPr>
              <w:t>year end</w:t>
            </w:r>
            <w:proofErr w:type="spellEnd"/>
            <w:r w:rsidRPr="00694350">
              <w:rPr>
                <w:rFonts w:asciiTheme="minorHAnsi" w:hAnsiTheme="minorHAnsi" w:cstheme="minorHAnsi"/>
                <w:b w:val="0"/>
                <w:bCs w:val="0"/>
                <w:color w:val="090D46" w:themeColor="text1"/>
                <w:sz w:val="18"/>
                <w:szCs w:val="18"/>
              </w:rPr>
              <w:t>, and that the debt was previously returned as assessable income or was made in the ordinary course of a money lending business.</w:t>
            </w:r>
            <w:r w:rsidR="004218E2" w:rsidRPr="00694350">
              <w:rPr>
                <w:rFonts w:asciiTheme="minorHAnsi" w:hAnsiTheme="minorHAnsi" w:cstheme="minorHAnsi"/>
                <w:b w:val="0"/>
                <w:bCs w:val="0"/>
                <w:color w:val="090D46" w:themeColor="text1"/>
                <w:sz w:val="18"/>
                <w:szCs w:val="18"/>
              </w:rPr>
              <w:t xml:space="preserve"> </w:t>
            </w:r>
          </w:p>
          <w:p w14:paraId="055A2929" w14:textId="2A44254C" w:rsidR="00B221FC" w:rsidRPr="00694350" w:rsidRDefault="004218E2" w:rsidP="00E93292">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Determine whether any debts have not been compromised or released before being written off, and whether documentation has been retained evidencing that the debt was non-recoverable.</w:t>
            </w:r>
          </w:p>
        </w:tc>
        <w:tc>
          <w:tcPr>
            <w:tcW w:w="335" w:type="pct"/>
            <w:shd w:val="clear" w:color="auto" w:fill="auto"/>
          </w:tcPr>
          <w:p w14:paraId="6EE9C097"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188E51A0"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26DE28D7"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C5B27" w14:paraId="2D21206E"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4100396E" w14:textId="77777777" w:rsidR="00B221FC" w:rsidRPr="00694350" w:rsidRDefault="00B221FC" w:rsidP="00B221FC">
            <w:pPr>
              <w:pStyle w:val="Table"/>
              <w:adjustRightInd w:val="0"/>
              <w:snapToGrid w:val="0"/>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Where there is a change in the ownership or control of the company, check that the company passes the same business test in seeking to deduct bad debts (see Subdivision 165-C of the </w:t>
            </w:r>
            <w:r w:rsidRPr="006B320A">
              <w:rPr>
                <w:rFonts w:asciiTheme="minorHAnsi" w:hAnsiTheme="minorHAnsi" w:cstheme="minorHAnsi"/>
                <w:iCs/>
                <w:color w:val="090D46" w:themeColor="text1"/>
                <w:sz w:val="18"/>
                <w:szCs w:val="18"/>
              </w:rPr>
              <w:t>ITAA 1997</w:t>
            </w:r>
            <w:r w:rsidRPr="00694350">
              <w:rPr>
                <w:rFonts w:asciiTheme="minorHAnsi" w:hAnsiTheme="minorHAnsi" w:cstheme="minorHAnsi"/>
                <w:b w:val="0"/>
                <w:bCs w:val="0"/>
                <w:color w:val="090D46" w:themeColor="text1"/>
                <w:sz w:val="18"/>
                <w:szCs w:val="18"/>
              </w:rPr>
              <w:t>). An alternate business continuity test to the same business test known as the ’similar business test’ applies to bad debts incurred in income years commencing on or after 1 July 2015.</w:t>
            </w:r>
          </w:p>
          <w:p w14:paraId="40A7FCDD" w14:textId="77777777" w:rsidR="00B221FC" w:rsidRPr="00694350" w:rsidRDefault="00B221FC" w:rsidP="00B221FC">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Where a fixed or non-fixed trust seeks to deduct a bad debt, the trust must satisfy the applicable trust loss tests. Accordingly, consider the application of the tests under Schedule 2F of the </w:t>
            </w:r>
            <w:r w:rsidRPr="00694350">
              <w:rPr>
                <w:rFonts w:asciiTheme="minorHAnsi" w:hAnsiTheme="minorHAnsi" w:cstheme="minorHAnsi"/>
                <w:b w:val="0"/>
                <w:bCs w:val="0"/>
                <w:i/>
                <w:color w:val="090D46" w:themeColor="text1"/>
                <w:sz w:val="18"/>
                <w:szCs w:val="18"/>
              </w:rPr>
              <w:t>ITAA 1936</w:t>
            </w:r>
            <w:r w:rsidRPr="00694350">
              <w:rPr>
                <w:rFonts w:asciiTheme="minorHAnsi" w:hAnsiTheme="minorHAnsi" w:cstheme="minorHAnsi"/>
                <w:b w:val="0"/>
                <w:bCs w:val="0"/>
                <w:color w:val="090D46" w:themeColor="text1"/>
                <w:sz w:val="18"/>
                <w:szCs w:val="18"/>
              </w:rPr>
              <w:t xml:space="preserve"> that apply to deductions claimed for bad debts as well as tax losses.        </w:t>
            </w:r>
          </w:p>
        </w:tc>
        <w:tc>
          <w:tcPr>
            <w:tcW w:w="335" w:type="pct"/>
          </w:tcPr>
          <w:p w14:paraId="079C8434" w14:textId="77777777" w:rsidR="00B221FC" w:rsidRDefault="00B221FC"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A88712C" w14:textId="77777777" w:rsidR="00B221FC" w:rsidRDefault="00B221FC"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F6A53E3" w14:textId="77777777" w:rsidR="00B221FC" w:rsidRDefault="00B221FC"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221FC" w14:paraId="1072E969" w14:textId="77777777" w:rsidTr="000A6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AE5E444" w14:textId="77777777" w:rsidR="00B221FC" w:rsidRPr="000A603B" w:rsidRDefault="00B221FC" w:rsidP="00B221FC">
            <w:pPr>
              <w:pStyle w:val="Tableheading"/>
              <w:rPr>
                <w:color w:val="FFFFFF" w:themeColor="background1"/>
                <w:sz w:val="18"/>
                <w:szCs w:val="18"/>
              </w:rPr>
            </w:pPr>
            <w:r w:rsidRPr="000A603B">
              <w:rPr>
                <w:b/>
                <w:color w:val="FFFFFF" w:themeColor="background1"/>
                <w:sz w:val="18"/>
                <w:szCs w:val="18"/>
              </w:rPr>
              <w:t>GIFTS, DONATIONS OR CONTRIBUTIONS</w:t>
            </w:r>
          </w:p>
        </w:tc>
      </w:tr>
      <w:tr w:rsidR="003C5B27" w14:paraId="31FF4188" w14:textId="77777777" w:rsidTr="00077302">
        <w:tc>
          <w:tcPr>
            <w:cnfStyle w:val="001000000000" w:firstRow="0" w:lastRow="0" w:firstColumn="1" w:lastColumn="0" w:oddVBand="0" w:evenVBand="0" w:oddHBand="0" w:evenHBand="0" w:firstRowFirstColumn="0" w:firstRowLastColumn="0" w:lastRowFirstColumn="0" w:lastRowLastColumn="0"/>
            <w:tcW w:w="4120" w:type="pct"/>
            <w:hideMark/>
          </w:tcPr>
          <w:p w14:paraId="2371196B" w14:textId="6A771FA1" w:rsidR="00B221FC" w:rsidRPr="00694350" w:rsidRDefault="00B221FC" w:rsidP="00B221FC">
            <w:pPr>
              <w:pStyle w:val="Table"/>
              <w:adjustRightInd w:val="0"/>
              <w:snapToGrid w:val="0"/>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Check whether deductions have been claimed for gifts or contributions made to endorsed ‘Deductible Gift Recipients’</w:t>
            </w:r>
            <w:r>
              <w:rPr>
                <w:rFonts w:asciiTheme="minorHAnsi" w:hAnsiTheme="minorHAnsi" w:cstheme="minorHAnsi"/>
                <w:b w:val="0"/>
                <w:bCs w:val="0"/>
                <w:color w:val="090D46" w:themeColor="text1"/>
                <w:sz w:val="18"/>
                <w:szCs w:val="18"/>
              </w:rPr>
              <w:t xml:space="preserve"> under Division 30 of the </w:t>
            </w:r>
            <w:r w:rsidRPr="006B320A">
              <w:rPr>
                <w:rFonts w:asciiTheme="minorHAnsi" w:hAnsiTheme="minorHAnsi" w:cstheme="minorHAnsi"/>
                <w:color w:val="090D46" w:themeColor="text1"/>
                <w:sz w:val="18"/>
                <w:szCs w:val="18"/>
              </w:rPr>
              <w:t>ITAA 1997</w:t>
            </w:r>
            <w:r w:rsidRPr="00F44353">
              <w:rPr>
                <w:rFonts w:asciiTheme="minorHAnsi" w:hAnsiTheme="minorHAnsi" w:cstheme="minorHAnsi"/>
                <w:b w:val="0"/>
                <w:bCs w:val="0"/>
                <w:color w:val="090D46" w:themeColor="text1"/>
                <w:sz w:val="18"/>
                <w:szCs w:val="18"/>
              </w:rPr>
              <w:t>.</w:t>
            </w:r>
          </w:p>
          <w:p w14:paraId="44E8E128" w14:textId="73BFB82E" w:rsidR="00B221FC" w:rsidRPr="00694350" w:rsidRDefault="00B221FC" w:rsidP="00B221FC">
            <w:pPr>
              <w:pStyle w:val="Table"/>
              <w:adjustRightInd w:val="0"/>
              <w:snapToGrid w:val="0"/>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If so, confirm that the client did not receive any </w:t>
            </w:r>
            <w:r w:rsidR="00F44353">
              <w:rPr>
                <w:rFonts w:asciiTheme="minorHAnsi" w:hAnsiTheme="minorHAnsi" w:cstheme="minorHAnsi"/>
                <w:b w:val="0"/>
                <w:bCs w:val="0"/>
                <w:color w:val="090D46" w:themeColor="text1"/>
                <w:sz w:val="18"/>
                <w:szCs w:val="18"/>
              </w:rPr>
              <w:t>material</w:t>
            </w:r>
            <w:r w:rsidR="00F44353" w:rsidRPr="00694350">
              <w:rPr>
                <w:rFonts w:asciiTheme="minorHAnsi" w:hAnsiTheme="minorHAnsi" w:cstheme="minorHAnsi"/>
                <w:b w:val="0"/>
                <w:bCs w:val="0"/>
                <w:color w:val="090D46" w:themeColor="text1"/>
                <w:sz w:val="18"/>
                <w:szCs w:val="18"/>
              </w:rPr>
              <w:t xml:space="preserve"> </w:t>
            </w:r>
            <w:r w:rsidRPr="00694350">
              <w:rPr>
                <w:rFonts w:asciiTheme="minorHAnsi" w:hAnsiTheme="minorHAnsi" w:cstheme="minorHAnsi"/>
                <w:b w:val="0"/>
                <w:bCs w:val="0"/>
                <w:color w:val="090D46" w:themeColor="text1"/>
                <w:sz w:val="18"/>
                <w:szCs w:val="18"/>
              </w:rPr>
              <w:t xml:space="preserve">benefit from making the donation and has receipts to evidence the making of such donations. </w:t>
            </w:r>
            <w:r w:rsidR="00F44353">
              <w:rPr>
                <w:rFonts w:asciiTheme="minorHAnsi" w:hAnsiTheme="minorHAnsi" w:cstheme="minorHAnsi"/>
                <w:b w:val="0"/>
                <w:bCs w:val="0"/>
                <w:color w:val="090D46" w:themeColor="text1"/>
                <w:sz w:val="18"/>
                <w:szCs w:val="18"/>
              </w:rPr>
              <w:t xml:space="preserve">For the Commissioner’s views on what constitutes a ‘gift’ for the deductibility provisions, see Taxation Ruling </w:t>
            </w:r>
            <w:r w:rsidR="005C1068">
              <w:rPr>
                <w:rFonts w:asciiTheme="minorHAnsi" w:hAnsiTheme="minorHAnsi" w:cstheme="minorHAnsi"/>
                <w:b w:val="0"/>
                <w:bCs w:val="0"/>
                <w:color w:val="090D46" w:themeColor="text1"/>
                <w:sz w:val="18"/>
                <w:szCs w:val="18"/>
              </w:rPr>
              <w:t>TR 2005/13.</w:t>
            </w:r>
          </w:p>
          <w:p w14:paraId="259FE7AF" w14:textId="12230538" w:rsidR="00B221FC" w:rsidRPr="000A603B" w:rsidRDefault="00B221FC" w:rsidP="00B221FC">
            <w:pPr>
              <w:pStyle w:val="Table"/>
              <w:adjustRightInd w:val="0"/>
              <w:snapToGrid w:val="0"/>
              <w:spacing w:before="100" w:after="100"/>
              <w:rPr>
                <w:rFonts w:asciiTheme="minorHAnsi" w:hAnsiTheme="minorHAnsi" w:cstheme="minorHAnsi"/>
                <w:b w:val="0"/>
                <w:bCs w:val="0"/>
                <w:sz w:val="18"/>
                <w:szCs w:val="18"/>
              </w:rPr>
            </w:pPr>
            <w:r w:rsidRPr="00694350">
              <w:rPr>
                <w:rFonts w:asciiTheme="minorHAnsi" w:hAnsiTheme="minorHAnsi" w:cstheme="minorHAnsi"/>
                <w:b w:val="0"/>
                <w:bCs w:val="0"/>
                <w:color w:val="090D46" w:themeColor="text1"/>
                <w:sz w:val="18"/>
                <w:szCs w:val="18"/>
              </w:rPr>
              <w:t xml:space="preserve">Section 26-55 of the </w:t>
            </w:r>
            <w:r w:rsidRPr="006B320A">
              <w:rPr>
                <w:rFonts w:asciiTheme="minorHAnsi" w:hAnsiTheme="minorHAnsi" w:cstheme="minorHAnsi"/>
                <w:iCs/>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limits the amount of the donation deduction as the making of a deductible gift cannot create or increase a tax loss. Where the deductible donation amount exceeds this limit, you may elect to carry forward the donation deduction and claim this over a maximum of five years for certain gifts where the conditions of Subdivision 30DB of the </w:t>
            </w:r>
            <w:r w:rsidRPr="006B320A">
              <w:rPr>
                <w:rFonts w:asciiTheme="minorHAnsi" w:hAnsiTheme="minorHAnsi" w:cstheme="minorHAnsi"/>
                <w:iCs/>
                <w:color w:val="090D46" w:themeColor="text1"/>
                <w:sz w:val="18"/>
                <w:szCs w:val="18"/>
              </w:rPr>
              <w:t>ITAA 1997</w:t>
            </w:r>
            <w:r w:rsidRPr="00695D37">
              <w:rPr>
                <w:rFonts w:asciiTheme="minorHAnsi" w:hAnsiTheme="minorHAnsi" w:cstheme="minorHAnsi"/>
                <w:b w:val="0"/>
                <w:bCs w:val="0"/>
                <w:iCs/>
                <w:color w:val="090D46" w:themeColor="text1"/>
                <w:sz w:val="18"/>
                <w:szCs w:val="18"/>
              </w:rPr>
              <w:t xml:space="preserve"> are</w:t>
            </w:r>
            <w:r w:rsidRPr="00694350">
              <w:rPr>
                <w:rFonts w:asciiTheme="minorHAnsi" w:hAnsiTheme="minorHAnsi" w:cstheme="minorHAnsi"/>
                <w:b w:val="0"/>
                <w:bCs w:val="0"/>
                <w:color w:val="090D46" w:themeColor="text1"/>
                <w:sz w:val="18"/>
                <w:szCs w:val="18"/>
              </w:rPr>
              <w:t xml:space="preserve"> met. Deductions to political parties are limited to $1,500.</w:t>
            </w:r>
          </w:p>
        </w:tc>
        <w:tc>
          <w:tcPr>
            <w:tcW w:w="335" w:type="pct"/>
          </w:tcPr>
          <w:p w14:paraId="0287F520" w14:textId="77777777" w:rsidR="00B221FC" w:rsidRDefault="00B221FC"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4D38A38" w14:textId="77777777" w:rsidR="00B221FC" w:rsidRDefault="00B221FC"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326A45A9" w14:textId="77777777" w:rsidR="00B221FC" w:rsidRDefault="00B221FC" w:rsidP="00B221FC">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22C4C" w14:paraId="46E48E15" w14:textId="77777777" w:rsidTr="00790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tcPr>
          <w:p w14:paraId="41961FEF" w14:textId="77777777" w:rsidR="00B221FC" w:rsidRPr="006B320A" w:rsidRDefault="00B221FC" w:rsidP="00B221FC">
            <w:pPr>
              <w:rPr>
                <w:rFonts w:eastAsia="MS Gothic" w:cstheme="minorHAnsi"/>
                <w:szCs w:val="18"/>
              </w:rPr>
            </w:pPr>
            <w:r w:rsidRPr="00B054B8">
              <w:rPr>
                <w:rFonts w:eastAsia="MS Gothic" w:cstheme="minorHAnsi"/>
                <w:szCs w:val="18"/>
              </w:rPr>
              <w:t xml:space="preserve">Comments: </w:t>
            </w:r>
          </w:p>
          <w:p w14:paraId="1520CC30" w14:textId="77777777" w:rsidR="00E93292" w:rsidRPr="007902F0" w:rsidRDefault="00E93292" w:rsidP="00B221FC">
            <w:pPr>
              <w:pStyle w:val="Table"/>
              <w:adjustRightInd w:val="0"/>
              <w:snapToGrid w:val="0"/>
              <w:spacing w:before="100" w:after="100"/>
              <w:rPr>
                <w:rFonts w:asciiTheme="minorHAnsi" w:hAnsiTheme="minorHAnsi" w:cstheme="minorHAnsi"/>
                <w:b w:val="0"/>
                <w:bCs w:val="0"/>
                <w:color w:val="090D46" w:themeColor="text1"/>
                <w:sz w:val="18"/>
                <w:szCs w:val="18"/>
              </w:rPr>
            </w:pPr>
          </w:p>
          <w:p w14:paraId="077D4DBD" w14:textId="77777777" w:rsidR="00E93292" w:rsidRDefault="00E93292" w:rsidP="00B221FC">
            <w:pPr>
              <w:pStyle w:val="Table"/>
              <w:adjustRightInd w:val="0"/>
              <w:snapToGrid w:val="0"/>
              <w:spacing w:before="100" w:after="100"/>
              <w:rPr>
                <w:rFonts w:asciiTheme="minorHAnsi" w:hAnsiTheme="minorHAnsi" w:cstheme="minorHAnsi"/>
                <w:b w:val="0"/>
                <w:bCs w:val="0"/>
                <w:color w:val="090D46" w:themeColor="text1"/>
                <w:sz w:val="18"/>
                <w:szCs w:val="18"/>
              </w:rPr>
            </w:pPr>
          </w:p>
          <w:p w14:paraId="4359EA69" w14:textId="77777777" w:rsidR="00986A9F" w:rsidRDefault="00986A9F" w:rsidP="00B221FC">
            <w:pPr>
              <w:pStyle w:val="Table"/>
              <w:adjustRightInd w:val="0"/>
              <w:snapToGrid w:val="0"/>
              <w:spacing w:before="100" w:after="100"/>
              <w:rPr>
                <w:rFonts w:asciiTheme="minorHAnsi" w:hAnsiTheme="minorHAnsi" w:cstheme="minorHAnsi"/>
                <w:b w:val="0"/>
                <w:bCs w:val="0"/>
                <w:color w:val="090D46" w:themeColor="text1"/>
                <w:sz w:val="18"/>
                <w:szCs w:val="18"/>
              </w:rPr>
            </w:pPr>
          </w:p>
          <w:p w14:paraId="29350379" w14:textId="0B487341" w:rsidR="00986A9F" w:rsidRPr="00694350" w:rsidRDefault="00986A9F" w:rsidP="00B221FC">
            <w:pPr>
              <w:pStyle w:val="Table"/>
              <w:adjustRightInd w:val="0"/>
              <w:snapToGrid w:val="0"/>
              <w:spacing w:before="100" w:after="100"/>
              <w:rPr>
                <w:rFonts w:asciiTheme="minorHAnsi" w:hAnsiTheme="minorHAnsi" w:cstheme="minorHAnsi"/>
                <w:color w:val="090D46" w:themeColor="text1"/>
                <w:sz w:val="18"/>
                <w:szCs w:val="18"/>
              </w:rPr>
            </w:pPr>
          </w:p>
        </w:tc>
        <w:tc>
          <w:tcPr>
            <w:tcW w:w="335" w:type="pct"/>
            <w:shd w:val="clear" w:color="auto" w:fill="auto"/>
          </w:tcPr>
          <w:p w14:paraId="71D308AE"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9" w:type="pct"/>
            <w:shd w:val="clear" w:color="auto" w:fill="auto"/>
          </w:tcPr>
          <w:p w14:paraId="4800DF3D"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6" w:type="pct"/>
            <w:shd w:val="clear" w:color="auto" w:fill="auto"/>
          </w:tcPr>
          <w:p w14:paraId="648113E1" w14:textId="77777777" w:rsidR="00B221FC" w:rsidRDefault="00B221FC" w:rsidP="00B221FC">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206270D9" w14:textId="33DF2E9F" w:rsidR="00D74856" w:rsidRDefault="00D74856"/>
    <w:tbl>
      <w:tblPr>
        <w:tblStyle w:val="RACVTable"/>
        <w:tblW w:w="5200" w:type="pct"/>
        <w:tblLook w:val="00A0" w:firstRow="1" w:lastRow="0" w:firstColumn="1" w:lastColumn="0" w:noHBand="0" w:noVBand="0"/>
      </w:tblPr>
      <w:tblGrid>
        <w:gridCol w:w="8551"/>
        <w:gridCol w:w="695"/>
        <w:gridCol w:w="558"/>
        <w:gridCol w:w="573"/>
      </w:tblGrid>
      <w:tr w:rsidR="00202720" w:rsidRPr="00694350" w14:paraId="38BC7E78" w14:textId="77777777" w:rsidTr="00D74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shd w:val="clear" w:color="auto" w:fill="auto"/>
            <w:hideMark/>
          </w:tcPr>
          <w:p w14:paraId="3ADA11B7" w14:textId="77777777" w:rsidR="00E72752" w:rsidRPr="00D7444D" w:rsidRDefault="00E72752" w:rsidP="00694350">
            <w:pPr>
              <w:pStyle w:val="Table"/>
              <w:spacing w:before="100" w:after="100"/>
              <w:rPr>
                <w:bCs w:val="0"/>
                <w:sz w:val="20"/>
                <w:szCs w:val="20"/>
              </w:rPr>
            </w:pPr>
            <w:r w:rsidRPr="00082193">
              <w:rPr>
                <w:bCs w:val="0"/>
                <w:sz w:val="20"/>
                <w:szCs w:val="20"/>
              </w:rPr>
              <w:lastRenderedPageBreak/>
              <w:t>CAPITAL GAINS TAX</w:t>
            </w:r>
          </w:p>
        </w:tc>
        <w:tc>
          <w:tcPr>
            <w:tcW w:w="335" w:type="pct"/>
            <w:shd w:val="clear" w:color="auto" w:fill="auto"/>
            <w:hideMark/>
          </w:tcPr>
          <w:p w14:paraId="5AE67FFB" w14:textId="77777777" w:rsidR="00E72752" w:rsidRPr="007902F0" w:rsidRDefault="00E72752" w:rsidP="00694350">
            <w:pPr>
              <w:pStyle w:val="Table"/>
              <w:spacing w:before="100" w:after="100"/>
              <w:cnfStyle w:val="100000000000" w:firstRow="1" w:lastRow="0" w:firstColumn="0" w:lastColumn="0" w:oddVBand="0" w:evenVBand="0" w:oddHBand="0" w:evenHBand="0" w:firstRowFirstColumn="0" w:firstRowLastColumn="0" w:lastRowFirstColumn="0" w:lastRowLastColumn="0"/>
              <w:rPr>
                <w:sz w:val="20"/>
                <w:szCs w:val="20"/>
              </w:rPr>
            </w:pPr>
            <w:r w:rsidRPr="007902F0">
              <w:rPr>
                <w:sz w:val="20"/>
                <w:szCs w:val="20"/>
              </w:rPr>
              <w:t>YES</w:t>
            </w:r>
          </w:p>
        </w:tc>
        <w:tc>
          <w:tcPr>
            <w:tcW w:w="269" w:type="pct"/>
            <w:shd w:val="clear" w:color="auto" w:fill="auto"/>
            <w:hideMark/>
          </w:tcPr>
          <w:p w14:paraId="57C8AC9B" w14:textId="77777777" w:rsidR="00E72752" w:rsidRPr="007902F0" w:rsidRDefault="00E72752" w:rsidP="00694350">
            <w:pPr>
              <w:pStyle w:val="Table"/>
              <w:spacing w:before="100" w:after="100"/>
              <w:cnfStyle w:val="100000000000" w:firstRow="1" w:lastRow="0" w:firstColumn="0" w:lastColumn="0" w:oddVBand="0" w:evenVBand="0" w:oddHBand="0" w:evenHBand="0" w:firstRowFirstColumn="0" w:firstRowLastColumn="0" w:lastRowFirstColumn="0" w:lastRowLastColumn="0"/>
              <w:rPr>
                <w:sz w:val="20"/>
                <w:szCs w:val="20"/>
              </w:rPr>
            </w:pPr>
            <w:r w:rsidRPr="007902F0">
              <w:rPr>
                <w:sz w:val="20"/>
                <w:szCs w:val="20"/>
              </w:rPr>
              <w:t>NO</w:t>
            </w:r>
          </w:p>
        </w:tc>
        <w:tc>
          <w:tcPr>
            <w:tcW w:w="276" w:type="pct"/>
            <w:shd w:val="clear" w:color="auto" w:fill="auto"/>
            <w:hideMark/>
          </w:tcPr>
          <w:p w14:paraId="489289C7" w14:textId="77777777" w:rsidR="00E72752" w:rsidRPr="007902F0" w:rsidRDefault="00E72752" w:rsidP="00694350">
            <w:pPr>
              <w:pStyle w:val="Table"/>
              <w:spacing w:before="100" w:after="100"/>
              <w:cnfStyle w:val="100000000000" w:firstRow="1" w:lastRow="0" w:firstColumn="0" w:lastColumn="0" w:oddVBand="0" w:evenVBand="0" w:oddHBand="0" w:evenHBand="0" w:firstRowFirstColumn="0" w:firstRowLastColumn="0" w:lastRowFirstColumn="0" w:lastRowLastColumn="0"/>
              <w:rPr>
                <w:sz w:val="20"/>
                <w:szCs w:val="20"/>
              </w:rPr>
            </w:pPr>
            <w:r w:rsidRPr="007902F0">
              <w:rPr>
                <w:sz w:val="20"/>
                <w:szCs w:val="20"/>
              </w:rPr>
              <w:t>N/A</w:t>
            </w:r>
          </w:p>
        </w:tc>
      </w:tr>
      <w:tr w:rsidR="00E72752" w14:paraId="40A31B1C"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24CA001" w14:textId="77777777" w:rsidR="00E72752" w:rsidRPr="00694350" w:rsidRDefault="00E72752" w:rsidP="009C7A83">
            <w:pPr>
              <w:pStyle w:val="Tableheading"/>
              <w:rPr>
                <w:color w:val="FFFFFF" w:themeColor="background1"/>
                <w:sz w:val="18"/>
                <w:szCs w:val="18"/>
              </w:rPr>
            </w:pPr>
            <w:r w:rsidRPr="00694350">
              <w:rPr>
                <w:b/>
                <w:color w:val="FFFFFF" w:themeColor="background1"/>
                <w:sz w:val="18"/>
                <w:szCs w:val="18"/>
              </w:rPr>
              <w:t>CGT DISCOUNT</w:t>
            </w:r>
          </w:p>
        </w:tc>
      </w:tr>
      <w:tr w:rsidR="00E72752" w14:paraId="7C17EEE6"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4C53C55B" w14:textId="49B658AF"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If the taxpayer is an individual, a trust or a complying superannuation fund</w:t>
            </w:r>
            <w:r w:rsidR="00695D37">
              <w:rPr>
                <w:rFonts w:asciiTheme="minorHAnsi" w:hAnsiTheme="minorHAnsi" w:cstheme="minorHAnsi"/>
                <w:b w:val="0"/>
                <w:bCs w:val="0"/>
                <w:color w:val="090D46" w:themeColor="text1"/>
                <w:sz w:val="18"/>
                <w:szCs w:val="18"/>
              </w:rPr>
              <w:t>,</w:t>
            </w:r>
            <w:r w:rsidRPr="00694350">
              <w:rPr>
                <w:rFonts w:asciiTheme="minorHAnsi" w:hAnsiTheme="minorHAnsi" w:cstheme="minorHAnsi"/>
                <w:b w:val="0"/>
                <w:bCs w:val="0"/>
                <w:color w:val="090D46" w:themeColor="text1"/>
                <w:sz w:val="18"/>
                <w:szCs w:val="18"/>
              </w:rPr>
              <w:t xml:space="preserve"> check whether the capital gains made by the taxpayer are eligible for the CGT discount (</w:t>
            </w:r>
            <w:proofErr w:type="gramStart"/>
            <w:r w:rsidRPr="00694350">
              <w:rPr>
                <w:rFonts w:asciiTheme="minorHAnsi" w:hAnsiTheme="minorHAnsi" w:cstheme="minorHAnsi"/>
                <w:b w:val="0"/>
                <w:bCs w:val="0"/>
                <w:color w:val="090D46" w:themeColor="text1"/>
                <w:sz w:val="18"/>
                <w:szCs w:val="18"/>
              </w:rPr>
              <w:t>e.g.</w:t>
            </w:r>
            <w:proofErr w:type="gramEnd"/>
            <w:r w:rsidRPr="00694350">
              <w:rPr>
                <w:rFonts w:asciiTheme="minorHAnsi" w:hAnsiTheme="minorHAnsi" w:cstheme="minorHAnsi"/>
                <w:b w:val="0"/>
                <w:bCs w:val="0"/>
                <w:color w:val="090D46" w:themeColor="text1"/>
                <w:sz w:val="18"/>
                <w:szCs w:val="18"/>
              </w:rPr>
              <w:t xml:space="preserve"> capital gain has arisen from the disposal of a capital asset, the asset has been held by the taxpayer for at least 12 months and the integrity measures contained in Subdivision 115-A do not apply).</w:t>
            </w:r>
          </w:p>
          <w:p w14:paraId="44C71923" w14:textId="7E36C07B"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Check to see if the asset has been held for the full 12 months before any sale. The date of acquisition and the date of the CGT event are not included in satisfying the 12-month holding period (see Taxation Determination TD 2002/10). Determine whether the capital gain is non-discountable because it arose in respect of a CGT event which resulted in the creation of the CGT asset</w:t>
            </w:r>
            <w:r w:rsidR="006D328C">
              <w:rPr>
                <w:rFonts w:asciiTheme="minorHAnsi" w:hAnsiTheme="minorHAnsi" w:cstheme="minorHAnsi"/>
                <w:b w:val="0"/>
                <w:bCs w:val="0"/>
                <w:color w:val="090D46" w:themeColor="text1"/>
                <w:sz w:val="18"/>
                <w:szCs w:val="18"/>
              </w:rPr>
              <w:t>,</w:t>
            </w:r>
            <w:r w:rsidRPr="00694350">
              <w:rPr>
                <w:rFonts w:asciiTheme="minorHAnsi" w:hAnsiTheme="minorHAnsi" w:cstheme="minorHAnsi"/>
                <w:b w:val="0"/>
                <w:bCs w:val="0"/>
                <w:color w:val="090D46" w:themeColor="text1"/>
                <w:sz w:val="18"/>
                <w:szCs w:val="18"/>
              </w:rPr>
              <w:t xml:space="preserve"> as set out in section 115-25(3) of </w:t>
            </w:r>
            <w:r w:rsidRPr="006D328C">
              <w:rPr>
                <w:rFonts w:asciiTheme="minorHAnsi" w:hAnsiTheme="minorHAnsi" w:cstheme="minorHAnsi"/>
                <w:b w:val="0"/>
                <w:bCs w:val="0"/>
                <w:color w:val="090D46" w:themeColor="text1"/>
                <w:sz w:val="18"/>
                <w:szCs w:val="18"/>
              </w:rPr>
              <w:t xml:space="preserve">the </w:t>
            </w:r>
            <w:r w:rsidRPr="006B320A">
              <w:rPr>
                <w:rFonts w:asciiTheme="minorHAnsi" w:hAnsiTheme="minorHAnsi" w:cstheme="minorHAnsi"/>
                <w:color w:val="090D46" w:themeColor="text1"/>
                <w:sz w:val="18"/>
                <w:szCs w:val="18"/>
              </w:rPr>
              <w:t>ITAA 1997</w:t>
            </w:r>
            <w:r w:rsidRPr="006D328C">
              <w:rPr>
                <w:rFonts w:asciiTheme="minorHAnsi" w:hAnsiTheme="minorHAnsi" w:cstheme="minorHAnsi"/>
                <w:b w:val="0"/>
                <w:bCs w:val="0"/>
                <w:color w:val="090D46" w:themeColor="text1"/>
                <w:sz w:val="18"/>
                <w:szCs w:val="18"/>
              </w:rPr>
              <w:t>.</w:t>
            </w:r>
          </w:p>
          <w:p w14:paraId="251C2ED4" w14:textId="795FD51C" w:rsidR="00E72752" w:rsidRDefault="00E72752" w:rsidP="009C7A83">
            <w:pPr>
              <w:pStyle w:val="Table"/>
              <w:spacing w:before="100" w:after="100"/>
              <w:rPr>
                <w:b w:val="0"/>
                <w:sz w:val="18"/>
                <w:szCs w:val="18"/>
              </w:rPr>
            </w:pPr>
            <w:r w:rsidRPr="00694350">
              <w:rPr>
                <w:rFonts w:asciiTheme="minorHAnsi" w:hAnsiTheme="minorHAnsi" w:cstheme="minorHAnsi"/>
                <w:b w:val="0"/>
                <w:bCs w:val="0"/>
                <w:color w:val="090D46" w:themeColor="text1"/>
                <w:sz w:val="18"/>
                <w:szCs w:val="18"/>
              </w:rPr>
              <w:t xml:space="preserve">The CGT discount on any capital gain that accrued after 8 May 2012 will not be available to the extent to which the individual was a foreign resident or temporary resident at any time after that date. Where the foreign resident or temporary resident acquired ‘taxable Australia real property’ before 8 May 2012 it is recommended that a valuation is obtained to determine the market value of the asset </w:t>
            </w:r>
            <w:r w:rsidR="00E93292" w:rsidRPr="00694350">
              <w:rPr>
                <w:rFonts w:asciiTheme="minorHAnsi" w:hAnsiTheme="minorHAnsi" w:cstheme="minorHAnsi"/>
                <w:b w:val="0"/>
                <w:bCs w:val="0"/>
                <w:color w:val="090D46" w:themeColor="text1"/>
                <w:sz w:val="18"/>
                <w:szCs w:val="18"/>
              </w:rPr>
              <w:t>on</w:t>
            </w:r>
            <w:r w:rsidRPr="00694350">
              <w:rPr>
                <w:rFonts w:asciiTheme="minorHAnsi" w:hAnsiTheme="minorHAnsi" w:cstheme="minorHAnsi"/>
                <w:b w:val="0"/>
                <w:bCs w:val="0"/>
                <w:color w:val="090D46" w:themeColor="text1"/>
                <w:sz w:val="18"/>
                <w:szCs w:val="18"/>
              </w:rPr>
              <w:t xml:space="preserve"> 8 May 2012, which will enable the CGT discount to be applied to discount the gain (if any) that accrued from its acquisition until this date.</w:t>
            </w:r>
          </w:p>
        </w:tc>
        <w:tc>
          <w:tcPr>
            <w:tcW w:w="335" w:type="pct"/>
          </w:tcPr>
          <w:p w14:paraId="453D500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5C352F8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7F6C62D1"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2FBD9DD1"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D34DAE0" w14:textId="694B00E2" w:rsidR="00E72752" w:rsidRPr="00694350" w:rsidRDefault="00E72752" w:rsidP="009C7A83">
            <w:pPr>
              <w:pStyle w:val="Tableheading"/>
              <w:rPr>
                <w:color w:val="FFFFFF" w:themeColor="background1"/>
                <w:sz w:val="18"/>
                <w:szCs w:val="18"/>
              </w:rPr>
            </w:pPr>
            <w:r w:rsidRPr="00694350">
              <w:rPr>
                <w:b/>
                <w:color w:val="FFFFFF" w:themeColor="background1"/>
                <w:sz w:val="18"/>
                <w:szCs w:val="18"/>
              </w:rPr>
              <w:t>CAPITAL GAINS WITHHOLDING</w:t>
            </w:r>
          </w:p>
        </w:tc>
      </w:tr>
      <w:tr w:rsidR="00E72752" w14:paraId="3F4D13DA"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185C179F" w14:textId="38FF83B7"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bookmarkStart w:id="2" w:name="_Hlk8398957"/>
            <w:r w:rsidRPr="00694350">
              <w:rPr>
                <w:rFonts w:asciiTheme="minorHAnsi" w:hAnsiTheme="minorHAnsi" w:cstheme="minorHAnsi"/>
                <w:b w:val="0"/>
                <w:bCs w:val="0"/>
                <w:color w:val="090D46" w:themeColor="text1"/>
                <w:sz w:val="18"/>
                <w:szCs w:val="18"/>
              </w:rPr>
              <w:t>A 12.5% non-final withholding tax applies to vendors selling certain taxable Australian property on or after 1 July 2017 which needs to be retained by the purchaser at settlement from the purchase price of the property which must be subsequently remitted to the ATO. However, such withholding tax will not need to be retained from the purchase price of the property if the vendor obtains a clearance certificate from the ATO prior to settlement or if an exemption or variation otherwise applies.</w:t>
            </w:r>
          </w:p>
          <w:p w14:paraId="2002E72F" w14:textId="7FAE7EF8" w:rsidR="00E72752" w:rsidRDefault="00E72752" w:rsidP="009C7A83">
            <w:pPr>
              <w:pStyle w:val="Table"/>
              <w:spacing w:before="100" w:after="100"/>
              <w:rPr>
                <w:sz w:val="18"/>
                <w:szCs w:val="18"/>
              </w:rPr>
            </w:pPr>
            <w:r w:rsidRPr="00694350">
              <w:rPr>
                <w:rFonts w:asciiTheme="minorHAnsi" w:hAnsiTheme="minorHAnsi" w:cstheme="minorHAnsi"/>
                <w:b w:val="0"/>
                <w:bCs w:val="0"/>
                <w:color w:val="090D46" w:themeColor="text1"/>
                <w:sz w:val="18"/>
                <w:szCs w:val="18"/>
              </w:rPr>
              <w:t>The foreign resident CGT withholding obligation does not arise in relation to the disposal of real property with a market value less than $750,000. No threshold applies for indirect Australian real property interest and other assets such as options or rights.</w:t>
            </w:r>
            <w:bookmarkEnd w:id="2"/>
          </w:p>
        </w:tc>
        <w:tc>
          <w:tcPr>
            <w:tcW w:w="335" w:type="pct"/>
          </w:tcPr>
          <w:p w14:paraId="2A6BC74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03C9848E"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4EEFC2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04F73A67"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AFF734E" w14:textId="77777777" w:rsidR="00E72752" w:rsidRPr="00694350" w:rsidRDefault="00E72752" w:rsidP="009C7A83">
            <w:pPr>
              <w:pStyle w:val="Tableheading"/>
              <w:rPr>
                <w:color w:val="FFFFFF" w:themeColor="background1"/>
                <w:sz w:val="18"/>
                <w:szCs w:val="18"/>
              </w:rPr>
            </w:pPr>
            <w:r w:rsidRPr="00694350">
              <w:rPr>
                <w:b/>
                <w:color w:val="FFFFFF" w:themeColor="background1"/>
                <w:sz w:val="18"/>
                <w:szCs w:val="18"/>
              </w:rPr>
              <w:t>UNREALISED LOSSES AND CGT</w:t>
            </w:r>
          </w:p>
        </w:tc>
      </w:tr>
      <w:tr w:rsidR="00E72752" w14:paraId="79AB56AF"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1B882456" w14:textId="77777777" w:rsidR="00E72752" w:rsidRPr="00694350" w:rsidRDefault="00E72752" w:rsidP="009C7A83">
            <w:pPr>
              <w:pStyle w:val="Table"/>
              <w:spacing w:before="100" w:after="100"/>
              <w:rPr>
                <w:rFonts w:asciiTheme="minorHAnsi" w:hAnsiTheme="minorHAnsi" w:cstheme="minorHAnsi"/>
                <w:b w:val="0"/>
                <w:bCs w:val="0"/>
                <w:color w:val="090D46" w:themeColor="text1"/>
                <w:sz w:val="18"/>
                <w:szCs w:val="18"/>
              </w:rPr>
            </w:pPr>
            <w:r w:rsidRPr="00694350">
              <w:rPr>
                <w:rFonts w:asciiTheme="minorHAnsi" w:hAnsiTheme="minorHAnsi" w:cstheme="minorHAnsi"/>
                <w:b w:val="0"/>
                <w:bCs w:val="0"/>
                <w:color w:val="090D46" w:themeColor="text1"/>
                <w:sz w:val="18"/>
                <w:szCs w:val="18"/>
              </w:rPr>
              <w:t xml:space="preserve">If the taxpayer is a company, consider the unrealised loss rules in Subdivision 165-CC of the </w:t>
            </w:r>
            <w:r w:rsidRPr="006B320A">
              <w:rPr>
                <w:rFonts w:asciiTheme="minorHAnsi" w:hAnsiTheme="minorHAnsi" w:cstheme="minorHAnsi"/>
                <w:iCs/>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in relation to the disposal of CGT assets that were held at a changeover time (</w:t>
            </w:r>
            <w:proofErr w:type="gramStart"/>
            <w:r w:rsidRPr="00694350">
              <w:rPr>
                <w:rFonts w:asciiTheme="minorHAnsi" w:hAnsiTheme="minorHAnsi" w:cstheme="minorHAnsi"/>
                <w:b w:val="0"/>
                <w:bCs w:val="0"/>
                <w:color w:val="090D46" w:themeColor="text1"/>
                <w:sz w:val="18"/>
                <w:szCs w:val="18"/>
              </w:rPr>
              <w:t>i.e.</w:t>
            </w:r>
            <w:proofErr w:type="gramEnd"/>
            <w:r w:rsidRPr="00694350">
              <w:rPr>
                <w:rFonts w:asciiTheme="minorHAnsi" w:hAnsiTheme="minorHAnsi" w:cstheme="minorHAnsi"/>
                <w:b w:val="0"/>
                <w:bCs w:val="0"/>
                <w:color w:val="090D46" w:themeColor="text1"/>
                <w:sz w:val="18"/>
                <w:szCs w:val="18"/>
              </w:rPr>
              <w:t xml:space="preserve"> change in the ownership or control of the company).</w:t>
            </w:r>
          </w:p>
          <w:p w14:paraId="50E6C372" w14:textId="3013A642" w:rsidR="00E72752" w:rsidRDefault="00E72752" w:rsidP="009C7A83">
            <w:pPr>
              <w:pStyle w:val="Table"/>
              <w:spacing w:before="100" w:after="100"/>
              <w:rPr>
                <w:sz w:val="18"/>
                <w:szCs w:val="18"/>
              </w:rPr>
            </w:pPr>
            <w:r w:rsidRPr="00694350">
              <w:rPr>
                <w:rFonts w:asciiTheme="minorHAnsi" w:hAnsiTheme="minorHAnsi" w:cstheme="minorHAnsi"/>
                <w:b w:val="0"/>
                <w:bCs w:val="0"/>
                <w:color w:val="090D46" w:themeColor="text1"/>
                <w:sz w:val="18"/>
                <w:szCs w:val="18"/>
              </w:rPr>
              <w:t xml:space="preserve">The purpose of Subdivision 165-CC of the </w:t>
            </w:r>
            <w:r w:rsidRPr="006B320A">
              <w:rPr>
                <w:rFonts w:asciiTheme="minorHAnsi" w:hAnsiTheme="minorHAnsi" w:cstheme="minorHAnsi"/>
                <w:iCs/>
                <w:color w:val="090D46" w:themeColor="text1"/>
                <w:sz w:val="18"/>
                <w:szCs w:val="18"/>
              </w:rPr>
              <w:t>ITAA 1997</w:t>
            </w:r>
            <w:r w:rsidRPr="00694350">
              <w:rPr>
                <w:rFonts w:asciiTheme="minorHAnsi" w:hAnsiTheme="minorHAnsi" w:cstheme="minorHAnsi"/>
                <w:b w:val="0"/>
                <w:bCs w:val="0"/>
                <w:color w:val="090D46" w:themeColor="text1"/>
                <w:sz w:val="18"/>
                <w:szCs w:val="18"/>
              </w:rPr>
              <w:t xml:space="preserve"> is to restrict the availability of a capital loss, </w:t>
            </w:r>
            <w:proofErr w:type="gramStart"/>
            <w:r w:rsidRPr="00694350">
              <w:rPr>
                <w:rFonts w:asciiTheme="minorHAnsi" w:hAnsiTheme="minorHAnsi" w:cstheme="minorHAnsi"/>
                <w:b w:val="0"/>
                <w:bCs w:val="0"/>
                <w:color w:val="090D46" w:themeColor="text1"/>
                <w:sz w:val="18"/>
                <w:szCs w:val="18"/>
              </w:rPr>
              <w:t>deduction</w:t>
            </w:r>
            <w:proofErr w:type="gramEnd"/>
            <w:r w:rsidRPr="00694350">
              <w:rPr>
                <w:rFonts w:asciiTheme="minorHAnsi" w:hAnsiTheme="minorHAnsi" w:cstheme="minorHAnsi"/>
                <w:b w:val="0"/>
                <w:bCs w:val="0"/>
                <w:color w:val="090D46" w:themeColor="text1"/>
                <w:sz w:val="18"/>
                <w:szCs w:val="18"/>
              </w:rPr>
              <w:t xml:space="preserve"> or trading stock loss where there is a change of majority ownership or control of the company which earlier made an unrealised loss in respect of a CGT asset. Where there is an unrealised net loss at the changeover time, any capital loss, deduction or trading stock loss subsequently made by the company in respect of a CGT event on the happening of a CGT event will be disallowed up to the amount of the unrealised loss unless the company satisfies the same business test for the period immediately before the changeover time to the period in which the capital loss or deduction is recouped. Alternatively, the company may not be required to disallow the unrealised loss if it satisfies the similar business test prior to the changeover time in respect of the applicable income year commencing from 1 July 2015.</w:t>
            </w:r>
          </w:p>
        </w:tc>
        <w:tc>
          <w:tcPr>
            <w:tcW w:w="335" w:type="pct"/>
          </w:tcPr>
          <w:p w14:paraId="3FE4BBD7"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4506EF4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3615B41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766E72F" w14:textId="77777777" w:rsidTr="00694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D296079" w14:textId="346C2D65" w:rsidR="00E72752" w:rsidRPr="00694350" w:rsidRDefault="00E72752" w:rsidP="009C7A83">
            <w:pPr>
              <w:pStyle w:val="Table"/>
              <w:keepNext/>
              <w:spacing w:before="100" w:after="100"/>
              <w:rPr>
                <w:color w:val="FFFFFF" w:themeColor="background1"/>
                <w:sz w:val="18"/>
                <w:szCs w:val="18"/>
              </w:rPr>
            </w:pPr>
            <w:bookmarkStart w:id="3" w:name="_Hlk516742803"/>
            <w:r w:rsidRPr="00694350">
              <w:rPr>
                <w:color w:val="FFFFFF" w:themeColor="background1"/>
                <w:sz w:val="18"/>
                <w:szCs w:val="18"/>
              </w:rPr>
              <w:t>SMALL BUSINESS CGT (SBCGT) CONCESSIONS</w:t>
            </w:r>
          </w:p>
        </w:tc>
        <w:bookmarkEnd w:id="3"/>
      </w:tr>
      <w:tr w:rsidR="00E72752" w14:paraId="360A0F35" w14:textId="77777777" w:rsidTr="00202720">
        <w:tc>
          <w:tcPr>
            <w:cnfStyle w:val="001000000000" w:firstRow="0" w:lastRow="0" w:firstColumn="1" w:lastColumn="0" w:oddVBand="0" w:evenVBand="0" w:oddHBand="0" w:evenHBand="0" w:firstRowFirstColumn="0" w:firstRowLastColumn="0" w:lastRowFirstColumn="0" w:lastRowLastColumn="0"/>
            <w:tcW w:w="4120" w:type="pct"/>
            <w:hideMark/>
          </w:tcPr>
          <w:p w14:paraId="41BFDF20" w14:textId="77777777" w:rsidR="00E72752" w:rsidRPr="00202720" w:rsidRDefault="00E72752" w:rsidP="009C7A83">
            <w:pPr>
              <w:pStyle w:val="Table"/>
              <w:spacing w:before="100" w:after="100"/>
              <w:rPr>
                <w:b w:val="0"/>
                <w:bCs w:val="0"/>
                <w:sz w:val="18"/>
                <w:szCs w:val="18"/>
              </w:rPr>
            </w:pPr>
            <w:r w:rsidRPr="00202720">
              <w:rPr>
                <w:b w:val="0"/>
                <w:bCs w:val="0"/>
                <w:sz w:val="18"/>
                <w:szCs w:val="18"/>
              </w:rPr>
              <w:t xml:space="preserve">Check whether the taxpayer satisfies </w:t>
            </w:r>
            <w:proofErr w:type="gramStart"/>
            <w:r w:rsidRPr="00202720">
              <w:rPr>
                <w:b w:val="0"/>
                <w:bCs w:val="0"/>
                <w:sz w:val="18"/>
                <w:szCs w:val="18"/>
              </w:rPr>
              <w:t>all of</w:t>
            </w:r>
            <w:proofErr w:type="gramEnd"/>
            <w:r w:rsidRPr="00202720">
              <w:rPr>
                <w:b w:val="0"/>
                <w:bCs w:val="0"/>
                <w:sz w:val="18"/>
                <w:szCs w:val="18"/>
              </w:rPr>
              <w:t xml:space="preserve"> the basic conditions set out below:</w:t>
            </w:r>
          </w:p>
          <w:p w14:paraId="78DF9B93" w14:textId="4C07697D" w:rsidR="00E72752" w:rsidRPr="007902F0" w:rsidRDefault="00E72752" w:rsidP="006B320A">
            <w:pPr>
              <w:pStyle w:val="ListBullet"/>
              <w:numPr>
                <w:ilvl w:val="0"/>
                <w:numId w:val="48"/>
              </w:numPr>
              <w:rPr>
                <w:b w:val="0"/>
                <w:bCs w:val="0"/>
              </w:rPr>
            </w:pPr>
            <w:r w:rsidRPr="007902F0">
              <w:rPr>
                <w:b w:val="0"/>
                <w:bCs w:val="0"/>
              </w:rPr>
              <w:t xml:space="preserve">CGT event happens in relation to an active asset (being an asset used in the business) and a capital gain </w:t>
            </w:r>
            <w:proofErr w:type="gramStart"/>
            <w:r w:rsidRPr="007902F0">
              <w:rPr>
                <w:b w:val="0"/>
                <w:bCs w:val="0"/>
              </w:rPr>
              <w:t>arises</w:t>
            </w:r>
            <w:proofErr w:type="gramEnd"/>
          </w:p>
          <w:p w14:paraId="24FD5ACB" w14:textId="304CE1AB" w:rsidR="00E72752" w:rsidRDefault="00E72752" w:rsidP="006B320A">
            <w:pPr>
              <w:pStyle w:val="Table"/>
              <w:spacing w:before="100" w:after="100"/>
            </w:pPr>
          </w:p>
        </w:tc>
        <w:tc>
          <w:tcPr>
            <w:tcW w:w="335" w:type="pct"/>
          </w:tcPr>
          <w:p w14:paraId="2690D92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DE7FBA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7AEC009"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8629B7" w14:paraId="23A4F7A9" w14:textId="77777777" w:rsidTr="00862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pct"/>
            <w:gridSpan w:val="3"/>
            <w:shd w:val="clear" w:color="auto" w:fill="0A5CC7" w:themeFill="accent3"/>
          </w:tcPr>
          <w:p w14:paraId="11B6C437" w14:textId="123B0142" w:rsidR="008629B7" w:rsidRDefault="008629B7" w:rsidP="006B320A">
            <w:pPr>
              <w:pStyle w:val="Table"/>
              <w:spacing w:before="100" w:after="100"/>
              <w:rPr>
                <w:sz w:val="18"/>
                <w:szCs w:val="18"/>
              </w:rPr>
            </w:pPr>
            <w:r w:rsidRPr="003123DE">
              <w:rPr>
                <w:bCs w:val="0"/>
                <w:color w:val="FFFFFF" w:themeColor="background1"/>
                <w:sz w:val="18"/>
                <w:szCs w:val="18"/>
              </w:rPr>
              <w:lastRenderedPageBreak/>
              <w:t>SMALL BUSINESS CGT (SB</w:t>
            </w:r>
            <w:r>
              <w:rPr>
                <w:bCs w:val="0"/>
                <w:color w:val="FFFFFF" w:themeColor="background1"/>
                <w:sz w:val="18"/>
                <w:szCs w:val="18"/>
              </w:rPr>
              <w:t xml:space="preserve"> </w:t>
            </w:r>
            <w:r w:rsidRPr="003123DE">
              <w:rPr>
                <w:bCs w:val="0"/>
                <w:color w:val="FFFFFF" w:themeColor="background1"/>
                <w:sz w:val="18"/>
                <w:szCs w:val="18"/>
              </w:rPr>
              <w:t>CGT) CONCESSIONS</w:t>
            </w:r>
            <w:r>
              <w:rPr>
                <w:bCs w:val="0"/>
                <w:color w:val="FFFFFF" w:themeColor="background1"/>
                <w:sz w:val="18"/>
                <w:szCs w:val="18"/>
              </w:rPr>
              <w:t xml:space="preserve"> (CONTINUED)</w:t>
            </w:r>
          </w:p>
        </w:tc>
        <w:tc>
          <w:tcPr>
            <w:tcW w:w="276" w:type="pct"/>
            <w:shd w:val="clear" w:color="auto" w:fill="0A5CC7" w:themeFill="accent3"/>
          </w:tcPr>
          <w:p w14:paraId="2B923917" w14:textId="77777777" w:rsidR="008629B7" w:rsidRDefault="008629B7"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B497C" w14:paraId="7E1DDF9D" w14:textId="77777777" w:rsidTr="00202720">
        <w:tc>
          <w:tcPr>
            <w:cnfStyle w:val="001000000000" w:firstRow="0" w:lastRow="0" w:firstColumn="1" w:lastColumn="0" w:oddVBand="0" w:evenVBand="0" w:oddHBand="0" w:evenHBand="0" w:firstRowFirstColumn="0" w:firstRowLastColumn="0" w:lastRowFirstColumn="0" w:lastRowLastColumn="0"/>
            <w:tcW w:w="4120" w:type="pct"/>
          </w:tcPr>
          <w:p w14:paraId="101D7D1C" w14:textId="77777777" w:rsidR="008B271B" w:rsidRPr="00202720" w:rsidRDefault="008B271B" w:rsidP="008B271B">
            <w:pPr>
              <w:pStyle w:val="ListBullet"/>
              <w:numPr>
                <w:ilvl w:val="0"/>
                <w:numId w:val="48"/>
              </w:numPr>
              <w:rPr>
                <w:b w:val="0"/>
                <w:bCs w:val="0"/>
              </w:rPr>
            </w:pPr>
            <w:r w:rsidRPr="00202720">
              <w:rPr>
                <w:b w:val="0"/>
                <w:bCs w:val="0"/>
              </w:rPr>
              <w:t xml:space="preserve">the taxpayer satisfies either the $6m maximum net asset value test or $2m CGT small business entity </w:t>
            </w:r>
            <w:proofErr w:type="gramStart"/>
            <w:r w:rsidRPr="00202720">
              <w:rPr>
                <w:b w:val="0"/>
                <w:bCs w:val="0"/>
              </w:rPr>
              <w:t>test</w:t>
            </w:r>
            <w:proofErr w:type="gramEnd"/>
          </w:p>
          <w:p w14:paraId="56554668" w14:textId="77777777" w:rsidR="008B271B" w:rsidRPr="00202720" w:rsidRDefault="008B271B" w:rsidP="008B271B">
            <w:pPr>
              <w:pStyle w:val="ListBullet"/>
              <w:numPr>
                <w:ilvl w:val="0"/>
                <w:numId w:val="48"/>
              </w:numPr>
              <w:rPr>
                <w:b w:val="0"/>
                <w:bCs w:val="0"/>
              </w:rPr>
            </w:pPr>
            <w:r w:rsidRPr="00202720">
              <w:rPr>
                <w:b w:val="0"/>
                <w:bCs w:val="0"/>
              </w:rPr>
              <w:t>the CGT asset satisfies the active asset test.</w:t>
            </w:r>
          </w:p>
          <w:p w14:paraId="207AD634" w14:textId="77777777" w:rsidR="008B271B" w:rsidRPr="008D7693" w:rsidRDefault="008B271B" w:rsidP="008B271B">
            <w:pPr>
              <w:pStyle w:val="Table"/>
              <w:spacing w:before="100" w:after="100"/>
              <w:rPr>
                <w:rFonts w:asciiTheme="minorHAnsi" w:hAnsiTheme="minorHAnsi" w:cstheme="minorHAnsi"/>
                <w:b w:val="0"/>
                <w:bCs w:val="0"/>
                <w:color w:val="090D46" w:themeColor="text1"/>
                <w:sz w:val="18"/>
                <w:szCs w:val="18"/>
              </w:rPr>
            </w:pPr>
            <w:r w:rsidRPr="008D7693">
              <w:rPr>
                <w:rFonts w:asciiTheme="minorHAnsi" w:hAnsiTheme="minorHAnsi" w:cstheme="minorHAnsi"/>
                <w:b w:val="0"/>
                <w:bCs w:val="0"/>
                <w:color w:val="090D46" w:themeColor="text1"/>
                <w:sz w:val="18"/>
                <w:szCs w:val="18"/>
              </w:rPr>
              <w:t>Additional basic conditions must be satisfied if the CGT asset is a share in a company, interest in a trust or a CGT event that relates to rights or interest in relation to income or capital of a partnership.</w:t>
            </w:r>
          </w:p>
          <w:p w14:paraId="23785B3D" w14:textId="77777777" w:rsidR="008B271B" w:rsidRPr="00202720" w:rsidRDefault="008B271B" w:rsidP="008B271B">
            <w:pPr>
              <w:spacing w:before="100" w:after="100"/>
              <w:rPr>
                <w:b w:val="0"/>
                <w:bCs w:val="0"/>
                <w:szCs w:val="18"/>
              </w:rPr>
            </w:pPr>
            <w:r w:rsidRPr="00202720">
              <w:rPr>
                <w:b w:val="0"/>
                <w:bCs w:val="0"/>
                <w:szCs w:val="18"/>
              </w:rPr>
              <w:t>The $6 million maximum net asset value test requires that the aggregate net market value of CGT assets of the taxpayer, the taxpayer’s affiliates and entities connected with the taxpayer do not exceed $6 million just before the CGT event occurs. Given its subjective nature it is typically essential that a vendor obtain valuations of key assets (</w:t>
            </w:r>
            <w:proofErr w:type="gramStart"/>
            <w:r w:rsidRPr="00202720">
              <w:rPr>
                <w:b w:val="0"/>
                <w:bCs w:val="0"/>
                <w:szCs w:val="18"/>
              </w:rPr>
              <w:t>e.g.</w:t>
            </w:r>
            <w:proofErr w:type="gramEnd"/>
            <w:r w:rsidRPr="00202720">
              <w:rPr>
                <w:b w:val="0"/>
                <w:bCs w:val="0"/>
                <w:szCs w:val="18"/>
              </w:rPr>
              <w:t xml:space="preserve"> land, goodwill &amp; other intangible assets) to prove compliance with this test. </w:t>
            </w:r>
          </w:p>
          <w:p w14:paraId="695BF189" w14:textId="4B3D0940" w:rsidR="008B271B" w:rsidRPr="006B320A" w:rsidRDefault="008B271B" w:rsidP="006B320A">
            <w:pPr>
              <w:pStyle w:val="Table"/>
              <w:spacing w:before="100" w:after="100"/>
              <w:rPr>
                <w:szCs w:val="18"/>
              </w:rPr>
            </w:pPr>
            <w:r w:rsidRPr="00202720">
              <w:rPr>
                <w:b w:val="0"/>
                <w:bCs w:val="0"/>
                <w:color w:val="090D46" w:themeColor="text1"/>
                <w:sz w:val="18"/>
                <w:szCs w:val="18"/>
              </w:rPr>
              <w:t xml:space="preserve">By comparison, the $2 million CGT small business entity test requires that the taxpayer must be carrying on a business, and the aggregated turnover of the taxpayer, the taxpayer’s affiliates and entities connected with the taxpayer must be less than $2 million. The asset must be used in carrying on a business but can extend to certain assets held by connected entities, </w:t>
            </w:r>
            <w:proofErr w:type="gramStart"/>
            <w:r w:rsidRPr="00202720">
              <w:rPr>
                <w:b w:val="0"/>
                <w:bCs w:val="0"/>
                <w:color w:val="090D46" w:themeColor="text1"/>
                <w:sz w:val="18"/>
                <w:szCs w:val="18"/>
              </w:rPr>
              <w:t>affiliates</w:t>
            </w:r>
            <w:proofErr w:type="gramEnd"/>
            <w:r w:rsidRPr="00202720">
              <w:rPr>
                <w:b w:val="0"/>
                <w:bCs w:val="0"/>
                <w:color w:val="090D46" w:themeColor="text1"/>
                <w:sz w:val="18"/>
                <w:szCs w:val="18"/>
              </w:rPr>
              <w:t xml:space="preserve"> and partners in a partnership where those entities do not carry on a business if the basic conditions are otherwise met.</w:t>
            </w:r>
          </w:p>
          <w:p w14:paraId="6BD95F35" w14:textId="59E961DB" w:rsidR="009B497C" w:rsidRPr="00202720" w:rsidRDefault="009B497C" w:rsidP="009B497C">
            <w:pPr>
              <w:pStyle w:val="TableBullet"/>
              <w:numPr>
                <w:ilvl w:val="0"/>
                <w:numId w:val="0"/>
              </w:numPr>
              <w:spacing w:before="100" w:after="100"/>
              <w:rPr>
                <w:b w:val="0"/>
                <w:bCs w:val="0"/>
                <w:color w:val="090D46" w:themeColor="text1"/>
                <w:sz w:val="18"/>
                <w:szCs w:val="18"/>
              </w:rPr>
            </w:pPr>
            <w:r w:rsidRPr="00202720">
              <w:rPr>
                <w:b w:val="0"/>
                <w:bCs w:val="0"/>
                <w:color w:val="090D46" w:themeColor="text1"/>
                <w:sz w:val="18"/>
                <w:szCs w:val="18"/>
              </w:rPr>
              <w:t>Some of the requirements to claim the SB CGT concessions include:</w:t>
            </w:r>
          </w:p>
          <w:p w14:paraId="0D2657E9" w14:textId="77777777" w:rsidR="009B497C" w:rsidRPr="00202720" w:rsidRDefault="009B497C" w:rsidP="009B497C">
            <w:pPr>
              <w:pStyle w:val="ListBullet"/>
              <w:numPr>
                <w:ilvl w:val="0"/>
                <w:numId w:val="49"/>
              </w:numPr>
              <w:spacing w:before="120" w:after="120"/>
              <w:rPr>
                <w:b w:val="0"/>
                <w:bCs w:val="0"/>
              </w:rPr>
            </w:pPr>
            <w:r w:rsidRPr="00202720">
              <w:rPr>
                <w:b w:val="0"/>
                <w:bCs w:val="0"/>
              </w:rPr>
              <w:t xml:space="preserve">where the asset being disposed of is a share or an interest in a trust, the taxpayer must be a CGT concession stakeholder in the object company or trust. Alternatively, if the CGT asset is a share in a company or an interest in a trust which is owned by an interposed entity, the taxpayer must be a CGT concession stakeholder in respect of the object company or trust, and CGT concession stakeholders in that object company or trust must together also have a small business participation percentage of at least 90% in the interposed </w:t>
            </w:r>
            <w:proofErr w:type="gramStart"/>
            <w:r w:rsidRPr="00202720">
              <w:rPr>
                <w:b w:val="0"/>
                <w:bCs w:val="0"/>
              </w:rPr>
              <w:t>entity</w:t>
            </w:r>
            <w:proofErr w:type="gramEnd"/>
            <w:r w:rsidRPr="00202720">
              <w:rPr>
                <w:b w:val="0"/>
                <w:bCs w:val="0"/>
              </w:rPr>
              <w:t xml:space="preserve"> </w:t>
            </w:r>
          </w:p>
          <w:p w14:paraId="13074F9A" w14:textId="77777777" w:rsidR="009B497C" w:rsidRPr="00202720" w:rsidRDefault="009B497C" w:rsidP="009B497C">
            <w:pPr>
              <w:pStyle w:val="ListBullet"/>
              <w:numPr>
                <w:ilvl w:val="0"/>
                <w:numId w:val="49"/>
              </w:numPr>
              <w:spacing w:before="120" w:after="120"/>
              <w:rPr>
                <w:b w:val="0"/>
                <w:bCs w:val="0"/>
              </w:rPr>
            </w:pPr>
            <w:r w:rsidRPr="00202720">
              <w:rPr>
                <w:b w:val="0"/>
                <w:bCs w:val="0"/>
              </w:rPr>
              <w:t xml:space="preserve">the object entity must be a CGT small business entity for the income </w:t>
            </w:r>
            <w:proofErr w:type="gramStart"/>
            <w:r w:rsidRPr="00202720">
              <w:rPr>
                <w:b w:val="0"/>
                <w:bCs w:val="0"/>
              </w:rPr>
              <w:t>year</w:t>
            </w:r>
            <w:proofErr w:type="gramEnd"/>
            <w:r w:rsidRPr="00202720">
              <w:rPr>
                <w:b w:val="0"/>
                <w:bCs w:val="0"/>
              </w:rPr>
              <w:t xml:space="preserve"> or the $6 million maximum net asset value test must be satisfied just before the CGT event. In applying this test, it is important to note that a modified connected entity test applies in determining whether these turnover and asset tests are </w:t>
            </w:r>
            <w:proofErr w:type="gramStart"/>
            <w:r w:rsidRPr="00202720">
              <w:rPr>
                <w:b w:val="0"/>
                <w:bCs w:val="0"/>
              </w:rPr>
              <w:t>satisfied</w:t>
            </w:r>
            <w:proofErr w:type="gramEnd"/>
          </w:p>
          <w:p w14:paraId="41B2999E" w14:textId="77777777" w:rsidR="009B497C" w:rsidRDefault="009B497C" w:rsidP="006B320A">
            <w:pPr>
              <w:pStyle w:val="ListBullet"/>
              <w:numPr>
                <w:ilvl w:val="0"/>
                <w:numId w:val="49"/>
              </w:numPr>
              <w:rPr>
                <w:szCs w:val="18"/>
              </w:rPr>
            </w:pPr>
            <w:r w:rsidRPr="009B497C">
              <w:rPr>
                <w:b w:val="0"/>
                <w:bCs w:val="0"/>
                <w:szCs w:val="18"/>
              </w:rPr>
              <w:t xml:space="preserve">the </w:t>
            </w:r>
            <w:r w:rsidRPr="009B497C">
              <w:rPr>
                <w:b w:val="0"/>
                <w:bCs w:val="0"/>
              </w:rPr>
              <w:t>shares</w:t>
            </w:r>
            <w:r w:rsidRPr="009B497C">
              <w:rPr>
                <w:b w:val="0"/>
                <w:bCs w:val="0"/>
                <w:szCs w:val="18"/>
              </w:rPr>
              <w:t xml:space="preserve"> or interests in the object entity must satisfy a modified active asset test that looks through shares in companies and interests in trusts to the activities and assets of the underlying entities.</w:t>
            </w:r>
          </w:p>
          <w:p w14:paraId="03ADA47D" w14:textId="77777777" w:rsidR="009B497C" w:rsidRPr="00E93292" w:rsidRDefault="009B497C" w:rsidP="009B497C">
            <w:pPr>
              <w:pStyle w:val="TableBullet"/>
              <w:numPr>
                <w:ilvl w:val="0"/>
                <w:numId w:val="0"/>
              </w:numPr>
              <w:spacing w:before="100" w:after="100"/>
              <w:rPr>
                <w:b w:val="0"/>
                <w:bCs w:val="0"/>
                <w:color w:val="090D46" w:themeColor="text1"/>
                <w:sz w:val="18"/>
                <w:szCs w:val="18"/>
              </w:rPr>
            </w:pPr>
            <w:r w:rsidRPr="00E93292">
              <w:rPr>
                <w:b w:val="0"/>
                <w:bCs w:val="0"/>
                <w:color w:val="090D46" w:themeColor="text1"/>
                <w:sz w:val="18"/>
                <w:szCs w:val="18"/>
              </w:rPr>
              <w:t xml:space="preserve">Consider whether the taxpayer is eligible to utilise any or </w:t>
            </w:r>
            <w:proofErr w:type="gramStart"/>
            <w:r w:rsidRPr="00E93292">
              <w:rPr>
                <w:b w:val="0"/>
                <w:bCs w:val="0"/>
                <w:color w:val="090D46" w:themeColor="text1"/>
                <w:sz w:val="18"/>
                <w:szCs w:val="18"/>
              </w:rPr>
              <w:t>all of</w:t>
            </w:r>
            <w:proofErr w:type="gramEnd"/>
            <w:r w:rsidRPr="00E93292">
              <w:rPr>
                <w:b w:val="0"/>
                <w:bCs w:val="0"/>
                <w:color w:val="090D46" w:themeColor="text1"/>
                <w:sz w:val="18"/>
                <w:szCs w:val="18"/>
              </w:rPr>
              <w:t xml:space="preserve"> the following concessions:</w:t>
            </w:r>
          </w:p>
          <w:p w14:paraId="378C012A" w14:textId="77777777" w:rsidR="009B497C" w:rsidRPr="00E93292" w:rsidRDefault="009B497C" w:rsidP="006B320A">
            <w:pPr>
              <w:pStyle w:val="TableBullet"/>
              <w:numPr>
                <w:ilvl w:val="0"/>
                <w:numId w:val="53"/>
              </w:numPr>
              <w:spacing w:before="100" w:after="100"/>
              <w:rPr>
                <w:b w:val="0"/>
                <w:bCs w:val="0"/>
                <w:szCs w:val="18"/>
              </w:rPr>
            </w:pPr>
            <w:r w:rsidRPr="007902F0">
              <w:rPr>
                <w:b w:val="0"/>
                <w:bCs w:val="0"/>
                <w:color w:val="090D46" w:themeColor="text1"/>
                <w:sz w:val="18"/>
                <w:szCs w:val="18"/>
              </w:rPr>
              <w:t>the small business 15-year exemption</w:t>
            </w:r>
          </w:p>
          <w:p w14:paraId="1115731D" w14:textId="77777777" w:rsidR="009B497C" w:rsidRPr="00E93292" w:rsidRDefault="009B497C" w:rsidP="006B320A">
            <w:pPr>
              <w:pStyle w:val="TableBullet"/>
              <w:numPr>
                <w:ilvl w:val="0"/>
                <w:numId w:val="53"/>
              </w:numPr>
              <w:spacing w:before="100" w:after="100"/>
              <w:rPr>
                <w:b w:val="0"/>
                <w:bCs w:val="0"/>
                <w:szCs w:val="18"/>
              </w:rPr>
            </w:pPr>
            <w:r w:rsidRPr="007902F0">
              <w:rPr>
                <w:b w:val="0"/>
                <w:bCs w:val="0"/>
                <w:color w:val="090D46" w:themeColor="text1"/>
                <w:sz w:val="18"/>
                <w:szCs w:val="18"/>
              </w:rPr>
              <w:t>the small business 50% reduction</w:t>
            </w:r>
          </w:p>
          <w:p w14:paraId="7EEDE49E" w14:textId="77777777" w:rsidR="009B497C" w:rsidRPr="00E93292" w:rsidRDefault="009B497C" w:rsidP="006B320A">
            <w:pPr>
              <w:pStyle w:val="TableBullet"/>
              <w:numPr>
                <w:ilvl w:val="0"/>
                <w:numId w:val="53"/>
              </w:numPr>
              <w:spacing w:before="100" w:after="100"/>
              <w:rPr>
                <w:b w:val="0"/>
                <w:bCs w:val="0"/>
                <w:szCs w:val="18"/>
              </w:rPr>
            </w:pPr>
            <w:r w:rsidRPr="007902F0">
              <w:rPr>
                <w:b w:val="0"/>
                <w:bCs w:val="0"/>
                <w:color w:val="090D46" w:themeColor="text1"/>
                <w:sz w:val="18"/>
                <w:szCs w:val="18"/>
              </w:rPr>
              <w:t>the small business retirement exemption</w:t>
            </w:r>
          </w:p>
          <w:p w14:paraId="50FE5FCF" w14:textId="77777777" w:rsidR="009B497C" w:rsidRPr="00E93292" w:rsidRDefault="009B497C" w:rsidP="006B320A">
            <w:pPr>
              <w:pStyle w:val="TableBullet"/>
              <w:numPr>
                <w:ilvl w:val="0"/>
                <w:numId w:val="53"/>
              </w:numPr>
              <w:spacing w:before="100" w:after="100"/>
              <w:rPr>
                <w:b w:val="0"/>
                <w:bCs w:val="0"/>
                <w:color w:val="090D46" w:themeColor="text1"/>
                <w:sz w:val="18"/>
                <w:szCs w:val="18"/>
              </w:rPr>
            </w:pPr>
            <w:r w:rsidRPr="007902F0">
              <w:rPr>
                <w:b w:val="0"/>
                <w:bCs w:val="0"/>
                <w:color w:val="090D46" w:themeColor="text1"/>
                <w:sz w:val="18"/>
                <w:szCs w:val="18"/>
              </w:rPr>
              <w:t>the small business roll-over.</w:t>
            </w:r>
          </w:p>
          <w:p w14:paraId="6FDDE485" w14:textId="77777777" w:rsidR="009B497C" w:rsidRDefault="009B497C" w:rsidP="009B497C">
            <w:pPr>
              <w:pStyle w:val="TableBullet"/>
              <w:numPr>
                <w:ilvl w:val="0"/>
                <w:numId w:val="0"/>
              </w:numPr>
              <w:spacing w:before="100" w:after="100"/>
              <w:rPr>
                <w:rFonts w:asciiTheme="minorHAnsi" w:hAnsiTheme="minorHAnsi" w:cstheme="minorHAnsi"/>
                <w:color w:val="090D46" w:themeColor="text1"/>
                <w:sz w:val="18"/>
                <w:szCs w:val="18"/>
              </w:rPr>
            </w:pPr>
            <w:r w:rsidRPr="00E93292">
              <w:rPr>
                <w:rFonts w:asciiTheme="minorHAnsi" w:hAnsiTheme="minorHAnsi" w:cstheme="minorHAnsi"/>
                <w:b w:val="0"/>
                <w:bCs w:val="0"/>
                <w:color w:val="090D46" w:themeColor="text1"/>
                <w:sz w:val="18"/>
                <w:szCs w:val="18"/>
              </w:rPr>
              <w:t>Compliance</w:t>
            </w:r>
            <w:r w:rsidRPr="00202720">
              <w:rPr>
                <w:rFonts w:asciiTheme="minorHAnsi" w:hAnsiTheme="minorHAnsi" w:cstheme="minorHAnsi"/>
                <w:b w:val="0"/>
                <w:bCs w:val="0"/>
                <w:color w:val="090D46" w:themeColor="text1"/>
                <w:sz w:val="18"/>
                <w:szCs w:val="18"/>
              </w:rPr>
              <w:t xml:space="preserve"> with the small business CGT concessions is an area of ATO focus and the eligibility conditions are difficult to satisfy, especially the $6 million maximum net asset value test which has been litigated on several occasions. Care should be </w:t>
            </w:r>
            <w:proofErr w:type="gramStart"/>
            <w:r w:rsidRPr="00202720">
              <w:rPr>
                <w:rFonts w:asciiTheme="minorHAnsi" w:hAnsiTheme="minorHAnsi" w:cstheme="minorHAnsi"/>
                <w:b w:val="0"/>
                <w:bCs w:val="0"/>
                <w:color w:val="090D46" w:themeColor="text1"/>
                <w:sz w:val="18"/>
                <w:szCs w:val="18"/>
              </w:rPr>
              <w:t>taken</w:t>
            </w:r>
            <w:proofErr w:type="gramEnd"/>
            <w:r w:rsidRPr="00202720">
              <w:rPr>
                <w:rFonts w:asciiTheme="minorHAnsi" w:hAnsiTheme="minorHAnsi" w:cstheme="minorHAnsi"/>
                <w:b w:val="0"/>
                <w:bCs w:val="0"/>
                <w:color w:val="090D46" w:themeColor="text1"/>
                <w:sz w:val="18"/>
                <w:szCs w:val="18"/>
              </w:rPr>
              <w:t xml:space="preserve"> and specialist advice obtained where required including the lodgement of any required elections.   </w:t>
            </w:r>
          </w:p>
          <w:p w14:paraId="3AF488EC" w14:textId="77777777" w:rsidR="009B497C" w:rsidRDefault="009B497C">
            <w:pPr>
              <w:pStyle w:val="TableBullet"/>
              <w:numPr>
                <w:ilvl w:val="0"/>
                <w:numId w:val="0"/>
              </w:numPr>
              <w:spacing w:before="100" w:after="100"/>
              <w:rPr>
                <w:rFonts w:cstheme="minorHAnsi"/>
                <w:sz w:val="18"/>
                <w:szCs w:val="18"/>
              </w:rPr>
            </w:pPr>
            <w:r w:rsidRPr="00036142">
              <w:rPr>
                <w:rFonts w:asciiTheme="minorHAnsi" w:hAnsiTheme="minorHAnsi" w:cstheme="minorHAnsi"/>
                <w:b w:val="0"/>
                <w:bCs w:val="0"/>
                <w:color w:val="090D46" w:themeColor="text1"/>
                <w:sz w:val="18"/>
                <w:szCs w:val="18"/>
              </w:rPr>
              <w:t xml:space="preserve">Where not </w:t>
            </w:r>
            <w:proofErr w:type="gramStart"/>
            <w:r w:rsidRPr="00036142">
              <w:rPr>
                <w:rFonts w:asciiTheme="minorHAnsi" w:hAnsiTheme="minorHAnsi" w:cstheme="minorHAnsi"/>
                <w:b w:val="0"/>
                <w:bCs w:val="0"/>
                <w:color w:val="090D46" w:themeColor="text1"/>
                <w:sz w:val="18"/>
                <w:szCs w:val="18"/>
              </w:rPr>
              <w:t>all of</w:t>
            </w:r>
            <w:proofErr w:type="gramEnd"/>
            <w:r w:rsidRPr="00036142">
              <w:rPr>
                <w:rFonts w:asciiTheme="minorHAnsi" w:hAnsiTheme="minorHAnsi" w:cstheme="minorHAnsi"/>
                <w:b w:val="0"/>
                <w:bCs w:val="0"/>
                <w:color w:val="090D46" w:themeColor="text1"/>
                <w:sz w:val="18"/>
                <w:szCs w:val="18"/>
              </w:rPr>
              <w:t xml:space="preserve"> the capital gain can be reduced under the CGT Discount and/or the CGT small business concessions because their eligibility conditions cannot be satisfied, consider whether rollover relief should be sought under the small business entity CGT restructure rollover relief under Subdivision 328- G of the ITAA 1997. These provisions apply to genuine business restructures from one small business entity who transfers active assets to another small business entity that does not result in any change to the underlying economic ownership of assets. Care should be taken in choosing this rollover to ensure all eligibility conditions are met including the lodgement of a family trust election if required where either the transferor and/or transferee is a discretionary trust.</w:t>
            </w:r>
            <w:r w:rsidRPr="00036142">
              <w:rPr>
                <w:rFonts w:cstheme="minorHAnsi"/>
                <w:b w:val="0"/>
                <w:bCs w:val="0"/>
                <w:sz w:val="18"/>
                <w:szCs w:val="18"/>
              </w:rPr>
              <w:t xml:space="preserve">  </w:t>
            </w:r>
          </w:p>
          <w:p w14:paraId="14CD6446" w14:textId="6B6F2299" w:rsidR="00E54BEB" w:rsidRPr="00202720" w:rsidRDefault="00E54BEB" w:rsidP="006B320A">
            <w:pPr>
              <w:pStyle w:val="TableBullet"/>
              <w:numPr>
                <w:ilvl w:val="0"/>
                <w:numId w:val="0"/>
              </w:numPr>
              <w:spacing w:before="100" w:after="100"/>
              <w:rPr>
                <w:sz w:val="18"/>
                <w:szCs w:val="18"/>
              </w:rPr>
            </w:pPr>
          </w:p>
        </w:tc>
        <w:tc>
          <w:tcPr>
            <w:tcW w:w="335" w:type="pct"/>
          </w:tcPr>
          <w:p w14:paraId="268C832F" w14:textId="77777777" w:rsidR="009B497C" w:rsidRDefault="009B497C"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77916CED" w14:textId="77777777" w:rsidR="009B497C" w:rsidRDefault="009B497C"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210CAB8C" w14:textId="77777777" w:rsidR="009B497C" w:rsidRDefault="009B497C"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295987" w:rsidRPr="00202720" w14:paraId="4D9FED5F"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4"/>
            <w:shd w:val="clear" w:color="auto" w:fill="auto"/>
          </w:tcPr>
          <w:p w14:paraId="43D211A5" w14:textId="77777777" w:rsidR="00295987" w:rsidRPr="006B320A" w:rsidRDefault="00295987" w:rsidP="00295987">
            <w:pPr>
              <w:rPr>
                <w:rFonts w:eastAsia="MS Gothic" w:cstheme="minorHAnsi"/>
                <w:szCs w:val="18"/>
              </w:rPr>
            </w:pPr>
            <w:r w:rsidRPr="00B054B8">
              <w:rPr>
                <w:rFonts w:eastAsia="MS Gothic" w:cstheme="minorHAnsi"/>
                <w:szCs w:val="18"/>
              </w:rPr>
              <w:lastRenderedPageBreak/>
              <w:t>Comments:</w:t>
            </w:r>
          </w:p>
          <w:p w14:paraId="28D7D537" w14:textId="77777777" w:rsidR="00295987" w:rsidRPr="007902F0" w:rsidRDefault="00295987"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p>
          <w:p w14:paraId="0A52C68A" w14:textId="77777777" w:rsidR="00295987" w:rsidRPr="007902F0" w:rsidRDefault="00295987"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p>
          <w:p w14:paraId="37E4EF3F" w14:textId="77777777" w:rsidR="00295987" w:rsidRPr="007902F0" w:rsidRDefault="00295987"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p>
          <w:p w14:paraId="2663617E" w14:textId="3E0B1227" w:rsidR="00295987" w:rsidRPr="00036142" w:rsidRDefault="00295987" w:rsidP="009C7A83">
            <w:pPr>
              <w:pStyle w:val="TableBullet"/>
              <w:numPr>
                <w:ilvl w:val="0"/>
                <w:numId w:val="0"/>
              </w:numPr>
              <w:spacing w:before="100" w:after="100"/>
              <w:rPr>
                <w:rFonts w:asciiTheme="minorHAnsi" w:hAnsiTheme="minorHAnsi" w:cstheme="minorHAnsi"/>
                <w:b w:val="0"/>
                <w:bCs w:val="0"/>
                <w:color w:val="090D46" w:themeColor="text1"/>
                <w:sz w:val="18"/>
                <w:szCs w:val="18"/>
              </w:rPr>
            </w:pPr>
          </w:p>
        </w:tc>
      </w:tr>
    </w:tbl>
    <w:p w14:paraId="0E69D021" w14:textId="77777777" w:rsidR="00036142" w:rsidRDefault="00036142" w:rsidP="00E72752">
      <w:pPr>
        <w:rPr>
          <w:rFonts w:ascii="Arial" w:hAnsi="Arial"/>
          <w:sz w:val="24"/>
          <w:szCs w:val="24"/>
        </w:rPr>
      </w:pPr>
    </w:p>
    <w:tbl>
      <w:tblPr>
        <w:tblStyle w:val="RACVTable"/>
        <w:tblW w:w="5200" w:type="pct"/>
        <w:tblLook w:val="00A0" w:firstRow="1" w:lastRow="0" w:firstColumn="1" w:lastColumn="0" w:noHBand="0" w:noVBand="0"/>
      </w:tblPr>
      <w:tblGrid>
        <w:gridCol w:w="8551"/>
        <w:gridCol w:w="695"/>
        <w:gridCol w:w="558"/>
        <w:gridCol w:w="573"/>
      </w:tblGrid>
      <w:tr w:rsidR="00E72752" w:rsidRPr="000E2CC6" w14:paraId="56BD1AB9" w14:textId="77777777" w:rsidTr="00484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hideMark/>
          </w:tcPr>
          <w:p w14:paraId="7D8BF4AC" w14:textId="77777777" w:rsidR="00E72752" w:rsidRPr="000E2CC6" w:rsidRDefault="00E72752" w:rsidP="000E2CC6">
            <w:pPr>
              <w:pStyle w:val="Table"/>
              <w:spacing w:before="100" w:after="100"/>
              <w:rPr>
                <w:bCs w:val="0"/>
                <w:color w:val="090D46" w:themeColor="text1"/>
                <w:sz w:val="18"/>
                <w:szCs w:val="18"/>
              </w:rPr>
            </w:pPr>
            <w:r w:rsidRPr="000E2CC6">
              <w:rPr>
                <w:bCs w:val="0"/>
                <w:color w:val="090D46" w:themeColor="text1"/>
                <w:sz w:val="18"/>
                <w:szCs w:val="18"/>
              </w:rPr>
              <w:br w:type="page"/>
            </w:r>
            <w:r w:rsidRPr="000E2CC6">
              <w:rPr>
                <w:bCs w:val="0"/>
                <w:color w:val="090D46" w:themeColor="text1"/>
                <w:sz w:val="18"/>
                <w:szCs w:val="18"/>
              </w:rPr>
              <w:br w:type="page"/>
              <w:t>DEBT AND EQUITY</w:t>
            </w:r>
          </w:p>
        </w:tc>
        <w:tc>
          <w:tcPr>
            <w:tcW w:w="335" w:type="pct"/>
            <w:hideMark/>
          </w:tcPr>
          <w:p w14:paraId="7D365302" w14:textId="77777777" w:rsidR="00E72752" w:rsidRPr="000E2CC6" w:rsidRDefault="00E72752" w:rsidP="000E2CC6">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E2CC6">
              <w:rPr>
                <w:bCs w:val="0"/>
                <w:color w:val="090D46" w:themeColor="text1"/>
                <w:sz w:val="18"/>
                <w:szCs w:val="18"/>
              </w:rPr>
              <w:t>YES</w:t>
            </w:r>
          </w:p>
        </w:tc>
        <w:tc>
          <w:tcPr>
            <w:tcW w:w="269" w:type="pct"/>
            <w:hideMark/>
          </w:tcPr>
          <w:p w14:paraId="281B5C8E" w14:textId="77777777" w:rsidR="00E72752" w:rsidRPr="000E2CC6" w:rsidRDefault="00E72752" w:rsidP="000E2CC6">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E2CC6">
              <w:rPr>
                <w:bCs w:val="0"/>
                <w:color w:val="090D46" w:themeColor="text1"/>
                <w:sz w:val="18"/>
                <w:szCs w:val="18"/>
              </w:rPr>
              <w:t>NO</w:t>
            </w:r>
          </w:p>
        </w:tc>
        <w:tc>
          <w:tcPr>
            <w:tcW w:w="276" w:type="pct"/>
            <w:hideMark/>
          </w:tcPr>
          <w:p w14:paraId="3CBA6B8F" w14:textId="77777777" w:rsidR="00E72752" w:rsidRPr="000E2CC6" w:rsidRDefault="00E72752" w:rsidP="000E2CC6">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E2CC6">
              <w:rPr>
                <w:bCs w:val="0"/>
                <w:color w:val="090D46" w:themeColor="text1"/>
                <w:sz w:val="18"/>
                <w:szCs w:val="18"/>
              </w:rPr>
              <w:t>N/A</w:t>
            </w:r>
          </w:p>
        </w:tc>
      </w:tr>
      <w:tr w:rsidR="00E72752" w14:paraId="1E688B15" w14:textId="77777777" w:rsidTr="000E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FB719E1" w14:textId="77777777" w:rsidR="00E72752" w:rsidRPr="000E2CC6" w:rsidRDefault="00E72752" w:rsidP="009C7A83">
            <w:pPr>
              <w:pStyle w:val="Tableheading"/>
              <w:rPr>
                <w:b/>
                <w:bCs w:val="0"/>
                <w:color w:val="FFFFFF" w:themeColor="background1"/>
                <w:sz w:val="18"/>
                <w:szCs w:val="18"/>
              </w:rPr>
            </w:pPr>
            <w:r w:rsidRPr="000E2CC6">
              <w:rPr>
                <w:b/>
                <w:bCs w:val="0"/>
                <w:color w:val="FFFFFF" w:themeColor="background1"/>
                <w:sz w:val="18"/>
                <w:szCs w:val="18"/>
              </w:rPr>
              <w:t>RELATED PARTY AT CALL LOANS</w:t>
            </w:r>
          </w:p>
        </w:tc>
      </w:tr>
      <w:tr w:rsidR="00E72752" w14:paraId="6090F15B" w14:textId="77777777" w:rsidTr="00484621">
        <w:tc>
          <w:tcPr>
            <w:cnfStyle w:val="001000000000" w:firstRow="0" w:lastRow="0" w:firstColumn="1" w:lastColumn="0" w:oddVBand="0" w:evenVBand="0" w:oddHBand="0" w:evenHBand="0" w:firstRowFirstColumn="0" w:firstRowLastColumn="0" w:lastRowFirstColumn="0" w:lastRowLastColumn="0"/>
            <w:tcW w:w="4120" w:type="pct"/>
            <w:hideMark/>
          </w:tcPr>
          <w:p w14:paraId="0F1E6E87" w14:textId="77777777" w:rsidR="00E72752" w:rsidRDefault="00E72752" w:rsidP="009C7A83">
            <w:pPr>
              <w:pStyle w:val="Table"/>
              <w:spacing w:before="100" w:after="100"/>
              <w:rPr>
                <w:rFonts w:asciiTheme="minorHAnsi" w:hAnsiTheme="minorHAnsi" w:cstheme="minorHAnsi"/>
                <w:color w:val="090D46" w:themeColor="text1"/>
                <w:sz w:val="18"/>
                <w:szCs w:val="18"/>
              </w:rPr>
            </w:pPr>
            <w:r w:rsidRPr="00484621">
              <w:rPr>
                <w:rFonts w:asciiTheme="minorHAnsi" w:hAnsiTheme="minorHAnsi" w:cstheme="minorHAnsi"/>
                <w:b w:val="0"/>
                <w:bCs w:val="0"/>
                <w:color w:val="090D46" w:themeColor="text1"/>
                <w:sz w:val="18"/>
                <w:szCs w:val="18"/>
              </w:rPr>
              <w:t xml:space="preserve">Determine whether any interest deductions on financial interests issued by a company may be denied </w:t>
            </w:r>
            <w:proofErr w:type="gramStart"/>
            <w:r w:rsidRPr="00484621">
              <w:rPr>
                <w:rFonts w:asciiTheme="minorHAnsi" w:hAnsiTheme="minorHAnsi" w:cstheme="minorHAnsi"/>
                <w:b w:val="0"/>
                <w:bCs w:val="0"/>
                <w:color w:val="090D46" w:themeColor="text1"/>
                <w:sz w:val="18"/>
                <w:szCs w:val="18"/>
              </w:rPr>
              <w:t>as a result of</w:t>
            </w:r>
            <w:proofErr w:type="gramEnd"/>
            <w:r w:rsidRPr="00484621">
              <w:rPr>
                <w:rFonts w:asciiTheme="minorHAnsi" w:hAnsiTheme="minorHAnsi" w:cstheme="minorHAnsi"/>
                <w:b w:val="0"/>
                <w:bCs w:val="0"/>
                <w:color w:val="090D46" w:themeColor="text1"/>
                <w:sz w:val="18"/>
                <w:szCs w:val="18"/>
              </w:rPr>
              <w:t xml:space="preserve"> loans or other debt instruments being reclassified as equity for income tax purposes (see Subdivision 974-B of the </w:t>
            </w:r>
            <w:r w:rsidRPr="006B320A">
              <w:rPr>
                <w:rFonts w:asciiTheme="minorHAnsi" w:hAnsiTheme="minorHAnsi" w:cstheme="minorHAnsi"/>
                <w:iCs/>
                <w:color w:val="090D46" w:themeColor="text1"/>
                <w:sz w:val="18"/>
                <w:szCs w:val="18"/>
              </w:rPr>
              <w:t>ITAA 1997</w:t>
            </w:r>
            <w:r w:rsidRPr="00B054B8">
              <w:rPr>
                <w:rFonts w:asciiTheme="minorHAnsi" w:hAnsiTheme="minorHAnsi" w:cstheme="minorHAnsi"/>
                <w:b w:val="0"/>
                <w:bCs w:val="0"/>
                <w:iCs/>
                <w:color w:val="090D46" w:themeColor="text1"/>
                <w:sz w:val="18"/>
                <w:szCs w:val="18"/>
              </w:rPr>
              <w:t>).</w:t>
            </w:r>
            <w:r w:rsidRPr="00484621">
              <w:rPr>
                <w:rFonts w:asciiTheme="minorHAnsi" w:hAnsiTheme="minorHAnsi" w:cstheme="minorHAnsi"/>
                <w:b w:val="0"/>
                <w:bCs w:val="0"/>
                <w:color w:val="090D46" w:themeColor="text1"/>
                <w:sz w:val="18"/>
                <w:szCs w:val="18"/>
              </w:rPr>
              <w:t xml:space="preserve"> Distributions on non-share equity interests may be frankable.</w:t>
            </w:r>
          </w:p>
          <w:p w14:paraId="6DEEEE1D" w14:textId="77777777" w:rsidR="00B054B8" w:rsidRPr="00484621" w:rsidRDefault="00B054B8" w:rsidP="00B054B8">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Ascertain whether:</w:t>
            </w:r>
          </w:p>
          <w:p w14:paraId="0231BF3B" w14:textId="77777777" w:rsidR="00B054B8" w:rsidRPr="007D330B" w:rsidRDefault="00B054B8" w:rsidP="00B054B8">
            <w:pPr>
              <w:pStyle w:val="Table"/>
              <w:numPr>
                <w:ilvl w:val="0"/>
                <w:numId w:val="7"/>
              </w:numPr>
              <w:spacing w:before="100" w:after="100"/>
              <w:outlineLvl w:val="5"/>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the carve-out for companies with less than $20 million turnover applied during the current year so that an at call loan for an indefinite term from a connected entity is treated as a debt interest or</w:t>
            </w:r>
          </w:p>
          <w:p w14:paraId="4981F51A" w14:textId="77777777" w:rsidR="00B054B8" w:rsidRPr="007D330B" w:rsidRDefault="00B054B8" w:rsidP="00B054B8">
            <w:pPr>
              <w:pStyle w:val="Table"/>
              <w:numPr>
                <w:ilvl w:val="0"/>
                <w:numId w:val="7"/>
              </w:numPr>
              <w:spacing w:before="100" w:after="100"/>
              <w:outlineLvl w:val="5"/>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whether any at call loans should be put under a written loan agreement to specify the terms and duration of the loan which will help to determine if the loan is a debt or equity interest for income tax purposes.</w:t>
            </w:r>
          </w:p>
          <w:p w14:paraId="19A4C8E8" w14:textId="77777777" w:rsidR="00B054B8" w:rsidRPr="00484621" w:rsidRDefault="00B054B8" w:rsidP="00B054B8">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 xml:space="preserve">The calculation of a company’s $20 million turnover is worked out at the end of each year and will be based on the calculation of the company’s turnover for GST purposes (being a GST exclusive amount) as required under section 974-75(6) of the </w:t>
            </w:r>
            <w:r w:rsidRPr="00484621">
              <w:rPr>
                <w:rFonts w:asciiTheme="minorHAnsi" w:hAnsiTheme="minorHAnsi" w:cstheme="minorHAnsi"/>
                <w:b w:val="0"/>
                <w:bCs w:val="0"/>
                <w:i/>
                <w:color w:val="090D46" w:themeColor="text1"/>
                <w:sz w:val="18"/>
                <w:szCs w:val="18"/>
              </w:rPr>
              <w:t>ITAA 1997</w:t>
            </w:r>
            <w:r w:rsidRPr="00484621">
              <w:rPr>
                <w:rFonts w:asciiTheme="minorHAnsi" w:hAnsiTheme="minorHAnsi" w:cstheme="minorHAnsi"/>
                <w:b w:val="0"/>
                <w:bCs w:val="0"/>
                <w:color w:val="090D46" w:themeColor="text1"/>
                <w:sz w:val="18"/>
                <w:szCs w:val="18"/>
              </w:rPr>
              <w:t xml:space="preserve">.  </w:t>
            </w:r>
          </w:p>
          <w:p w14:paraId="61BC2A52" w14:textId="77777777" w:rsidR="00B054B8" w:rsidRPr="00484621" w:rsidRDefault="00B054B8" w:rsidP="00B054B8">
            <w:pPr>
              <w:pStyle w:val="Table"/>
              <w:spacing w:before="100" w:after="100"/>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Review new loans made to the company during the financial year by connected entity (</w:t>
            </w:r>
            <w:proofErr w:type="gramStart"/>
            <w:r w:rsidRPr="00484621">
              <w:rPr>
                <w:rFonts w:asciiTheme="minorHAnsi" w:hAnsiTheme="minorHAnsi" w:cstheme="minorHAnsi"/>
                <w:b w:val="0"/>
                <w:bCs w:val="0"/>
                <w:color w:val="090D46" w:themeColor="text1"/>
                <w:sz w:val="18"/>
                <w:szCs w:val="18"/>
              </w:rPr>
              <w:t>e.g.</w:t>
            </w:r>
            <w:proofErr w:type="gramEnd"/>
            <w:r w:rsidRPr="00484621">
              <w:rPr>
                <w:rFonts w:asciiTheme="minorHAnsi" w:hAnsiTheme="minorHAnsi" w:cstheme="minorHAnsi"/>
                <w:b w:val="0"/>
                <w:bCs w:val="0"/>
                <w:color w:val="090D46" w:themeColor="text1"/>
                <w:sz w:val="18"/>
                <w:szCs w:val="18"/>
              </w:rPr>
              <w:t xml:space="preserve"> shareholder) and any amendments to existing loan arrangements from any connected entity to ensure that they are appropriately categorised as debt interests under the debt and equity rules contained in Subdivision 974-B of the </w:t>
            </w:r>
            <w:r w:rsidRPr="00484621">
              <w:rPr>
                <w:rFonts w:asciiTheme="minorHAnsi" w:hAnsiTheme="minorHAnsi" w:cstheme="minorHAnsi"/>
                <w:b w:val="0"/>
                <w:bCs w:val="0"/>
                <w:i/>
                <w:color w:val="090D46" w:themeColor="text1"/>
                <w:sz w:val="18"/>
                <w:szCs w:val="18"/>
              </w:rPr>
              <w:t>ITAA 1997</w:t>
            </w:r>
            <w:r w:rsidRPr="00484621">
              <w:rPr>
                <w:rFonts w:asciiTheme="minorHAnsi" w:hAnsiTheme="minorHAnsi" w:cstheme="minorHAnsi"/>
                <w:b w:val="0"/>
                <w:bCs w:val="0"/>
                <w:color w:val="090D46" w:themeColor="text1"/>
                <w:sz w:val="18"/>
                <w:szCs w:val="18"/>
              </w:rPr>
              <w:t xml:space="preserve"> prior to yearend.</w:t>
            </w:r>
          </w:p>
          <w:p w14:paraId="0AB074EB" w14:textId="77777777" w:rsidR="00B054B8" w:rsidRPr="00484621" w:rsidRDefault="00B054B8" w:rsidP="00B054B8">
            <w:pPr>
              <w:pStyle w:val="Table"/>
              <w:spacing w:before="100" w:after="100"/>
              <w:outlineLvl w:val="5"/>
              <w:rPr>
                <w:rFonts w:asciiTheme="minorHAnsi" w:hAnsiTheme="minorHAnsi" w:cstheme="minorHAnsi"/>
                <w:b w:val="0"/>
                <w:bCs w:val="0"/>
                <w:color w:val="090D46" w:themeColor="text1"/>
                <w:sz w:val="18"/>
                <w:szCs w:val="18"/>
              </w:rPr>
            </w:pPr>
            <w:r w:rsidRPr="00484621">
              <w:rPr>
                <w:rFonts w:asciiTheme="minorHAnsi" w:hAnsiTheme="minorHAnsi" w:cstheme="minorHAnsi"/>
                <w:b w:val="0"/>
                <w:bCs w:val="0"/>
                <w:color w:val="090D46" w:themeColor="text1"/>
                <w:sz w:val="18"/>
                <w:szCs w:val="18"/>
              </w:rPr>
              <w:t>Where a company has an instrument which satisfies the debt test in Division 974, confirm whether section 25-85 of the ITAA 1997 is applicable, and if so, whether the benchmark rate of return is breached.</w:t>
            </w:r>
          </w:p>
          <w:p w14:paraId="2BAC5CE7" w14:textId="77777777" w:rsidR="00B054B8" w:rsidRPr="00484621" w:rsidRDefault="00B054B8" w:rsidP="009C7A83">
            <w:pPr>
              <w:pStyle w:val="Table"/>
              <w:spacing w:before="100" w:after="100"/>
              <w:rPr>
                <w:rFonts w:asciiTheme="minorHAnsi" w:hAnsiTheme="minorHAnsi" w:cstheme="minorHAnsi"/>
                <w:b w:val="0"/>
                <w:bCs w:val="0"/>
                <w:color w:val="090D46" w:themeColor="text1"/>
                <w:sz w:val="18"/>
                <w:szCs w:val="18"/>
              </w:rPr>
            </w:pPr>
          </w:p>
        </w:tc>
        <w:tc>
          <w:tcPr>
            <w:tcW w:w="335" w:type="pct"/>
          </w:tcPr>
          <w:p w14:paraId="0E74CD35"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31F12214"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0AB5191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7444D" w14:paraId="20948C5F" w14:textId="77777777" w:rsidTr="00D74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3332B2D" w14:textId="77777777" w:rsidR="00D7444D" w:rsidRDefault="00D7444D" w:rsidP="00D7444D">
            <w:pPr>
              <w:pStyle w:val="Table"/>
              <w:spacing w:before="100" w:after="100"/>
              <w:rPr>
                <w:b w:val="0"/>
                <w:bCs w:val="0"/>
                <w:sz w:val="18"/>
                <w:szCs w:val="18"/>
              </w:rPr>
            </w:pPr>
            <w:r>
              <w:rPr>
                <w:sz w:val="18"/>
                <w:szCs w:val="18"/>
              </w:rPr>
              <w:t>Comments:</w:t>
            </w:r>
          </w:p>
          <w:p w14:paraId="00D68E17" w14:textId="77777777" w:rsidR="00CB4DAD" w:rsidRPr="00E93292" w:rsidRDefault="00CB4DAD" w:rsidP="00D7444D">
            <w:pPr>
              <w:pStyle w:val="Table"/>
              <w:spacing w:before="100" w:after="100"/>
              <w:rPr>
                <w:b w:val="0"/>
                <w:bCs w:val="0"/>
                <w:sz w:val="18"/>
                <w:szCs w:val="18"/>
              </w:rPr>
            </w:pPr>
          </w:p>
          <w:p w14:paraId="389190E6" w14:textId="77777777" w:rsidR="00CB4DAD" w:rsidRPr="006E39AA" w:rsidRDefault="00CB4DAD" w:rsidP="00D7444D">
            <w:pPr>
              <w:pStyle w:val="Table"/>
              <w:spacing w:before="100" w:after="100"/>
              <w:rPr>
                <w:b w:val="0"/>
                <w:bCs w:val="0"/>
                <w:sz w:val="18"/>
                <w:szCs w:val="18"/>
              </w:rPr>
            </w:pPr>
          </w:p>
          <w:p w14:paraId="703FC8BF" w14:textId="77777777" w:rsidR="00E93292" w:rsidRPr="00E93292" w:rsidRDefault="00E93292" w:rsidP="00D7444D">
            <w:pPr>
              <w:pStyle w:val="Table"/>
              <w:spacing w:before="100" w:after="100"/>
              <w:rPr>
                <w:b w:val="0"/>
                <w:bCs w:val="0"/>
                <w:sz w:val="18"/>
                <w:szCs w:val="18"/>
              </w:rPr>
            </w:pPr>
          </w:p>
          <w:p w14:paraId="6D8BA061" w14:textId="0223F599" w:rsidR="00CB4DAD" w:rsidRDefault="00CB4DAD" w:rsidP="00D7444D">
            <w:pPr>
              <w:pStyle w:val="Table"/>
              <w:spacing w:before="100" w:after="100"/>
              <w:rPr>
                <w:sz w:val="18"/>
                <w:szCs w:val="18"/>
              </w:rPr>
            </w:pPr>
          </w:p>
        </w:tc>
      </w:tr>
    </w:tbl>
    <w:p w14:paraId="29C67ADA" w14:textId="3C0CEC6A" w:rsidR="00E93292" w:rsidRDefault="00E93292"/>
    <w:p w14:paraId="785A521C" w14:textId="203D4A6A" w:rsidR="00E93292" w:rsidRDefault="00E93292">
      <w:r>
        <w:br w:type="page"/>
      </w:r>
    </w:p>
    <w:p w14:paraId="6A5C9953" w14:textId="77777777" w:rsidR="009446A2" w:rsidRDefault="009446A2"/>
    <w:tbl>
      <w:tblPr>
        <w:tblStyle w:val="RACVTable"/>
        <w:tblW w:w="5200" w:type="pct"/>
        <w:tblLook w:val="00A0" w:firstRow="1" w:lastRow="0" w:firstColumn="1" w:lastColumn="0" w:noHBand="0" w:noVBand="0"/>
      </w:tblPr>
      <w:tblGrid>
        <w:gridCol w:w="8562"/>
        <w:gridCol w:w="699"/>
        <w:gridCol w:w="562"/>
        <w:gridCol w:w="554"/>
      </w:tblGrid>
      <w:tr w:rsidR="00E72752" w14:paraId="5206E0E4" w14:textId="77777777" w:rsidTr="0077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pct"/>
            <w:hideMark/>
          </w:tcPr>
          <w:p w14:paraId="237C0A70" w14:textId="77777777" w:rsidR="00E72752" w:rsidRPr="00773A82" w:rsidRDefault="00E72752" w:rsidP="00773A82">
            <w:pPr>
              <w:pStyle w:val="Table"/>
              <w:spacing w:before="100" w:after="100"/>
              <w:rPr>
                <w:bCs w:val="0"/>
                <w:color w:val="090D46" w:themeColor="text1"/>
                <w:sz w:val="18"/>
                <w:szCs w:val="18"/>
              </w:rPr>
            </w:pPr>
            <w:r w:rsidRPr="00773A82">
              <w:rPr>
                <w:bCs w:val="0"/>
                <w:color w:val="090D46" w:themeColor="text1"/>
                <w:sz w:val="18"/>
                <w:szCs w:val="18"/>
              </w:rPr>
              <w:br w:type="page"/>
            </w:r>
            <w:r w:rsidRPr="00773A82">
              <w:rPr>
                <w:bCs w:val="0"/>
                <w:color w:val="090D46" w:themeColor="text1"/>
                <w:sz w:val="18"/>
                <w:szCs w:val="18"/>
              </w:rPr>
              <w:br w:type="page"/>
              <w:t>DEBT ISSUES</w:t>
            </w:r>
          </w:p>
        </w:tc>
        <w:tc>
          <w:tcPr>
            <w:tcW w:w="337" w:type="pct"/>
            <w:hideMark/>
          </w:tcPr>
          <w:p w14:paraId="68A93B29" w14:textId="77777777" w:rsidR="00E72752" w:rsidRPr="00773A82" w:rsidRDefault="00E72752" w:rsidP="00773A82">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773A82">
              <w:rPr>
                <w:color w:val="090D46" w:themeColor="text1"/>
                <w:sz w:val="18"/>
                <w:szCs w:val="18"/>
              </w:rPr>
              <w:t>YES</w:t>
            </w:r>
          </w:p>
        </w:tc>
        <w:tc>
          <w:tcPr>
            <w:tcW w:w="271" w:type="pct"/>
            <w:hideMark/>
          </w:tcPr>
          <w:p w14:paraId="3F4F70E2" w14:textId="77777777" w:rsidR="00E72752" w:rsidRPr="00773A82" w:rsidRDefault="00E72752" w:rsidP="00773A82">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773A82">
              <w:rPr>
                <w:color w:val="090D46" w:themeColor="text1"/>
                <w:sz w:val="18"/>
                <w:szCs w:val="18"/>
              </w:rPr>
              <w:t>NO</w:t>
            </w:r>
          </w:p>
        </w:tc>
        <w:tc>
          <w:tcPr>
            <w:tcW w:w="267" w:type="pct"/>
            <w:hideMark/>
          </w:tcPr>
          <w:p w14:paraId="65AA5189" w14:textId="77777777" w:rsidR="00E72752" w:rsidRPr="00773A82" w:rsidRDefault="00E72752" w:rsidP="00773A82">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773A82">
              <w:rPr>
                <w:color w:val="090D46" w:themeColor="text1"/>
                <w:sz w:val="18"/>
                <w:szCs w:val="18"/>
              </w:rPr>
              <w:t>N/A</w:t>
            </w:r>
          </w:p>
        </w:tc>
      </w:tr>
      <w:tr w:rsidR="00E72752" w14:paraId="1136DEAF" w14:textId="77777777" w:rsidTr="007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CEE68C9" w14:textId="77777777" w:rsidR="00E72752" w:rsidRPr="00773A82" w:rsidRDefault="00E72752" w:rsidP="009C7A83">
            <w:pPr>
              <w:pStyle w:val="Tableheading"/>
              <w:rPr>
                <w:b/>
                <w:bCs w:val="0"/>
                <w:color w:val="FFFFFF" w:themeColor="background1"/>
                <w:sz w:val="18"/>
                <w:szCs w:val="18"/>
              </w:rPr>
            </w:pPr>
            <w:r w:rsidRPr="00773A82">
              <w:rPr>
                <w:b/>
                <w:bCs w:val="0"/>
                <w:color w:val="FFFFFF" w:themeColor="background1"/>
                <w:sz w:val="18"/>
                <w:szCs w:val="18"/>
              </w:rPr>
              <w:t>THIN CAPITALISATION</w:t>
            </w:r>
          </w:p>
        </w:tc>
      </w:tr>
      <w:tr w:rsidR="00E72752" w14:paraId="0B8AB907" w14:textId="77777777" w:rsidTr="00773A82">
        <w:tc>
          <w:tcPr>
            <w:cnfStyle w:val="001000000000" w:firstRow="0" w:lastRow="0" w:firstColumn="1" w:lastColumn="0" w:oddVBand="0" w:evenVBand="0" w:oddHBand="0" w:evenHBand="0" w:firstRowFirstColumn="0" w:firstRowLastColumn="0" w:lastRowFirstColumn="0" w:lastRowLastColumn="0"/>
            <w:tcW w:w="4125" w:type="pct"/>
            <w:hideMark/>
          </w:tcPr>
          <w:p w14:paraId="01099633" w14:textId="12BB797F" w:rsidR="00E72752" w:rsidRPr="00773A82" w:rsidRDefault="00E72752" w:rsidP="00211159">
            <w:pPr>
              <w:spacing w:after="0"/>
              <w:rPr>
                <w:b w:val="0"/>
                <w:bCs w:val="0"/>
              </w:rPr>
            </w:pPr>
            <w:r w:rsidRPr="00773A82">
              <w:rPr>
                <w:b w:val="0"/>
                <w:bCs w:val="0"/>
              </w:rPr>
              <w:t xml:space="preserve">Consider whether an Australian resident taxpayer’s foreign assets represent less than 10% of its total assets. If so, the exemption in section 820-37 of the </w:t>
            </w:r>
            <w:r w:rsidRPr="006B320A">
              <w:rPr>
                <w:iCs/>
              </w:rPr>
              <w:t>ITAA 1997</w:t>
            </w:r>
            <w:r w:rsidRPr="00773A82">
              <w:rPr>
                <w:b w:val="0"/>
                <w:bCs w:val="0"/>
              </w:rPr>
              <w:t xml:space="preserve"> may apply</w:t>
            </w:r>
            <w:r w:rsidR="00734FB8">
              <w:rPr>
                <w:b w:val="0"/>
                <w:bCs w:val="0"/>
              </w:rPr>
              <w:t xml:space="preserve"> if the entity is an outward investor</w:t>
            </w:r>
            <w:r w:rsidRPr="00773A82">
              <w:rPr>
                <w:b w:val="0"/>
                <w:bCs w:val="0"/>
              </w:rPr>
              <w:t>.</w:t>
            </w:r>
          </w:p>
        </w:tc>
        <w:tc>
          <w:tcPr>
            <w:tcW w:w="337" w:type="pct"/>
          </w:tcPr>
          <w:p w14:paraId="67D3E5F6" w14:textId="77777777" w:rsidR="00E72752" w:rsidRPr="00773A82" w:rsidRDefault="00E72752" w:rsidP="00211159">
            <w:pPr>
              <w:spacing w:after="0"/>
              <w:cnfStyle w:val="000000000000" w:firstRow="0" w:lastRow="0" w:firstColumn="0" w:lastColumn="0" w:oddVBand="0" w:evenVBand="0" w:oddHBand="0" w:evenHBand="0" w:firstRowFirstColumn="0" w:firstRowLastColumn="0" w:lastRowFirstColumn="0" w:lastRowLastColumn="0"/>
            </w:pPr>
          </w:p>
        </w:tc>
        <w:tc>
          <w:tcPr>
            <w:tcW w:w="271" w:type="pct"/>
          </w:tcPr>
          <w:p w14:paraId="4729FA7D" w14:textId="77777777" w:rsidR="00E72752" w:rsidRPr="00773A82" w:rsidRDefault="00E72752" w:rsidP="00211159">
            <w:pPr>
              <w:spacing w:after="0"/>
              <w:cnfStyle w:val="000000000000" w:firstRow="0" w:lastRow="0" w:firstColumn="0" w:lastColumn="0" w:oddVBand="0" w:evenVBand="0" w:oddHBand="0" w:evenHBand="0" w:firstRowFirstColumn="0" w:firstRowLastColumn="0" w:lastRowFirstColumn="0" w:lastRowLastColumn="0"/>
            </w:pPr>
          </w:p>
        </w:tc>
        <w:tc>
          <w:tcPr>
            <w:tcW w:w="267" w:type="pct"/>
          </w:tcPr>
          <w:p w14:paraId="307B76D6" w14:textId="77777777" w:rsidR="00E72752" w:rsidRPr="00773A82" w:rsidRDefault="00E72752" w:rsidP="00211159">
            <w:pPr>
              <w:spacing w:after="0"/>
              <w:cnfStyle w:val="000000000000" w:firstRow="0" w:lastRow="0" w:firstColumn="0" w:lastColumn="0" w:oddVBand="0" w:evenVBand="0" w:oddHBand="0" w:evenHBand="0" w:firstRowFirstColumn="0" w:firstRowLastColumn="0" w:lastRowFirstColumn="0" w:lastRowLastColumn="0"/>
            </w:pPr>
          </w:p>
        </w:tc>
      </w:tr>
      <w:tr w:rsidR="00E72752" w14:paraId="50E31D7E"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3E8E761" w14:textId="77777777" w:rsidR="00E72752" w:rsidRPr="00773A82" w:rsidRDefault="00E72752" w:rsidP="00211159">
            <w:pPr>
              <w:spacing w:before="0" w:after="0"/>
              <w:rPr>
                <w:b w:val="0"/>
                <w:bCs w:val="0"/>
              </w:rPr>
            </w:pPr>
            <w:r w:rsidRPr="00773A82">
              <w:rPr>
                <w:b w:val="0"/>
                <w:bCs w:val="0"/>
              </w:rPr>
              <w:t xml:space="preserve">Consider whether the sum of the taxpayer’s debt deductions together with those of its associate entities is $2 million or less in the year of income. If so, the exemption in section 820-35 of the </w:t>
            </w:r>
            <w:r w:rsidRPr="006B320A">
              <w:rPr>
                <w:iCs/>
              </w:rPr>
              <w:t>ITAA 1997</w:t>
            </w:r>
            <w:r w:rsidRPr="00773A82">
              <w:rPr>
                <w:b w:val="0"/>
                <w:bCs w:val="0"/>
              </w:rPr>
              <w:t xml:space="preserve"> may apply. Refer to Taxation Determination TD 2019/12 for the ATO’s views as to the type of costs covered by debt deductions.</w:t>
            </w:r>
          </w:p>
        </w:tc>
        <w:tc>
          <w:tcPr>
            <w:tcW w:w="0" w:type="pct"/>
            <w:shd w:val="clear" w:color="auto" w:fill="auto"/>
          </w:tcPr>
          <w:p w14:paraId="79016A06" w14:textId="77777777" w:rsidR="00E72752" w:rsidRPr="00773A82" w:rsidRDefault="00E72752" w:rsidP="00211159">
            <w:pPr>
              <w:spacing w:before="0" w:after="0"/>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464D56B3" w14:textId="77777777" w:rsidR="00E72752" w:rsidRPr="00773A82" w:rsidRDefault="00E72752" w:rsidP="00211159">
            <w:pPr>
              <w:spacing w:before="0" w:after="0"/>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2003E7DF" w14:textId="77777777" w:rsidR="00E72752" w:rsidRPr="00773A82" w:rsidRDefault="00E72752" w:rsidP="00211159">
            <w:pPr>
              <w:spacing w:before="0" w:after="0"/>
              <w:cnfStyle w:val="000000100000" w:firstRow="0" w:lastRow="0" w:firstColumn="0" w:lastColumn="0" w:oddVBand="0" w:evenVBand="0" w:oddHBand="1" w:evenHBand="0" w:firstRowFirstColumn="0" w:firstRowLastColumn="0" w:lastRowFirstColumn="0" w:lastRowLastColumn="0"/>
            </w:pPr>
          </w:p>
        </w:tc>
      </w:tr>
      <w:tr w:rsidR="00E72752" w14:paraId="2D24319E" w14:textId="77777777" w:rsidTr="006B320A">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3EF4F8E" w14:textId="77777777" w:rsidR="00E72752" w:rsidRPr="00773A82" w:rsidRDefault="00E72752" w:rsidP="00211159">
            <w:pPr>
              <w:spacing w:before="0" w:after="0"/>
              <w:rPr>
                <w:b w:val="0"/>
                <w:bCs w:val="0"/>
              </w:rPr>
            </w:pPr>
            <w:r w:rsidRPr="00773A82">
              <w:rPr>
                <w:b w:val="0"/>
                <w:bCs w:val="0"/>
              </w:rPr>
              <w:t xml:space="preserve">Consider whether the taxpayer should seek to reduce the incurrence of ‘debt deductions’ coming up to year end to qualify under the de </w:t>
            </w:r>
            <w:proofErr w:type="spellStart"/>
            <w:r w:rsidRPr="00773A82">
              <w:rPr>
                <w:b w:val="0"/>
                <w:bCs w:val="0"/>
              </w:rPr>
              <w:t>minimus</w:t>
            </w:r>
            <w:proofErr w:type="spellEnd"/>
            <w:r w:rsidRPr="00773A82">
              <w:rPr>
                <w:b w:val="0"/>
                <w:bCs w:val="0"/>
              </w:rPr>
              <w:t xml:space="preserve"> rule, currently set at $2 million.</w:t>
            </w:r>
          </w:p>
        </w:tc>
        <w:tc>
          <w:tcPr>
            <w:tcW w:w="0" w:type="pct"/>
            <w:shd w:val="clear" w:color="auto" w:fill="auto"/>
          </w:tcPr>
          <w:p w14:paraId="7ECBB9D2" w14:textId="77777777" w:rsidR="00E72752" w:rsidRPr="00773A82" w:rsidRDefault="00E72752" w:rsidP="00211159">
            <w:pPr>
              <w:spacing w:before="0" w:after="0"/>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tcPr>
          <w:p w14:paraId="68A4B92E" w14:textId="77777777" w:rsidR="00E72752" w:rsidRPr="00773A82" w:rsidRDefault="00E72752" w:rsidP="00211159">
            <w:pPr>
              <w:spacing w:before="0" w:after="0"/>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tcPr>
          <w:p w14:paraId="1260F859" w14:textId="77777777" w:rsidR="00E72752" w:rsidRPr="00773A82" w:rsidRDefault="00E72752" w:rsidP="00211159">
            <w:pPr>
              <w:spacing w:before="0" w:after="0"/>
              <w:cnfStyle w:val="000000000000" w:firstRow="0" w:lastRow="0" w:firstColumn="0" w:lastColumn="0" w:oddVBand="0" w:evenVBand="0" w:oddHBand="0" w:evenHBand="0" w:firstRowFirstColumn="0" w:firstRowLastColumn="0" w:lastRowFirstColumn="0" w:lastRowLastColumn="0"/>
            </w:pPr>
          </w:p>
        </w:tc>
      </w:tr>
      <w:tr w:rsidR="00E72752" w14:paraId="669E6AE6"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0905895" w14:textId="06ACC289" w:rsidR="00AE5C84" w:rsidRPr="00773A82" w:rsidRDefault="00E72752" w:rsidP="00211159">
            <w:pPr>
              <w:spacing w:before="0" w:after="0"/>
              <w:rPr>
                <w:b w:val="0"/>
                <w:bCs w:val="0"/>
              </w:rPr>
            </w:pPr>
            <w:r w:rsidRPr="00773A82">
              <w:rPr>
                <w:b w:val="0"/>
                <w:bCs w:val="0"/>
              </w:rPr>
              <w:t xml:space="preserve">Consider any current year asset impairments and consequential reduction in </w:t>
            </w:r>
            <w:r w:rsidR="001F7AF2">
              <w:rPr>
                <w:b w:val="0"/>
                <w:bCs w:val="0"/>
              </w:rPr>
              <w:t>the relevant</w:t>
            </w:r>
            <w:r w:rsidR="00AE5C84">
              <w:rPr>
                <w:b w:val="0"/>
                <w:bCs w:val="0"/>
              </w:rPr>
              <w:t xml:space="preserve"> </w:t>
            </w:r>
            <w:r w:rsidR="001F7AF2">
              <w:rPr>
                <w:b w:val="0"/>
                <w:bCs w:val="0"/>
              </w:rPr>
              <w:t xml:space="preserve">thin capitalisation test </w:t>
            </w:r>
            <w:r w:rsidR="00AE5C84">
              <w:rPr>
                <w:b w:val="0"/>
                <w:bCs w:val="0"/>
              </w:rPr>
              <w:t xml:space="preserve">debt </w:t>
            </w:r>
            <w:r w:rsidR="001F7AF2">
              <w:rPr>
                <w:b w:val="0"/>
                <w:bCs w:val="0"/>
              </w:rPr>
              <w:t xml:space="preserve">limit, being under either the fixed ratio test, group ratio test or </w:t>
            </w:r>
            <w:proofErr w:type="gramStart"/>
            <w:r w:rsidR="001F7AF2">
              <w:rPr>
                <w:b w:val="0"/>
                <w:bCs w:val="0"/>
              </w:rPr>
              <w:t>third party</w:t>
            </w:r>
            <w:proofErr w:type="gramEnd"/>
            <w:r w:rsidR="001F7AF2">
              <w:rPr>
                <w:b w:val="0"/>
                <w:bCs w:val="0"/>
              </w:rPr>
              <w:t xml:space="preserve"> debt test.</w:t>
            </w:r>
          </w:p>
        </w:tc>
        <w:tc>
          <w:tcPr>
            <w:tcW w:w="0" w:type="pct"/>
            <w:shd w:val="clear" w:color="auto" w:fill="auto"/>
          </w:tcPr>
          <w:p w14:paraId="1CA33255" w14:textId="77777777" w:rsidR="00E72752" w:rsidRPr="00773A82" w:rsidRDefault="00E72752" w:rsidP="00211159">
            <w:pPr>
              <w:spacing w:before="0" w:after="0"/>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3BCEB76D" w14:textId="77777777" w:rsidR="00E72752" w:rsidRPr="00773A82" w:rsidRDefault="00E72752" w:rsidP="00211159">
            <w:pPr>
              <w:spacing w:before="0" w:after="0"/>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045FB48E" w14:textId="77777777" w:rsidR="00E72752" w:rsidRPr="00773A82" w:rsidRDefault="00E72752" w:rsidP="00211159">
            <w:pPr>
              <w:spacing w:before="0" w:after="0"/>
              <w:cnfStyle w:val="000000100000" w:firstRow="0" w:lastRow="0" w:firstColumn="0" w:lastColumn="0" w:oddVBand="0" w:evenVBand="0" w:oddHBand="1" w:evenHBand="0" w:firstRowFirstColumn="0" w:firstRowLastColumn="0" w:lastRowFirstColumn="0" w:lastRowLastColumn="0"/>
            </w:pPr>
          </w:p>
        </w:tc>
      </w:tr>
      <w:tr w:rsidR="00CB4DAD" w14:paraId="78A5E936" w14:textId="77777777" w:rsidTr="006B320A">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677E60D" w14:textId="77777777" w:rsidR="00CB4DAD" w:rsidRPr="00FD288F" w:rsidRDefault="00CB4DAD" w:rsidP="00211159">
            <w:pPr>
              <w:spacing w:before="0"/>
              <w:rPr>
                <w:b w:val="0"/>
                <w:bCs w:val="0"/>
              </w:rPr>
            </w:pPr>
            <w:r w:rsidRPr="00773A82">
              <w:rPr>
                <w:b w:val="0"/>
                <w:bCs w:val="0"/>
              </w:rPr>
              <w:t xml:space="preserve">Consider the interaction of the thin capitalisation and transfer pricing provisions under Subdivision 815-B of the </w:t>
            </w:r>
            <w:r w:rsidRPr="006B320A">
              <w:rPr>
                <w:iCs/>
              </w:rPr>
              <w:t>ITAA 1997</w:t>
            </w:r>
            <w:r w:rsidRPr="00FD288F">
              <w:rPr>
                <w:b w:val="0"/>
                <w:bCs w:val="0"/>
                <w:i/>
              </w:rPr>
              <w:t xml:space="preserve"> </w:t>
            </w:r>
            <w:r w:rsidRPr="00FD288F">
              <w:rPr>
                <w:b w:val="0"/>
                <w:bCs w:val="0"/>
              </w:rPr>
              <w:t xml:space="preserve">on interest claimed on any cross-border related party debt.  </w:t>
            </w:r>
          </w:p>
          <w:p w14:paraId="20C15B2A" w14:textId="2358AEC8" w:rsidR="00CB4DAD" w:rsidRPr="00773A82" w:rsidRDefault="00CB4DAD" w:rsidP="00211159">
            <w:pPr>
              <w:spacing w:before="0" w:after="0"/>
              <w:rPr>
                <w:b w:val="0"/>
                <w:bCs w:val="0"/>
              </w:rPr>
            </w:pPr>
            <w:r w:rsidRPr="00FD288F">
              <w:rPr>
                <w:b w:val="0"/>
                <w:bCs w:val="0"/>
              </w:rPr>
              <w:t xml:space="preserve">Section 815-140 of the </w:t>
            </w:r>
            <w:r w:rsidRPr="006B320A">
              <w:rPr>
                <w:iCs/>
              </w:rPr>
              <w:t>ITAA 1997</w:t>
            </w:r>
            <w:r w:rsidRPr="00773A82">
              <w:rPr>
                <w:b w:val="0"/>
                <w:bCs w:val="0"/>
              </w:rPr>
              <w:t xml:space="preserve"> provides that the transfer pricing provisions under Subdivision 815-B may apply to reduce any interest rate charged on related party debt to an arm’s length amount which may result in reduced debt deductions. The thin capitalisation provisions under Division 820 of the </w:t>
            </w:r>
            <w:r w:rsidRPr="00773A82">
              <w:rPr>
                <w:b w:val="0"/>
                <w:bCs w:val="0"/>
                <w:i/>
              </w:rPr>
              <w:t>ITAA 1997</w:t>
            </w:r>
            <w:r w:rsidRPr="00773A82">
              <w:rPr>
                <w:b w:val="0"/>
                <w:bCs w:val="0"/>
              </w:rPr>
              <w:t xml:space="preserve"> are then applied after any transfer pricing benefit has been cancelled to determine whether an entity’s adjusted average debt exceeds its maximum allowable debt.</w:t>
            </w:r>
          </w:p>
        </w:tc>
        <w:tc>
          <w:tcPr>
            <w:tcW w:w="0" w:type="pct"/>
            <w:shd w:val="clear" w:color="auto" w:fill="auto"/>
          </w:tcPr>
          <w:p w14:paraId="34D316F3" w14:textId="77777777" w:rsidR="00CB4DAD" w:rsidRPr="00773A82" w:rsidRDefault="00CB4DAD" w:rsidP="00211159">
            <w:pPr>
              <w:spacing w:before="0"/>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tcPr>
          <w:p w14:paraId="21244710" w14:textId="77777777" w:rsidR="00CB4DAD" w:rsidRPr="00773A82" w:rsidRDefault="00CB4DAD" w:rsidP="00211159">
            <w:pPr>
              <w:spacing w:before="0"/>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tcPr>
          <w:p w14:paraId="07C7020A" w14:textId="77777777" w:rsidR="00CB4DAD" w:rsidRPr="00773A82" w:rsidRDefault="00CB4DAD" w:rsidP="00211159">
            <w:pPr>
              <w:spacing w:before="0"/>
              <w:cnfStyle w:val="000000000000" w:firstRow="0" w:lastRow="0" w:firstColumn="0" w:lastColumn="0" w:oddVBand="0" w:evenVBand="0" w:oddHBand="0" w:evenHBand="0" w:firstRowFirstColumn="0" w:firstRowLastColumn="0" w:lastRowFirstColumn="0" w:lastRowLastColumn="0"/>
            </w:pPr>
          </w:p>
        </w:tc>
      </w:tr>
      <w:tr w:rsidR="000C5A66" w14:paraId="117AE86D"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6820F9F5" w14:textId="77777777" w:rsidR="000C5A66" w:rsidRPr="00211159" w:rsidRDefault="000C5A66" w:rsidP="00211159">
            <w:pPr>
              <w:spacing w:before="0"/>
              <w:rPr>
                <w:b w:val="0"/>
                <w:bCs w:val="0"/>
              </w:rPr>
            </w:pPr>
            <w:r w:rsidRPr="00211159">
              <w:rPr>
                <w:b w:val="0"/>
                <w:bCs w:val="0"/>
              </w:rPr>
              <w:t>For income years commencing from 1 July 2023, new thin capitalisation rules apply to introduce new tests, being:</w:t>
            </w:r>
          </w:p>
          <w:p w14:paraId="54222550" w14:textId="77777777" w:rsidR="000C5A66" w:rsidRPr="00211159" w:rsidRDefault="000C5A66" w:rsidP="000C5A66">
            <w:pPr>
              <w:pStyle w:val="ListParagraph"/>
              <w:numPr>
                <w:ilvl w:val="0"/>
                <w:numId w:val="82"/>
              </w:numPr>
              <w:spacing w:before="60" w:after="60" w:line="269" w:lineRule="auto"/>
              <w:ind w:left="357" w:hanging="357"/>
              <w:contextualSpacing w:val="0"/>
              <w:rPr>
                <w:rFonts w:asciiTheme="minorHAnsi" w:hAnsiTheme="minorHAnsi" w:cstheme="minorHAnsi"/>
                <w:b w:val="0"/>
                <w:bCs w:val="0"/>
                <w:color w:val="090D46" w:themeColor="text1"/>
                <w:sz w:val="18"/>
              </w:rPr>
            </w:pPr>
            <w:r w:rsidRPr="00211159">
              <w:rPr>
                <w:rFonts w:asciiTheme="minorHAnsi" w:hAnsiTheme="minorHAnsi" w:cstheme="minorHAnsi"/>
                <w:b w:val="0"/>
                <w:bCs w:val="0"/>
                <w:color w:val="090D46" w:themeColor="text1"/>
                <w:sz w:val="18"/>
              </w:rPr>
              <w:t>Fixed Ratio Test (FRT)</w:t>
            </w:r>
          </w:p>
          <w:p w14:paraId="3CFE4AD3" w14:textId="77777777" w:rsidR="000C5A66" w:rsidRPr="00211159" w:rsidRDefault="000C5A66" w:rsidP="000C5A66">
            <w:pPr>
              <w:pStyle w:val="ListParagraph"/>
              <w:numPr>
                <w:ilvl w:val="0"/>
                <w:numId w:val="82"/>
              </w:numPr>
              <w:spacing w:before="60" w:after="60" w:line="269" w:lineRule="auto"/>
              <w:ind w:left="357" w:hanging="357"/>
              <w:contextualSpacing w:val="0"/>
              <w:rPr>
                <w:rFonts w:asciiTheme="minorHAnsi" w:hAnsiTheme="minorHAnsi" w:cstheme="minorHAnsi"/>
                <w:b w:val="0"/>
                <w:bCs w:val="0"/>
                <w:color w:val="090D46" w:themeColor="text1"/>
                <w:sz w:val="18"/>
              </w:rPr>
            </w:pPr>
            <w:r w:rsidRPr="00211159">
              <w:rPr>
                <w:rFonts w:asciiTheme="minorHAnsi" w:hAnsiTheme="minorHAnsi" w:cstheme="minorHAnsi"/>
                <w:b w:val="0"/>
                <w:bCs w:val="0"/>
                <w:color w:val="090D46" w:themeColor="text1"/>
                <w:sz w:val="18"/>
              </w:rPr>
              <w:t>Group Ratio Test)</w:t>
            </w:r>
          </w:p>
          <w:p w14:paraId="0289558D" w14:textId="77777777" w:rsidR="000C5A66" w:rsidRPr="00211159" w:rsidRDefault="000C5A66" w:rsidP="000C5A66">
            <w:pPr>
              <w:pStyle w:val="ListParagraph"/>
              <w:numPr>
                <w:ilvl w:val="0"/>
                <w:numId w:val="82"/>
              </w:numPr>
              <w:spacing w:before="60" w:after="60" w:line="269" w:lineRule="auto"/>
              <w:ind w:left="357" w:hanging="357"/>
              <w:contextualSpacing w:val="0"/>
              <w:rPr>
                <w:rFonts w:asciiTheme="minorHAnsi" w:hAnsiTheme="minorHAnsi" w:cstheme="minorHAnsi"/>
                <w:b w:val="0"/>
                <w:bCs w:val="0"/>
                <w:color w:val="090D46" w:themeColor="text1"/>
                <w:sz w:val="18"/>
              </w:rPr>
            </w:pPr>
            <w:r w:rsidRPr="00211159">
              <w:rPr>
                <w:rFonts w:asciiTheme="minorHAnsi" w:hAnsiTheme="minorHAnsi" w:cstheme="minorHAnsi"/>
                <w:b w:val="0"/>
                <w:bCs w:val="0"/>
                <w:color w:val="090D46" w:themeColor="text1"/>
                <w:sz w:val="18"/>
              </w:rPr>
              <w:t>Third Party Debt Test (TPDT)</w:t>
            </w:r>
          </w:p>
          <w:p w14:paraId="69A3ADFB" w14:textId="77777777" w:rsidR="000C5A66" w:rsidRPr="00211159" w:rsidRDefault="000C5A66" w:rsidP="000C5A66">
            <w:pPr>
              <w:rPr>
                <w:rFonts w:cs="Arial"/>
                <w:b w:val="0"/>
                <w:bCs w:val="0"/>
              </w:rPr>
            </w:pPr>
            <w:r w:rsidRPr="00211159">
              <w:rPr>
                <w:rFonts w:cs="Arial"/>
                <w:b w:val="0"/>
                <w:bCs w:val="0"/>
              </w:rPr>
              <w:t>Does the entity need to work out its maximum allowable debt under thin capitalisation provisions in Division 820 of the ITAA 1997?</w:t>
            </w:r>
          </w:p>
          <w:p w14:paraId="58DF2CA4" w14:textId="6B03D5B2" w:rsidR="000C5A66" w:rsidRPr="00211159" w:rsidRDefault="000C5A66" w:rsidP="00211159">
            <w:pPr>
              <w:rPr>
                <w:b w:val="0"/>
                <w:bCs w:val="0"/>
              </w:rPr>
            </w:pPr>
            <w:r w:rsidRPr="00211159">
              <w:rPr>
                <w:rFonts w:cs="Arial"/>
                <w:b w:val="0"/>
                <w:bCs w:val="0"/>
              </w:rPr>
              <w:t>T</w:t>
            </w:r>
            <w:r w:rsidRPr="00211159">
              <w:rPr>
                <w:b w:val="0"/>
                <w:bCs w:val="0"/>
              </w:rPr>
              <w:t>he FRT is the default test that limit</w:t>
            </w:r>
            <w:r w:rsidRPr="00211159">
              <w:rPr>
                <w:rFonts w:hint="eastAsia"/>
                <w:b w:val="0"/>
                <w:bCs w:val="0"/>
                <w:lang w:eastAsia="zh-CN"/>
              </w:rPr>
              <w:t>s</w:t>
            </w:r>
            <w:r w:rsidRPr="00211159">
              <w:rPr>
                <w:b w:val="0"/>
                <w:bCs w:val="0"/>
              </w:rPr>
              <w:t xml:space="preserve"> debt deductions to 30% of a taxpayer</w:t>
            </w:r>
            <w:r w:rsidRPr="00211159">
              <w:rPr>
                <w:b w:val="0"/>
                <w:bCs w:val="0"/>
                <w:lang w:eastAsia="zh-CN"/>
              </w:rPr>
              <w:t>’</w:t>
            </w:r>
            <w:r w:rsidRPr="00211159">
              <w:rPr>
                <w:b w:val="0"/>
                <w:bCs w:val="0"/>
              </w:rPr>
              <w:t xml:space="preserve">s Tax EBITDA. The Tax EBITDA is broadly calculated as the taxable income of the taxpayer adjusted for interest deductions, </w:t>
            </w:r>
            <w:proofErr w:type="gramStart"/>
            <w:r w:rsidRPr="00211159">
              <w:rPr>
                <w:b w:val="0"/>
                <w:bCs w:val="0"/>
              </w:rPr>
              <w:t>losses</w:t>
            </w:r>
            <w:proofErr w:type="gramEnd"/>
            <w:r w:rsidRPr="00211159">
              <w:rPr>
                <w:b w:val="0"/>
                <w:bCs w:val="0"/>
              </w:rPr>
              <w:t xml:space="preserve"> and tax depreciation.</w:t>
            </w:r>
          </w:p>
        </w:tc>
        <w:tc>
          <w:tcPr>
            <w:tcW w:w="0" w:type="pct"/>
            <w:shd w:val="clear" w:color="auto" w:fill="auto"/>
          </w:tcPr>
          <w:p w14:paraId="04C07D47" w14:textId="77777777" w:rsidR="000C5A66" w:rsidRPr="00773A82" w:rsidRDefault="000C5A66" w:rsidP="000C5A66">
            <w:pPr>
              <w:spacing w:before="0"/>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6792BD45" w14:textId="77777777" w:rsidR="000C5A66" w:rsidRPr="00773A82" w:rsidRDefault="000C5A66" w:rsidP="000C5A66">
            <w:pPr>
              <w:spacing w:before="0"/>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0373EDEA" w14:textId="77777777" w:rsidR="000C5A66" w:rsidRPr="00773A82" w:rsidRDefault="000C5A66" w:rsidP="000C5A66">
            <w:pPr>
              <w:spacing w:before="0"/>
              <w:cnfStyle w:val="000000100000" w:firstRow="0" w:lastRow="0" w:firstColumn="0" w:lastColumn="0" w:oddVBand="0" w:evenVBand="0" w:oddHBand="1" w:evenHBand="0" w:firstRowFirstColumn="0" w:firstRowLastColumn="0" w:lastRowFirstColumn="0" w:lastRowLastColumn="0"/>
            </w:pPr>
          </w:p>
        </w:tc>
      </w:tr>
      <w:tr w:rsidR="000B4FCA" w14:paraId="1DBFE1B2" w14:textId="77777777" w:rsidTr="00773A8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FF0A392" w14:textId="45CA98DB" w:rsidR="000B4FCA" w:rsidRPr="005B17D7" w:rsidRDefault="000B4FCA" w:rsidP="000B4FCA">
            <w:pPr>
              <w:pStyle w:val="Tableheading"/>
              <w:rPr>
                <w:b/>
                <w:bCs w:val="0"/>
                <w:color w:val="090D46" w:themeColor="text1"/>
                <w:sz w:val="18"/>
                <w:szCs w:val="18"/>
              </w:rPr>
            </w:pPr>
            <w:r w:rsidRPr="005B17D7">
              <w:rPr>
                <w:color w:val="FFFFFF" w:themeColor="background1"/>
                <w:sz w:val="18"/>
                <w:szCs w:val="18"/>
              </w:rPr>
              <w:t>DEBT DEDUCTION CREATION RULES</w:t>
            </w:r>
          </w:p>
        </w:tc>
      </w:tr>
      <w:tr w:rsidR="000B4FCA" w14:paraId="4F55AA97"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3C5A8C1" w14:textId="2926C5F1" w:rsidR="000B4FCA" w:rsidRDefault="000B4FCA" w:rsidP="004A0591">
            <w:r w:rsidRPr="00773A82">
              <w:rPr>
                <w:b w:val="0"/>
                <w:bCs w:val="0"/>
              </w:rPr>
              <w:t>Consider the</w:t>
            </w:r>
            <w:r w:rsidR="004A0591">
              <w:rPr>
                <w:b w:val="0"/>
                <w:bCs w:val="0"/>
              </w:rPr>
              <w:t xml:space="preserve"> debt deduction creation rules, </w:t>
            </w:r>
            <w:r w:rsidR="00EF0D7D">
              <w:rPr>
                <w:b w:val="0"/>
                <w:bCs w:val="0"/>
              </w:rPr>
              <w:t>which will apply from 1 July 2024 to both pre-existing arrangements and new arrangem</w:t>
            </w:r>
            <w:r w:rsidR="000B3920">
              <w:rPr>
                <w:b w:val="0"/>
                <w:bCs w:val="0"/>
              </w:rPr>
              <w:t>e</w:t>
            </w:r>
            <w:r w:rsidR="00EF0D7D">
              <w:rPr>
                <w:b w:val="0"/>
                <w:bCs w:val="0"/>
              </w:rPr>
              <w:t xml:space="preserve">nts after the start </w:t>
            </w:r>
            <w:r w:rsidR="000B3920">
              <w:rPr>
                <w:b w:val="0"/>
                <w:bCs w:val="0"/>
              </w:rPr>
              <w:t>date.</w:t>
            </w:r>
          </w:p>
          <w:p w14:paraId="41787284" w14:textId="65D5D484" w:rsidR="000B3920" w:rsidRPr="006B320A" w:rsidRDefault="000B3920" w:rsidP="004A0591">
            <w:pPr>
              <w:rPr>
                <w:b w:val="0"/>
                <w:bCs w:val="0"/>
              </w:rPr>
            </w:pPr>
            <w:r w:rsidRPr="008172C5">
              <w:t xml:space="preserve">Broadly, </w:t>
            </w:r>
            <w:r w:rsidRPr="008172C5">
              <w:rPr>
                <w:b w:val="0"/>
                <w:bCs w:val="0"/>
              </w:rPr>
              <w:t>the debt deduction rules will apply to deny debt deductions (before the application of the thin capitalisation provisions) where:</w:t>
            </w:r>
          </w:p>
          <w:p w14:paraId="6EA1D5EB" w14:textId="2A566A75" w:rsidR="000B3920" w:rsidRPr="006B320A" w:rsidRDefault="000B3920" w:rsidP="000B3920">
            <w:pPr>
              <w:pStyle w:val="ListParagraph"/>
              <w:numPr>
                <w:ilvl w:val="0"/>
                <w:numId w:val="55"/>
              </w:numPr>
              <w:spacing w:before="60" w:after="60"/>
              <w:rPr>
                <w:b w:val="0"/>
                <w:bCs w:val="0"/>
                <w:sz w:val="18"/>
              </w:rPr>
            </w:pPr>
            <w:r w:rsidRPr="008172C5">
              <w:rPr>
                <w:sz w:val="18"/>
              </w:rPr>
              <w:t xml:space="preserve">related </w:t>
            </w:r>
            <w:r w:rsidRPr="0067496A">
              <w:rPr>
                <w:sz w:val="18"/>
              </w:rPr>
              <w:t>party</w:t>
            </w:r>
            <w:r w:rsidRPr="00383AC5">
              <w:rPr>
                <w:sz w:val="18"/>
              </w:rPr>
              <w:t xml:space="preserve"> debt</w:t>
            </w:r>
            <w:r w:rsidRPr="008172C5">
              <w:rPr>
                <w:b w:val="0"/>
                <w:bCs w:val="0"/>
                <w:sz w:val="18"/>
              </w:rPr>
              <w:t xml:space="preserve"> is used to fund the acquisition of a CGT asset, or a legal or equitable obligation from an associate</w:t>
            </w:r>
            <w:r w:rsidR="0087511A" w:rsidRPr="008172C5">
              <w:rPr>
                <w:b w:val="0"/>
                <w:bCs w:val="0"/>
                <w:sz w:val="18"/>
              </w:rPr>
              <w:t>, or</w:t>
            </w:r>
          </w:p>
          <w:p w14:paraId="290E4483" w14:textId="4A2A1147" w:rsidR="0087511A" w:rsidRPr="006B320A" w:rsidRDefault="0087511A" w:rsidP="000B3920">
            <w:pPr>
              <w:pStyle w:val="ListParagraph"/>
              <w:numPr>
                <w:ilvl w:val="0"/>
                <w:numId w:val="55"/>
              </w:numPr>
              <w:spacing w:before="60" w:after="60"/>
              <w:rPr>
                <w:b w:val="0"/>
                <w:bCs w:val="0"/>
                <w:sz w:val="18"/>
              </w:rPr>
            </w:pPr>
            <w:r w:rsidRPr="008172C5">
              <w:rPr>
                <w:b w:val="0"/>
                <w:bCs w:val="0"/>
                <w:sz w:val="18"/>
              </w:rPr>
              <w:t xml:space="preserve">related party debt </w:t>
            </w:r>
            <w:r w:rsidR="00B36F83" w:rsidRPr="008172C5">
              <w:rPr>
                <w:b w:val="0"/>
                <w:bCs w:val="0"/>
                <w:sz w:val="18"/>
              </w:rPr>
              <w:t xml:space="preserve">is used </w:t>
            </w:r>
            <w:r w:rsidR="00A43DB7" w:rsidRPr="008172C5">
              <w:rPr>
                <w:b w:val="0"/>
                <w:bCs w:val="0"/>
                <w:sz w:val="18"/>
              </w:rPr>
              <w:t>(in the current or prior years) to pay to an associate:</w:t>
            </w:r>
          </w:p>
          <w:p w14:paraId="0FD241F2" w14:textId="1934D083" w:rsidR="00A43DB7" w:rsidRPr="006B320A" w:rsidRDefault="00A43DB7" w:rsidP="00383AC5">
            <w:pPr>
              <w:pStyle w:val="ListParagraph"/>
              <w:numPr>
                <w:ilvl w:val="1"/>
                <w:numId w:val="55"/>
              </w:numPr>
              <w:spacing w:before="60" w:after="60"/>
              <w:ind w:left="1071" w:hanging="357"/>
              <w:rPr>
                <w:b w:val="0"/>
                <w:bCs w:val="0"/>
                <w:sz w:val="18"/>
              </w:rPr>
            </w:pPr>
            <w:r w:rsidRPr="008172C5">
              <w:rPr>
                <w:b w:val="0"/>
                <w:bCs w:val="0"/>
                <w:sz w:val="18"/>
              </w:rPr>
              <w:t>a dividend or other profit-like distribution</w:t>
            </w:r>
          </w:p>
          <w:p w14:paraId="388347DA" w14:textId="2EB29BAC" w:rsidR="00A43DB7" w:rsidRPr="006B320A" w:rsidRDefault="00A43DB7" w:rsidP="00383AC5">
            <w:pPr>
              <w:pStyle w:val="ListParagraph"/>
              <w:numPr>
                <w:ilvl w:val="1"/>
                <w:numId w:val="55"/>
              </w:numPr>
              <w:spacing w:before="60" w:after="60"/>
              <w:ind w:left="1071" w:hanging="357"/>
              <w:rPr>
                <w:b w:val="0"/>
                <w:bCs w:val="0"/>
                <w:sz w:val="18"/>
              </w:rPr>
            </w:pPr>
            <w:r w:rsidRPr="008172C5">
              <w:rPr>
                <w:b w:val="0"/>
                <w:bCs w:val="0"/>
                <w:sz w:val="18"/>
              </w:rPr>
              <w:t>a capital return, or</w:t>
            </w:r>
          </w:p>
          <w:p w14:paraId="51CAC7A5" w14:textId="5A7A3D2F" w:rsidR="000B4FCA" w:rsidRPr="006B320A" w:rsidRDefault="00A43DB7" w:rsidP="00383AC5">
            <w:pPr>
              <w:pStyle w:val="ListParagraph"/>
              <w:numPr>
                <w:ilvl w:val="1"/>
                <w:numId w:val="55"/>
              </w:numPr>
              <w:spacing w:before="60" w:after="60"/>
              <w:ind w:left="1071" w:hanging="357"/>
              <w:rPr>
                <w:b w:val="0"/>
                <w:bCs w:val="0"/>
                <w:sz w:val="18"/>
              </w:rPr>
            </w:pPr>
            <w:r w:rsidRPr="008172C5">
              <w:rPr>
                <w:b w:val="0"/>
                <w:bCs w:val="0"/>
                <w:sz w:val="18"/>
              </w:rPr>
              <w:t>a royalty or similar payment for the use of, or right to use, an asset.</w:t>
            </w:r>
          </w:p>
          <w:p w14:paraId="65423258" w14:textId="2B18910C" w:rsidR="003372C0" w:rsidRPr="006B320A" w:rsidRDefault="003372C0" w:rsidP="003372C0">
            <w:pPr>
              <w:rPr>
                <w:b w:val="0"/>
                <w:bCs w:val="0"/>
              </w:rPr>
            </w:pPr>
            <w:r w:rsidRPr="00383AC5">
              <w:rPr>
                <w:b w:val="0"/>
                <w:bCs w:val="0"/>
              </w:rPr>
              <w:t>The debt deduction creation rules</w:t>
            </w:r>
            <w:r w:rsidRPr="00FD288F">
              <w:t xml:space="preserve"> </w:t>
            </w:r>
            <w:r w:rsidRPr="00FD288F">
              <w:rPr>
                <w:b w:val="0"/>
                <w:bCs w:val="0"/>
              </w:rPr>
              <w:t>are</w:t>
            </w:r>
            <w:r>
              <w:rPr>
                <w:b w:val="0"/>
                <w:bCs w:val="0"/>
              </w:rPr>
              <w:t xml:space="preserve"> </w:t>
            </w:r>
            <w:r w:rsidR="0067496A">
              <w:rPr>
                <w:b w:val="0"/>
                <w:bCs w:val="0"/>
              </w:rPr>
              <w:t xml:space="preserve">contained </w:t>
            </w:r>
            <w:r>
              <w:rPr>
                <w:b w:val="0"/>
                <w:bCs w:val="0"/>
              </w:rPr>
              <w:t>in section 820-423A</w:t>
            </w:r>
            <w:r w:rsidR="004A6578">
              <w:rPr>
                <w:b w:val="0"/>
                <w:bCs w:val="0"/>
              </w:rPr>
              <w:t xml:space="preserve"> of the ITAA 1997.</w:t>
            </w:r>
          </w:p>
        </w:tc>
        <w:tc>
          <w:tcPr>
            <w:tcW w:w="0" w:type="pct"/>
            <w:shd w:val="clear" w:color="auto" w:fill="auto"/>
          </w:tcPr>
          <w:p w14:paraId="37923B27" w14:textId="77777777" w:rsidR="000B4FCA" w:rsidRPr="00773A82" w:rsidRDefault="000B4FCA" w:rsidP="000B4FCA">
            <w:pPr>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7FF41132" w14:textId="77777777" w:rsidR="000B4FCA" w:rsidRPr="00773A82" w:rsidRDefault="000B4FCA" w:rsidP="000B4FCA">
            <w:pPr>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514496AF" w14:textId="77777777" w:rsidR="000B4FCA" w:rsidRPr="00773A82" w:rsidRDefault="000B4FCA" w:rsidP="000B4FCA">
            <w:pPr>
              <w:cnfStyle w:val="000000100000" w:firstRow="0" w:lastRow="0" w:firstColumn="0" w:lastColumn="0" w:oddVBand="0" w:evenVBand="0" w:oddHBand="1" w:evenHBand="0" w:firstRowFirstColumn="0" w:firstRowLastColumn="0" w:lastRowFirstColumn="0" w:lastRowLastColumn="0"/>
            </w:pPr>
          </w:p>
        </w:tc>
      </w:tr>
      <w:tr w:rsidR="000B4FCA" w14:paraId="4BF6275F" w14:textId="77777777" w:rsidTr="00773A8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21C8A65" w14:textId="7BD5F2DA" w:rsidR="000B4FCA" w:rsidRPr="00773A82" w:rsidRDefault="000B4FCA" w:rsidP="000B4FCA">
            <w:pPr>
              <w:pStyle w:val="Tableheading"/>
              <w:rPr>
                <w:b/>
                <w:bCs w:val="0"/>
                <w:color w:val="090D46" w:themeColor="text1"/>
              </w:rPr>
            </w:pPr>
            <w:r w:rsidRPr="00773A82">
              <w:rPr>
                <w:b/>
                <w:bCs w:val="0"/>
                <w:color w:val="FFFFFF" w:themeColor="background1"/>
                <w:sz w:val="18"/>
                <w:szCs w:val="18"/>
              </w:rPr>
              <w:t>DEBT FORGIVENESS</w:t>
            </w:r>
          </w:p>
        </w:tc>
      </w:tr>
      <w:tr w:rsidR="000B4FCA" w14:paraId="6993D921"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FDA12AA" w14:textId="77777777" w:rsidR="000B4FCA" w:rsidRPr="008B271B" w:rsidRDefault="000B4FCA" w:rsidP="000B4FCA">
            <w:pPr>
              <w:rPr>
                <w:b w:val="0"/>
                <w:bCs w:val="0"/>
                <w:szCs w:val="18"/>
              </w:rPr>
            </w:pPr>
            <w:r w:rsidRPr="008B271B">
              <w:rPr>
                <w:b w:val="0"/>
                <w:bCs w:val="0"/>
                <w:szCs w:val="18"/>
              </w:rPr>
              <w:lastRenderedPageBreak/>
              <w:t xml:space="preserve">Where a creditor forgives a commercial debt owed by a related debtor the amount of any net debt forgiveness is applied to reduce certain tax attributes of the debtor under the commercial debt forgiveness (CDF) provisions under Division 245 of the </w:t>
            </w:r>
            <w:r w:rsidRPr="006B320A">
              <w:rPr>
                <w:szCs w:val="18"/>
              </w:rPr>
              <w:t>ITAA 1997</w:t>
            </w:r>
            <w:r w:rsidRPr="008B271B">
              <w:rPr>
                <w:b w:val="0"/>
                <w:bCs w:val="0"/>
                <w:szCs w:val="18"/>
              </w:rPr>
              <w:t xml:space="preserve">. </w:t>
            </w:r>
          </w:p>
          <w:p w14:paraId="36B226FA" w14:textId="77777777" w:rsidR="000B4FCA" w:rsidRPr="006B320A" w:rsidRDefault="000B4FCA" w:rsidP="000B4FCA">
            <w:pPr>
              <w:rPr>
                <w:b w:val="0"/>
                <w:bCs w:val="0"/>
                <w:szCs w:val="18"/>
              </w:rPr>
            </w:pPr>
            <w:r w:rsidRPr="008B271B">
              <w:rPr>
                <w:b w:val="0"/>
                <w:bCs w:val="0"/>
                <w:szCs w:val="18"/>
              </w:rPr>
              <w:t xml:space="preserve">Commercial debt includes interest-bearing debt, non-interest-bearing debt where interest on the debt would have been deductible if interest had been charged and debt where interest has been disallowed under a provision of the </w:t>
            </w:r>
            <w:r w:rsidRPr="008B271B">
              <w:rPr>
                <w:b w:val="0"/>
                <w:bCs w:val="0"/>
                <w:i/>
                <w:szCs w:val="18"/>
              </w:rPr>
              <w:t>ITAA</w:t>
            </w:r>
            <w:r w:rsidRPr="008B271B">
              <w:rPr>
                <w:b w:val="0"/>
                <w:bCs w:val="0"/>
                <w:szCs w:val="18"/>
              </w:rPr>
              <w:t>, such as the thin capitalisation provisions.</w:t>
            </w:r>
          </w:p>
          <w:p w14:paraId="5D85A546" w14:textId="77777777" w:rsidR="000B4FCA" w:rsidRPr="008B271B" w:rsidRDefault="000B4FCA" w:rsidP="000B4FCA">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 xml:space="preserve">The CDF provisions may apply to reduce the tax attributes of the debtor in the following order until the net forgiven amount is fully absorbed: </w:t>
            </w:r>
          </w:p>
          <w:p w14:paraId="57676A6B" w14:textId="1B490DDA" w:rsidR="008172C5" w:rsidRPr="00383AC5" w:rsidRDefault="000B4FCA" w:rsidP="006B320A">
            <w:pPr>
              <w:pStyle w:val="ListBullet"/>
              <w:numPr>
                <w:ilvl w:val="0"/>
                <w:numId w:val="56"/>
              </w:numPr>
              <w:rPr>
                <w:b w:val="0"/>
                <w:bCs w:val="0"/>
                <w:szCs w:val="18"/>
              </w:rPr>
            </w:pPr>
            <w:r w:rsidRPr="00383AC5">
              <w:rPr>
                <w:b w:val="0"/>
                <w:bCs w:val="0"/>
                <w:szCs w:val="18"/>
              </w:rPr>
              <w:t>prior year revenue losses</w:t>
            </w:r>
          </w:p>
          <w:p w14:paraId="6C0B12DE" w14:textId="0521582E" w:rsidR="000B4FCA" w:rsidRPr="008B271B" w:rsidRDefault="000B4FCA" w:rsidP="006B320A">
            <w:pPr>
              <w:pStyle w:val="ListBullet"/>
              <w:ind w:firstLine="0"/>
              <w:rPr>
                <w:szCs w:val="18"/>
              </w:rPr>
            </w:pPr>
          </w:p>
        </w:tc>
        <w:tc>
          <w:tcPr>
            <w:tcW w:w="0" w:type="pct"/>
            <w:shd w:val="clear" w:color="auto" w:fill="auto"/>
          </w:tcPr>
          <w:p w14:paraId="7FDFCC73" w14:textId="77777777" w:rsidR="000B4FCA" w:rsidRPr="00773A82" w:rsidRDefault="000B4FCA" w:rsidP="000B4FCA">
            <w:pPr>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47B35715" w14:textId="77777777" w:rsidR="000B4FCA" w:rsidRPr="00773A82" w:rsidRDefault="000B4FCA" w:rsidP="000B4FCA">
            <w:pPr>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46208B7B" w14:textId="77777777" w:rsidR="000B4FCA" w:rsidRPr="00773A82" w:rsidRDefault="000B4FCA" w:rsidP="000B4FCA">
            <w:pPr>
              <w:cnfStyle w:val="000000100000" w:firstRow="0" w:lastRow="0" w:firstColumn="0" w:lastColumn="0" w:oddVBand="0" w:evenVBand="0" w:oddHBand="1" w:evenHBand="0" w:firstRowFirstColumn="0" w:firstRowLastColumn="0" w:lastRowFirstColumn="0" w:lastRowLastColumn="0"/>
            </w:pPr>
          </w:p>
        </w:tc>
      </w:tr>
      <w:tr w:rsidR="00BF709C" w14:paraId="7738FD65" w14:textId="77777777" w:rsidTr="00BF709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2F70033D" w14:textId="034619A1" w:rsidR="00BF709C" w:rsidRPr="006B320A" w:rsidRDefault="00BF709C" w:rsidP="000B4FCA">
            <w:pPr>
              <w:rPr>
                <w:sz w:val="20"/>
                <w:szCs w:val="20"/>
              </w:rPr>
            </w:pPr>
            <w:r w:rsidRPr="00383AC5">
              <w:rPr>
                <w:color w:val="FFFFFF" w:themeColor="background1"/>
                <w:szCs w:val="18"/>
              </w:rPr>
              <w:t>DEBT FORGIVENESSS (CONTINUED)</w:t>
            </w:r>
          </w:p>
        </w:tc>
      </w:tr>
      <w:tr w:rsidR="00DE3A89" w14:paraId="07832346"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7DD2B5BF" w14:textId="77777777" w:rsidR="00FD288F" w:rsidRPr="008B271B" w:rsidRDefault="00FD288F" w:rsidP="00FD288F">
            <w:pPr>
              <w:pStyle w:val="ListBullet"/>
              <w:numPr>
                <w:ilvl w:val="0"/>
                <w:numId w:val="56"/>
              </w:numPr>
              <w:rPr>
                <w:b w:val="0"/>
                <w:bCs w:val="0"/>
                <w:szCs w:val="18"/>
              </w:rPr>
            </w:pPr>
            <w:r w:rsidRPr="008B271B">
              <w:rPr>
                <w:b w:val="0"/>
                <w:bCs w:val="0"/>
                <w:szCs w:val="18"/>
              </w:rPr>
              <w:t xml:space="preserve">carried forward net capital </w:t>
            </w:r>
            <w:proofErr w:type="gramStart"/>
            <w:r w:rsidRPr="008B271B">
              <w:rPr>
                <w:b w:val="0"/>
                <w:bCs w:val="0"/>
                <w:szCs w:val="18"/>
              </w:rPr>
              <w:t>losses</w:t>
            </w:r>
            <w:proofErr w:type="gramEnd"/>
          </w:p>
          <w:p w14:paraId="1793601B" w14:textId="77777777" w:rsidR="00FD288F" w:rsidRPr="008B271B" w:rsidRDefault="00FD288F" w:rsidP="00FD288F">
            <w:pPr>
              <w:pStyle w:val="ListBullet"/>
              <w:numPr>
                <w:ilvl w:val="0"/>
                <w:numId w:val="56"/>
              </w:numPr>
              <w:rPr>
                <w:b w:val="0"/>
                <w:bCs w:val="0"/>
                <w:szCs w:val="18"/>
              </w:rPr>
            </w:pPr>
            <w:r w:rsidRPr="008B271B">
              <w:rPr>
                <w:b w:val="0"/>
                <w:bCs w:val="0"/>
                <w:szCs w:val="18"/>
              </w:rPr>
              <w:t xml:space="preserve">deductible expenditures including the opening adjustable value of depreciating </w:t>
            </w:r>
            <w:proofErr w:type="gramStart"/>
            <w:r w:rsidRPr="008B271B">
              <w:rPr>
                <w:b w:val="0"/>
                <w:bCs w:val="0"/>
                <w:szCs w:val="18"/>
              </w:rPr>
              <w:t>assets</w:t>
            </w:r>
            <w:proofErr w:type="gramEnd"/>
          </w:p>
          <w:p w14:paraId="0BDAA37C" w14:textId="77777777" w:rsidR="00FD288F" w:rsidRPr="008B271B" w:rsidRDefault="00FD288F" w:rsidP="00FD288F">
            <w:pPr>
              <w:pStyle w:val="ListBullet"/>
              <w:numPr>
                <w:ilvl w:val="0"/>
                <w:numId w:val="56"/>
              </w:numPr>
              <w:rPr>
                <w:b w:val="0"/>
                <w:bCs w:val="0"/>
                <w:szCs w:val="18"/>
              </w:rPr>
            </w:pPr>
            <w:r w:rsidRPr="008B271B">
              <w:rPr>
                <w:b w:val="0"/>
                <w:bCs w:val="0"/>
                <w:szCs w:val="18"/>
              </w:rPr>
              <w:t>the cost base of certain CGT assets.</w:t>
            </w:r>
          </w:p>
          <w:p w14:paraId="6FF2AC11" w14:textId="77777777" w:rsidR="00FD288F" w:rsidRPr="008B271B" w:rsidRDefault="00FD288F" w:rsidP="00FD288F">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A debt will be forgiven in any of the following circumstances:</w:t>
            </w:r>
          </w:p>
          <w:p w14:paraId="4BBFEB61" w14:textId="77777777" w:rsidR="00FD288F" w:rsidRPr="008B271B" w:rsidRDefault="00FD288F" w:rsidP="00FD288F">
            <w:pPr>
              <w:pStyle w:val="ListBullet"/>
              <w:numPr>
                <w:ilvl w:val="0"/>
                <w:numId w:val="57"/>
              </w:numPr>
              <w:rPr>
                <w:b w:val="0"/>
                <w:bCs w:val="0"/>
                <w:szCs w:val="18"/>
              </w:rPr>
            </w:pPr>
            <w:r w:rsidRPr="008B271B">
              <w:rPr>
                <w:b w:val="0"/>
                <w:bCs w:val="0"/>
                <w:szCs w:val="18"/>
              </w:rPr>
              <w:t xml:space="preserve">when it is released, waived or otherwise </w:t>
            </w:r>
            <w:proofErr w:type="gramStart"/>
            <w:r w:rsidRPr="008B271B">
              <w:rPr>
                <w:b w:val="0"/>
                <w:bCs w:val="0"/>
                <w:szCs w:val="18"/>
              </w:rPr>
              <w:t>extinguished</w:t>
            </w:r>
            <w:proofErr w:type="gramEnd"/>
          </w:p>
          <w:p w14:paraId="1CB5D4F6" w14:textId="77777777" w:rsidR="00FD288F" w:rsidRPr="008B271B" w:rsidRDefault="00FD288F" w:rsidP="00FD288F">
            <w:pPr>
              <w:pStyle w:val="ListBullet"/>
              <w:numPr>
                <w:ilvl w:val="0"/>
                <w:numId w:val="57"/>
              </w:numPr>
              <w:rPr>
                <w:b w:val="0"/>
                <w:bCs w:val="0"/>
                <w:szCs w:val="18"/>
              </w:rPr>
            </w:pPr>
            <w:r w:rsidRPr="008B271B">
              <w:rPr>
                <w:b w:val="0"/>
                <w:bCs w:val="0"/>
                <w:szCs w:val="18"/>
              </w:rPr>
              <w:t xml:space="preserve">the period in which the creditor is entitled to sue for recovery of the debt under a statute of limitations expires without the debt being </w:t>
            </w:r>
            <w:proofErr w:type="gramStart"/>
            <w:r w:rsidRPr="008B271B">
              <w:rPr>
                <w:b w:val="0"/>
                <w:bCs w:val="0"/>
                <w:szCs w:val="18"/>
              </w:rPr>
              <w:t>paid</w:t>
            </w:r>
            <w:proofErr w:type="gramEnd"/>
          </w:p>
          <w:p w14:paraId="06B7AA5A" w14:textId="6DCF52B0" w:rsidR="00FD288F" w:rsidRPr="008B271B" w:rsidRDefault="00FD288F" w:rsidP="00FD288F">
            <w:pPr>
              <w:pStyle w:val="ListBullet"/>
              <w:numPr>
                <w:ilvl w:val="0"/>
                <w:numId w:val="57"/>
              </w:numPr>
              <w:rPr>
                <w:b w:val="0"/>
                <w:bCs w:val="0"/>
                <w:szCs w:val="18"/>
              </w:rPr>
            </w:pPr>
            <w:r w:rsidRPr="008B271B">
              <w:rPr>
                <w:b w:val="0"/>
                <w:bCs w:val="0"/>
                <w:szCs w:val="18"/>
              </w:rPr>
              <w:t>the debt is forgiven under a debt for equity swap, or</w:t>
            </w:r>
          </w:p>
          <w:p w14:paraId="4F0EEF06" w14:textId="6600AAF0" w:rsidR="00FD288F" w:rsidRPr="008B271B" w:rsidRDefault="00FD288F" w:rsidP="00FD288F">
            <w:pPr>
              <w:pStyle w:val="ListBullet"/>
              <w:numPr>
                <w:ilvl w:val="0"/>
                <w:numId w:val="57"/>
              </w:numPr>
              <w:rPr>
                <w:b w:val="0"/>
                <w:bCs w:val="0"/>
                <w:szCs w:val="18"/>
              </w:rPr>
            </w:pPr>
            <w:r w:rsidRPr="008B271B">
              <w:rPr>
                <w:b w:val="0"/>
                <w:bCs w:val="0"/>
                <w:szCs w:val="18"/>
              </w:rPr>
              <w:t>the debt is assigned by a creditor to an associate or another entity under an arrangement.</w:t>
            </w:r>
          </w:p>
          <w:p w14:paraId="7628C446" w14:textId="655CA001" w:rsidR="00DE3A89" w:rsidRPr="008B271B" w:rsidRDefault="00DE3A89" w:rsidP="00FD288F">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Subject to the above considerations, consider whether there are any timing advantages of postponing a debt forgiveness until after 30 June 2024.</w:t>
            </w:r>
          </w:p>
          <w:p w14:paraId="14FE9EC1" w14:textId="77777777" w:rsidR="00DE3A89" w:rsidRPr="008B271B" w:rsidRDefault="00DE3A89" w:rsidP="00DE3A89">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 xml:space="preserve">Where the debtor and creditor are companies under common ownership consider whether the companies should </w:t>
            </w:r>
            <w:proofErr w:type="gramStart"/>
            <w:r w:rsidRPr="008B271B">
              <w:rPr>
                <w:rFonts w:asciiTheme="minorHAnsi" w:hAnsiTheme="minorHAnsi" w:cstheme="minorHAnsi"/>
                <w:b w:val="0"/>
                <w:bCs w:val="0"/>
                <w:color w:val="090D46" w:themeColor="text1"/>
                <w:sz w:val="18"/>
                <w:szCs w:val="18"/>
              </w:rPr>
              <w:t>enter into</w:t>
            </w:r>
            <w:proofErr w:type="gramEnd"/>
            <w:r w:rsidRPr="008B271B">
              <w:rPr>
                <w:rFonts w:asciiTheme="minorHAnsi" w:hAnsiTheme="minorHAnsi" w:cstheme="minorHAnsi"/>
                <w:b w:val="0"/>
                <w:bCs w:val="0"/>
                <w:color w:val="090D46" w:themeColor="text1"/>
                <w:sz w:val="18"/>
                <w:szCs w:val="18"/>
              </w:rPr>
              <w:t xml:space="preserve"> a deed of forgiveness where the creditor forgoes any capital loss or bad debt deduction in exchange for extinguishing the net forgiven amount owed by the debtor company.</w:t>
            </w:r>
          </w:p>
          <w:p w14:paraId="071D1D1F" w14:textId="77777777" w:rsidR="00DE3A89" w:rsidRPr="008B271B" w:rsidRDefault="00DE3A89" w:rsidP="00DE3A89">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Determine whether the debtor was solvent at the time the debt was made and at the time the debt was forgiven to determine the net forgiven amount (if any).</w:t>
            </w:r>
          </w:p>
          <w:p w14:paraId="02F2DAEC" w14:textId="40529A25" w:rsidR="00DE3A89" w:rsidRPr="008B271B" w:rsidRDefault="00DE3A89" w:rsidP="00DE3A89">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 xml:space="preserve">Consider whether the debt forgiveness is in respect of a loan to an employee which will be subject to the debt waiver fringe benefit provisions under the </w:t>
            </w:r>
            <w:r w:rsidRPr="008B271B">
              <w:rPr>
                <w:rFonts w:asciiTheme="minorHAnsi" w:hAnsiTheme="minorHAnsi" w:cstheme="minorHAnsi"/>
                <w:b w:val="0"/>
                <w:bCs w:val="0"/>
                <w:i/>
                <w:color w:val="090D46" w:themeColor="text1"/>
                <w:sz w:val="18"/>
                <w:szCs w:val="18"/>
              </w:rPr>
              <w:t xml:space="preserve">Fringe Benefits Tax Assessment Act 1986. </w:t>
            </w:r>
            <w:r w:rsidRPr="008B271B">
              <w:rPr>
                <w:rFonts w:asciiTheme="minorHAnsi" w:hAnsiTheme="minorHAnsi" w:cstheme="minorHAnsi"/>
                <w:b w:val="0"/>
                <w:bCs w:val="0"/>
                <w:color w:val="090D46" w:themeColor="text1"/>
                <w:sz w:val="18"/>
                <w:szCs w:val="18"/>
              </w:rPr>
              <w:t xml:space="preserve">Other exceptions include any debt forgiveness effected under a will or an Act relating to </w:t>
            </w:r>
            <w:r w:rsidR="0067496A" w:rsidRPr="008B271B">
              <w:rPr>
                <w:rFonts w:asciiTheme="minorHAnsi" w:hAnsiTheme="minorHAnsi" w:cstheme="minorHAnsi"/>
                <w:b w:val="0"/>
                <w:bCs w:val="0"/>
                <w:color w:val="090D46" w:themeColor="text1"/>
                <w:sz w:val="18"/>
                <w:szCs w:val="18"/>
              </w:rPr>
              <w:t>bankruptcy,</w:t>
            </w:r>
            <w:r w:rsidRPr="008B271B">
              <w:rPr>
                <w:rFonts w:asciiTheme="minorHAnsi" w:hAnsiTheme="minorHAnsi" w:cstheme="minorHAnsi"/>
                <w:b w:val="0"/>
                <w:bCs w:val="0"/>
                <w:color w:val="090D46" w:themeColor="text1"/>
                <w:sz w:val="18"/>
                <w:szCs w:val="18"/>
              </w:rPr>
              <w:t xml:space="preserve"> or which has been made for reasons of natural love and affection.</w:t>
            </w:r>
          </w:p>
          <w:p w14:paraId="39C54D1A" w14:textId="1787374C" w:rsidR="00DE3A89" w:rsidRPr="008B271B" w:rsidRDefault="00DE3A89" w:rsidP="00DE3A89">
            <w:pPr>
              <w:pStyle w:val="Table"/>
              <w:keepNext/>
              <w:spacing w:before="100" w:after="100"/>
              <w:rPr>
                <w:rFonts w:asciiTheme="minorHAnsi" w:hAnsiTheme="minorHAnsi" w:cstheme="minorHAnsi"/>
                <w:b w:val="0"/>
                <w:bCs w:val="0"/>
                <w:color w:val="090D46" w:themeColor="text1"/>
                <w:sz w:val="18"/>
                <w:szCs w:val="18"/>
              </w:rPr>
            </w:pPr>
            <w:r w:rsidRPr="008B271B">
              <w:rPr>
                <w:rFonts w:asciiTheme="minorHAnsi" w:hAnsiTheme="minorHAnsi" w:cstheme="minorHAnsi"/>
                <w:b w:val="0"/>
                <w:bCs w:val="0"/>
                <w:color w:val="090D46" w:themeColor="text1"/>
                <w:sz w:val="18"/>
                <w:szCs w:val="18"/>
              </w:rPr>
              <w:t xml:space="preserve">In some circumstances, the forgiveness of a debt by a private company or even a trust to a shareholder or an associate may give rise to a deemed dividend under Division 7A under separate but similar debt forgiveness rules. Refer to CPA Australia’s </w:t>
            </w:r>
            <w:r w:rsidR="00BF709C" w:rsidRPr="006B320A">
              <w:t>Division 7A checklist</w:t>
            </w:r>
            <w:r w:rsidRPr="008B271B">
              <w:rPr>
                <w:rFonts w:asciiTheme="minorHAnsi" w:hAnsiTheme="minorHAnsi" w:cstheme="minorHAnsi"/>
                <w:b w:val="0"/>
                <w:bCs w:val="0"/>
                <w:color w:val="090D46" w:themeColor="text1"/>
                <w:sz w:val="18"/>
                <w:szCs w:val="18"/>
              </w:rPr>
              <w:t xml:space="preserve"> and </w:t>
            </w:r>
            <w:r w:rsidR="00BF709C" w:rsidRPr="006B320A">
              <w:t>Division 7A UPE</w:t>
            </w:r>
            <w:r w:rsidRPr="008B271B">
              <w:rPr>
                <w:rFonts w:asciiTheme="minorHAnsi" w:hAnsiTheme="minorHAnsi" w:cstheme="minorHAnsi"/>
                <w:b w:val="0"/>
                <w:bCs w:val="0"/>
                <w:color w:val="090D46" w:themeColor="text1"/>
                <w:sz w:val="18"/>
                <w:szCs w:val="18"/>
              </w:rPr>
              <w:t xml:space="preserve"> checklist in the </w:t>
            </w:r>
            <w:hyperlink r:id="rId12" w:history="1">
              <w:r w:rsidRPr="008B271B">
                <w:rPr>
                  <w:rStyle w:val="Hyperlink"/>
                  <w:rFonts w:asciiTheme="minorHAnsi" w:hAnsiTheme="minorHAnsi" w:cstheme="minorHAnsi"/>
                  <w:sz w:val="18"/>
                  <w:szCs w:val="18"/>
                </w:rPr>
                <w:t>t</w:t>
              </w:r>
              <w:r w:rsidRPr="008B271B">
                <w:rPr>
                  <w:rStyle w:val="Hyperlink"/>
                  <w:rFonts w:asciiTheme="minorHAnsi" w:hAnsiTheme="minorHAnsi" w:cstheme="minorHAnsi"/>
                  <w:b w:val="0"/>
                  <w:bCs w:val="0"/>
                  <w:sz w:val="18"/>
                  <w:szCs w:val="18"/>
                </w:rPr>
                <w:t>ax time year-end resources</w:t>
              </w:r>
            </w:hyperlink>
            <w:r w:rsidRPr="008B271B">
              <w:rPr>
                <w:rFonts w:asciiTheme="minorHAnsi" w:hAnsiTheme="minorHAnsi" w:cstheme="minorHAnsi"/>
                <w:b w:val="0"/>
                <w:bCs w:val="0"/>
                <w:color w:val="090D46" w:themeColor="text1"/>
                <w:sz w:val="18"/>
                <w:szCs w:val="18"/>
              </w:rPr>
              <w:t xml:space="preserve"> for more information. </w:t>
            </w:r>
          </w:p>
          <w:p w14:paraId="1AC57D90" w14:textId="71732152" w:rsidR="00DE3A89" w:rsidRPr="006B320A" w:rsidRDefault="00DE3A89" w:rsidP="00BF709C">
            <w:pPr>
              <w:rPr>
                <w:b w:val="0"/>
                <w:bCs w:val="0"/>
                <w:szCs w:val="18"/>
              </w:rPr>
            </w:pPr>
            <w:r w:rsidRPr="008B271B">
              <w:rPr>
                <w:rFonts w:cstheme="minorHAnsi"/>
                <w:b w:val="0"/>
                <w:bCs w:val="0"/>
                <w:szCs w:val="18"/>
              </w:rPr>
              <w:t xml:space="preserve">Where it is determined that Division 7A does not apply to a debt forgiveness to a shareholder or an associate it is still necessary to determine if the CDF provisions under Division 245 of the </w:t>
            </w:r>
            <w:r w:rsidRPr="006B320A">
              <w:rPr>
                <w:rFonts w:cstheme="minorHAnsi"/>
                <w:szCs w:val="18"/>
              </w:rPr>
              <w:t>ITAA 1997</w:t>
            </w:r>
            <w:r w:rsidRPr="008B271B">
              <w:rPr>
                <w:rFonts w:cstheme="minorHAnsi"/>
                <w:b w:val="0"/>
                <w:bCs w:val="0"/>
                <w:szCs w:val="18"/>
              </w:rPr>
              <w:t xml:space="preserve"> separately apply to that debt forgiveness.</w:t>
            </w:r>
            <w:r w:rsidRPr="006B320A">
              <w:rPr>
                <w:sz w:val="22"/>
                <w:szCs w:val="18"/>
              </w:rPr>
              <w:t xml:space="preserve">    </w:t>
            </w:r>
          </w:p>
        </w:tc>
        <w:tc>
          <w:tcPr>
            <w:tcW w:w="0" w:type="pct"/>
            <w:shd w:val="clear" w:color="auto" w:fill="auto"/>
          </w:tcPr>
          <w:p w14:paraId="256EC9D1" w14:textId="77777777" w:rsidR="00DE3A89" w:rsidRPr="00773A82" w:rsidRDefault="00DE3A89" w:rsidP="000B4FCA">
            <w:pPr>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26411BDD" w14:textId="77777777" w:rsidR="00DE3A89" w:rsidRPr="00773A82" w:rsidRDefault="00DE3A89" w:rsidP="000B4FCA">
            <w:pPr>
              <w:cnfStyle w:val="000000100000" w:firstRow="0" w:lastRow="0" w:firstColumn="0" w:lastColumn="0" w:oddVBand="0" w:evenVBand="0" w:oddHBand="1" w:evenHBand="0" w:firstRowFirstColumn="0" w:firstRowLastColumn="0" w:lastRowFirstColumn="0" w:lastRowLastColumn="0"/>
            </w:pPr>
          </w:p>
        </w:tc>
        <w:tc>
          <w:tcPr>
            <w:tcW w:w="0" w:type="pct"/>
            <w:shd w:val="clear" w:color="auto" w:fill="auto"/>
          </w:tcPr>
          <w:p w14:paraId="2AD6A4F5" w14:textId="77777777" w:rsidR="00DE3A89" w:rsidRPr="00773A82" w:rsidRDefault="00DE3A89" w:rsidP="000B4FCA">
            <w:pPr>
              <w:cnfStyle w:val="000000100000" w:firstRow="0" w:lastRow="0" w:firstColumn="0" w:lastColumn="0" w:oddVBand="0" w:evenVBand="0" w:oddHBand="1" w:evenHBand="0" w:firstRowFirstColumn="0" w:firstRowLastColumn="0" w:lastRowFirstColumn="0" w:lastRowLastColumn="0"/>
            </w:pPr>
          </w:p>
        </w:tc>
      </w:tr>
      <w:tr w:rsidR="000B4FCA" w14:paraId="4F6B7A81" w14:textId="77777777" w:rsidTr="008F153D">
        <w:tc>
          <w:tcPr>
            <w:cnfStyle w:val="001000000000" w:firstRow="0" w:lastRow="0" w:firstColumn="1" w:lastColumn="0" w:oddVBand="0" w:evenVBand="0" w:oddHBand="0" w:evenHBand="0" w:firstRowFirstColumn="0" w:firstRowLastColumn="0" w:lastRowFirstColumn="0" w:lastRowLastColumn="0"/>
            <w:tcW w:w="5000" w:type="pct"/>
            <w:gridSpan w:val="4"/>
          </w:tcPr>
          <w:p w14:paraId="02C45AC8" w14:textId="37EBDDF6" w:rsidR="000B4FCA" w:rsidRPr="008F153D" w:rsidRDefault="000B4FCA" w:rsidP="000B4FCA">
            <w:r w:rsidRPr="008F153D">
              <w:t>Comments:</w:t>
            </w:r>
          </w:p>
          <w:p w14:paraId="69FEB2C4" w14:textId="77777777" w:rsidR="000B4FCA" w:rsidRDefault="000B4FCA" w:rsidP="000B4FCA">
            <w:pPr>
              <w:rPr>
                <w:b w:val="0"/>
                <w:bCs w:val="0"/>
              </w:rPr>
            </w:pPr>
          </w:p>
          <w:p w14:paraId="27A4E94C" w14:textId="77777777" w:rsidR="000B4FCA" w:rsidRDefault="000B4FCA" w:rsidP="000B4FCA"/>
          <w:p w14:paraId="68ED1C12" w14:textId="77777777" w:rsidR="00BF709C" w:rsidRDefault="00BF709C" w:rsidP="000B4FCA"/>
          <w:p w14:paraId="764A7CDD" w14:textId="77777777" w:rsidR="00BF709C" w:rsidRDefault="00BF709C" w:rsidP="000B4FCA">
            <w:pPr>
              <w:rPr>
                <w:b w:val="0"/>
                <w:bCs w:val="0"/>
              </w:rPr>
            </w:pPr>
          </w:p>
          <w:p w14:paraId="6A6A1F5A" w14:textId="77777777" w:rsidR="00FD288F" w:rsidRDefault="00FD288F" w:rsidP="000B4FCA">
            <w:pPr>
              <w:rPr>
                <w:b w:val="0"/>
                <w:bCs w:val="0"/>
              </w:rPr>
            </w:pPr>
          </w:p>
          <w:p w14:paraId="5D080B41" w14:textId="77777777" w:rsidR="00FD288F" w:rsidRDefault="00FD288F" w:rsidP="000B4FCA"/>
          <w:p w14:paraId="542A8934" w14:textId="77777777" w:rsidR="00BB163A" w:rsidRDefault="00BB163A" w:rsidP="000B4FCA"/>
          <w:p w14:paraId="14E784AA" w14:textId="77777777" w:rsidR="00BB163A" w:rsidRDefault="00BB163A" w:rsidP="000B4FCA"/>
          <w:p w14:paraId="04CA88FE" w14:textId="77777777" w:rsidR="00BB163A" w:rsidRDefault="00BB163A" w:rsidP="000B4FCA">
            <w:pPr>
              <w:rPr>
                <w:b w:val="0"/>
                <w:bCs w:val="0"/>
              </w:rPr>
            </w:pPr>
          </w:p>
          <w:p w14:paraId="0A287B8E" w14:textId="77777777" w:rsidR="00FD288F" w:rsidRDefault="00FD288F" w:rsidP="000B4FCA"/>
          <w:p w14:paraId="36E19853" w14:textId="77777777" w:rsidR="00BF709C" w:rsidRDefault="00BF709C" w:rsidP="000B4FCA">
            <w:pPr>
              <w:rPr>
                <w:b w:val="0"/>
                <w:bCs w:val="0"/>
              </w:rPr>
            </w:pPr>
          </w:p>
          <w:p w14:paraId="30AF480A" w14:textId="7C38BC83" w:rsidR="000B4FCA" w:rsidRPr="00773A82" w:rsidRDefault="000B4FCA" w:rsidP="000B4FCA"/>
        </w:tc>
      </w:tr>
    </w:tbl>
    <w:p w14:paraId="7D501727" w14:textId="47366303" w:rsidR="00E72752" w:rsidRPr="00773A82" w:rsidRDefault="00E72752" w:rsidP="00E72752">
      <w:pPr>
        <w:rPr>
          <w:rFonts w:ascii="Arial" w:hAnsi="Arial"/>
          <w:sz w:val="24"/>
          <w:szCs w:val="24"/>
        </w:rPr>
      </w:pPr>
    </w:p>
    <w:tbl>
      <w:tblPr>
        <w:tblStyle w:val="RACVTable"/>
        <w:tblW w:w="5200" w:type="pct"/>
        <w:tblLook w:val="00A0" w:firstRow="1" w:lastRow="0" w:firstColumn="1" w:lastColumn="0" w:noHBand="0" w:noVBand="0"/>
      </w:tblPr>
      <w:tblGrid>
        <w:gridCol w:w="8556"/>
        <w:gridCol w:w="699"/>
        <w:gridCol w:w="562"/>
        <w:gridCol w:w="560"/>
      </w:tblGrid>
      <w:tr w:rsidR="00E72752" w14:paraId="2EC33227" w14:textId="77777777" w:rsidTr="00093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hideMark/>
          </w:tcPr>
          <w:p w14:paraId="04953420" w14:textId="77777777" w:rsidR="00E72752" w:rsidRPr="00093DA6" w:rsidRDefault="00E72752" w:rsidP="009C7A83">
            <w:pPr>
              <w:pStyle w:val="Table"/>
              <w:spacing w:before="100" w:after="100"/>
              <w:rPr>
                <w:bCs w:val="0"/>
                <w:color w:val="090D46" w:themeColor="text1"/>
                <w:sz w:val="18"/>
                <w:szCs w:val="18"/>
              </w:rPr>
            </w:pPr>
            <w:r w:rsidRPr="00093DA6">
              <w:rPr>
                <w:bCs w:val="0"/>
                <w:color w:val="090D46" w:themeColor="text1"/>
                <w:sz w:val="18"/>
                <w:szCs w:val="18"/>
              </w:rPr>
              <w:br w:type="page"/>
            </w:r>
            <w:r w:rsidRPr="00093DA6">
              <w:rPr>
                <w:bCs w:val="0"/>
                <w:color w:val="090D46" w:themeColor="text1"/>
                <w:sz w:val="18"/>
                <w:szCs w:val="18"/>
              </w:rPr>
              <w:br w:type="page"/>
              <w:t>INTERNATIONAL TAX MATTERS</w:t>
            </w:r>
          </w:p>
        </w:tc>
        <w:tc>
          <w:tcPr>
            <w:tcW w:w="337" w:type="pct"/>
            <w:hideMark/>
          </w:tcPr>
          <w:p w14:paraId="6AFD53F7" w14:textId="77777777" w:rsidR="00E72752" w:rsidRPr="00093DA6" w:rsidRDefault="00E72752" w:rsidP="009C7A83">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93DA6">
              <w:rPr>
                <w:bCs w:val="0"/>
                <w:color w:val="090D46" w:themeColor="text1"/>
                <w:sz w:val="18"/>
                <w:szCs w:val="18"/>
              </w:rPr>
              <w:t>YES</w:t>
            </w:r>
          </w:p>
        </w:tc>
        <w:tc>
          <w:tcPr>
            <w:tcW w:w="271" w:type="pct"/>
            <w:hideMark/>
          </w:tcPr>
          <w:p w14:paraId="138B083E" w14:textId="77777777" w:rsidR="00E72752" w:rsidRPr="00093DA6" w:rsidRDefault="00E72752" w:rsidP="009C7A83">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93DA6">
              <w:rPr>
                <w:bCs w:val="0"/>
                <w:color w:val="090D46" w:themeColor="text1"/>
                <w:sz w:val="18"/>
                <w:szCs w:val="18"/>
              </w:rPr>
              <w:t>NO</w:t>
            </w:r>
          </w:p>
        </w:tc>
        <w:tc>
          <w:tcPr>
            <w:tcW w:w="270" w:type="pct"/>
            <w:hideMark/>
          </w:tcPr>
          <w:p w14:paraId="57C8005F" w14:textId="77777777" w:rsidR="00E72752" w:rsidRPr="00093DA6" w:rsidRDefault="00E72752" w:rsidP="009C7A83">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093DA6">
              <w:rPr>
                <w:bCs w:val="0"/>
                <w:color w:val="090D46" w:themeColor="text1"/>
                <w:sz w:val="18"/>
                <w:szCs w:val="18"/>
              </w:rPr>
              <w:t>N/A</w:t>
            </w:r>
          </w:p>
        </w:tc>
      </w:tr>
      <w:tr w:rsidR="00E72752" w14:paraId="53B300F9"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167BC64"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HYBRID MISMATCH</w:t>
            </w:r>
          </w:p>
        </w:tc>
      </w:tr>
      <w:tr w:rsidR="00E72752" w14:paraId="138FE2DF"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15393696" w14:textId="77777777" w:rsidR="00E72752" w:rsidRPr="00093DA6" w:rsidRDefault="00E72752" w:rsidP="00093DA6">
            <w:pPr>
              <w:rPr>
                <w:b w:val="0"/>
                <w:bCs w:val="0"/>
              </w:rPr>
            </w:pPr>
            <w:r w:rsidRPr="00093DA6">
              <w:rPr>
                <w:b w:val="0"/>
                <w:bCs w:val="0"/>
              </w:rPr>
              <w:t xml:space="preserve">The foreign hybrid mismatch rules (introduced 1 January 2019) are aimed at preventing entities that are liable to income tax in Australia from being able to avoid income taxation, or obtain a double non-taxation benefit, by exploiting differences between the tax treatment of entities and instruments across different countries. </w:t>
            </w:r>
          </w:p>
          <w:p w14:paraId="4EEFE212" w14:textId="77777777" w:rsidR="00E72752" w:rsidRPr="00093DA6" w:rsidRDefault="00E72752" w:rsidP="00093DA6">
            <w:pPr>
              <w:rPr>
                <w:b w:val="0"/>
                <w:bCs w:val="0"/>
              </w:rPr>
            </w:pPr>
            <w:r w:rsidRPr="00093DA6">
              <w:rPr>
                <w:b w:val="0"/>
                <w:bCs w:val="0"/>
              </w:rPr>
              <w:t>The principal objective of the hybrid mismatch rules is to neutralise the effects of hybrid mismatches so that unfair tax advantages do not accrue for multinational groups as compared with domestic groups.</w:t>
            </w:r>
          </w:p>
          <w:p w14:paraId="213A1232" w14:textId="27FC3C4E" w:rsidR="00E72752" w:rsidRDefault="00E72752" w:rsidP="00093DA6">
            <w:r w:rsidRPr="00093DA6">
              <w:rPr>
                <w:b w:val="0"/>
                <w:bCs w:val="0"/>
              </w:rPr>
              <w:t xml:space="preserve">In addition, multinational entities are expected to make enquiries with and request information from their overseas head office to ensure that their payments are not shielded </w:t>
            </w:r>
            <w:proofErr w:type="gramStart"/>
            <w:r w:rsidRPr="00093DA6">
              <w:rPr>
                <w:b w:val="0"/>
                <w:bCs w:val="0"/>
              </w:rPr>
              <w:t>by the use of</w:t>
            </w:r>
            <w:proofErr w:type="gramEnd"/>
            <w:r w:rsidRPr="00093DA6">
              <w:rPr>
                <w:b w:val="0"/>
                <w:bCs w:val="0"/>
              </w:rPr>
              <w:t xml:space="preserve"> hybrid mismatch arrangements offshore (PCG 2021/5)</w:t>
            </w:r>
          </w:p>
          <w:p w14:paraId="63C0B49D" w14:textId="32617510" w:rsidR="00842C0E" w:rsidRPr="00093DA6" w:rsidRDefault="008E7FBD" w:rsidP="00093DA6">
            <w:pPr>
              <w:rPr>
                <w:b w:val="0"/>
                <w:bCs w:val="0"/>
              </w:rPr>
            </w:pPr>
            <w:r>
              <w:rPr>
                <w:b w:val="0"/>
                <w:bCs w:val="0"/>
              </w:rPr>
              <w:t>T</w:t>
            </w:r>
            <w:r w:rsidR="00F70927">
              <w:rPr>
                <w:b w:val="0"/>
                <w:bCs w:val="0"/>
              </w:rPr>
              <w:t>he Taxation Determination TD 2022/9</w:t>
            </w:r>
            <w:r>
              <w:rPr>
                <w:b w:val="0"/>
                <w:bCs w:val="0"/>
              </w:rPr>
              <w:t xml:space="preserve"> sets out the Commissioner’s view that</w:t>
            </w:r>
            <w:r w:rsidR="00F70927">
              <w:rPr>
                <w:b w:val="0"/>
                <w:bCs w:val="0"/>
              </w:rPr>
              <w:t xml:space="preserve"> income subject to tax under the U</w:t>
            </w:r>
            <w:r w:rsidR="00A672A8">
              <w:rPr>
                <w:b w:val="0"/>
                <w:bCs w:val="0"/>
              </w:rPr>
              <w:t>nited States’ global intangible low-taxed income rules is not</w:t>
            </w:r>
            <w:r w:rsidR="00004CCA">
              <w:rPr>
                <w:b w:val="0"/>
                <w:bCs w:val="0"/>
              </w:rPr>
              <w:t xml:space="preserve"> taken to be subject to foreign income tax </w:t>
            </w:r>
            <w:r w:rsidR="00363408">
              <w:rPr>
                <w:b w:val="0"/>
                <w:bCs w:val="0"/>
              </w:rPr>
              <w:t>under the Australia’s foreign hybrid rules</w:t>
            </w:r>
            <w:r w:rsidR="008F29F9">
              <w:rPr>
                <w:b w:val="0"/>
                <w:bCs w:val="0"/>
              </w:rPr>
              <w:t xml:space="preserve">, as </w:t>
            </w:r>
            <w:r w:rsidR="003605E3">
              <w:rPr>
                <w:b w:val="0"/>
                <w:bCs w:val="0"/>
              </w:rPr>
              <w:t xml:space="preserve">section 951A of </w:t>
            </w:r>
            <w:r w:rsidR="003605E3" w:rsidRPr="008172C5">
              <w:rPr>
                <w:b w:val="0"/>
                <w:bCs w:val="0"/>
              </w:rPr>
              <w:t xml:space="preserve">the </w:t>
            </w:r>
            <w:r w:rsidR="003605E3" w:rsidRPr="00383AC5">
              <w:rPr>
                <w:b w:val="0"/>
                <w:bCs w:val="0"/>
                <w:i/>
                <w:iCs/>
              </w:rPr>
              <w:t xml:space="preserve">United States Internal Revenue Code </w:t>
            </w:r>
            <w:r w:rsidR="001E5ECD">
              <w:rPr>
                <w:b w:val="0"/>
                <w:bCs w:val="0"/>
              </w:rPr>
              <w:t xml:space="preserve">is not a provision of a law of foreign country that </w:t>
            </w:r>
            <w:r w:rsidR="0042436E">
              <w:rPr>
                <w:b w:val="0"/>
                <w:bCs w:val="0"/>
              </w:rPr>
              <w:t>corresponds to laws</w:t>
            </w:r>
            <w:r w:rsidR="001E5ECD">
              <w:rPr>
                <w:b w:val="0"/>
                <w:bCs w:val="0"/>
              </w:rPr>
              <w:t xml:space="preserve"> under Australia’s </w:t>
            </w:r>
            <w:r w:rsidR="00A86F47">
              <w:rPr>
                <w:b w:val="0"/>
                <w:bCs w:val="0"/>
              </w:rPr>
              <w:t>controlled foreign company (CFC) regime</w:t>
            </w:r>
            <w:r w:rsidR="00363408">
              <w:rPr>
                <w:b w:val="0"/>
                <w:bCs w:val="0"/>
              </w:rPr>
              <w:t xml:space="preserve">. </w:t>
            </w:r>
          </w:p>
        </w:tc>
        <w:tc>
          <w:tcPr>
            <w:tcW w:w="337" w:type="pct"/>
          </w:tcPr>
          <w:p w14:paraId="72DDD05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428E634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82CA18"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09EFC503"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1FF4B13"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REPORTABLE TAX POSITION</w:t>
            </w:r>
            <w:r w:rsidRPr="00093DA6">
              <w:rPr>
                <w:b/>
                <w:bCs w:val="0"/>
                <w:color w:val="FFFFFF" w:themeColor="background1"/>
                <w:sz w:val="20"/>
                <w:szCs w:val="20"/>
              </w:rPr>
              <w:t xml:space="preserve">  </w:t>
            </w:r>
          </w:p>
        </w:tc>
      </w:tr>
      <w:tr w:rsidR="00E72752" w14:paraId="1103A755"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4E65C4E7" w14:textId="77777777" w:rsidR="00E72752" w:rsidRPr="00093DA6" w:rsidRDefault="00E72752" w:rsidP="009C7A83">
            <w:pPr>
              <w:pStyle w:val="Tableheading"/>
              <w:rPr>
                <w:rFonts w:asciiTheme="minorHAnsi" w:hAnsiTheme="minorHAnsi" w:cstheme="minorHAnsi"/>
                <w:b/>
                <w:color w:val="090D46" w:themeColor="text1"/>
                <w:sz w:val="18"/>
                <w:szCs w:val="18"/>
              </w:rPr>
            </w:pPr>
            <w:r w:rsidRPr="00093DA6">
              <w:rPr>
                <w:rFonts w:asciiTheme="minorHAnsi" w:hAnsiTheme="minorHAnsi" w:cstheme="minorHAnsi"/>
                <w:color w:val="090D46" w:themeColor="text1"/>
                <w:sz w:val="18"/>
                <w:szCs w:val="18"/>
              </w:rPr>
              <w:t xml:space="preserve">The reportable tax position (RTP) schedule is part of the company income tax return. Consideration must be taken as to whether the entity meets the criteria to complete the RTP schedule. </w:t>
            </w:r>
          </w:p>
          <w:p w14:paraId="313FB054" w14:textId="77777777" w:rsidR="00E72752" w:rsidRDefault="00E72752" w:rsidP="009C7A83">
            <w:pPr>
              <w:pStyle w:val="SWNumbered1bluebold"/>
              <w:spacing w:before="120"/>
              <w:rPr>
                <w:rFonts w:eastAsia="MS Gothic" w:cs="Times New Roman"/>
                <w:b/>
                <w:color w:val="auto"/>
                <w:szCs w:val="18"/>
                <w:lang w:eastAsia="en-US"/>
              </w:rPr>
            </w:pPr>
            <w:r w:rsidRPr="00093DA6">
              <w:rPr>
                <w:rFonts w:asciiTheme="minorHAnsi" w:eastAsia="MS Gothic" w:hAnsiTheme="minorHAnsi" w:cstheme="minorHAnsi"/>
                <w:color w:val="090D46" w:themeColor="text1"/>
                <w:szCs w:val="18"/>
                <w:lang w:eastAsia="en-US"/>
              </w:rPr>
              <w:t>From 1 July 2021, private companies will need to self-assess their requirement to lodge the RTP schedule.</w:t>
            </w:r>
          </w:p>
        </w:tc>
        <w:tc>
          <w:tcPr>
            <w:tcW w:w="337" w:type="pct"/>
          </w:tcPr>
          <w:p w14:paraId="735C5B4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3925DD86"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CB042E8"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64F297C2"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43734D4" w14:textId="13871B8B"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 xml:space="preserve">ADDITIONAL LODGEMENT REQUIREMENTS FOR </w:t>
            </w:r>
            <w:r w:rsidR="005F6514">
              <w:rPr>
                <w:b/>
                <w:bCs w:val="0"/>
                <w:color w:val="FFFFFF" w:themeColor="background1"/>
                <w:sz w:val="18"/>
                <w:szCs w:val="18"/>
              </w:rPr>
              <w:t xml:space="preserve">AN </w:t>
            </w:r>
            <w:r w:rsidRPr="00093DA6">
              <w:rPr>
                <w:b/>
                <w:bCs w:val="0"/>
                <w:color w:val="FFFFFF" w:themeColor="background1"/>
                <w:sz w:val="18"/>
                <w:szCs w:val="18"/>
              </w:rPr>
              <w:t xml:space="preserve">SGE  </w:t>
            </w:r>
          </w:p>
        </w:tc>
      </w:tr>
      <w:tr w:rsidR="00E72752" w14:paraId="1FF1EA28"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49B4D926" w14:textId="77777777" w:rsidR="00E72752" w:rsidRPr="00093DA6" w:rsidRDefault="00E72752" w:rsidP="00093DA6">
            <w:pPr>
              <w:rPr>
                <w:b w:val="0"/>
                <w:bCs w:val="0"/>
              </w:rPr>
            </w:pPr>
            <w:r w:rsidRPr="00093DA6">
              <w:rPr>
                <w:b w:val="0"/>
                <w:bCs w:val="0"/>
              </w:rPr>
              <w:t>From 1 July 2019, an entity is a significant global entity (SGE) for a period if their annual global income is A$1 billion or more.</w:t>
            </w:r>
          </w:p>
          <w:p w14:paraId="39FB6152" w14:textId="67901232" w:rsidR="00E72752" w:rsidRPr="00093DA6" w:rsidRDefault="00E72752" w:rsidP="00093DA6">
            <w:pPr>
              <w:rPr>
                <w:b w:val="0"/>
                <w:bCs w:val="0"/>
              </w:rPr>
            </w:pPr>
            <w:r w:rsidRPr="00093DA6">
              <w:rPr>
                <w:b w:val="0"/>
                <w:bCs w:val="0"/>
              </w:rPr>
              <w:t xml:space="preserve">As an SGE they are required to complete the relevant SGE label in their annual income tax return. This applies to company, trust, </w:t>
            </w:r>
            <w:r w:rsidR="00006004" w:rsidRPr="00093DA6">
              <w:rPr>
                <w:b w:val="0"/>
                <w:bCs w:val="0"/>
              </w:rPr>
              <w:t>partnership</w:t>
            </w:r>
            <w:r w:rsidR="00006004" w:rsidRPr="00093DA6">
              <w:t>,</w:t>
            </w:r>
            <w:r w:rsidRPr="00093DA6">
              <w:rPr>
                <w:b w:val="0"/>
                <w:bCs w:val="0"/>
              </w:rPr>
              <w:t xml:space="preserve"> and fund income tax returns. </w:t>
            </w:r>
          </w:p>
          <w:p w14:paraId="7BD14A72" w14:textId="77777777" w:rsidR="00E72752" w:rsidRPr="00093DA6" w:rsidRDefault="00E72752" w:rsidP="00093DA6">
            <w:pPr>
              <w:rPr>
                <w:b w:val="0"/>
                <w:bCs w:val="0"/>
              </w:rPr>
            </w:pPr>
            <w:r w:rsidRPr="00093DA6">
              <w:rPr>
                <w:b w:val="0"/>
                <w:bCs w:val="0"/>
              </w:rPr>
              <w:t>In addition to income tax return disclosures SGE’s are required to give the Commissioner general purpose financial statement (GPFS) if the entity has not already provided the GPFS to ASIC.</w:t>
            </w:r>
          </w:p>
          <w:p w14:paraId="2721F871" w14:textId="0BDC4D07" w:rsidR="00E72752" w:rsidRDefault="00E72752" w:rsidP="00093DA6">
            <w:r w:rsidRPr="00093DA6">
              <w:rPr>
                <w:b w:val="0"/>
                <w:bCs w:val="0"/>
              </w:rPr>
              <w:t xml:space="preserve">Furthermore, SGE’s are required to lodge </w:t>
            </w:r>
            <w:r w:rsidR="0067496A">
              <w:rPr>
                <w:b w:val="0"/>
                <w:bCs w:val="0"/>
              </w:rPr>
              <w:t>c</w:t>
            </w:r>
            <w:r w:rsidRPr="00093DA6">
              <w:rPr>
                <w:b w:val="0"/>
                <w:bCs w:val="0"/>
              </w:rPr>
              <w:t>ountry-by-country reports/information with the Australian Taxation Office.</w:t>
            </w:r>
          </w:p>
        </w:tc>
        <w:tc>
          <w:tcPr>
            <w:tcW w:w="337" w:type="pct"/>
          </w:tcPr>
          <w:p w14:paraId="5D44D8C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353DEA78"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358C7B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F1B5E2F"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EB0C8FD" w14:textId="77777777" w:rsidR="00E72752" w:rsidRPr="00093DA6" w:rsidRDefault="00E72752" w:rsidP="009C7A83">
            <w:pPr>
              <w:pStyle w:val="Tableheading"/>
              <w:rPr>
                <w:b/>
                <w:bCs w:val="0"/>
                <w:color w:val="FFFFFF" w:themeColor="background1"/>
                <w:sz w:val="18"/>
                <w:szCs w:val="18"/>
              </w:rPr>
            </w:pPr>
            <w:r w:rsidRPr="00093DA6">
              <w:rPr>
                <w:b/>
                <w:bCs w:val="0"/>
                <w:color w:val="FFFFFF" w:themeColor="background1"/>
                <w:sz w:val="18"/>
                <w:szCs w:val="18"/>
              </w:rPr>
              <w:t>TRANSFER PRICING</w:t>
            </w:r>
          </w:p>
        </w:tc>
      </w:tr>
      <w:tr w:rsidR="00E72752" w14:paraId="58C18968" w14:textId="77777777" w:rsidTr="00093DA6">
        <w:tc>
          <w:tcPr>
            <w:cnfStyle w:val="001000000000" w:firstRow="0" w:lastRow="0" w:firstColumn="1" w:lastColumn="0" w:oddVBand="0" w:evenVBand="0" w:oddHBand="0" w:evenHBand="0" w:firstRowFirstColumn="0" w:firstRowLastColumn="0" w:lastRowFirstColumn="0" w:lastRowLastColumn="0"/>
            <w:tcW w:w="4122" w:type="pct"/>
            <w:hideMark/>
          </w:tcPr>
          <w:p w14:paraId="57F92DD4" w14:textId="77777777" w:rsidR="00E72752" w:rsidRPr="00093DA6" w:rsidRDefault="00E72752" w:rsidP="00093DA6">
            <w:pPr>
              <w:rPr>
                <w:b w:val="0"/>
                <w:bCs w:val="0"/>
              </w:rPr>
            </w:pPr>
            <w:r w:rsidRPr="00093DA6">
              <w:rPr>
                <w:b w:val="0"/>
                <w:bCs w:val="0"/>
              </w:rPr>
              <w:t xml:space="preserve">All international related party transactions must be undertaken on an arm’s length basis. This means that an arm’s length rate of interest should be charged on any related party loans. </w:t>
            </w:r>
          </w:p>
          <w:p w14:paraId="0D60087E" w14:textId="77777777" w:rsidR="00E72752" w:rsidRDefault="00E72752" w:rsidP="00093DA6">
            <w:r w:rsidRPr="00093DA6">
              <w:rPr>
                <w:b w:val="0"/>
                <w:bCs w:val="0"/>
              </w:rPr>
              <w:lastRenderedPageBreak/>
              <w:t>Transfer pricing documentation supporting the arm's length price must be maintained for a taxpayer to have a reasonable arguable position for the purposes of protection from administrative penalties. Please note that not all documentation will be acceptable for these purposes (</w:t>
            </w:r>
            <w:proofErr w:type="spellStart"/>
            <w:r w:rsidRPr="00093DA6">
              <w:rPr>
                <w:b w:val="0"/>
                <w:bCs w:val="0"/>
              </w:rPr>
              <w:t>i.e</w:t>
            </w:r>
            <w:proofErr w:type="spellEnd"/>
            <w:r w:rsidRPr="00093DA6">
              <w:rPr>
                <w:b w:val="0"/>
                <w:bCs w:val="0"/>
              </w:rPr>
              <w:t xml:space="preserve"> the loan agreement, in of itself, is not sufficient).</w:t>
            </w:r>
          </w:p>
        </w:tc>
        <w:tc>
          <w:tcPr>
            <w:tcW w:w="337" w:type="pct"/>
          </w:tcPr>
          <w:p w14:paraId="38328185"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049FAA8E"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C5EB7E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85CAECA" w14:textId="77777777" w:rsidTr="000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3C1440F" w14:textId="7AE3010B" w:rsidR="00E72752" w:rsidRPr="00093DA6" w:rsidRDefault="005F6514" w:rsidP="009C7A83">
            <w:pPr>
              <w:pStyle w:val="Tableheading"/>
              <w:rPr>
                <w:b/>
                <w:bCs w:val="0"/>
                <w:color w:val="FFFFFF" w:themeColor="background1"/>
                <w:sz w:val="18"/>
                <w:szCs w:val="18"/>
              </w:rPr>
            </w:pPr>
            <w:r w:rsidRPr="00093DA6">
              <w:rPr>
                <w:b/>
                <w:bCs w:val="0"/>
                <w:color w:val="FFFFFF" w:themeColor="background1"/>
                <w:sz w:val="18"/>
                <w:szCs w:val="18"/>
              </w:rPr>
              <w:t>FOREIGN INCOME TAX OFFSET</w:t>
            </w:r>
          </w:p>
        </w:tc>
      </w:tr>
      <w:tr w:rsidR="00E72752" w14:paraId="4E6131AE" w14:textId="77777777" w:rsidTr="00093DA6">
        <w:tc>
          <w:tcPr>
            <w:cnfStyle w:val="001000000000" w:firstRow="0" w:lastRow="0" w:firstColumn="1" w:lastColumn="0" w:oddVBand="0" w:evenVBand="0" w:oddHBand="0" w:evenHBand="0" w:firstRowFirstColumn="0" w:firstRowLastColumn="0" w:lastRowFirstColumn="0" w:lastRowLastColumn="0"/>
            <w:tcW w:w="4122" w:type="pct"/>
          </w:tcPr>
          <w:p w14:paraId="1E0C6B65" w14:textId="1993C64C" w:rsidR="00E72752" w:rsidRDefault="00E72752" w:rsidP="00006004">
            <w:pPr>
              <w:rPr>
                <w:rFonts w:eastAsia="Times New Roman" w:cs="Arial"/>
                <w:color w:val="203062"/>
                <w:sz w:val="20"/>
                <w:szCs w:val="20"/>
              </w:rPr>
            </w:pPr>
            <w:r w:rsidRPr="00093DA6">
              <w:rPr>
                <w:b w:val="0"/>
                <w:bCs w:val="0"/>
              </w:rPr>
              <w:t>Division 770 deals with foreign income tax offsets (FITOs).</w:t>
            </w:r>
            <w:r w:rsidR="008B271B">
              <w:rPr>
                <w:b w:val="0"/>
                <w:bCs w:val="0"/>
              </w:rPr>
              <w:t xml:space="preserve"> </w:t>
            </w:r>
            <w:r w:rsidRPr="00093DA6">
              <w:rPr>
                <w:b w:val="0"/>
                <w:bCs w:val="0"/>
              </w:rPr>
              <w:t>Providing taxpayers with a tax offset for foreign taxes paid on foreign income is a way of avoiding double taxation. A FITO reduces the Australian tax that would have been payable on foreign income earned by an amount up to the foreign income tax paid.</w:t>
            </w:r>
          </w:p>
        </w:tc>
        <w:tc>
          <w:tcPr>
            <w:tcW w:w="337" w:type="pct"/>
          </w:tcPr>
          <w:p w14:paraId="5D80B0D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1" w:type="pct"/>
          </w:tcPr>
          <w:p w14:paraId="2D0C4BCC"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4BC48CF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7DF1B2C7" w14:textId="77777777" w:rsidR="00E72752" w:rsidRDefault="00E72752" w:rsidP="00E72752">
      <w:pPr>
        <w:rPr>
          <w:rFonts w:ascii="Arial" w:hAnsi="Arial"/>
          <w:sz w:val="24"/>
          <w:szCs w:val="24"/>
        </w:rPr>
      </w:pPr>
    </w:p>
    <w:tbl>
      <w:tblPr>
        <w:tblStyle w:val="RACVTable"/>
        <w:tblW w:w="5200" w:type="pct"/>
        <w:tblLook w:val="00A0" w:firstRow="1" w:lastRow="0" w:firstColumn="1" w:lastColumn="0" w:noHBand="0" w:noVBand="0"/>
      </w:tblPr>
      <w:tblGrid>
        <w:gridCol w:w="8410"/>
        <w:gridCol w:w="836"/>
        <w:gridCol w:w="558"/>
        <w:gridCol w:w="573"/>
      </w:tblGrid>
      <w:tr w:rsidR="00E72752" w:rsidRPr="00570FDE" w14:paraId="1C45FB89" w14:textId="77777777" w:rsidTr="00570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199E193E" w14:textId="77777777" w:rsidR="00E72752" w:rsidRPr="00570FDE" w:rsidRDefault="00E72752" w:rsidP="00570FDE">
            <w:pPr>
              <w:pStyle w:val="Table"/>
              <w:spacing w:before="100" w:after="100"/>
              <w:rPr>
                <w:bCs w:val="0"/>
                <w:color w:val="090D46" w:themeColor="text1"/>
                <w:sz w:val="18"/>
                <w:szCs w:val="18"/>
              </w:rPr>
            </w:pPr>
            <w:r w:rsidRPr="00570FDE">
              <w:rPr>
                <w:bCs w:val="0"/>
                <w:color w:val="090D46" w:themeColor="text1"/>
                <w:sz w:val="18"/>
                <w:szCs w:val="18"/>
              </w:rPr>
              <w:t>INDIVIDUALS</w:t>
            </w:r>
          </w:p>
        </w:tc>
        <w:tc>
          <w:tcPr>
            <w:tcW w:w="403" w:type="pct"/>
            <w:hideMark/>
          </w:tcPr>
          <w:p w14:paraId="613B207D" w14:textId="77777777" w:rsidR="00E72752" w:rsidRPr="00570FDE" w:rsidRDefault="00E72752" w:rsidP="00570F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70FDE">
              <w:rPr>
                <w:bCs w:val="0"/>
                <w:color w:val="090D46" w:themeColor="text1"/>
                <w:sz w:val="18"/>
                <w:szCs w:val="18"/>
              </w:rPr>
              <w:t>YES</w:t>
            </w:r>
          </w:p>
        </w:tc>
        <w:tc>
          <w:tcPr>
            <w:tcW w:w="269" w:type="pct"/>
            <w:hideMark/>
          </w:tcPr>
          <w:p w14:paraId="345A3866" w14:textId="77777777" w:rsidR="00E72752" w:rsidRPr="00570FDE" w:rsidRDefault="00E72752" w:rsidP="00570F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70FDE">
              <w:rPr>
                <w:bCs w:val="0"/>
                <w:color w:val="090D46" w:themeColor="text1"/>
                <w:sz w:val="18"/>
                <w:szCs w:val="18"/>
              </w:rPr>
              <w:t>NO</w:t>
            </w:r>
          </w:p>
        </w:tc>
        <w:tc>
          <w:tcPr>
            <w:tcW w:w="276" w:type="pct"/>
            <w:hideMark/>
          </w:tcPr>
          <w:p w14:paraId="0432647E" w14:textId="77777777" w:rsidR="00E72752" w:rsidRPr="00570FDE" w:rsidRDefault="00E72752" w:rsidP="00570F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70FDE">
              <w:rPr>
                <w:bCs w:val="0"/>
                <w:color w:val="090D46" w:themeColor="text1"/>
                <w:sz w:val="18"/>
                <w:szCs w:val="18"/>
              </w:rPr>
              <w:t>N/A</w:t>
            </w:r>
          </w:p>
        </w:tc>
      </w:tr>
      <w:tr w:rsidR="00E72752" w14:paraId="07C9DD73"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3CF6E5E" w14:textId="77777777" w:rsidR="00E72752" w:rsidRPr="00570FDE" w:rsidRDefault="00E72752" w:rsidP="009C7A83">
            <w:pPr>
              <w:pStyle w:val="Tableheading"/>
              <w:rPr>
                <w:b/>
                <w:bCs w:val="0"/>
                <w:color w:val="FFFFFF" w:themeColor="background1"/>
                <w:sz w:val="18"/>
                <w:szCs w:val="18"/>
              </w:rPr>
            </w:pPr>
            <w:r w:rsidRPr="00570FDE">
              <w:rPr>
                <w:b/>
                <w:bCs w:val="0"/>
                <w:color w:val="FFFFFF" w:themeColor="background1"/>
                <w:sz w:val="18"/>
                <w:szCs w:val="18"/>
              </w:rPr>
              <w:t>SALARY SACRIFICE</w:t>
            </w:r>
          </w:p>
        </w:tc>
      </w:tr>
      <w:tr w:rsidR="00E72752" w14:paraId="79EA3A52"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66413B53" w14:textId="0F476832" w:rsidR="00E72752" w:rsidRPr="00570FDE" w:rsidRDefault="00E72752" w:rsidP="00570FDE">
            <w:pPr>
              <w:rPr>
                <w:b w:val="0"/>
                <w:bCs w:val="0"/>
              </w:rPr>
            </w:pPr>
            <w:r w:rsidRPr="00570FDE">
              <w:rPr>
                <w:b w:val="0"/>
                <w:bCs w:val="0"/>
              </w:rPr>
              <w:t xml:space="preserve">Ensure that salary sacrifice arrangements have been considered </w:t>
            </w:r>
            <w:proofErr w:type="gramStart"/>
            <w:r w:rsidRPr="00570FDE">
              <w:rPr>
                <w:b w:val="0"/>
                <w:bCs w:val="0"/>
              </w:rPr>
              <w:t>in light of</w:t>
            </w:r>
            <w:proofErr w:type="gramEnd"/>
            <w:r w:rsidRPr="00570FDE">
              <w:rPr>
                <w:b w:val="0"/>
                <w:bCs w:val="0"/>
              </w:rPr>
              <w:t xml:space="preserve"> Taxation Ruling TR 2001/10 so that any gross salary foregone for fringe benefits or additional employer superannuation contributions is under an agreement entered into before gross salary is derived.</w:t>
            </w:r>
          </w:p>
          <w:p w14:paraId="6F8DC1FB" w14:textId="4BAD089C" w:rsidR="00E72752" w:rsidRPr="00570FDE" w:rsidRDefault="00E72752" w:rsidP="00570FDE">
            <w:pPr>
              <w:rPr>
                <w:b w:val="0"/>
                <w:bCs w:val="0"/>
              </w:rPr>
            </w:pPr>
            <w:r w:rsidRPr="00570FDE">
              <w:rPr>
                <w:b w:val="0"/>
                <w:bCs w:val="0"/>
              </w:rPr>
              <w:t>Care should be taken where there is only a temporary adjustment for the making of additional voluntary superannuation contributions or exempt benefits (</w:t>
            </w:r>
            <w:r w:rsidR="00006004" w:rsidRPr="00570FDE">
              <w:rPr>
                <w:b w:val="0"/>
                <w:bCs w:val="0"/>
              </w:rPr>
              <w:t>e.g.</w:t>
            </w:r>
            <w:r w:rsidR="00006004" w:rsidRPr="00570FDE">
              <w:t>,</w:t>
            </w:r>
            <w:r w:rsidRPr="00570FDE">
              <w:rPr>
                <w:b w:val="0"/>
                <w:bCs w:val="0"/>
              </w:rPr>
              <w:t xml:space="preserve"> laptops) prior to year-end as this still needs to be subject to a valid salary sacrifice agreement even if the arrangement is only temporary in nature.</w:t>
            </w:r>
          </w:p>
          <w:p w14:paraId="2C57AA6D" w14:textId="3F0D0314" w:rsidR="00E72752" w:rsidRPr="00570FDE" w:rsidRDefault="00E72752" w:rsidP="00570FDE">
            <w:pPr>
              <w:rPr>
                <w:b w:val="0"/>
                <w:bCs w:val="0"/>
              </w:rPr>
            </w:pPr>
            <w:r w:rsidRPr="00570FDE">
              <w:rPr>
                <w:b w:val="0"/>
                <w:bCs w:val="0"/>
              </w:rPr>
              <w:t xml:space="preserve">Where the taxpayer may be entitled to a bonus </w:t>
            </w:r>
            <w:r w:rsidR="00006004" w:rsidRPr="00570FDE">
              <w:rPr>
                <w:b w:val="0"/>
                <w:bCs w:val="0"/>
              </w:rPr>
              <w:t>have</w:t>
            </w:r>
            <w:r w:rsidR="00006004" w:rsidRPr="00570FDE">
              <w:t>,</w:t>
            </w:r>
            <w:r w:rsidRPr="00570FDE">
              <w:rPr>
                <w:b w:val="0"/>
                <w:bCs w:val="0"/>
              </w:rPr>
              <w:t xml:space="preserve"> they </w:t>
            </w:r>
            <w:r w:rsidR="00006004" w:rsidRPr="00570FDE">
              <w:rPr>
                <w:b w:val="0"/>
                <w:bCs w:val="0"/>
              </w:rPr>
              <w:t>entered</w:t>
            </w:r>
            <w:r w:rsidRPr="00570FDE">
              <w:rPr>
                <w:b w:val="0"/>
                <w:bCs w:val="0"/>
              </w:rPr>
              <w:t xml:space="preserve"> a salary sacrifice arrangement pursuant to which they have requested that any bonus be paid in a form other than gross salary?</w:t>
            </w:r>
          </w:p>
          <w:p w14:paraId="3A31F555" w14:textId="1ED9727A" w:rsidR="00E72752" w:rsidRDefault="00E72752" w:rsidP="00570FDE">
            <w:r w:rsidRPr="00570FDE">
              <w:rPr>
                <w:b w:val="0"/>
                <w:bCs w:val="0"/>
              </w:rPr>
              <w:t xml:space="preserve">In </w:t>
            </w:r>
            <w:r w:rsidR="00006004" w:rsidRPr="00570FDE">
              <w:rPr>
                <w:b w:val="0"/>
                <w:bCs w:val="0"/>
              </w:rPr>
              <w:t>entering</w:t>
            </w:r>
            <w:r w:rsidRPr="00570FDE">
              <w:rPr>
                <w:b w:val="0"/>
                <w:bCs w:val="0"/>
              </w:rPr>
              <w:t xml:space="preserve"> a salary sacrifice arrangement make sure that any additional employer superannuation contributions do not result in the total of compulsory superannuation contributions and salary sacrificed contributions exceeding the concessional contributions cap which is $27,500 for the 202</w:t>
            </w:r>
            <w:r w:rsidR="007F7872">
              <w:rPr>
                <w:b w:val="0"/>
                <w:bCs w:val="0"/>
              </w:rPr>
              <w:t>4</w:t>
            </w:r>
            <w:r w:rsidRPr="00570FDE">
              <w:rPr>
                <w:b w:val="0"/>
                <w:bCs w:val="0"/>
              </w:rPr>
              <w:t xml:space="preserve"> </w:t>
            </w:r>
            <w:r w:rsidR="005000F8">
              <w:rPr>
                <w:b w:val="0"/>
                <w:bCs w:val="0"/>
              </w:rPr>
              <w:t xml:space="preserve">income </w:t>
            </w:r>
            <w:r w:rsidRPr="00570FDE">
              <w:rPr>
                <w:b w:val="0"/>
                <w:bCs w:val="0"/>
              </w:rPr>
              <w:t>year.</w:t>
            </w:r>
          </w:p>
        </w:tc>
        <w:tc>
          <w:tcPr>
            <w:tcW w:w="403" w:type="pct"/>
          </w:tcPr>
          <w:p w14:paraId="299DA0A3"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69" w:type="pct"/>
          </w:tcPr>
          <w:p w14:paraId="1F285021"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6" w:type="pct"/>
          </w:tcPr>
          <w:p w14:paraId="6896BD54"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2D4E3EF6"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05D7B41" w14:textId="77777777" w:rsidR="00E72752" w:rsidRPr="00570FDE" w:rsidRDefault="00E72752" w:rsidP="009C7A83">
            <w:pPr>
              <w:pStyle w:val="Tableheading"/>
              <w:rPr>
                <w:b/>
                <w:bCs w:val="0"/>
                <w:color w:val="FFFFFF" w:themeColor="background1"/>
                <w:sz w:val="18"/>
                <w:szCs w:val="18"/>
              </w:rPr>
            </w:pPr>
            <w:r w:rsidRPr="00570FDE">
              <w:rPr>
                <w:b/>
                <w:bCs w:val="0"/>
                <w:color w:val="FFFFFF" w:themeColor="background1"/>
                <w:sz w:val="18"/>
                <w:szCs w:val="18"/>
              </w:rPr>
              <w:t>SMALL BUSINESS TAX OFFSET</w:t>
            </w:r>
          </w:p>
        </w:tc>
      </w:tr>
      <w:tr w:rsidR="00E72752" w14:paraId="34FFF45A"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2DD22EBF" w14:textId="70004062" w:rsidR="00E72752" w:rsidRPr="00570FDE" w:rsidRDefault="00E72752" w:rsidP="009C7A83">
            <w:pPr>
              <w:spacing w:before="100" w:after="100"/>
              <w:rPr>
                <w:rFonts w:eastAsia="Times New Roman"/>
                <w:b w:val="0"/>
                <w:bCs w:val="0"/>
                <w:szCs w:val="18"/>
                <w:lang w:val="en-US"/>
              </w:rPr>
            </w:pPr>
            <w:r w:rsidRPr="00570FDE">
              <w:rPr>
                <w:rFonts w:eastAsia="Times New Roman"/>
                <w:b w:val="0"/>
                <w:bCs w:val="0"/>
                <w:szCs w:val="18"/>
                <w:lang w:val="en-US"/>
              </w:rPr>
              <w:t>Check whether the individual is entitled to the small business income tax offset for the year ended 30 June 202</w:t>
            </w:r>
            <w:r w:rsidR="00960665">
              <w:rPr>
                <w:rFonts w:eastAsia="Times New Roman"/>
                <w:b w:val="0"/>
                <w:bCs w:val="0"/>
                <w:szCs w:val="18"/>
                <w:lang w:val="en-US"/>
              </w:rPr>
              <w:t>4</w:t>
            </w:r>
            <w:r w:rsidRPr="00570FDE">
              <w:rPr>
                <w:rFonts w:eastAsia="Times New Roman"/>
                <w:b w:val="0"/>
                <w:bCs w:val="0"/>
                <w:szCs w:val="18"/>
                <w:lang w:val="en-US"/>
              </w:rPr>
              <w:t xml:space="preserve"> being 16% of the income tax payable on the portion of an individual’s taxable income that is their ‘total net small business income’.</w:t>
            </w:r>
          </w:p>
          <w:p w14:paraId="735824E2" w14:textId="77777777" w:rsidR="00E72752" w:rsidRDefault="00E72752" w:rsidP="009C7A83">
            <w:pPr>
              <w:spacing w:before="100" w:after="100"/>
              <w:rPr>
                <w:rFonts w:eastAsia="Times New Roman"/>
                <w:szCs w:val="18"/>
                <w:lang w:val="en-US"/>
              </w:rPr>
            </w:pPr>
            <w:r w:rsidRPr="00570FDE">
              <w:rPr>
                <w:rFonts w:eastAsia="Times New Roman"/>
                <w:b w:val="0"/>
                <w:bCs w:val="0"/>
                <w:szCs w:val="18"/>
                <w:lang w:val="en-US"/>
              </w:rPr>
              <w:t xml:space="preserve">This non-refundable offset is available to sole traders who would meet the requirements of being a small business entity, and to individuals who are not a small business entity, but who are assessed on a share of the net income of a small business entity where they are a partner in a partnership that is a small business entity or a beneficiary of a trust that is a small business entity. </w:t>
            </w:r>
          </w:p>
          <w:p w14:paraId="178BE798" w14:textId="77DE499F" w:rsidR="00E72752" w:rsidRDefault="00684D53" w:rsidP="0067496A">
            <w:pPr>
              <w:spacing w:before="100" w:after="100"/>
              <w:rPr>
                <w:rFonts w:eastAsia="Times New Roman"/>
                <w:szCs w:val="18"/>
                <w:lang w:val="en-US"/>
              </w:rPr>
            </w:pPr>
            <w:r w:rsidRPr="00570FDE">
              <w:rPr>
                <w:rFonts w:eastAsia="Times New Roman"/>
                <w:b w:val="0"/>
                <w:bCs w:val="0"/>
                <w:szCs w:val="18"/>
                <w:lang w:val="en-US"/>
              </w:rPr>
              <w:t>An entity is a small business entity if it carries on business and its aggregated turnover for the year is less than $5 million. An individual is only able to claim one small business tax offset for</w:t>
            </w:r>
            <w:r w:rsidRPr="00383AC5">
              <w:rPr>
                <w:rFonts w:eastAsia="Times New Roman"/>
                <w:b w:val="0"/>
                <w:bCs w:val="0"/>
                <w:szCs w:val="18"/>
                <w:lang w:val="en-US"/>
              </w:rPr>
              <w:t xml:space="preserve"> an income </w:t>
            </w:r>
            <w:r w:rsidRPr="00570FDE">
              <w:rPr>
                <w:rFonts w:eastAsia="Times New Roman"/>
                <w:b w:val="0"/>
                <w:bCs w:val="0"/>
                <w:szCs w:val="18"/>
                <w:lang w:val="en-US"/>
              </w:rPr>
              <w:t>year irrespective of the number of sources of small business income derived by that individual and the maximum amount of the offset is capped to $1,000 per year</w:t>
            </w:r>
            <w:r>
              <w:rPr>
                <w:rFonts w:eastAsia="Times New Roman"/>
                <w:b w:val="0"/>
                <w:bCs w:val="0"/>
                <w:szCs w:val="18"/>
                <w:lang w:val="en-US"/>
              </w:rPr>
              <w:t>.</w:t>
            </w:r>
          </w:p>
        </w:tc>
        <w:tc>
          <w:tcPr>
            <w:tcW w:w="403" w:type="pct"/>
          </w:tcPr>
          <w:p w14:paraId="6D405E80"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59763BC0"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7DF1A48" w14:textId="77777777" w:rsidR="00E72752" w:rsidRDefault="00E72752" w:rsidP="009C7A83">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6D0F71CB"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B10C2D7"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SUPERANNUATION</w:t>
            </w:r>
          </w:p>
        </w:tc>
      </w:tr>
      <w:tr w:rsidR="00570FDE" w14:paraId="463B19F7"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048D61B9" w14:textId="771B0F2B" w:rsidR="00570FDE" w:rsidRPr="00A07ABA" w:rsidRDefault="00570FDE" w:rsidP="00A07ABA">
            <w:pPr>
              <w:rPr>
                <w:b w:val="0"/>
                <w:bCs w:val="0"/>
              </w:rPr>
            </w:pPr>
            <w:r w:rsidRPr="00A07ABA">
              <w:rPr>
                <w:b w:val="0"/>
                <w:bCs w:val="0"/>
              </w:rPr>
              <w:t>Consider the limits that apply to the making of concessional and non-concessional contributions for the year ended 30 June 202</w:t>
            </w:r>
            <w:r w:rsidR="00204CCC">
              <w:rPr>
                <w:b w:val="0"/>
                <w:bCs w:val="0"/>
              </w:rPr>
              <w:t>4</w:t>
            </w:r>
            <w:r w:rsidRPr="00A07ABA">
              <w:rPr>
                <w:b w:val="0"/>
                <w:bCs w:val="0"/>
              </w:rPr>
              <w:t>:</w:t>
            </w:r>
          </w:p>
          <w:p w14:paraId="3EEABC1E" w14:textId="4DA99B73" w:rsidR="00570FDE" w:rsidRPr="00A07ABA" w:rsidRDefault="00570FDE" w:rsidP="006B320A">
            <w:pPr>
              <w:pStyle w:val="ListBullet"/>
              <w:numPr>
                <w:ilvl w:val="0"/>
                <w:numId w:val="59"/>
              </w:numPr>
              <w:rPr>
                <w:b w:val="0"/>
                <w:bCs w:val="0"/>
              </w:rPr>
            </w:pPr>
            <w:r w:rsidRPr="00A07ABA">
              <w:rPr>
                <w:b w:val="0"/>
                <w:bCs w:val="0"/>
              </w:rPr>
              <w:t>the cap on concessional contributions for the 202</w:t>
            </w:r>
            <w:r w:rsidR="008A6488">
              <w:rPr>
                <w:b w:val="0"/>
                <w:bCs w:val="0"/>
              </w:rPr>
              <w:t>4</w:t>
            </w:r>
            <w:r w:rsidRPr="00A07ABA">
              <w:rPr>
                <w:b w:val="0"/>
                <w:bCs w:val="0"/>
              </w:rPr>
              <w:t xml:space="preserve"> year is $27,500 for each individual regardless of </w:t>
            </w:r>
            <w:proofErr w:type="gramStart"/>
            <w:r w:rsidRPr="00A07ABA">
              <w:rPr>
                <w:b w:val="0"/>
                <w:bCs w:val="0"/>
              </w:rPr>
              <w:t>age</w:t>
            </w:r>
            <w:proofErr w:type="gramEnd"/>
          </w:p>
          <w:p w14:paraId="4E3F906E" w14:textId="6F543424" w:rsidR="00570FDE" w:rsidRPr="00A07ABA" w:rsidRDefault="00570FDE" w:rsidP="006B320A">
            <w:pPr>
              <w:pStyle w:val="ListBullet"/>
              <w:numPr>
                <w:ilvl w:val="0"/>
                <w:numId w:val="59"/>
              </w:numPr>
              <w:rPr>
                <w:b w:val="0"/>
                <w:bCs w:val="0"/>
              </w:rPr>
            </w:pPr>
            <w:r w:rsidRPr="00A07ABA">
              <w:rPr>
                <w:b w:val="0"/>
                <w:bCs w:val="0"/>
              </w:rPr>
              <w:lastRenderedPageBreak/>
              <w:t xml:space="preserve">the annual cap on non-concessional contributions for the </w:t>
            </w:r>
            <w:r w:rsidR="008A6488">
              <w:rPr>
                <w:b w:val="0"/>
                <w:bCs w:val="0"/>
              </w:rPr>
              <w:t>2024</w:t>
            </w:r>
            <w:r w:rsidRPr="00A07ABA">
              <w:rPr>
                <w:b w:val="0"/>
                <w:bCs w:val="0"/>
              </w:rPr>
              <w:t xml:space="preserve"> year is $110,000. However, an individual can only make non-concessional contributions if that individual’s total superannuation balance was less than $</w:t>
            </w:r>
            <w:r w:rsidR="00047E5A">
              <w:rPr>
                <w:b w:val="0"/>
                <w:bCs w:val="0"/>
              </w:rPr>
              <w:t>1.9</w:t>
            </w:r>
            <w:r w:rsidRPr="00A07ABA">
              <w:rPr>
                <w:b w:val="0"/>
                <w:bCs w:val="0"/>
              </w:rPr>
              <w:t xml:space="preserve"> million (plus indexation if applicable) as </w:t>
            </w:r>
            <w:proofErr w:type="gramStart"/>
            <w:r w:rsidRPr="00A07ABA">
              <w:rPr>
                <w:b w:val="0"/>
                <w:bCs w:val="0"/>
              </w:rPr>
              <w:t>at</w:t>
            </w:r>
            <w:proofErr w:type="gramEnd"/>
            <w:r w:rsidRPr="00A07ABA">
              <w:rPr>
                <w:b w:val="0"/>
                <w:bCs w:val="0"/>
              </w:rPr>
              <w:t xml:space="preserve"> </w:t>
            </w:r>
            <w:r w:rsidR="0040735C">
              <w:rPr>
                <w:b w:val="0"/>
                <w:bCs w:val="0"/>
              </w:rPr>
              <w:t>1</w:t>
            </w:r>
            <w:r w:rsidRPr="00A07ABA">
              <w:rPr>
                <w:b w:val="0"/>
                <w:bCs w:val="0"/>
              </w:rPr>
              <w:t xml:space="preserve"> Ju</w:t>
            </w:r>
            <w:r w:rsidR="0040735C">
              <w:rPr>
                <w:b w:val="0"/>
                <w:bCs w:val="0"/>
              </w:rPr>
              <w:t>ly</w:t>
            </w:r>
            <w:r w:rsidR="000D282E">
              <w:rPr>
                <w:b w:val="0"/>
                <w:bCs w:val="0"/>
              </w:rPr>
              <w:t xml:space="preserve"> 2023</w:t>
            </w:r>
            <w:r w:rsidRPr="00A07ABA">
              <w:rPr>
                <w:b w:val="0"/>
                <w:bCs w:val="0"/>
              </w:rPr>
              <w:t xml:space="preserve"> (see section 292-85(2) of the </w:t>
            </w:r>
            <w:r w:rsidRPr="006B320A">
              <w:rPr>
                <w:iCs/>
              </w:rPr>
              <w:t>ITAA 1997</w:t>
            </w:r>
            <w:r w:rsidRPr="00A07ABA">
              <w:rPr>
                <w:b w:val="0"/>
                <w:bCs w:val="0"/>
              </w:rPr>
              <w:t>).</w:t>
            </w:r>
          </w:p>
          <w:p w14:paraId="7794BB60" w14:textId="68CBD3BF" w:rsidR="00570FDE" w:rsidRPr="00A07ABA" w:rsidRDefault="00570FDE" w:rsidP="00A07ABA">
            <w:pPr>
              <w:rPr>
                <w:b w:val="0"/>
                <w:bCs w:val="0"/>
              </w:rPr>
            </w:pPr>
            <w:r w:rsidRPr="00A07ABA">
              <w:rPr>
                <w:b w:val="0"/>
                <w:bCs w:val="0"/>
              </w:rPr>
              <w:t xml:space="preserve">The amount of non-concessional contributions that a person aged under 67 can bring forward under the three-year rule is capped at $330,000 for the </w:t>
            </w:r>
            <w:r w:rsidR="008A6488">
              <w:rPr>
                <w:b w:val="0"/>
                <w:bCs w:val="0"/>
              </w:rPr>
              <w:t>2024</w:t>
            </w:r>
            <w:r w:rsidRPr="00A07ABA">
              <w:rPr>
                <w:b w:val="0"/>
                <w:bCs w:val="0"/>
              </w:rPr>
              <w:t xml:space="preserve"> year (subject to certain transitional arrangements). Such a contribution can likewise only be made where the individual’s total superannuation balance was less than $</w:t>
            </w:r>
            <w:r w:rsidR="00047E5A">
              <w:rPr>
                <w:b w:val="0"/>
                <w:bCs w:val="0"/>
              </w:rPr>
              <w:t>1.9</w:t>
            </w:r>
            <w:r w:rsidRPr="00A07ABA">
              <w:rPr>
                <w:b w:val="0"/>
                <w:bCs w:val="0"/>
              </w:rPr>
              <w:t xml:space="preserve"> million as </w:t>
            </w:r>
            <w:proofErr w:type="gramStart"/>
            <w:r w:rsidRPr="00A07ABA">
              <w:rPr>
                <w:b w:val="0"/>
                <w:bCs w:val="0"/>
              </w:rPr>
              <w:t>at</w:t>
            </w:r>
            <w:proofErr w:type="gramEnd"/>
            <w:r w:rsidRPr="00A07ABA">
              <w:rPr>
                <w:b w:val="0"/>
                <w:bCs w:val="0"/>
              </w:rPr>
              <w:t xml:space="preserve"> </w:t>
            </w:r>
            <w:r w:rsidR="00C30331">
              <w:rPr>
                <w:b w:val="0"/>
                <w:bCs w:val="0"/>
              </w:rPr>
              <w:t>1</w:t>
            </w:r>
            <w:r w:rsidRPr="00A07ABA">
              <w:rPr>
                <w:b w:val="0"/>
                <w:bCs w:val="0"/>
              </w:rPr>
              <w:t xml:space="preserve"> Ju</w:t>
            </w:r>
            <w:r w:rsidR="00C30331">
              <w:rPr>
                <w:b w:val="0"/>
                <w:bCs w:val="0"/>
              </w:rPr>
              <w:t>ly</w:t>
            </w:r>
            <w:r w:rsidRPr="00A07ABA">
              <w:rPr>
                <w:b w:val="0"/>
                <w:bCs w:val="0"/>
              </w:rPr>
              <w:t xml:space="preserve"> </w:t>
            </w:r>
            <w:r w:rsidR="008A6488">
              <w:rPr>
                <w:b w:val="0"/>
                <w:bCs w:val="0"/>
              </w:rPr>
              <w:t>202</w:t>
            </w:r>
            <w:r w:rsidR="00C30331">
              <w:rPr>
                <w:b w:val="0"/>
                <w:bCs w:val="0"/>
              </w:rPr>
              <w:t>3</w:t>
            </w:r>
            <w:r w:rsidRPr="00A07ABA">
              <w:rPr>
                <w:b w:val="0"/>
                <w:bCs w:val="0"/>
              </w:rPr>
              <w:t xml:space="preserve">. You should consult an appropriately licensed financial adviser to consider the merits of making any additional concessional or non-concessional contributions for the </w:t>
            </w:r>
            <w:r w:rsidR="008A6488">
              <w:rPr>
                <w:b w:val="0"/>
                <w:bCs w:val="0"/>
              </w:rPr>
              <w:t>2024</w:t>
            </w:r>
            <w:r w:rsidRPr="00A07ABA">
              <w:rPr>
                <w:b w:val="0"/>
                <w:bCs w:val="0"/>
              </w:rPr>
              <w:t xml:space="preserve"> year.</w:t>
            </w:r>
          </w:p>
          <w:p w14:paraId="1FE555E7" w14:textId="381E6548" w:rsidR="00570FDE" w:rsidRPr="00A07ABA" w:rsidRDefault="00570FDE" w:rsidP="00A07ABA">
            <w:pPr>
              <w:rPr>
                <w:rFonts w:cs="Arial"/>
                <w:b w:val="0"/>
                <w:bCs w:val="0"/>
              </w:rPr>
            </w:pPr>
            <w:r w:rsidRPr="00A07ABA">
              <w:rPr>
                <w:rFonts w:cs="Arial"/>
                <w:b w:val="0"/>
                <w:bCs w:val="0"/>
              </w:rPr>
              <w:t xml:space="preserve">Section 292-102 of the </w:t>
            </w:r>
            <w:r w:rsidRPr="006B320A">
              <w:rPr>
                <w:rFonts w:cs="Arial"/>
                <w:iCs/>
              </w:rPr>
              <w:t>ITAA 1997</w:t>
            </w:r>
            <w:r w:rsidRPr="00A07ABA">
              <w:rPr>
                <w:rFonts w:cs="Arial"/>
                <w:b w:val="0"/>
                <w:bCs w:val="0"/>
              </w:rPr>
              <w:t xml:space="preserve"> allows individuals aged </w:t>
            </w:r>
            <w:r w:rsidR="00873A20">
              <w:rPr>
                <w:rFonts w:cs="Arial"/>
                <w:b w:val="0"/>
                <w:bCs w:val="0"/>
              </w:rPr>
              <w:t>55</w:t>
            </w:r>
            <w:r w:rsidRPr="00A07ABA">
              <w:rPr>
                <w:rFonts w:cs="Arial"/>
                <w:b w:val="0"/>
                <w:bCs w:val="0"/>
              </w:rPr>
              <w:t xml:space="preserve"> or over to make additional non-concessional contributions of up to $300,000 per individual from the capital proceeds on the sale of the ownership interest in a main residence held by the individual (or their spouse or former spouse) from </w:t>
            </w:r>
            <w:r w:rsidR="00227BE8">
              <w:rPr>
                <w:rFonts w:cs="Arial"/>
                <w:b w:val="0"/>
                <w:bCs w:val="0"/>
              </w:rPr>
              <w:t>1 January 2023</w:t>
            </w:r>
            <w:r w:rsidRPr="00A07ABA">
              <w:rPr>
                <w:rFonts w:cs="Arial"/>
                <w:b w:val="0"/>
                <w:bCs w:val="0"/>
              </w:rPr>
              <w:t xml:space="preserve"> which will be excluded from the broader non-concessional contributions cap. </w:t>
            </w:r>
          </w:p>
          <w:p w14:paraId="47739ABE" w14:textId="3BB72336" w:rsidR="00570FDE" w:rsidRDefault="00570FDE" w:rsidP="00A07ABA">
            <w:pPr>
              <w:rPr>
                <w:color w:val="FFFFFF" w:themeColor="background1"/>
              </w:rPr>
            </w:pPr>
            <w:r w:rsidRPr="00A07ABA">
              <w:rPr>
                <w:rFonts w:cs="Arial"/>
                <w:b w:val="0"/>
                <w:bCs w:val="0"/>
              </w:rPr>
              <w:t xml:space="preserve">Care should be taken to ensure that all the eligibility conditions to make a downsizer contribution are </w:t>
            </w:r>
            <w:r w:rsidRPr="00F70DB2">
              <w:rPr>
                <w:rFonts w:cs="Arial"/>
                <w:b w:val="0"/>
                <w:bCs w:val="0"/>
              </w:rPr>
              <w:t>satisfied.</w:t>
            </w:r>
          </w:p>
        </w:tc>
        <w:tc>
          <w:tcPr>
            <w:tcW w:w="403" w:type="pct"/>
          </w:tcPr>
          <w:p w14:paraId="3904441D"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73B5E53F"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428A47D"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50096EBA"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140DA75" w14:textId="5A27EC6C"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SUPERANNUATION</w:t>
            </w:r>
            <w:r w:rsidR="00A07ABA">
              <w:rPr>
                <w:b/>
                <w:bCs w:val="0"/>
                <w:color w:val="FFFFFF" w:themeColor="background1"/>
                <w:sz w:val="18"/>
                <w:szCs w:val="18"/>
              </w:rPr>
              <w:t xml:space="preserve"> (CONTINUED)</w:t>
            </w:r>
          </w:p>
        </w:tc>
      </w:tr>
      <w:tr w:rsidR="00867F8C" w14:paraId="149FA5E0" w14:textId="77777777" w:rsidTr="00570FDE">
        <w:tc>
          <w:tcPr>
            <w:cnfStyle w:val="001000000000" w:firstRow="0" w:lastRow="0" w:firstColumn="1" w:lastColumn="0" w:oddVBand="0" w:evenVBand="0" w:oddHBand="0" w:evenHBand="0" w:firstRowFirstColumn="0" w:firstRowLastColumn="0" w:lastRowFirstColumn="0" w:lastRowLastColumn="0"/>
            <w:tcW w:w="4052" w:type="pct"/>
          </w:tcPr>
          <w:p w14:paraId="4722444E" w14:textId="69E9EFE3" w:rsidR="00867F8C" w:rsidRPr="00A07ABA" w:rsidRDefault="00867F8C" w:rsidP="001955E5">
            <w:pPr>
              <w:spacing w:before="100" w:after="100"/>
              <w:rPr>
                <w:rFonts w:cs="Arial"/>
                <w:szCs w:val="18"/>
              </w:rPr>
            </w:pPr>
            <w:r w:rsidRPr="00F70DB2">
              <w:rPr>
                <w:rFonts w:cs="Arial"/>
                <w:b w:val="0"/>
                <w:bCs w:val="0"/>
              </w:rPr>
              <w:t>The CGT cap excludes exempt capital gains of up to $1,</w:t>
            </w:r>
            <w:r w:rsidR="008B271B">
              <w:rPr>
                <w:rFonts w:cs="Arial"/>
                <w:b w:val="0"/>
                <w:bCs w:val="0"/>
              </w:rPr>
              <w:t>7</w:t>
            </w:r>
            <w:r w:rsidR="008E7356">
              <w:rPr>
                <w:rFonts w:cs="Arial"/>
                <w:b w:val="0"/>
                <w:bCs w:val="0"/>
              </w:rPr>
              <w:t>05</w:t>
            </w:r>
            <w:r w:rsidRPr="00F70DB2">
              <w:rPr>
                <w:rFonts w:cs="Arial"/>
                <w:b w:val="0"/>
                <w:bCs w:val="0"/>
              </w:rPr>
              <w:t xml:space="preserve">,000 under the CGT small business 15-year exemption and the CGT small business retirement exemption from being included in an individual’s cap on non-concessional contributions for the year ended 30 June </w:t>
            </w:r>
            <w:r>
              <w:rPr>
                <w:rFonts w:cs="Arial"/>
                <w:b w:val="0"/>
                <w:bCs w:val="0"/>
              </w:rPr>
              <w:t>2024</w:t>
            </w:r>
            <w:r w:rsidRPr="00F70DB2">
              <w:rPr>
                <w:rFonts w:cs="Arial"/>
                <w:b w:val="0"/>
                <w:bCs w:val="0"/>
              </w:rPr>
              <w:t>.</w:t>
            </w:r>
            <w:r w:rsidRPr="00F70DB2">
              <w:t xml:space="preserve">  </w:t>
            </w:r>
          </w:p>
        </w:tc>
        <w:tc>
          <w:tcPr>
            <w:tcW w:w="403" w:type="pct"/>
          </w:tcPr>
          <w:p w14:paraId="08A33689" w14:textId="77777777" w:rsidR="00867F8C" w:rsidRDefault="00867F8C"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786FE335" w14:textId="77777777" w:rsidR="00867F8C" w:rsidRDefault="00867F8C"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776C665B" w14:textId="77777777" w:rsidR="00867F8C" w:rsidRDefault="00867F8C"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867F8C" w14:paraId="3C2909B7"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6E124A75" w14:textId="153DE142" w:rsidR="00867F8C" w:rsidRPr="00A07ABA" w:rsidRDefault="00867F8C" w:rsidP="001955E5">
            <w:pPr>
              <w:spacing w:before="100" w:after="100"/>
              <w:rPr>
                <w:rFonts w:cs="Arial"/>
                <w:szCs w:val="18"/>
              </w:rPr>
            </w:pPr>
            <w:r w:rsidRPr="00A07ABA">
              <w:rPr>
                <w:b w:val="0"/>
                <w:bCs w:val="0"/>
                <w:szCs w:val="18"/>
              </w:rPr>
              <w:t>Consider the impact of the $</w:t>
            </w:r>
            <w:r>
              <w:rPr>
                <w:b w:val="0"/>
                <w:bCs w:val="0"/>
                <w:szCs w:val="18"/>
              </w:rPr>
              <w:t>1.9</w:t>
            </w:r>
            <w:r w:rsidRPr="00A07ABA">
              <w:rPr>
                <w:b w:val="0"/>
                <w:bCs w:val="0"/>
                <w:szCs w:val="18"/>
              </w:rPr>
              <w:t xml:space="preserve"> million limit on the amount of funds that can be held in the retirement phase of a taxed fund to support an account-based pension. Consider referring your client to an appropriately licensed financial adviser if a client is intending to </w:t>
            </w:r>
            <w:proofErr w:type="gramStart"/>
            <w:r w:rsidRPr="00A07ABA">
              <w:rPr>
                <w:b w:val="0"/>
                <w:bCs w:val="0"/>
                <w:szCs w:val="18"/>
              </w:rPr>
              <w:t>enter into</w:t>
            </w:r>
            <w:proofErr w:type="gramEnd"/>
            <w:r w:rsidRPr="00A07ABA">
              <w:rPr>
                <w:b w:val="0"/>
                <w:bCs w:val="0"/>
                <w:szCs w:val="18"/>
              </w:rPr>
              <w:t xml:space="preserve"> the retirement phase of the fund to ensure that the client’s personal transfer balance cap does not exceed the prevailing $</w:t>
            </w:r>
            <w:r>
              <w:rPr>
                <w:b w:val="0"/>
                <w:bCs w:val="0"/>
                <w:szCs w:val="18"/>
              </w:rPr>
              <w:t>1.9</w:t>
            </w:r>
            <w:r w:rsidRPr="00A07ABA">
              <w:rPr>
                <w:b w:val="0"/>
                <w:bCs w:val="0"/>
                <w:szCs w:val="18"/>
              </w:rPr>
              <w:t xml:space="preserve"> million general transfer balance cap or where they require general retirement financial planning advice.            </w:t>
            </w:r>
          </w:p>
        </w:tc>
        <w:tc>
          <w:tcPr>
            <w:tcW w:w="0" w:type="pct"/>
            <w:shd w:val="clear" w:color="auto" w:fill="auto"/>
          </w:tcPr>
          <w:p w14:paraId="4EBF5EB6" w14:textId="77777777" w:rsidR="00867F8C" w:rsidRDefault="00867F8C"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1EA15A30" w14:textId="77777777" w:rsidR="00867F8C" w:rsidRDefault="00867F8C"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2F0DB6C2" w14:textId="77777777" w:rsidR="00867F8C" w:rsidRDefault="00867F8C"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D6697D" w14:paraId="475C48CE" w14:textId="77777777" w:rsidTr="00570FDE">
        <w:tc>
          <w:tcPr>
            <w:cnfStyle w:val="001000000000" w:firstRow="0" w:lastRow="0" w:firstColumn="1" w:lastColumn="0" w:oddVBand="0" w:evenVBand="0" w:oddHBand="0" w:evenHBand="0" w:firstRowFirstColumn="0" w:firstRowLastColumn="0" w:lastRowFirstColumn="0" w:lastRowLastColumn="0"/>
            <w:tcW w:w="4052" w:type="pct"/>
          </w:tcPr>
          <w:p w14:paraId="765229C4" w14:textId="5BECB72A" w:rsidR="001955E5" w:rsidRPr="00A07ABA" w:rsidRDefault="00867F8C" w:rsidP="001955E5">
            <w:pPr>
              <w:spacing w:before="100" w:after="100"/>
              <w:rPr>
                <w:rFonts w:cs="Arial"/>
                <w:b w:val="0"/>
                <w:bCs w:val="0"/>
                <w:color w:val="auto"/>
                <w:szCs w:val="18"/>
              </w:rPr>
            </w:pPr>
            <w:r w:rsidRPr="00A07ABA">
              <w:rPr>
                <w:rFonts w:cs="Arial"/>
                <w:b w:val="0"/>
                <w:bCs w:val="0"/>
                <w:szCs w:val="18"/>
              </w:rPr>
              <w:t xml:space="preserve">Consider the merits of withdrawing superannuation contributions to help finance a first home deposit under the First Home Super Saver (FHSS) scheme. The scheme allows an individual to make additional voluntary superannuation contributions or after-tax contributions to a complying </w:t>
            </w:r>
            <w:r w:rsidR="001955E5" w:rsidRPr="00A07ABA">
              <w:rPr>
                <w:rFonts w:cs="Arial"/>
                <w:b w:val="0"/>
                <w:bCs w:val="0"/>
                <w:szCs w:val="18"/>
              </w:rPr>
              <w:t xml:space="preserve">superannuation fund from 1 July 2017 of up to $50,000, which can be withdrawn to help finance a first home deposit starting from 1 July 2018. </w:t>
            </w:r>
          </w:p>
          <w:p w14:paraId="10623742" w14:textId="77777777" w:rsidR="00D6697D" w:rsidRDefault="001955E5" w:rsidP="001955E5">
            <w:pPr>
              <w:spacing w:before="100" w:after="100"/>
              <w:rPr>
                <w:szCs w:val="18"/>
              </w:rPr>
            </w:pPr>
            <w:r w:rsidRPr="00A07ABA">
              <w:rPr>
                <w:rFonts w:cs="Arial"/>
                <w:b w:val="0"/>
                <w:bCs w:val="0"/>
                <w:szCs w:val="18"/>
              </w:rPr>
              <w:t xml:space="preserve">The scheme provides that 85% of concessional contributions can be withdrawn together with any associated earnings as a FHSS released amount, which is then in aggregate included in the </w:t>
            </w:r>
            <w:r w:rsidR="00D6697D" w:rsidRPr="00D6697D">
              <w:rPr>
                <w:b w:val="0"/>
                <w:bCs w:val="0"/>
                <w:szCs w:val="18"/>
              </w:rPr>
              <w:t>individual’s assessable income and subject to a 30% non-refundable tax offset. Eligibility conditions need to be satisfied before an individual can access the scheme.</w:t>
            </w:r>
          </w:p>
          <w:p w14:paraId="4A8E4E79" w14:textId="77109248" w:rsidR="00DF62BB" w:rsidRPr="00D6697D" w:rsidRDefault="00DF62BB" w:rsidP="001955E5">
            <w:pPr>
              <w:spacing w:before="100" w:after="100"/>
              <w:rPr>
                <w:b w:val="0"/>
                <w:bCs w:val="0"/>
                <w:szCs w:val="18"/>
              </w:rPr>
            </w:pPr>
            <w:r>
              <w:rPr>
                <w:b w:val="0"/>
                <w:bCs w:val="0"/>
                <w:szCs w:val="18"/>
              </w:rPr>
              <w:t xml:space="preserve">Note that changes to the FHSS will come into effect from 15 September 2024. Further details of the changes are outlined on </w:t>
            </w:r>
            <w:r w:rsidRPr="00DF62BB">
              <w:rPr>
                <w:b w:val="0"/>
                <w:bCs w:val="0"/>
                <w:szCs w:val="18"/>
              </w:rPr>
              <w:t xml:space="preserve">the </w:t>
            </w:r>
            <w:hyperlink r:id="rId13" w:history="1">
              <w:r w:rsidRPr="006B320A">
                <w:rPr>
                  <w:rStyle w:val="Hyperlink"/>
                </w:rPr>
                <w:t>ATO website</w:t>
              </w:r>
            </w:hyperlink>
            <w:r w:rsidRPr="00867F8C">
              <w:rPr>
                <w:b w:val="0"/>
                <w:bCs w:val="0"/>
                <w:szCs w:val="18"/>
              </w:rPr>
              <w:t>.</w:t>
            </w:r>
            <w:r>
              <w:rPr>
                <w:b w:val="0"/>
                <w:bCs w:val="0"/>
                <w:szCs w:val="18"/>
              </w:rPr>
              <w:t xml:space="preserve"> </w:t>
            </w:r>
          </w:p>
        </w:tc>
        <w:tc>
          <w:tcPr>
            <w:tcW w:w="403" w:type="pct"/>
          </w:tcPr>
          <w:p w14:paraId="50654788" w14:textId="77777777" w:rsidR="00D6697D" w:rsidRDefault="00D6697D"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5876027F" w14:textId="77777777" w:rsidR="00D6697D" w:rsidRDefault="00D6697D"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424AB706" w14:textId="77777777" w:rsidR="00D6697D" w:rsidRDefault="00D6697D"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D6697D" w14:paraId="58683E53"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60154261" w14:textId="77777777" w:rsidR="00D6697D" w:rsidRPr="00A07ABA" w:rsidRDefault="00D6697D" w:rsidP="00D6697D">
            <w:pPr>
              <w:spacing w:before="100" w:after="100"/>
              <w:rPr>
                <w:b w:val="0"/>
                <w:bCs w:val="0"/>
                <w:color w:val="auto"/>
                <w:szCs w:val="18"/>
              </w:rPr>
            </w:pPr>
            <w:r w:rsidRPr="00A07ABA">
              <w:rPr>
                <w:b w:val="0"/>
                <w:bCs w:val="0"/>
                <w:szCs w:val="18"/>
              </w:rPr>
              <w:t xml:space="preserve">Check whether the taxpayer is entitled to the Federal Government’s superannuation co-contribution for personal after-tax contributions made up to $500, or the $500 low-income superannuation offset. </w:t>
            </w:r>
          </w:p>
          <w:p w14:paraId="37F1EA83" w14:textId="42B69B78" w:rsidR="00D6697D" w:rsidRPr="00D6697D" w:rsidRDefault="00D6697D" w:rsidP="00570FDE">
            <w:pPr>
              <w:spacing w:before="100" w:after="100"/>
              <w:rPr>
                <w:rFonts w:cs="Arial"/>
                <w:szCs w:val="18"/>
              </w:rPr>
            </w:pPr>
            <w:r w:rsidRPr="00A07ABA">
              <w:rPr>
                <w:rFonts w:cs="Arial"/>
                <w:b w:val="0"/>
                <w:bCs w:val="0"/>
                <w:szCs w:val="18"/>
              </w:rPr>
              <w:t>Individuals will not be eligible for the government co-contribution if their non-concessional contributions exceeded the non-concessional contributions cap for the year, or if their ‘total superannuation balance’ was equal to or more than the $</w:t>
            </w:r>
            <w:r w:rsidR="00047E5A">
              <w:rPr>
                <w:rFonts w:cs="Arial"/>
                <w:b w:val="0"/>
                <w:bCs w:val="0"/>
                <w:szCs w:val="18"/>
              </w:rPr>
              <w:t>1.9</w:t>
            </w:r>
            <w:r w:rsidRPr="00A07ABA">
              <w:rPr>
                <w:rFonts w:cs="Arial"/>
                <w:b w:val="0"/>
                <w:bCs w:val="0"/>
                <w:szCs w:val="18"/>
              </w:rPr>
              <w:t xml:space="preserve"> million general transfer balance cap as </w:t>
            </w:r>
            <w:proofErr w:type="gramStart"/>
            <w:r w:rsidRPr="00A07ABA">
              <w:rPr>
                <w:rFonts w:cs="Arial"/>
                <w:b w:val="0"/>
                <w:bCs w:val="0"/>
                <w:szCs w:val="18"/>
              </w:rPr>
              <w:t>at</w:t>
            </w:r>
            <w:proofErr w:type="gramEnd"/>
            <w:r w:rsidRPr="00A07ABA">
              <w:rPr>
                <w:rFonts w:cs="Arial"/>
                <w:b w:val="0"/>
                <w:bCs w:val="0"/>
                <w:szCs w:val="18"/>
              </w:rPr>
              <w:t xml:space="preserve"> </w:t>
            </w:r>
            <w:r w:rsidR="00C30331">
              <w:rPr>
                <w:rFonts w:cs="Arial"/>
                <w:b w:val="0"/>
                <w:bCs w:val="0"/>
                <w:szCs w:val="18"/>
              </w:rPr>
              <w:t>1</w:t>
            </w:r>
            <w:r w:rsidRPr="00A07ABA">
              <w:rPr>
                <w:rFonts w:cs="Arial"/>
                <w:b w:val="0"/>
                <w:bCs w:val="0"/>
                <w:szCs w:val="18"/>
              </w:rPr>
              <w:t xml:space="preserve"> Ju</w:t>
            </w:r>
            <w:r w:rsidR="00C30331">
              <w:rPr>
                <w:rFonts w:cs="Arial"/>
                <w:b w:val="0"/>
                <w:bCs w:val="0"/>
                <w:szCs w:val="18"/>
              </w:rPr>
              <w:t>ly</w:t>
            </w:r>
            <w:r w:rsidRPr="00A07ABA">
              <w:rPr>
                <w:rFonts w:cs="Arial"/>
                <w:b w:val="0"/>
                <w:bCs w:val="0"/>
                <w:szCs w:val="18"/>
              </w:rPr>
              <w:t xml:space="preserve"> </w:t>
            </w:r>
            <w:r w:rsidR="00FE5BA3">
              <w:rPr>
                <w:rFonts w:cs="Arial"/>
                <w:b w:val="0"/>
                <w:bCs w:val="0"/>
                <w:szCs w:val="18"/>
              </w:rPr>
              <w:t>202</w:t>
            </w:r>
            <w:r w:rsidR="00C30331">
              <w:rPr>
                <w:rFonts w:cs="Arial"/>
                <w:b w:val="0"/>
                <w:bCs w:val="0"/>
                <w:szCs w:val="18"/>
              </w:rPr>
              <w:t>3</w:t>
            </w:r>
            <w:r w:rsidRPr="00A07ABA">
              <w:rPr>
                <w:rFonts w:cs="Arial"/>
                <w:b w:val="0"/>
                <w:bCs w:val="0"/>
                <w:szCs w:val="18"/>
              </w:rPr>
              <w:t>.</w:t>
            </w:r>
          </w:p>
        </w:tc>
        <w:tc>
          <w:tcPr>
            <w:tcW w:w="0" w:type="pct"/>
            <w:shd w:val="clear" w:color="auto" w:fill="auto"/>
          </w:tcPr>
          <w:p w14:paraId="56BE775C" w14:textId="77777777" w:rsidR="00D6697D" w:rsidRDefault="00D6697D"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63F5E11B" w14:textId="77777777" w:rsidR="00D6697D" w:rsidRDefault="00D6697D"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6AC9BD18" w14:textId="77777777" w:rsidR="00D6697D" w:rsidRDefault="00D6697D"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1C51374E"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14E9C691" w14:textId="41E0445E" w:rsidR="00570FDE" w:rsidRPr="00A07ABA" w:rsidRDefault="00570FDE" w:rsidP="00570FDE">
            <w:pPr>
              <w:spacing w:before="100" w:after="100"/>
              <w:rPr>
                <w:b w:val="0"/>
                <w:bCs w:val="0"/>
                <w:color w:val="auto"/>
                <w:szCs w:val="18"/>
              </w:rPr>
            </w:pPr>
            <w:r w:rsidRPr="00A07ABA">
              <w:rPr>
                <w:b w:val="0"/>
                <w:bCs w:val="0"/>
                <w:szCs w:val="18"/>
              </w:rPr>
              <w:t xml:space="preserve">Consider whether the individual would be entitled to the low-income spouse superannuation tax offset. A taxpayer may be entitled to an 18% tax offset of up to $540 where there the taxpayer makes superannuation contributions of up to $3,000 in respect of a low-income spouse whose income does not exceed $37,000. In this context, a spouse’s ’income’ comprises the total of the spouse’s assessable income, reportable fringe benefit amounts and reportable employer contributions. The </w:t>
            </w:r>
            <w:r w:rsidRPr="00A07ABA">
              <w:rPr>
                <w:b w:val="0"/>
                <w:bCs w:val="0"/>
                <w:szCs w:val="18"/>
              </w:rPr>
              <w:lastRenderedPageBreak/>
              <w:t xml:space="preserve">offset will gradually </w:t>
            </w:r>
            <w:proofErr w:type="gramStart"/>
            <w:r w:rsidRPr="00A07ABA">
              <w:rPr>
                <w:b w:val="0"/>
                <w:bCs w:val="0"/>
                <w:szCs w:val="18"/>
              </w:rPr>
              <w:t>phased</w:t>
            </w:r>
            <w:proofErr w:type="gramEnd"/>
            <w:r w:rsidRPr="00A07ABA">
              <w:rPr>
                <w:b w:val="0"/>
                <w:bCs w:val="0"/>
                <w:szCs w:val="18"/>
              </w:rPr>
              <w:t xml:space="preserve"> out so no offset is available where the spouse’s income is $40,000 or more. </w:t>
            </w:r>
          </w:p>
          <w:p w14:paraId="677358DA" w14:textId="5306F091" w:rsidR="00570FDE" w:rsidRDefault="00570FDE" w:rsidP="00570FDE">
            <w:pPr>
              <w:spacing w:before="100" w:after="100"/>
              <w:rPr>
                <w:szCs w:val="18"/>
              </w:rPr>
            </w:pPr>
            <w:r w:rsidRPr="00A07ABA">
              <w:rPr>
                <w:b w:val="0"/>
                <w:bCs w:val="0"/>
                <w:szCs w:val="18"/>
              </w:rPr>
              <w:t xml:space="preserve">However, the offset will not be available where the spouse’s non-concessional contributions exceed the annual non-concessional contributions cap for the </w:t>
            </w:r>
            <w:r w:rsidR="00FE5BA3">
              <w:rPr>
                <w:b w:val="0"/>
                <w:bCs w:val="0"/>
                <w:szCs w:val="18"/>
              </w:rPr>
              <w:t>2024</w:t>
            </w:r>
            <w:r w:rsidRPr="00A07ABA">
              <w:rPr>
                <w:b w:val="0"/>
                <w:bCs w:val="0"/>
                <w:szCs w:val="18"/>
              </w:rPr>
              <w:t xml:space="preserve"> year, or where the spouse’s total superannuation balance exceeds the general transfer balance cap of $</w:t>
            </w:r>
            <w:r w:rsidR="00047E5A">
              <w:rPr>
                <w:b w:val="0"/>
                <w:bCs w:val="0"/>
                <w:szCs w:val="18"/>
              </w:rPr>
              <w:t>1.9</w:t>
            </w:r>
            <w:r w:rsidRPr="00A07ABA">
              <w:rPr>
                <w:b w:val="0"/>
                <w:bCs w:val="0"/>
                <w:szCs w:val="18"/>
              </w:rPr>
              <w:t xml:space="preserve"> million as </w:t>
            </w:r>
            <w:proofErr w:type="gramStart"/>
            <w:r w:rsidRPr="00A07ABA">
              <w:rPr>
                <w:b w:val="0"/>
                <w:bCs w:val="0"/>
                <w:szCs w:val="18"/>
              </w:rPr>
              <w:t>at</w:t>
            </w:r>
            <w:proofErr w:type="gramEnd"/>
            <w:r w:rsidRPr="00A07ABA">
              <w:rPr>
                <w:b w:val="0"/>
                <w:bCs w:val="0"/>
                <w:szCs w:val="18"/>
              </w:rPr>
              <w:t xml:space="preserve"> </w:t>
            </w:r>
            <w:r w:rsidR="00C30331">
              <w:rPr>
                <w:b w:val="0"/>
                <w:bCs w:val="0"/>
                <w:szCs w:val="18"/>
              </w:rPr>
              <w:t>1</w:t>
            </w:r>
            <w:r w:rsidRPr="00A07ABA">
              <w:rPr>
                <w:b w:val="0"/>
                <w:bCs w:val="0"/>
                <w:szCs w:val="18"/>
              </w:rPr>
              <w:t xml:space="preserve"> Ju</w:t>
            </w:r>
            <w:r w:rsidR="00C30331">
              <w:rPr>
                <w:b w:val="0"/>
                <w:bCs w:val="0"/>
                <w:szCs w:val="18"/>
              </w:rPr>
              <w:t>ly</w:t>
            </w:r>
            <w:r w:rsidRPr="00A07ABA">
              <w:rPr>
                <w:b w:val="0"/>
                <w:bCs w:val="0"/>
                <w:szCs w:val="18"/>
              </w:rPr>
              <w:t xml:space="preserve"> </w:t>
            </w:r>
            <w:r w:rsidR="00FE5BA3">
              <w:rPr>
                <w:b w:val="0"/>
                <w:bCs w:val="0"/>
                <w:szCs w:val="18"/>
              </w:rPr>
              <w:t>202</w:t>
            </w:r>
            <w:r w:rsidR="00C30331">
              <w:rPr>
                <w:b w:val="0"/>
                <w:bCs w:val="0"/>
                <w:szCs w:val="18"/>
              </w:rPr>
              <w:t>3</w:t>
            </w:r>
            <w:r w:rsidRPr="00A07ABA">
              <w:rPr>
                <w:b w:val="0"/>
                <w:bCs w:val="0"/>
                <w:szCs w:val="18"/>
              </w:rPr>
              <w:t>.</w:t>
            </w:r>
          </w:p>
        </w:tc>
        <w:tc>
          <w:tcPr>
            <w:tcW w:w="403" w:type="pct"/>
          </w:tcPr>
          <w:p w14:paraId="4F249B88"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4A6F7F4E"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3273B771"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4DA8B142" w14:textId="77777777" w:rsidTr="00A0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2C36939"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MOTOR VEHICLE DEPRECIATION COST LIMIT</w:t>
            </w:r>
          </w:p>
        </w:tc>
      </w:tr>
      <w:tr w:rsidR="00A07ABA" w14:paraId="7AE57765" w14:textId="77777777" w:rsidTr="00570FDE">
        <w:tc>
          <w:tcPr>
            <w:cnfStyle w:val="001000000000" w:firstRow="0" w:lastRow="0" w:firstColumn="1" w:lastColumn="0" w:oddVBand="0" w:evenVBand="0" w:oddHBand="0" w:evenHBand="0" w:firstRowFirstColumn="0" w:firstRowLastColumn="0" w:lastRowFirstColumn="0" w:lastRowLastColumn="0"/>
            <w:tcW w:w="4052" w:type="pct"/>
            <w:hideMark/>
          </w:tcPr>
          <w:p w14:paraId="5BA50D10" w14:textId="4EA400EB" w:rsidR="00570FDE" w:rsidRPr="00A07ABA" w:rsidRDefault="00570FDE" w:rsidP="00A07ABA">
            <w:pPr>
              <w:rPr>
                <w:b w:val="0"/>
                <w:bCs w:val="0"/>
                <w:color w:val="FFFFFF" w:themeColor="background1"/>
              </w:rPr>
            </w:pPr>
            <w:r w:rsidRPr="00A07ABA">
              <w:rPr>
                <w:b w:val="0"/>
                <w:bCs w:val="0"/>
              </w:rPr>
              <w:t xml:space="preserve">Check whether the taxpayer has purchased a car over the depreciation limit </w:t>
            </w:r>
            <w:r w:rsidRPr="00867F8C">
              <w:rPr>
                <w:b w:val="0"/>
                <w:bCs w:val="0"/>
              </w:rPr>
              <w:t>of $</w:t>
            </w:r>
            <w:r w:rsidR="00FE5BA3" w:rsidRPr="00383AC5">
              <w:rPr>
                <w:b w:val="0"/>
                <w:bCs w:val="0"/>
              </w:rPr>
              <w:t>68,108</w:t>
            </w:r>
            <w:r w:rsidRPr="00867F8C">
              <w:rPr>
                <w:b w:val="0"/>
                <w:bCs w:val="0"/>
              </w:rPr>
              <w:t xml:space="preserve"> prior to 30 June </w:t>
            </w:r>
            <w:r w:rsidR="00FE5BA3" w:rsidRPr="00867F8C">
              <w:rPr>
                <w:b w:val="0"/>
                <w:bCs w:val="0"/>
              </w:rPr>
              <w:t>2024</w:t>
            </w:r>
            <w:r w:rsidRPr="00867F8C">
              <w:rPr>
                <w:b w:val="0"/>
                <w:bCs w:val="0"/>
              </w:rPr>
              <w:t>. If so, ensure that the depreciation claimed is based on an acquisition cost not exceeding $</w:t>
            </w:r>
            <w:r w:rsidR="00FE5BA3" w:rsidRPr="00867F8C">
              <w:rPr>
                <w:rFonts w:ascii="Arial" w:hAnsi="Arial" w:cs="Arial"/>
                <w:color w:val="333333"/>
                <w:shd w:val="clear" w:color="auto" w:fill="F6F6F6"/>
              </w:rPr>
              <w:t xml:space="preserve"> </w:t>
            </w:r>
            <w:r w:rsidR="00FE5BA3" w:rsidRPr="00383AC5">
              <w:rPr>
                <w:b w:val="0"/>
                <w:bCs w:val="0"/>
              </w:rPr>
              <w:t>68,108</w:t>
            </w:r>
            <w:r w:rsidRPr="00867F8C">
              <w:rPr>
                <w:b w:val="0"/>
                <w:bCs w:val="0"/>
              </w:rPr>
              <w:t xml:space="preserve"> rather </w:t>
            </w:r>
            <w:r w:rsidRPr="00A07ABA">
              <w:rPr>
                <w:b w:val="0"/>
                <w:bCs w:val="0"/>
              </w:rPr>
              <w:t xml:space="preserve">than its actual cost. </w:t>
            </w:r>
          </w:p>
        </w:tc>
        <w:tc>
          <w:tcPr>
            <w:tcW w:w="403" w:type="pct"/>
          </w:tcPr>
          <w:p w14:paraId="65F301B7"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tcPr>
          <w:p w14:paraId="3695C0B1"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tcPr>
          <w:p w14:paraId="2A0E1FC4" w14:textId="77777777" w:rsidR="00570FDE" w:rsidRDefault="00570FDE"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570FDE" w14:paraId="3C9DAB10"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0224BAF" w14:textId="77777777" w:rsidR="00570FDE" w:rsidRPr="00A07ABA" w:rsidRDefault="00570FDE" w:rsidP="00A07ABA">
            <w:pPr>
              <w:rPr>
                <w:b w:val="0"/>
                <w:bCs w:val="0"/>
                <w:color w:val="FFFFFF" w:themeColor="background1"/>
              </w:rPr>
            </w:pPr>
            <w:r w:rsidRPr="00A07ABA">
              <w:rPr>
                <w:b w:val="0"/>
                <w:bCs w:val="0"/>
              </w:rPr>
              <w:t xml:space="preserve">Check whether the taxpayer is intending to lease a luxury car. If so, ensure that the taxpayer does not claim the lease payment but rather works out a notional interest and depreciation deduction based on the notional loan to the lessee equal to the cost of the leased car (see Division 242 of </w:t>
            </w:r>
            <w:r w:rsidRPr="00867F8C">
              <w:rPr>
                <w:b w:val="0"/>
                <w:bCs w:val="0"/>
              </w:rPr>
              <w:t xml:space="preserve">the </w:t>
            </w:r>
            <w:r w:rsidRPr="006B320A">
              <w:rPr>
                <w:iCs/>
              </w:rPr>
              <w:t>ITAA 1997</w:t>
            </w:r>
            <w:r w:rsidRPr="00A07ABA">
              <w:rPr>
                <w:b w:val="0"/>
                <w:bCs w:val="0"/>
              </w:rPr>
              <w:t>).</w:t>
            </w:r>
          </w:p>
        </w:tc>
        <w:tc>
          <w:tcPr>
            <w:tcW w:w="0" w:type="pct"/>
            <w:shd w:val="clear" w:color="auto" w:fill="auto"/>
          </w:tcPr>
          <w:p w14:paraId="4EBE6B4A"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7A26D33E"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3E82D7CD"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570FDE" w14:paraId="490547F7" w14:textId="77777777" w:rsidTr="00A07AB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7B86B9E"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WORK-RELATED DEDUCTIONS</w:t>
            </w:r>
          </w:p>
        </w:tc>
      </w:tr>
      <w:tr w:rsidR="00570FDE" w14:paraId="2784D147" w14:textId="77777777" w:rsidTr="006B3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2478972" w14:textId="77777777" w:rsidR="00FC1FAE" w:rsidRDefault="00570FDE" w:rsidP="00FC1FAE">
            <w:r w:rsidRPr="00A07ABA">
              <w:rPr>
                <w:b w:val="0"/>
                <w:bCs w:val="0"/>
              </w:rPr>
              <w:t>Check to ensure that any claims for work-related expenses, car expenses and travel expenses are correctly allowable on the basis that such expenses were incurred in gaining or producing salary and wages income or other payments subject to the PAYG withholding regime (including any work-related claims below $300). Ensure that such expenses are only claimed after disallowing any private component of expenditure.</w:t>
            </w:r>
            <w:r w:rsidR="00FC1FAE" w:rsidRPr="00A07ABA">
              <w:rPr>
                <w:b w:val="0"/>
                <w:bCs w:val="0"/>
              </w:rPr>
              <w:t xml:space="preserve"> </w:t>
            </w:r>
          </w:p>
          <w:p w14:paraId="5C19094D" w14:textId="6735493D" w:rsidR="00FC1FAE" w:rsidRPr="00A07ABA" w:rsidRDefault="00FC1FAE" w:rsidP="00FC1FAE">
            <w:pPr>
              <w:rPr>
                <w:b w:val="0"/>
                <w:bCs w:val="0"/>
              </w:rPr>
            </w:pPr>
            <w:r w:rsidRPr="00A07ABA">
              <w:rPr>
                <w:b w:val="0"/>
                <w:bCs w:val="0"/>
              </w:rPr>
              <w:t>Ensure that all claims for work-related expenses and travel expenses can be substantiated (</w:t>
            </w:r>
            <w:proofErr w:type="gramStart"/>
            <w:r w:rsidRPr="00A07ABA">
              <w:rPr>
                <w:b w:val="0"/>
                <w:bCs w:val="0"/>
              </w:rPr>
              <w:t>i.e.</w:t>
            </w:r>
            <w:proofErr w:type="gramEnd"/>
            <w:r w:rsidRPr="00A07ABA">
              <w:rPr>
                <w:b w:val="0"/>
                <w:bCs w:val="0"/>
              </w:rPr>
              <w:t xml:space="preserve"> the taxpayer has evidence of the costs incurred such as invoices, receipts, credit card statements and other documentation). </w:t>
            </w:r>
          </w:p>
          <w:p w14:paraId="0AA35D11" w14:textId="6D526668" w:rsidR="00904A40" w:rsidRPr="00A07ABA" w:rsidRDefault="00FC1FAE" w:rsidP="00904A40">
            <w:pPr>
              <w:rPr>
                <w:b w:val="0"/>
                <w:bCs w:val="0"/>
              </w:rPr>
            </w:pPr>
            <w:r w:rsidRPr="00A07ABA">
              <w:rPr>
                <w:b w:val="0"/>
                <w:bCs w:val="0"/>
              </w:rPr>
              <w:t>Examples of work-related deductions include protective clothing, union fees, professional seminars, conferences and workshops, certain overtime meals, home office expenses, business or professional</w:t>
            </w:r>
            <w:r w:rsidR="00904A40" w:rsidRPr="00A07ABA">
              <w:rPr>
                <w:b w:val="0"/>
                <w:bCs w:val="0"/>
              </w:rPr>
              <w:t xml:space="preserve"> subscriptions, reference books, technical journals, safety items, work-related computer and phone and internet expenses. See further below under "Working from Home Expenses".</w:t>
            </w:r>
          </w:p>
          <w:p w14:paraId="38361338" w14:textId="77777777" w:rsidR="00904A40" w:rsidRPr="00A07ABA" w:rsidRDefault="00904A40" w:rsidP="00904A40">
            <w:pPr>
              <w:rPr>
                <w:b w:val="0"/>
                <w:bCs w:val="0"/>
              </w:rPr>
            </w:pPr>
            <w:r w:rsidRPr="00A07ABA">
              <w:rPr>
                <w:b w:val="0"/>
                <w:bCs w:val="0"/>
              </w:rPr>
              <w:t>However, deductions should only be claimed to the extent that the expense (</w:t>
            </w:r>
            <w:proofErr w:type="gramStart"/>
            <w:r w:rsidRPr="00A07ABA">
              <w:rPr>
                <w:b w:val="0"/>
                <w:bCs w:val="0"/>
              </w:rPr>
              <w:t>e.g.</w:t>
            </w:r>
            <w:proofErr w:type="gramEnd"/>
            <w:r w:rsidRPr="00A07ABA">
              <w:rPr>
                <w:b w:val="0"/>
                <w:bCs w:val="0"/>
              </w:rPr>
              <w:t xml:space="preserve"> phone or internet) was used to derive salary and wages income. A non-business depreciating asset whose cost does not exceed $300 is also deductible to the extent that the asset (</w:t>
            </w:r>
            <w:proofErr w:type="gramStart"/>
            <w:r w:rsidRPr="00A07ABA">
              <w:rPr>
                <w:b w:val="0"/>
                <w:bCs w:val="0"/>
              </w:rPr>
              <w:t>e.g.</w:t>
            </w:r>
            <w:proofErr w:type="gramEnd"/>
            <w:r w:rsidRPr="00A07ABA">
              <w:rPr>
                <w:b w:val="0"/>
                <w:bCs w:val="0"/>
              </w:rPr>
              <w:t xml:space="preserve"> briefcase or calculator) is used for income producing purposes. </w:t>
            </w:r>
          </w:p>
          <w:p w14:paraId="0D8C0E1C" w14:textId="77777777" w:rsidR="00904A40" w:rsidRPr="00A07ABA" w:rsidRDefault="00904A40" w:rsidP="00904A40">
            <w:pPr>
              <w:rPr>
                <w:b w:val="0"/>
                <w:bCs w:val="0"/>
              </w:rPr>
            </w:pPr>
            <w:r w:rsidRPr="00A07ABA">
              <w:rPr>
                <w:b w:val="0"/>
                <w:bCs w:val="0"/>
              </w:rPr>
              <w:t>Self-education expenses are also generally allowable where the course of study is to maintain the taxpayer’s skills in their current employment or increase the taxpayer’s skills in that person’s current occupation, which will result (or will be likely to result) in an increase in income from current employment</w:t>
            </w:r>
            <w:r>
              <w:rPr>
                <w:b w:val="0"/>
                <w:bCs w:val="0"/>
              </w:rPr>
              <w:t>. The Commissioner’s views on the deductibility of self-education expenses are outlined in</w:t>
            </w:r>
            <w:r w:rsidRPr="00A07ABA">
              <w:rPr>
                <w:b w:val="0"/>
                <w:bCs w:val="0"/>
              </w:rPr>
              <w:t xml:space="preserve"> Taxation Ruling TR </w:t>
            </w:r>
            <w:r>
              <w:rPr>
                <w:b w:val="0"/>
                <w:bCs w:val="0"/>
              </w:rPr>
              <w:t>2024/3</w:t>
            </w:r>
            <w:r w:rsidRPr="00A07ABA">
              <w:rPr>
                <w:b w:val="0"/>
                <w:bCs w:val="0"/>
              </w:rPr>
              <w:t>.</w:t>
            </w:r>
          </w:p>
          <w:p w14:paraId="5105F594" w14:textId="77777777" w:rsidR="00904A40" w:rsidRPr="00A07ABA" w:rsidRDefault="00904A40" w:rsidP="00904A40">
            <w:pPr>
              <w:rPr>
                <w:b w:val="0"/>
                <w:bCs w:val="0"/>
              </w:rPr>
            </w:pPr>
            <w:r w:rsidRPr="00A07ABA">
              <w:rPr>
                <w:b w:val="0"/>
                <w:bCs w:val="0"/>
              </w:rPr>
              <w:t>Examples of such costs include course fees, tuition fees, student union fees, textbooks, stationery, computer consumables (</w:t>
            </w:r>
            <w:proofErr w:type="gramStart"/>
            <w:r w:rsidRPr="00A07ABA">
              <w:rPr>
                <w:b w:val="0"/>
                <w:bCs w:val="0"/>
              </w:rPr>
              <w:t>e.g.</w:t>
            </w:r>
            <w:proofErr w:type="gramEnd"/>
            <w:r w:rsidRPr="00A07ABA">
              <w:rPr>
                <w:b w:val="0"/>
                <w:bCs w:val="0"/>
              </w:rPr>
              <w:t xml:space="preserve"> printer cartridges), trade and professional journals, certain travel expenses, internet and phone usage and depreciation. </w:t>
            </w:r>
          </w:p>
          <w:p w14:paraId="6AA6B814" w14:textId="6CAB0B73" w:rsidR="00570FDE" w:rsidRPr="00A07ABA" w:rsidRDefault="00904A40" w:rsidP="00904A40">
            <w:pPr>
              <w:rPr>
                <w:b w:val="0"/>
                <w:bCs w:val="0"/>
              </w:rPr>
            </w:pPr>
            <w:r w:rsidRPr="00A07ABA">
              <w:rPr>
                <w:b w:val="0"/>
                <w:bCs w:val="0"/>
              </w:rPr>
              <w:t xml:space="preserve">Where applicable, such costs must be apportioned between eligible expenses incurred for study purposes and those for private purposes. Receipts, </w:t>
            </w:r>
            <w:proofErr w:type="gramStart"/>
            <w:r w:rsidRPr="00A07ABA">
              <w:rPr>
                <w:b w:val="0"/>
                <w:bCs w:val="0"/>
              </w:rPr>
              <w:t>invoices</w:t>
            </w:r>
            <w:proofErr w:type="gramEnd"/>
            <w:r w:rsidRPr="00A07ABA">
              <w:rPr>
                <w:b w:val="0"/>
                <w:bCs w:val="0"/>
              </w:rPr>
              <w:t xml:space="preserve"> and diary records must be retained to evidence claims</w:t>
            </w:r>
            <w:r>
              <w:rPr>
                <w:b w:val="0"/>
                <w:bCs w:val="0"/>
              </w:rPr>
              <w:t>.</w:t>
            </w:r>
          </w:p>
        </w:tc>
        <w:tc>
          <w:tcPr>
            <w:tcW w:w="0" w:type="pct"/>
            <w:shd w:val="clear" w:color="auto" w:fill="auto"/>
          </w:tcPr>
          <w:p w14:paraId="18F0BFF1"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670050DF"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0" w:type="pct"/>
            <w:shd w:val="clear" w:color="auto" w:fill="auto"/>
          </w:tcPr>
          <w:p w14:paraId="122B706D"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1A7804D8" w14:textId="77777777" w:rsidTr="00A07ABA">
        <w:tc>
          <w:tcPr>
            <w:cnfStyle w:val="001000000000" w:firstRow="0" w:lastRow="0" w:firstColumn="1" w:lastColumn="0" w:oddVBand="0" w:evenVBand="0" w:oddHBand="0" w:evenHBand="0" w:firstRowFirstColumn="0" w:firstRowLastColumn="0" w:lastRowFirstColumn="0" w:lastRowLastColumn="0"/>
            <w:tcW w:w="4052" w:type="pct"/>
            <w:shd w:val="clear" w:color="auto" w:fill="0A5CC7" w:themeFill="accent3"/>
          </w:tcPr>
          <w:p w14:paraId="7BEE409D" w14:textId="0F3965C2" w:rsidR="00A07ABA" w:rsidRDefault="00904A40" w:rsidP="00570FDE">
            <w:pPr>
              <w:pStyle w:val="Tableheading"/>
              <w:rPr>
                <w:b/>
                <w:sz w:val="18"/>
                <w:szCs w:val="18"/>
              </w:rPr>
            </w:pPr>
            <w:r>
              <w:rPr>
                <w:b/>
                <w:bCs w:val="0"/>
                <w:color w:val="FFFFFF" w:themeColor="background1"/>
                <w:sz w:val="18"/>
                <w:szCs w:val="18"/>
              </w:rPr>
              <w:t>CAR</w:t>
            </w:r>
            <w:r w:rsidR="00A07ABA" w:rsidRPr="00A07ABA">
              <w:rPr>
                <w:b/>
                <w:bCs w:val="0"/>
                <w:color w:val="FFFFFF" w:themeColor="background1"/>
                <w:sz w:val="18"/>
                <w:szCs w:val="18"/>
              </w:rPr>
              <w:t xml:space="preserve">-RELATED </w:t>
            </w:r>
            <w:r>
              <w:rPr>
                <w:b/>
                <w:bCs w:val="0"/>
                <w:color w:val="FFFFFF" w:themeColor="background1"/>
                <w:sz w:val="18"/>
                <w:szCs w:val="18"/>
              </w:rPr>
              <w:t xml:space="preserve">WORK </w:t>
            </w:r>
            <w:r w:rsidR="00A07ABA" w:rsidRPr="00A07ABA">
              <w:rPr>
                <w:b/>
                <w:bCs w:val="0"/>
                <w:color w:val="FFFFFF" w:themeColor="background1"/>
                <w:sz w:val="18"/>
                <w:szCs w:val="18"/>
              </w:rPr>
              <w:t>DEDUCTIONS</w:t>
            </w:r>
          </w:p>
        </w:tc>
        <w:tc>
          <w:tcPr>
            <w:tcW w:w="403" w:type="pct"/>
            <w:shd w:val="clear" w:color="auto" w:fill="0A5CC7" w:themeFill="accent3"/>
          </w:tcPr>
          <w:p w14:paraId="7E31CC1B" w14:textId="77777777" w:rsidR="00A07ABA" w:rsidRDefault="00A07ABA"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69" w:type="pct"/>
            <w:shd w:val="clear" w:color="auto" w:fill="0A5CC7" w:themeFill="accent3"/>
          </w:tcPr>
          <w:p w14:paraId="5770186D" w14:textId="77777777" w:rsidR="00A07ABA" w:rsidRDefault="00A07ABA"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6" w:type="pct"/>
            <w:shd w:val="clear" w:color="auto" w:fill="0A5CC7" w:themeFill="accent3"/>
          </w:tcPr>
          <w:p w14:paraId="0265E7BE" w14:textId="77777777" w:rsidR="00A07ABA" w:rsidRDefault="00A07ABA"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A07ABA" w14:paraId="5B3148B2"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5AE7DF43" w14:textId="77777777" w:rsidR="00570FDE" w:rsidRDefault="00570FDE" w:rsidP="00A07ABA">
            <w:r w:rsidRPr="00A07ABA">
              <w:rPr>
                <w:b w:val="0"/>
                <w:bCs w:val="0"/>
              </w:rPr>
              <w:t>Ensure that any claims for car expenses can be substantiated. Where the taxpayer uses the logbook method for claiming car expenses it is necessary to confirm that the taxpayer has written evidence of those expenses (</w:t>
            </w:r>
            <w:proofErr w:type="gramStart"/>
            <w:r w:rsidRPr="00A07ABA">
              <w:rPr>
                <w:b w:val="0"/>
                <w:bCs w:val="0"/>
              </w:rPr>
              <w:t>e.g.</w:t>
            </w:r>
            <w:proofErr w:type="gramEnd"/>
            <w:r w:rsidRPr="00A07ABA">
              <w:rPr>
                <w:b w:val="0"/>
                <w:bCs w:val="0"/>
              </w:rPr>
              <w:t xml:space="preserve"> invoices and receipts) as well as a correctly maintained logbook. Where the taxpayer uses the cents per kilometre method the taxpayer does not have to comply with the substantiation provisions, but it should be confirmed that any claim is based on a reasonable estimate of the business kilometres travelled.</w:t>
            </w:r>
          </w:p>
          <w:p w14:paraId="58E8741E" w14:textId="17C4E517" w:rsidR="00CA2237" w:rsidRPr="00CA2237" w:rsidRDefault="00CA2237" w:rsidP="00A07ABA">
            <w:pPr>
              <w:rPr>
                <w:b w:val="0"/>
                <w:bCs w:val="0"/>
              </w:rPr>
            </w:pPr>
            <w:r w:rsidRPr="00383AC5">
              <w:rPr>
                <w:b w:val="0"/>
                <w:bCs w:val="0"/>
              </w:rPr>
              <w:lastRenderedPageBreak/>
              <w:t xml:space="preserve">For </w:t>
            </w:r>
            <w:r>
              <w:rPr>
                <w:b w:val="0"/>
                <w:bCs w:val="0"/>
              </w:rPr>
              <w:t xml:space="preserve">calculating electricity costs when charging an electric vehicle at home, </w:t>
            </w:r>
            <w:r w:rsidR="00A0037F">
              <w:rPr>
                <w:b w:val="0"/>
                <w:bCs w:val="0"/>
              </w:rPr>
              <w:t>see the Commissioner’s views in PCG 2024/2.</w:t>
            </w:r>
            <w:r>
              <w:rPr>
                <w:b w:val="0"/>
                <w:bCs w:val="0"/>
              </w:rPr>
              <w:t xml:space="preserve"> </w:t>
            </w:r>
            <w:r w:rsidR="00AB148C">
              <w:rPr>
                <w:b w:val="0"/>
                <w:bCs w:val="0"/>
              </w:rPr>
              <w:t xml:space="preserve">Broadly, the Commissioner provides a shortcut method for calculating the electricity costs of home charging electric vehicles, being 4.20 cents per kilometre. </w:t>
            </w:r>
          </w:p>
          <w:p w14:paraId="0C6CF139" w14:textId="77777777" w:rsidR="00570FDE" w:rsidRPr="00A07ABA" w:rsidRDefault="00570FDE" w:rsidP="00A07ABA">
            <w:pPr>
              <w:rPr>
                <w:b w:val="0"/>
                <w:bCs w:val="0"/>
              </w:rPr>
            </w:pPr>
            <w:r w:rsidRPr="00A07ABA">
              <w:rPr>
                <w:b w:val="0"/>
                <w:bCs w:val="0"/>
              </w:rPr>
              <w:t xml:space="preserve">The ATO has previously expressed the view that it is concerned that car expense claims based on the cents per kilometre method may be overstated in certain cases. Accordingly, it is necessary to establish that the claim is based on </w:t>
            </w:r>
            <w:proofErr w:type="gramStart"/>
            <w:r w:rsidRPr="00A07ABA">
              <w:rPr>
                <w:b w:val="0"/>
                <w:bCs w:val="0"/>
              </w:rPr>
              <w:t>work-related</w:t>
            </w:r>
            <w:proofErr w:type="gramEnd"/>
            <w:r w:rsidRPr="00A07ABA">
              <w:rPr>
                <w:b w:val="0"/>
                <w:bCs w:val="0"/>
              </w:rPr>
              <w:t xml:space="preserve"> or business kilometres travelled which must be based on documented reasonable estimates.</w:t>
            </w:r>
          </w:p>
        </w:tc>
        <w:tc>
          <w:tcPr>
            <w:tcW w:w="403" w:type="pct"/>
          </w:tcPr>
          <w:p w14:paraId="4A6ED00E"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18307358"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15C5AAAC"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570FDE" w14:paraId="0E0D9070" w14:textId="77777777" w:rsidTr="00A07AB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CBEC80F"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WORKING FROM HOME EXPENSES</w:t>
            </w:r>
          </w:p>
        </w:tc>
      </w:tr>
      <w:tr w:rsidR="00A07ABA" w14:paraId="28138040"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396AD9E0" w14:textId="61B1896A" w:rsidR="00570FDE" w:rsidRPr="00A07ABA" w:rsidRDefault="00807B6B" w:rsidP="00A07ABA">
            <w:pPr>
              <w:rPr>
                <w:b w:val="0"/>
                <w:bCs w:val="0"/>
              </w:rPr>
            </w:pPr>
            <w:r>
              <w:rPr>
                <w:b w:val="0"/>
                <w:bCs w:val="0"/>
              </w:rPr>
              <w:t>From 1 July 2022</w:t>
            </w:r>
            <w:r w:rsidR="00570FDE" w:rsidRPr="00A07ABA">
              <w:rPr>
                <w:b w:val="0"/>
                <w:bCs w:val="0"/>
              </w:rPr>
              <w:t xml:space="preserve">, there are </w:t>
            </w:r>
            <w:r w:rsidR="00A91BB9">
              <w:rPr>
                <w:b w:val="0"/>
                <w:bCs w:val="0"/>
              </w:rPr>
              <w:t>two</w:t>
            </w:r>
            <w:r w:rsidR="00570FDE" w:rsidRPr="00A07ABA">
              <w:rPr>
                <w:b w:val="0"/>
                <w:bCs w:val="0"/>
              </w:rPr>
              <w:t xml:space="preserve"> ways individuals can calculate their work from home expenses (PCG </w:t>
            </w:r>
            <w:r w:rsidR="003040C1">
              <w:rPr>
                <w:b w:val="0"/>
                <w:bCs w:val="0"/>
              </w:rPr>
              <w:t>2023/1</w:t>
            </w:r>
            <w:r w:rsidR="00570FDE" w:rsidRPr="00A07ABA">
              <w:rPr>
                <w:b w:val="0"/>
                <w:bCs w:val="0"/>
              </w:rPr>
              <w:t>):</w:t>
            </w:r>
          </w:p>
          <w:p w14:paraId="3D158DD8" w14:textId="55B8AE40" w:rsidR="00570FDE" w:rsidRPr="00A07ABA" w:rsidRDefault="0015222F" w:rsidP="006B320A">
            <w:pPr>
              <w:pStyle w:val="ListNumber"/>
              <w:numPr>
                <w:ilvl w:val="0"/>
                <w:numId w:val="67"/>
              </w:numPr>
              <w:rPr>
                <w:b w:val="0"/>
                <w:bCs w:val="0"/>
              </w:rPr>
            </w:pPr>
            <w:r>
              <w:rPr>
                <w:b w:val="0"/>
                <w:bCs w:val="0"/>
              </w:rPr>
              <w:t>67</w:t>
            </w:r>
            <w:r w:rsidR="00570FDE" w:rsidRPr="00A07ABA">
              <w:rPr>
                <w:b w:val="0"/>
                <w:bCs w:val="0"/>
              </w:rPr>
              <w:t xml:space="preserve"> cents per work hour for heating, cooling, lighting, </w:t>
            </w:r>
            <w:proofErr w:type="gramStart"/>
            <w:r w:rsidR="00570FDE" w:rsidRPr="00A07ABA">
              <w:rPr>
                <w:b w:val="0"/>
                <w:bCs w:val="0"/>
              </w:rPr>
              <w:t>cleaning</w:t>
            </w:r>
            <w:proofErr w:type="gramEnd"/>
            <w:r w:rsidR="00570FDE" w:rsidRPr="00A07ABA">
              <w:rPr>
                <w:b w:val="0"/>
                <w:bCs w:val="0"/>
              </w:rPr>
              <w:t xml:space="preserve"> and the decline in value of office furniture, plus the work-related portion of phone and internet expenses, computer consumables, stationery and the decline in value of a computer, laptop or similar device</w:t>
            </w:r>
          </w:p>
          <w:p w14:paraId="3FE3D783" w14:textId="4AEC797E" w:rsidR="00570FDE" w:rsidRPr="00A07ABA" w:rsidRDefault="00570FDE" w:rsidP="00A07ABA">
            <w:pPr>
              <w:rPr>
                <w:b w:val="0"/>
                <w:bCs w:val="0"/>
              </w:rPr>
            </w:pPr>
          </w:p>
        </w:tc>
        <w:tc>
          <w:tcPr>
            <w:tcW w:w="403" w:type="pct"/>
          </w:tcPr>
          <w:p w14:paraId="22CFA3EB"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12D0345B"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5875538F"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867F8C" w14:paraId="435D647E" w14:textId="77777777" w:rsidTr="00867F8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75E09267" w14:textId="0F4CE474" w:rsidR="00867F8C" w:rsidRDefault="00867F8C" w:rsidP="006B320A">
            <w:pPr>
              <w:pStyle w:val="Tableheading"/>
              <w:rPr>
                <w:color w:val="FFFFFF" w:themeColor="background1"/>
                <w:sz w:val="18"/>
                <w:szCs w:val="18"/>
              </w:rPr>
            </w:pPr>
            <w:r w:rsidRPr="00A07ABA">
              <w:rPr>
                <w:b/>
                <w:bCs w:val="0"/>
                <w:color w:val="FFFFFF" w:themeColor="background1"/>
                <w:sz w:val="18"/>
                <w:szCs w:val="18"/>
              </w:rPr>
              <w:t xml:space="preserve">WORKING FROM HOME </w:t>
            </w:r>
            <w:r w:rsidRPr="00867F8C">
              <w:rPr>
                <w:b/>
                <w:bCs w:val="0"/>
                <w:color w:val="FFFFFF" w:themeColor="background1"/>
                <w:sz w:val="18"/>
                <w:szCs w:val="18"/>
              </w:rPr>
              <w:t>EXPENSES</w:t>
            </w:r>
            <w:r w:rsidRPr="00867F8C">
              <w:rPr>
                <w:color w:val="FFFFFF" w:themeColor="background1"/>
                <w:szCs w:val="18"/>
              </w:rPr>
              <w:t xml:space="preserve"> </w:t>
            </w:r>
            <w:r w:rsidRPr="008B271B">
              <w:rPr>
                <w:color w:val="FFFFFF" w:themeColor="background1"/>
                <w:szCs w:val="18"/>
              </w:rPr>
              <w:t>(CONTINUED)</w:t>
            </w:r>
          </w:p>
        </w:tc>
      </w:tr>
      <w:tr w:rsidR="00867F8C" w14:paraId="475D0D7E"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tcPr>
          <w:p w14:paraId="682DF673" w14:textId="77777777" w:rsidR="00867F8C" w:rsidRPr="00A07ABA" w:rsidRDefault="00867F8C" w:rsidP="00867F8C">
            <w:pPr>
              <w:pStyle w:val="ListNumber"/>
              <w:numPr>
                <w:ilvl w:val="0"/>
                <w:numId w:val="67"/>
              </w:numPr>
              <w:rPr>
                <w:b w:val="0"/>
                <w:bCs w:val="0"/>
              </w:rPr>
            </w:pPr>
            <w:r w:rsidRPr="00A07ABA">
              <w:rPr>
                <w:b w:val="0"/>
                <w:bCs w:val="0"/>
              </w:rPr>
              <w:t>Actual work-related portion of all running expenses, which needs to be calculated on a reasonable basis.</w:t>
            </w:r>
          </w:p>
          <w:p w14:paraId="170FD93D" w14:textId="46548B25" w:rsidR="00867F8C" w:rsidRDefault="00867F8C" w:rsidP="00867F8C">
            <w:r w:rsidRPr="00A07ABA">
              <w:rPr>
                <w:b w:val="0"/>
                <w:bCs w:val="0"/>
              </w:rPr>
              <w:t xml:space="preserve">Where the </w:t>
            </w:r>
            <w:r>
              <w:rPr>
                <w:b w:val="0"/>
                <w:bCs w:val="0"/>
              </w:rPr>
              <w:t>67</w:t>
            </w:r>
            <w:r w:rsidRPr="00A07ABA">
              <w:rPr>
                <w:b w:val="0"/>
                <w:bCs w:val="0"/>
              </w:rPr>
              <w:t xml:space="preserve"> cents per hour method is used, the number of hours worked needs to be recorded (</w:t>
            </w:r>
            <w:proofErr w:type="gramStart"/>
            <w:r w:rsidRPr="00A07ABA">
              <w:rPr>
                <w:b w:val="0"/>
                <w:bCs w:val="0"/>
              </w:rPr>
              <w:t>i.e.</w:t>
            </w:r>
            <w:proofErr w:type="gramEnd"/>
            <w:r w:rsidRPr="00A07ABA">
              <w:rPr>
                <w:b w:val="0"/>
                <w:bCs w:val="0"/>
              </w:rPr>
              <w:t xml:space="preserve"> timesheet, roster, diary or similar document that shows the hours you worked). If a different method is used, you must keep a record of the number of hours worked and a record of your expenses.</w:t>
            </w:r>
          </w:p>
        </w:tc>
        <w:tc>
          <w:tcPr>
            <w:tcW w:w="403" w:type="pct"/>
          </w:tcPr>
          <w:p w14:paraId="560DA4C4" w14:textId="77777777" w:rsidR="00867F8C" w:rsidRDefault="00867F8C"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6476E877" w14:textId="77777777" w:rsidR="00867F8C" w:rsidRDefault="00867F8C"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40C10156" w14:textId="77777777" w:rsidR="00867F8C" w:rsidRDefault="00867F8C"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570FDE" w14:paraId="1EAE0C01" w14:textId="77777777" w:rsidTr="00A07AB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F2BCEED"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NON-COMMERCIAL LOSSES</w:t>
            </w:r>
          </w:p>
        </w:tc>
      </w:tr>
      <w:tr w:rsidR="00A07ABA" w14:paraId="4093972C"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160F34CB" w14:textId="6F664656" w:rsidR="00570FDE" w:rsidRPr="00A07ABA" w:rsidRDefault="00570FDE" w:rsidP="00570FDE">
            <w:pPr>
              <w:pStyle w:val="TableBullet"/>
              <w:numPr>
                <w:ilvl w:val="0"/>
                <w:numId w:val="0"/>
              </w:numPr>
              <w:spacing w:before="100" w:after="100"/>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 xml:space="preserve">A tax loss from a business activity carried on by an individual (either alone or in partnership) cannot be applied against other assessable income in a particular year unless one of the </w:t>
            </w:r>
            <w:r w:rsidR="00467A57">
              <w:rPr>
                <w:rFonts w:asciiTheme="minorHAnsi" w:hAnsiTheme="minorHAnsi" w:cstheme="minorHAnsi"/>
                <w:b w:val="0"/>
                <w:bCs w:val="0"/>
                <w:color w:val="090D46" w:themeColor="text1"/>
                <w:sz w:val="18"/>
                <w:szCs w:val="18"/>
              </w:rPr>
              <w:t>four</w:t>
            </w:r>
            <w:r w:rsidRPr="00A07ABA">
              <w:rPr>
                <w:rFonts w:asciiTheme="minorHAnsi" w:hAnsiTheme="minorHAnsi" w:cstheme="minorHAnsi"/>
                <w:b w:val="0"/>
                <w:bCs w:val="0"/>
                <w:color w:val="090D46" w:themeColor="text1"/>
                <w:sz w:val="18"/>
                <w:szCs w:val="18"/>
              </w:rPr>
              <w:t xml:space="preserve"> following exemptions apply:</w:t>
            </w:r>
          </w:p>
          <w:p w14:paraId="5BF38E89" w14:textId="77777777" w:rsidR="000848A8" w:rsidRPr="000848A8" w:rsidRDefault="00570FDE">
            <w:pPr>
              <w:pStyle w:val="Table"/>
              <w:numPr>
                <w:ilvl w:val="0"/>
                <w:numId w:val="8"/>
              </w:numPr>
              <w:spacing w:before="100" w:after="100"/>
              <w:outlineLvl w:val="5"/>
              <w:rPr>
                <w:rFonts w:asciiTheme="minorHAnsi" w:hAnsiTheme="minorHAnsi" w:cstheme="minorHAnsi"/>
                <w:b w:val="0"/>
                <w:bCs w:val="0"/>
                <w:sz w:val="18"/>
                <w:szCs w:val="18"/>
              </w:rPr>
            </w:pPr>
            <w:r w:rsidRPr="00A07ABA">
              <w:rPr>
                <w:rFonts w:asciiTheme="minorHAnsi" w:hAnsiTheme="minorHAnsi" w:cstheme="minorHAnsi"/>
                <w:b w:val="0"/>
                <w:bCs w:val="0"/>
                <w:color w:val="090D46" w:themeColor="text1"/>
                <w:sz w:val="18"/>
                <w:szCs w:val="18"/>
              </w:rPr>
              <w:t xml:space="preserve">The taxpayer’s ‘income’ is below $250,000 and the taxpayer satisfies one of the four commercial tests listed below. For these purposes ‘income’ comprises the individual’s taxable income (ignoring any tax loss subject to the non-commercial loss rules), reportable fringe benefits, reportable superannuation contributions and the add back of any net financial </w:t>
            </w:r>
            <w:proofErr w:type="gramStart"/>
            <w:r w:rsidRPr="00A07ABA">
              <w:rPr>
                <w:rFonts w:asciiTheme="minorHAnsi" w:hAnsiTheme="minorHAnsi" w:cstheme="minorHAnsi"/>
                <w:b w:val="0"/>
                <w:bCs w:val="0"/>
                <w:color w:val="090D46" w:themeColor="text1"/>
                <w:sz w:val="18"/>
                <w:szCs w:val="18"/>
              </w:rPr>
              <w:t>loss</w:t>
            </w:r>
            <w:proofErr w:type="gramEnd"/>
          </w:p>
          <w:p w14:paraId="512BDCB6" w14:textId="63E7F851" w:rsidR="000848A8" w:rsidRPr="00A07ABA" w:rsidRDefault="000848A8" w:rsidP="000848A8">
            <w:pPr>
              <w:pStyle w:val="Table"/>
              <w:numPr>
                <w:ilvl w:val="0"/>
                <w:numId w:val="8"/>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The Commissioner of Taxation has exercised his discretion that the non-commercial loss rules should not apply as one of the four commercial tests was not met due to special circumstances, or</w:t>
            </w:r>
            <w:r w:rsidR="00123076">
              <w:rPr>
                <w:rFonts w:asciiTheme="minorHAnsi" w:hAnsiTheme="minorHAnsi" w:cstheme="minorHAnsi"/>
                <w:b w:val="0"/>
                <w:bCs w:val="0"/>
                <w:color w:val="090D46" w:themeColor="text1"/>
                <w:sz w:val="18"/>
                <w:szCs w:val="18"/>
              </w:rPr>
              <w:t xml:space="preserve"> </w:t>
            </w:r>
            <w:r w:rsidRPr="00A07ABA">
              <w:rPr>
                <w:rFonts w:asciiTheme="minorHAnsi" w:hAnsiTheme="minorHAnsi" w:cstheme="minorHAnsi"/>
                <w:b w:val="0"/>
                <w:bCs w:val="0"/>
                <w:color w:val="090D46" w:themeColor="text1"/>
                <w:sz w:val="18"/>
                <w:szCs w:val="18"/>
              </w:rPr>
              <w:t>there is an objective expectation that one of the four tests will be met within a commercially viable period or</w:t>
            </w:r>
          </w:p>
          <w:p w14:paraId="1ABF1727" w14:textId="77777777" w:rsidR="000848A8" w:rsidRPr="000848A8" w:rsidRDefault="000848A8" w:rsidP="000848A8">
            <w:pPr>
              <w:pStyle w:val="Table"/>
              <w:numPr>
                <w:ilvl w:val="0"/>
                <w:numId w:val="8"/>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The tax loss arose from a primary production or professional arts business, in which case the loss will be deductible if assessable income (other than net capital gains) does not exceed $40,000.</w:t>
            </w:r>
          </w:p>
          <w:p w14:paraId="11FFC7AD" w14:textId="73F16FD4" w:rsidR="004A7616" w:rsidRPr="00A07ABA" w:rsidRDefault="000848A8" w:rsidP="00383AC5">
            <w:pPr>
              <w:pStyle w:val="Table"/>
              <w:numPr>
                <w:ilvl w:val="0"/>
                <w:numId w:val="8"/>
              </w:numPr>
              <w:spacing w:before="100" w:after="100"/>
              <w:outlineLvl w:val="5"/>
              <w:rPr>
                <w:rFonts w:asciiTheme="minorHAnsi" w:hAnsiTheme="minorHAnsi" w:cstheme="minorHAnsi"/>
                <w:b w:val="0"/>
                <w:bCs w:val="0"/>
                <w:sz w:val="18"/>
                <w:szCs w:val="18"/>
              </w:rPr>
            </w:pPr>
            <w:r>
              <w:rPr>
                <w:rFonts w:asciiTheme="minorHAnsi" w:hAnsiTheme="minorHAnsi" w:cstheme="minorHAnsi"/>
                <w:b w:val="0"/>
                <w:bCs w:val="0"/>
                <w:color w:val="090D46" w:themeColor="text1"/>
                <w:sz w:val="18"/>
                <w:szCs w:val="18"/>
              </w:rPr>
              <w:t>The taxpayer qualifies for the safe harbour listed in PCG 2022/1 to utilise the non-commercial loss which arose due to flood, bushfire, or COVID-19 related restrictions. The guideline applies to non-commercial losses incurred fr</w:t>
            </w:r>
            <w:r w:rsidR="00D72EEE">
              <w:rPr>
                <w:rFonts w:asciiTheme="minorHAnsi" w:hAnsiTheme="minorHAnsi" w:cstheme="minorHAnsi"/>
                <w:b w:val="0"/>
                <w:bCs w:val="0"/>
                <w:color w:val="090D46" w:themeColor="text1"/>
                <w:sz w:val="18"/>
                <w:szCs w:val="18"/>
              </w:rPr>
              <w:t>o</w:t>
            </w:r>
            <w:r>
              <w:rPr>
                <w:rFonts w:asciiTheme="minorHAnsi" w:hAnsiTheme="minorHAnsi" w:cstheme="minorHAnsi"/>
                <w:b w:val="0"/>
                <w:bCs w:val="0"/>
                <w:color w:val="090D46" w:themeColor="text1"/>
                <w:sz w:val="18"/>
                <w:szCs w:val="18"/>
              </w:rPr>
              <w:t>m the 2019-20 to the 202</w:t>
            </w:r>
            <w:r w:rsidR="00445956">
              <w:rPr>
                <w:rFonts w:asciiTheme="minorHAnsi" w:hAnsiTheme="minorHAnsi" w:cstheme="minorHAnsi"/>
                <w:b w:val="0"/>
                <w:bCs w:val="0"/>
                <w:color w:val="090D46" w:themeColor="text1"/>
                <w:sz w:val="18"/>
                <w:szCs w:val="18"/>
              </w:rPr>
              <w:t>3</w:t>
            </w:r>
            <w:r>
              <w:rPr>
                <w:rFonts w:asciiTheme="minorHAnsi" w:hAnsiTheme="minorHAnsi" w:cstheme="minorHAnsi"/>
                <w:b w:val="0"/>
                <w:bCs w:val="0"/>
                <w:color w:val="090D46" w:themeColor="text1"/>
                <w:sz w:val="18"/>
                <w:szCs w:val="18"/>
              </w:rPr>
              <w:t>-2</w:t>
            </w:r>
            <w:r w:rsidR="00DA273A">
              <w:rPr>
                <w:rFonts w:asciiTheme="minorHAnsi" w:hAnsiTheme="minorHAnsi" w:cstheme="minorHAnsi"/>
                <w:b w:val="0"/>
                <w:bCs w:val="0"/>
                <w:color w:val="090D46" w:themeColor="text1"/>
                <w:sz w:val="18"/>
                <w:szCs w:val="18"/>
              </w:rPr>
              <w:t>4</w:t>
            </w:r>
            <w:r>
              <w:rPr>
                <w:rFonts w:asciiTheme="minorHAnsi" w:hAnsiTheme="minorHAnsi" w:cstheme="minorHAnsi"/>
                <w:b w:val="0"/>
                <w:bCs w:val="0"/>
                <w:color w:val="090D46" w:themeColor="text1"/>
                <w:sz w:val="18"/>
                <w:szCs w:val="18"/>
              </w:rPr>
              <w:t xml:space="preserve"> income years, except for the amounts deferred in previous income tax years under the non-commercial loss rules.</w:t>
            </w:r>
          </w:p>
        </w:tc>
        <w:tc>
          <w:tcPr>
            <w:tcW w:w="403" w:type="pct"/>
          </w:tcPr>
          <w:p w14:paraId="1C9BEF5F"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253AD9D8"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5DC3EE23"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A07ABA" w14:paraId="47245F42" w14:textId="77777777" w:rsidTr="006B320A">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4FC49BD2" w14:textId="77777777" w:rsidR="00A07ABA" w:rsidRPr="00A07ABA" w:rsidRDefault="00A07ABA" w:rsidP="00A07ABA">
            <w:pPr>
              <w:pStyle w:val="Table"/>
              <w:spacing w:before="100" w:after="100"/>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The four commercial loss tests comprise:</w:t>
            </w:r>
          </w:p>
          <w:p w14:paraId="449A98A9" w14:textId="666B862B" w:rsidR="00A07ABA" w:rsidRPr="00A07ABA" w:rsidRDefault="00A07ABA">
            <w:pPr>
              <w:pStyle w:val="Table"/>
              <w:numPr>
                <w:ilvl w:val="0"/>
                <w:numId w:val="9"/>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 xml:space="preserve">Assessable income test, which will be met if the business activity has assessable income in the current year of at least </w:t>
            </w:r>
            <w:proofErr w:type="gramStart"/>
            <w:r w:rsidRPr="00A07ABA">
              <w:rPr>
                <w:rFonts w:asciiTheme="minorHAnsi" w:hAnsiTheme="minorHAnsi" w:cstheme="minorHAnsi"/>
                <w:b w:val="0"/>
                <w:bCs w:val="0"/>
                <w:color w:val="090D46" w:themeColor="text1"/>
                <w:sz w:val="18"/>
                <w:szCs w:val="18"/>
              </w:rPr>
              <w:t>$20,000</w:t>
            </w:r>
            <w:proofErr w:type="gramEnd"/>
          </w:p>
          <w:p w14:paraId="79DF6F45" w14:textId="77777777" w:rsidR="00A07ABA" w:rsidRPr="00A07ABA" w:rsidRDefault="00A07ABA">
            <w:pPr>
              <w:pStyle w:val="Table"/>
              <w:numPr>
                <w:ilvl w:val="0"/>
                <w:numId w:val="9"/>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t>Profits test, where the business has made a tax profit in at least three of the last five years (including the current year)</w:t>
            </w:r>
          </w:p>
          <w:p w14:paraId="42693723" w14:textId="77777777" w:rsidR="00A07ABA" w:rsidRPr="00A07ABA" w:rsidRDefault="00A07ABA">
            <w:pPr>
              <w:pStyle w:val="Table"/>
              <w:numPr>
                <w:ilvl w:val="0"/>
                <w:numId w:val="9"/>
              </w:numPr>
              <w:spacing w:before="100" w:after="100"/>
              <w:outlineLvl w:val="5"/>
              <w:rPr>
                <w:rFonts w:asciiTheme="minorHAnsi" w:hAnsiTheme="minorHAnsi" w:cstheme="minorHAnsi"/>
                <w:b w:val="0"/>
                <w:bCs w:val="0"/>
                <w:color w:val="090D46" w:themeColor="text1"/>
                <w:sz w:val="18"/>
                <w:szCs w:val="18"/>
              </w:rPr>
            </w:pPr>
            <w:r w:rsidRPr="00A07ABA">
              <w:rPr>
                <w:rFonts w:asciiTheme="minorHAnsi" w:hAnsiTheme="minorHAnsi" w:cstheme="minorHAnsi"/>
                <w:b w:val="0"/>
                <w:bCs w:val="0"/>
                <w:color w:val="090D46" w:themeColor="text1"/>
                <w:sz w:val="18"/>
                <w:szCs w:val="18"/>
              </w:rPr>
              <w:lastRenderedPageBreak/>
              <w:t>Real property test, where the reduced cost base of real property used in the business activity on a continual basis is at least $500,000 (or the market value of those assets if that value exceeds the reduced cost base of such assets)</w:t>
            </w:r>
          </w:p>
          <w:p w14:paraId="75993A31" w14:textId="494A4C98" w:rsidR="00A07ABA" w:rsidRPr="00A07ABA" w:rsidRDefault="00A07ABA">
            <w:pPr>
              <w:pStyle w:val="Table"/>
              <w:numPr>
                <w:ilvl w:val="0"/>
                <w:numId w:val="9"/>
              </w:numPr>
              <w:spacing w:before="100" w:after="100"/>
              <w:outlineLvl w:val="5"/>
              <w:rPr>
                <w:sz w:val="18"/>
                <w:szCs w:val="18"/>
              </w:rPr>
            </w:pPr>
            <w:r w:rsidRPr="00A07ABA">
              <w:rPr>
                <w:rFonts w:asciiTheme="minorHAnsi" w:hAnsiTheme="minorHAnsi" w:cstheme="minorHAnsi"/>
                <w:b w:val="0"/>
                <w:bCs w:val="0"/>
                <w:color w:val="090D46" w:themeColor="text1"/>
                <w:sz w:val="18"/>
                <w:szCs w:val="18"/>
              </w:rPr>
              <w:t>Other assets test, where the value of depreciating assets, trading stock, leased assets and certain intangibles used in a business activity on a continual basis have a value of at least $100,000.</w:t>
            </w:r>
          </w:p>
        </w:tc>
        <w:tc>
          <w:tcPr>
            <w:tcW w:w="0" w:type="pct"/>
            <w:shd w:val="clear" w:color="auto" w:fill="auto"/>
          </w:tcPr>
          <w:p w14:paraId="125A5002" w14:textId="77777777" w:rsidR="00A07ABA" w:rsidRDefault="00A07ABA"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0" w:type="pct"/>
            <w:shd w:val="clear" w:color="auto" w:fill="auto"/>
          </w:tcPr>
          <w:p w14:paraId="2DBC06EA" w14:textId="77777777" w:rsidR="00A07ABA" w:rsidRDefault="00A07ABA"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0" w:type="pct"/>
            <w:shd w:val="clear" w:color="auto" w:fill="auto"/>
          </w:tcPr>
          <w:p w14:paraId="2161FC9A" w14:textId="77777777" w:rsidR="00A07ABA" w:rsidRDefault="00A07ABA" w:rsidP="00570FDE">
            <w:pPr>
              <w:pStyle w:val="Tableheading"/>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A07ABA" w14:paraId="6A2A482C"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7CAC52C8" w14:textId="77777777" w:rsidR="00570FDE" w:rsidRPr="00A07ABA" w:rsidRDefault="00570FDE" w:rsidP="00570FDE">
            <w:pPr>
              <w:pStyle w:val="TableBullet"/>
              <w:numPr>
                <w:ilvl w:val="0"/>
                <w:numId w:val="0"/>
              </w:numPr>
              <w:adjustRightInd w:val="0"/>
              <w:snapToGrid w:val="0"/>
              <w:spacing w:before="100" w:after="100"/>
              <w:rPr>
                <w:b w:val="0"/>
                <w:bCs w:val="0"/>
                <w:color w:val="090D46" w:themeColor="text1"/>
                <w:sz w:val="18"/>
                <w:szCs w:val="18"/>
              </w:rPr>
            </w:pPr>
            <w:r w:rsidRPr="00A07ABA">
              <w:rPr>
                <w:b w:val="0"/>
                <w:bCs w:val="0"/>
                <w:color w:val="090D46" w:themeColor="text1"/>
                <w:sz w:val="18"/>
                <w:szCs w:val="18"/>
              </w:rPr>
              <w:t xml:space="preserve">If the taxpayer satisfies the above exemptions, tax losses from conducting the business activities will be able to be potentially offset against other income such as salaries and wages. If these tests are failed such losses must be quarantined and carried forward to be applied against taxable income derived from the same business activity in future years. </w:t>
            </w:r>
          </w:p>
          <w:p w14:paraId="48556498" w14:textId="4D434B3C" w:rsidR="00904A40" w:rsidRDefault="00570FDE" w:rsidP="00570FDE">
            <w:pPr>
              <w:pStyle w:val="TableBullet"/>
              <w:numPr>
                <w:ilvl w:val="0"/>
                <w:numId w:val="0"/>
              </w:numPr>
              <w:adjustRightInd w:val="0"/>
              <w:snapToGrid w:val="0"/>
              <w:spacing w:before="100" w:after="100"/>
              <w:rPr>
                <w:color w:val="090D46" w:themeColor="text1"/>
                <w:sz w:val="18"/>
                <w:szCs w:val="18"/>
              </w:rPr>
            </w:pPr>
            <w:r w:rsidRPr="00A07ABA">
              <w:rPr>
                <w:b w:val="0"/>
                <w:bCs w:val="0"/>
                <w:color w:val="090D46" w:themeColor="text1"/>
                <w:sz w:val="18"/>
                <w:szCs w:val="18"/>
              </w:rPr>
              <w:t>The non-commercial loss rules under Division 35 do not apply to the utilisation of capital losses incurred by an individual taxpayer as the carrying forward and recoupment of capital losses is fully determined under the CGT provisions. In applying the non-commercial loss rules, it may be necessary to group together business activities of a similar kind in satisfying the above commercial loss tests where an individual is a partner in a partnership.</w:t>
            </w:r>
          </w:p>
          <w:p w14:paraId="79F0B2F8" w14:textId="77777777" w:rsidR="00867F8C" w:rsidRDefault="00867F8C" w:rsidP="00570FDE">
            <w:pPr>
              <w:pStyle w:val="TableBullet"/>
              <w:numPr>
                <w:ilvl w:val="0"/>
                <w:numId w:val="0"/>
              </w:numPr>
              <w:adjustRightInd w:val="0"/>
              <w:snapToGrid w:val="0"/>
              <w:spacing w:before="100" w:after="100"/>
              <w:rPr>
                <w:sz w:val="18"/>
                <w:szCs w:val="18"/>
              </w:rPr>
            </w:pPr>
          </w:p>
        </w:tc>
        <w:tc>
          <w:tcPr>
            <w:tcW w:w="403" w:type="pct"/>
          </w:tcPr>
          <w:p w14:paraId="220EDF16"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2F9126BC"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6E87C8AB"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570FDE" w14:paraId="20CFA922" w14:textId="77777777" w:rsidTr="00A07AB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31FAA28" w14:textId="77777777" w:rsidR="00570FDE" w:rsidRPr="00A07ABA" w:rsidRDefault="00570FDE" w:rsidP="00570FDE">
            <w:pPr>
              <w:pStyle w:val="Tableheading"/>
              <w:rPr>
                <w:b/>
                <w:bCs w:val="0"/>
                <w:color w:val="FFFFFF" w:themeColor="background1"/>
                <w:sz w:val="18"/>
                <w:szCs w:val="18"/>
              </w:rPr>
            </w:pPr>
            <w:r w:rsidRPr="00A07ABA">
              <w:rPr>
                <w:b/>
                <w:bCs w:val="0"/>
                <w:color w:val="FFFFFF" w:themeColor="background1"/>
                <w:sz w:val="18"/>
                <w:szCs w:val="18"/>
              </w:rPr>
              <w:t>MAIN RESIDENCE EXEMPTION FOR FOREIGN RESIDENTS</w:t>
            </w:r>
          </w:p>
        </w:tc>
      </w:tr>
      <w:tr w:rsidR="00A07ABA" w14:paraId="56A921B2" w14:textId="77777777" w:rsidTr="00570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pct"/>
            <w:hideMark/>
          </w:tcPr>
          <w:p w14:paraId="599846B5" w14:textId="346C5EAC" w:rsidR="00570FDE" w:rsidRPr="0096590F" w:rsidRDefault="00570FDE" w:rsidP="00570FDE">
            <w:pPr>
              <w:pStyle w:val="Tableheading"/>
              <w:rPr>
                <w:color w:val="090D46" w:themeColor="text1"/>
                <w:sz w:val="18"/>
                <w:szCs w:val="18"/>
              </w:rPr>
            </w:pPr>
            <w:r w:rsidRPr="0096590F">
              <w:rPr>
                <w:color w:val="090D46" w:themeColor="text1"/>
                <w:sz w:val="18"/>
                <w:szCs w:val="18"/>
              </w:rPr>
              <w:t>Foreign resident individuals who held Australian property prior to 7.30pm (AEST) on 9 May 2017 can only claim the CGT main residence exemption for disposals occurring on or before 30 June 2020.</w:t>
            </w:r>
          </w:p>
          <w:p w14:paraId="41DD60ED" w14:textId="55F8574D" w:rsidR="00570FDE" w:rsidRPr="0096590F" w:rsidRDefault="00570FDE" w:rsidP="00570FDE">
            <w:pPr>
              <w:pStyle w:val="Tableheading"/>
              <w:rPr>
                <w:color w:val="090D46" w:themeColor="text1"/>
                <w:sz w:val="18"/>
                <w:szCs w:val="18"/>
              </w:rPr>
            </w:pPr>
            <w:r w:rsidRPr="0096590F">
              <w:rPr>
                <w:color w:val="090D46" w:themeColor="text1"/>
                <w:sz w:val="18"/>
                <w:szCs w:val="18"/>
              </w:rPr>
              <w:t xml:space="preserve">If the property is disposed of on or after 1 July 2020 (regardless of the purchase date), the CGT main residence exemption is only available if the individual satisfies the ‘life events’ test. To satisfy the life events tests </w:t>
            </w:r>
            <w:proofErr w:type="gramStart"/>
            <w:r w:rsidRPr="0096590F">
              <w:rPr>
                <w:color w:val="090D46" w:themeColor="text1"/>
                <w:sz w:val="18"/>
                <w:szCs w:val="18"/>
              </w:rPr>
              <w:t>all of</w:t>
            </w:r>
            <w:proofErr w:type="gramEnd"/>
            <w:r w:rsidRPr="0096590F">
              <w:rPr>
                <w:color w:val="090D46" w:themeColor="text1"/>
                <w:sz w:val="18"/>
                <w:szCs w:val="18"/>
              </w:rPr>
              <w:t xml:space="preserve"> the following elements need to be satisfied</w:t>
            </w:r>
            <w:r w:rsidR="00D72EEE">
              <w:rPr>
                <w:color w:val="090D46" w:themeColor="text1"/>
                <w:sz w:val="18"/>
                <w:szCs w:val="18"/>
              </w:rPr>
              <w:t>:</w:t>
            </w:r>
          </w:p>
          <w:p w14:paraId="64DC2F66" w14:textId="77777777" w:rsidR="00570FDE" w:rsidRPr="0096590F" w:rsidRDefault="00570FDE" w:rsidP="006B320A">
            <w:pPr>
              <w:pStyle w:val="ListBullet"/>
              <w:numPr>
                <w:ilvl w:val="0"/>
                <w:numId w:val="68"/>
              </w:numPr>
              <w:rPr>
                <w:b w:val="0"/>
              </w:rPr>
            </w:pPr>
            <w:r w:rsidRPr="0096590F">
              <w:rPr>
                <w:b w:val="0"/>
              </w:rPr>
              <w:t>The individual was a foreign resident for a continuous period of six years or less at the time of the CGT event.</w:t>
            </w:r>
          </w:p>
          <w:p w14:paraId="6E134AF2" w14:textId="77777777" w:rsidR="00570FDE" w:rsidRPr="0096590F" w:rsidRDefault="00570FDE" w:rsidP="006B320A">
            <w:pPr>
              <w:pStyle w:val="ListBullet"/>
              <w:numPr>
                <w:ilvl w:val="0"/>
                <w:numId w:val="68"/>
              </w:numPr>
              <w:rPr>
                <w:b w:val="0"/>
              </w:rPr>
            </w:pPr>
            <w:r w:rsidRPr="0096590F">
              <w:rPr>
                <w:b w:val="0"/>
              </w:rPr>
              <w:t>At least one of the following occurred:</w:t>
            </w:r>
          </w:p>
          <w:p w14:paraId="752F1F85" w14:textId="77777777" w:rsidR="00570FDE" w:rsidRPr="00405F0E" w:rsidRDefault="00570FDE" w:rsidP="006B320A">
            <w:pPr>
              <w:pStyle w:val="ListBullet2"/>
              <w:numPr>
                <w:ilvl w:val="1"/>
                <w:numId w:val="68"/>
              </w:numPr>
              <w:rPr>
                <w:b w:val="0"/>
                <w:bCs w:val="0"/>
              </w:rPr>
            </w:pPr>
            <w:r w:rsidRPr="00405F0E">
              <w:rPr>
                <w:b w:val="0"/>
                <w:bCs w:val="0"/>
              </w:rPr>
              <w:t xml:space="preserve">during all or part of the period of a person’s foreign residency, either they, their spouse or their child who was under 18 years of age had a terminal medical </w:t>
            </w:r>
            <w:proofErr w:type="gramStart"/>
            <w:r w:rsidRPr="00405F0E">
              <w:rPr>
                <w:b w:val="0"/>
                <w:bCs w:val="0"/>
              </w:rPr>
              <w:t>condition</w:t>
            </w:r>
            <w:proofErr w:type="gramEnd"/>
            <w:r w:rsidRPr="00405F0E">
              <w:rPr>
                <w:b w:val="0"/>
                <w:bCs w:val="0"/>
              </w:rPr>
              <w:t xml:space="preserve"> </w:t>
            </w:r>
          </w:p>
          <w:p w14:paraId="2BD92A07" w14:textId="77777777" w:rsidR="00570FDE" w:rsidRPr="00405F0E" w:rsidRDefault="00570FDE" w:rsidP="006B320A">
            <w:pPr>
              <w:pStyle w:val="ListBullet2"/>
              <w:numPr>
                <w:ilvl w:val="1"/>
                <w:numId w:val="68"/>
              </w:numPr>
              <w:rPr>
                <w:b w:val="0"/>
                <w:bCs w:val="0"/>
              </w:rPr>
            </w:pPr>
            <w:r w:rsidRPr="00405F0E">
              <w:rPr>
                <w:b w:val="0"/>
                <w:bCs w:val="0"/>
              </w:rPr>
              <w:t xml:space="preserve">during all or part of the period of a person’s foreign residency, their spouse, or their child who is under 18 years of age at the time of their death </w:t>
            </w:r>
            <w:proofErr w:type="gramStart"/>
            <w:r w:rsidRPr="00405F0E">
              <w:rPr>
                <w:b w:val="0"/>
                <w:bCs w:val="0"/>
              </w:rPr>
              <w:t>died</w:t>
            </w:r>
            <w:proofErr w:type="gramEnd"/>
          </w:p>
          <w:p w14:paraId="452E19FF" w14:textId="77777777" w:rsidR="00570FDE" w:rsidRPr="00405F0E" w:rsidRDefault="00570FDE" w:rsidP="006B320A">
            <w:pPr>
              <w:pStyle w:val="ListBullet2"/>
              <w:numPr>
                <w:ilvl w:val="1"/>
                <w:numId w:val="68"/>
              </w:numPr>
              <w:rPr>
                <w:b w:val="0"/>
                <w:bCs w:val="0"/>
              </w:rPr>
            </w:pPr>
            <w:r w:rsidRPr="00405F0E">
              <w:rPr>
                <w:b w:val="0"/>
                <w:bCs w:val="0"/>
              </w:rPr>
              <w:t xml:space="preserve">the CGT event occurs in a matter involving the distribution of assets between the person and their spouse in a family law context, such as in the event of divorce or separation or similar maintenance agreements.  </w:t>
            </w:r>
          </w:p>
          <w:p w14:paraId="14A8221B" w14:textId="4D5DC266" w:rsidR="0096590F" w:rsidRPr="0096590F" w:rsidRDefault="00570FDE" w:rsidP="00570FDE">
            <w:pPr>
              <w:pStyle w:val="TableBullet"/>
              <w:numPr>
                <w:ilvl w:val="0"/>
                <w:numId w:val="0"/>
              </w:numPr>
              <w:spacing w:before="100" w:after="100"/>
              <w:rPr>
                <w:b w:val="0"/>
                <w:sz w:val="18"/>
                <w:szCs w:val="18"/>
              </w:rPr>
            </w:pPr>
            <w:r w:rsidRPr="00F35DC3">
              <w:rPr>
                <w:b w:val="0"/>
                <w:color w:val="090D46" w:themeColor="text1"/>
                <w:sz w:val="18"/>
                <w:szCs w:val="18"/>
              </w:rPr>
              <w:t>All other requirements to claim the main residence exemption must also be satisfied.</w:t>
            </w:r>
          </w:p>
        </w:tc>
        <w:tc>
          <w:tcPr>
            <w:tcW w:w="403" w:type="pct"/>
          </w:tcPr>
          <w:p w14:paraId="113130D1"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69" w:type="pct"/>
          </w:tcPr>
          <w:p w14:paraId="272A6E96"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c>
          <w:tcPr>
            <w:tcW w:w="276" w:type="pct"/>
          </w:tcPr>
          <w:p w14:paraId="21E12DDC" w14:textId="77777777" w:rsidR="00570FDE" w:rsidRDefault="00570FDE" w:rsidP="00570FDE">
            <w:pPr>
              <w:pStyle w:val="Table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r w:rsidR="004A7616" w14:paraId="7918783F" w14:textId="77777777" w:rsidTr="006B320A">
        <w:tc>
          <w:tcPr>
            <w:cnfStyle w:val="001000000000" w:firstRow="0" w:lastRow="0" w:firstColumn="1" w:lastColumn="0" w:oddVBand="0" w:evenVBand="0" w:oddHBand="0" w:evenHBand="0" w:firstRowFirstColumn="0" w:firstRowLastColumn="0" w:lastRowFirstColumn="0" w:lastRowLastColumn="0"/>
            <w:tcW w:w="0" w:type="pct"/>
            <w:gridSpan w:val="4"/>
            <w:shd w:val="clear" w:color="auto" w:fill="auto"/>
          </w:tcPr>
          <w:p w14:paraId="2F695520" w14:textId="77777777" w:rsidR="004A7616" w:rsidRDefault="004A7616" w:rsidP="004A7616">
            <w:pPr>
              <w:pStyle w:val="Tableheading"/>
              <w:rPr>
                <w:sz w:val="18"/>
                <w:szCs w:val="18"/>
              </w:rPr>
            </w:pPr>
            <w:r w:rsidRPr="004A7616">
              <w:rPr>
                <w:b/>
                <w:bCs w:val="0"/>
                <w:sz w:val="18"/>
                <w:szCs w:val="18"/>
              </w:rPr>
              <w:t>Comments:</w:t>
            </w:r>
          </w:p>
          <w:p w14:paraId="17AD2B38" w14:textId="77777777" w:rsidR="004A7616" w:rsidRDefault="004A7616" w:rsidP="004A7616">
            <w:pPr>
              <w:pStyle w:val="Tableheading"/>
              <w:rPr>
                <w:sz w:val="18"/>
                <w:szCs w:val="18"/>
              </w:rPr>
            </w:pPr>
          </w:p>
          <w:p w14:paraId="3E102046" w14:textId="77777777" w:rsidR="004A7616" w:rsidRDefault="004A7616" w:rsidP="004A7616">
            <w:pPr>
              <w:pStyle w:val="Tableheading"/>
              <w:rPr>
                <w:b/>
                <w:bCs w:val="0"/>
                <w:color w:val="FFFFFF" w:themeColor="background1"/>
                <w:sz w:val="18"/>
                <w:szCs w:val="18"/>
              </w:rPr>
            </w:pPr>
          </w:p>
          <w:p w14:paraId="5B375361" w14:textId="77777777" w:rsidR="00867F8C" w:rsidRDefault="00867F8C" w:rsidP="004A7616">
            <w:pPr>
              <w:pStyle w:val="Tableheading"/>
              <w:rPr>
                <w:color w:val="FFFFFF" w:themeColor="background1"/>
                <w:sz w:val="18"/>
                <w:szCs w:val="18"/>
              </w:rPr>
            </w:pPr>
          </w:p>
          <w:p w14:paraId="57D3F2DA" w14:textId="3E78DF02" w:rsidR="00C42B5D" w:rsidRPr="004A7616" w:rsidRDefault="00C42B5D" w:rsidP="004A7616">
            <w:pPr>
              <w:pStyle w:val="Tableheading"/>
              <w:rPr>
                <w:b/>
                <w:bCs w:val="0"/>
                <w:color w:val="FFFFFF" w:themeColor="background1"/>
                <w:sz w:val="18"/>
                <w:szCs w:val="18"/>
              </w:rPr>
            </w:pPr>
          </w:p>
        </w:tc>
      </w:tr>
    </w:tbl>
    <w:p w14:paraId="377B277F" w14:textId="06E84F8E" w:rsidR="00E72752" w:rsidRDefault="00E72752" w:rsidP="00E72752">
      <w:pPr>
        <w:rPr>
          <w:rFonts w:ascii="Arial" w:hAnsi="Arial"/>
          <w:color w:val="auto"/>
          <w:sz w:val="24"/>
          <w:szCs w:val="24"/>
        </w:rPr>
      </w:pPr>
    </w:p>
    <w:tbl>
      <w:tblPr>
        <w:tblStyle w:val="RACVTable"/>
        <w:tblW w:w="5200" w:type="pct"/>
        <w:tblLook w:val="00A0" w:firstRow="1" w:lastRow="0" w:firstColumn="1" w:lastColumn="0" w:noHBand="0" w:noVBand="0"/>
      </w:tblPr>
      <w:tblGrid>
        <w:gridCol w:w="8539"/>
        <w:gridCol w:w="9"/>
        <w:gridCol w:w="579"/>
        <w:gridCol w:w="118"/>
        <w:gridCol w:w="15"/>
        <w:gridCol w:w="546"/>
        <w:gridCol w:w="6"/>
        <w:gridCol w:w="565"/>
      </w:tblGrid>
      <w:tr w:rsidR="00E72752" w14:paraId="5C549040" w14:textId="77777777" w:rsidTr="002D7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0AA6FC6C" w14:textId="77777777" w:rsidR="00E72752" w:rsidRPr="0050226F" w:rsidRDefault="00E72752" w:rsidP="0050226F">
            <w:pPr>
              <w:pStyle w:val="Table"/>
              <w:spacing w:before="100" w:after="100"/>
              <w:rPr>
                <w:bCs w:val="0"/>
                <w:color w:val="090D46" w:themeColor="text1"/>
                <w:sz w:val="18"/>
                <w:szCs w:val="18"/>
              </w:rPr>
            </w:pPr>
            <w:r w:rsidRPr="0050226F">
              <w:rPr>
                <w:bCs w:val="0"/>
                <w:color w:val="090D46" w:themeColor="text1"/>
                <w:sz w:val="18"/>
                <w:szCs w:val="18"/>
              </w:rPr>
              <w:t>TRUSTS</w:t>
            </w:r>
          </w:p>
        </w:tc>
        <w:tc>
          <w:tcPr>
            <w:tcW w:w="283" w:type="pct"/>
            <w:gridSpan w:val="2"/>
            <w:hideMark/>
          </w:tcPr>
          <w:p w14:paraId="432E6113" w14:textId="77777777" w:rsidR="00E72752" w:rsidRPr="0050226F" w:rsidRDefault="00E72752" w:rsidP="0050226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0226F">
              <w:rPr>
                <w:bCs w:val="0"/>
                <w:color w:val="090D46" w:themeColor="text1"/>
                <w:sz w:val="18"/>
                <w:szCs w:val="18"/>
              </w:rPr>
              <w:t>YES</w:t>
            </w:r>
          </w:p>
        </w:tc>
        <w:tc>
          <w:tcPr>
            <w:tcW w:w="330" w:type="pct"/>
            <w:gridSpan w:val="4"/>
            <w:hideMark/>
          </w:tcPr>
          <w:p w14:paraId="654EE553" w14:textId="77777777" w:rsidR="00E72752" w:rsidRPr="0050226F" w:rsidRDefault="00E72752" w:rsidP="0050226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0226F">
              <w:rPr>
                <w:bCs w:val="0"/>
                <w:color w:val="090D46" w:themeColor="text1"/>
                <w:sz w:val="18"/>
                <w:szCs w:val="18"/>
              </w:rPr>
              <w:t>NO</w:t>
            </w:r>
          </w:p>
        </w:tc>
        <w:tc>
          <w:tcPr>
            <w:tcW w:w="272" w:type="pct"/>
            <w:hideMark/>
          </w:tcPr>
          <w:p w14:paraId="1EC08FAD" w14:textId="77777777" w:rsidR="00E72752" w:rsidRPr="0050226F" w:rsidRDefault="00E72752" w:rsidP="0050226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50226F">
              <w:rPr>
                <w:bCs w:val="0"/>
                <w:color w:val="090D46" w:themeColor="text1"/>
                <w:sz w:val="18"/>
                <w:szCs w:val="18"/>
              </w:rPr>
              <w:t>N/A</w:t>
            </w:r>
          </w:p>
        </w:tc>
      </w:tr>
      <w:tr w:rsidR="00E72752" w14:paraId="25A68A87" w14:textId="77777777" w:rsidTr="00502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332ECE21" w14:textId="77777777" w:rsidR="00E72752" w:rsidRPr="0050226F" w:rsidRDefault="00E72752" w:rsidP="009C7A83">
            <w:pPr>
              <w:pStyle w:val="Tableheading"/>
              <w:rPr>
                <w:b/>
                <w:bCs w:val="0"/>
                <w:color w:val="FFFFFF" w:themeColor="background1"/>
                <w:sz w:val="18"/>
                <w:szCs w:val="18"/>
              </w:rPr>
            </w:pPr>
            <w:r w:rsidRPr="0050226F">
              <w:rPr>
                <w:b/>
                <w:bCs w:val="0"/>
                <w:color w:val="FFFFFF" w:themeColor="background1"/>
                <w:sz w:val="18"/>
                <w:szCs w:val="18"/>
              </w:rPr>
              <w:t>TRUST DISTRIBUTIONS</w:t>
            </w:r>
          </w:p>
        </w:tc>
      </w:tr>
      <w:tr w:rsidR="00E72752" w14:paraId="770BFA94"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011D1BE9" w14:textId="42936897" w:rsidR="00E72752" w:rsidRPr="0050226F" w:rsidRDefault="00E72752" w:rsidP="0050226F">
            <w:pPr>
              <w:rPr>
                <w:b w:val="0"/>
                <w:bCs w:val="0"/>
              </w:rPr>
            </w:pPr>
            <w:r w:rsidRPr="0050226F">
              <w:rPr>
                <w:b w:val="0"/>
                <w:bCs w:val="0"/>
              </w:rPr>
              <w:lastRenderedPageBreak/>
              <w:t xml:space="preserve">Does the trust deed of the discretionary trust allow the trustee to stream franked dividends and capital gains to specifically entitled beneficiaries? Where </w:t>
            </w:r>
            <w:proofErr w:type="gramStart"/>
            <w:r w:rsidRPr="0050226F">
              <w:rPr>
                <w:b w:val="0"/>
                <w:bCs w:val="0"/>
              </w:rPr>
              <w:t>the trust deed does</w:t>
            </w:r>
            <w:proofErr w:type="gramEnd"/>
            <w:r w:rsidRPr="0050226F">
              <w:rPr>
                <w:b w:val="0"/>
                <w:bCs w:val="0"/>
              </w:rPr>
              <w:t xml:space="preserve"> not contain a streaming clause is there a power to amend the deed? If so, will the exercise of that amendment power to insert a streaming clause trigger a resettlement (see Taxation Determination TD</w:t>
            </w:r>
            <w:r w:rsidR="000D1268">
              <w:rPr>
                <w:b w:val="0"/>
                <w:bCs w:val="0"/>
              </w:rPr>
              <w:t xml:space="preserve"> </w:t>
            </w:r>
            <w:r w:rsidRPr="0050226F">
              <w:rPr>
                <w:b w:val="0"/>
                <w:bCs w:val="0"/>
              </w:rPr>
              <w:t>2012/21)?</w:t>
            </w:r>
          </w:p>
        </w:tc>
        <w:tc>
          <w:tcPr>
            <w:tcW w:w="283" w:type="pct"/>
            <w:gridSpan w:val="2"/>
          </w:tcPr>
          <w:p w14:paraId="54C47C54"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10E295A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5F95207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77239B99" w14:textId="77777777" w:rsidTr="00584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198EF30" w14:textId="4F206945" w:rsidR="00E72752" w:rsidRPr="0050226F" w:rsidRDefault="00E72752" w:rsidP="0050226F">
            <w:pPr>
              <w:rPr>
                <w:b w:val="0"/>
                <w:bCs w:val="0"/>
              </w:rPr>
            </w:pPr>
            <w:r w:rsidRPr="0050226F">
              <w:rPr>
                <w:b w:val="0"/>
                <w:bCs w:val="0"/>
              </w:rPr>
              <w:t>Where the trustee has the power to stream franked dividends and capital gains</w:t>
            </w:r>
            <w:r w:rsidR="00685516">
              <w:rPr>
                <w:b w:val="0"/>
                <w:bCs w:val="0"/>
              </w:rPr>
              <w:t>,</w:t>
            </w:r>
            <w:r w:rsidRPr="0050226F">
              <w:rPr>
                <w:b w:val="0"/>
                <w:bCs w:val="0"/>
              </w:rPr>
              <w:t xml:space="preserve"> has the trustee’s exercise of this power been evidenced in a trustee resolution made before year end? </w:t>
            </w:r>
          </w:p>
          <w:p w14:paraId="031CBBD0" w14:textId="77777777" w:rsidR="00E72752" w:rsidRPr="0050226F" w:rsidRDefault="00E72752" w:rsidP="0050226F">
            <w:pPr>
              <w:rPr>
                <w:b w:val="0"/>
                <w:bCs w:val="0"/>
              </w:rPr>
            </w:pPr>
            <w:r w:rsidRPr="0050226F">
              <w:rPr>
                <w:b w:val="0"/>
                <w:bCs w:val="0"/>
              </w:rPr>
              <w:t xml:space="preserve">Has the making of any specific entitlement to any capital gains or franked dividends been made before beneficiaries have been made presently entitled to the balance of trust income? This will be essential where there is an income equalisation clause under the trust deed which defines trust income as being net income calculated under section 95 of the </w:t>
            </w:r>
            <w:r w:rsidRPr="00584116">
              <w:rPr>
                <w:iCs/>
              </w:rPr>
              <w:t>ITAA 1936</w:t>
            </w:r>
            <w:r w:rsidRPr="00C41DD3">
              <w:rPr>
                <w:b w:val="0"/>
                <w:bCs w:val="0"/>
                <w:iCs/>
              </w:rPr>
              <w:t>.</w:t>
            </w:r>
          </w:p>
        </w:tc>
        <w:tc>
          <w:tcPr>
            <w:tcW w:w="0" w:type="pct"/>
            <w:gridSpan w:val="2"/>
            <w:shd w:val="clear" w:color="auto" w:fill="auto"/>
          </w:tcPr>
          <w:p w14:paraId="005DD6F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2B0C37EB"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0ECA04B7"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65FED553"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3186EE61" w14:textId="41C95BEF" w:rsidR="00867F8C" w:rsidRPr="0050226F" w:rsidRDefault="00E72752" w:rsidP="0050226F">
            <w:pPr>
              <w:rPr>
                <w:rFonts w:cs="Arial"/>
                <w:b w:val="0"/>
                <w:bCs w:val="0"/>
              </w:rPr>
            </w:pPr>
            <w:r w:rsidRPr="0050226F">
              <w:rPr>
                <w:b w:val="0"/>
                <w:bCs w:val="0"/>
              </w:rPr>
              <w:t>Where the trustee has the power to stream, and this is evidenced by a trustee resolution, have trust funds been distributed optimally</w:t>
            </w:r>
            <w:r w:rsidR="00287ECF">
              <w:rPr>
                <w:b w:val="0"/>
                <w:bCs w:val="0"/>
              </w:rPr>
              <w:t xml:space="preserve"> whilst the trustee is complying with their fiduciary obligations</w:t>
            </w:r>
            <w:r w:rsidRPr="0050226F">
              <w:rPr>
                <w:b w:val="0"/>
                <w:bCs w:val="0"/>
              </w:rPr>
              <w:t xml:space="preserve">? Consider the tax status of the </w:t>
            </w:r>
            <w:r w:rsidR="00D27929">
              <w:rPr>
                <w:b w:val="0"/>
                <w:bCs w:val="0"/>
              </w:rPr>
              <w:t xml:space="preserve">following </w:t>
            </w:r>
            <w:r w:rsidRPr="0050226F">
              <w:rPr>
                <w:b w:val="0"/>
                <w:bCs w:val="0"/>
              </w:rPr>
              <w:t>beneficiaries:</w:t>
            </w:r>
          </w:p>
          <w:p w14:paraId="1A99FFF4" w14:textId="41ECD887" w:rsidR="00C42B5D" w:rsidRPr="001F62C8" w:rsidRDefault="00C42B5D" w:rsidP="00BD748B">
            <w:pPr>
              <w:pStyle w:val="ListBullet"/>
              <w:ind w:left="0" w:firstLine="0"/>
              <w:rPr>
                <w:b w:val="0"/>
                <w:bCs w:val="0"/>
              </w:rPr>
            </w:pPr>
          </w:p>
        </w:tc>
        <w:tc>
          <w:tcPr>
            <w:tcW w:w="283" w:type="pct"/>
            <w:gridSpan w:val="2"/>
          </w:tcPr>
          <w:p w14:paraId="20FCFB2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243AB90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7BD99A3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619C3195" w14:textId="77777777" w:rsidTr="001F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tcPr>
          <w:p w14:paraId="6CBE7505" w14:textId="1A77890C" w:rsidR="001F62C8" w:rsidRDefault="001F62C8" w:rsidP="001F62C8">
            <w:pPr>
              <w:pStyle w:val="Tableheading"/>
              <w:rPr>
                <w:sz w:val="18"/>
                <w:szCs w:val="18"/>
              </w:rPr>
            </w:pPr>
            <w:r w:rsidRPr="001F62C8">
              <w:rPr>
                <w:b/>
                <w:bCs w:val="0"/>
                <w:color w:val="FFFFFF" w:themeColor="background1"/>
                <w:sz w:val="18"/>
                <w:szCs w:val="18"/>
              </w:rPr>
              <w:t>TRUST DISTRIBUTIONS (CONTINUED)</w:t>
            </w:r>
            <w:r w:rsidRPr="001F62C8">
              <w:rPr>
                <w:b/>
                <w:bCs w:val="0"/>
                <w:color w:val="FFFFFF" w:themeColor="background1"/>
              </w:rPr>
              <w:t xml:space="preserve"> </w:t>
            </w:r>
          </w:p>
        </w:tc>
      </w:tr>
      <w:tr w:rsidR="008C3FBB" w14:paraId="18ADFC24" w14:textId="77777777" w:rsidTr="002D7D14">
        <w:tc>
          <w:tcPr>
            <w:cnfStyle w:val="001000000000" w:firstRow="0" w:lastRow="0" w:firstColumn="1" w:lastColumn="0" w:oddVBand="0" w:evenVBand="0" w:oddHBand="0" w:evenHBand="0" w:firstRowFirstColumn="0" w:firstRowLastColumn="0" w:lastRowFirstColumn="0" w:lastRowLastColumn="0"/>
            <w:tcW w:w="4115" w:type="pct"/>
          </w:tcPr>
          <w:p w14:paraId="4E5BAF8D" w14:textId="77777777" w:rsidR="00867F8C" w:rsidRPr="0050226F" w:rsidRDefault="00867F8C" w:rsidP="00867F8C">
            <w:pPr>
              <w:pStyle w:val="ListBullet"/>
              <w:numPr>
                <w:ilvl w:val="0"/>
                <w:numId w:val="69"/>
              </w:numPr>
              <w:rPr>
                <w:b w:val="0"/>
                <w:bCs w:val="0"/>
              </w:rPr>
            </w:pPr>
            <w:r w:rsidRPr="0050226F">
              <w:rPr>
                <w:b w:val="0"/>
                <w:bCs w:val="0"/>
              </w:rPr>
              <w:t>Franked dividends should be distributed to low-taxed Australian residents as the excess franking credits are available to reduce tax payable on other income derived by individual resident taxpayers or may be refundable</w:t>
            </w:r>
            <w:r>
              <w:rPr>
                <w:b w:val="0"/>
                <w:bCs w:val="0"/>
              </w:rPr>
              <w:t>.</w:t>
            </w:r>
          </w:p>
          <w:p w14:paraId="2E6A8872" w14:textId="77777777" w:rsidR="00867F8C" w:rsidRPr="0050226F" w:rsidRDefault="00867F8C" w:rsidP="00867F8C">
            <w:pPr>
              <w:pStyle w:val="ListBullet"/>
              <w:numPr>
                <w:ilvl w:val="0"/>
                <w:numId w:val="69"/>
              </w:numPr>
              <w:rPr>
                <w:b w:val="0"/>
                <w:bCs w:val="0"/>
              </w:rPr>
            </w:pPr>
            <w:r w:rsidRPr="0050226F">
              <w:rPr>
                <w:b w:val="0"/>
                <w:bCs w:val="0"/>
              </w:rPr>
              <w:t>Franked dividends distributed to company beneficiaries will not generally suffer further tax (subject to the dividend paying company's corporate tax rate for imputation purposes and the tax rate the company beneficiary)</w:t>
            </w:r>
            <w:r>
              <w:rPr>
                <w:b w:val="0"/>
                <w:bCs w:val="0"/>
              </w:rPr>
              <w:t>.</w:t>
            </w:r>
          </w:p>
          <w:p w14:paraId="4801372F" w14:textId="77777777" w:rsidR="00867F8C" w:rsidRPr="0050226F" w:rsidRDefault="00867F8C" w:rsidP="00867F8C">
            <w:pPr>
              <w:pStyle w:val="ListBullet"/>
              <w:numPr>
                <w:ilvl w:val="0"/>
                <w:numId w:val="69"/>
              </w:numPr>
              <w:rPr>
                <w:b w:val="0"/>
                <w:bCs w:val="0"/>
              </w:rPr>
            </w:pPr>
            <w:r w:rsidRPr="0050226F">
              <w:rPr>
                <w:b w:val="0"/>
                <w:bCs w:val="0"/>
              </w:rPr>
              <w:t>Companies do not have access to the CGT discount and are not an efficient vehicle for the distribution of discountable capital gains</w:t>
            </w:r>
            <w:r>
              <w:rPr>
                <w:b w:val="0"/>
                <w:bCs w:val="0"/>
              </w:rPr>
              <w:t>.</w:t>
            </w:r>
          </w:p>
          <w:p w14:paraId="71AEE1A2" w14:textId="77777777" w:rsidR="00867F8C" w:rsidRPr="00BD748B" w:rsidRDefault="00867F8C" w:rsidP="00867F8C">
            <w:pPr>
              <w:pStyle w:val="ListBullet"/>
              <w:numPr>
                <w:ilvl w:val="0"/>
                <w:numId w:val="69"/>
              </w:numPr>
              <w:rPr>
                <w:b w:val="0"/>
                <w:bCs w:val="0"/>
              </w:rPr>
            </w:pPr>
            <w:r w:rsidRPr="0050226F">
              <w:rPr>
                <w:b w:val="0"/>
                <w:bCs w:val="0"/>
              </w:rPr>
              <w:t>Foreign residents and temporary residents do not have access to the CGT discount for capital gains that accrue on or after 8 May 2012.</w:t>
            </w:r>
            <w:r w:rsidRPr="001F62C8">
              <w:rPr>
                <w:color w:val="FFFFFF" w:themeColor="background1"/>
                <w:szCs w:val="18"/>
              </w:rPr>
              <w:t>ST</w:t>
            </w:r>
          </w:p>
          <w:p w14:paraId="5D1302B4" w14:textId="77777777" w:rsidR="00867F8C" w:rsidRPr="00867F8C" w:rsidRDefault="00867F8C" w:rsidP="00867F8C">
            <w:pPr>
              <w:rPr>
                <w:b w:val="0"/>
                <w:bCs w:val="0"/>
              </w:rPr>
            </w:pPr>
            <w:r w:rsidRPr="009827AD">
              <w:rPr>
                <w:b w:val="0"/>
                <w:bCs w:val="0"/>
              </w:rPr>
              <w:t xml:space="preserve">It is important that each trustee considers the application of section 100A and Part IVA to future and historical distributions made. Section 100A is an anti-avoidance provision that has the potential of imposing a penal tax outcome where one person (beneficiary) is made presently entitled to trust income, but another person effectively </w:t>
            </w:r>
            <w:r w:rsidRPr="00867F8C">
              <w:rPr>
                <w:b w:val="0"/>
                <w:bCs w:val="0"/>
              </w:rPr>
              <w:t xml:space="preserve">receives the benefit of the income. The Commissioner has considered the application of s100A and issues the following tax determinations / compliance guidelines: </w:t>
            </w:r>
          </w:p>
          <w:p w14:paraId="3D5BA129" w14:textId="77777777" w:rsidR="00867F8C" w:rsidRPr="00867F8C" w:rsidRDefault="00867F8C" w:rsidP="00867F8C">
            <w:pPr>
              <w:pStyle w:val="ListBullet"/>
              <w:numPr>
                <w:ilvl w:val="0"/>
                <w:numId w:val="70"/>
              </w:numPr>
              <w:rPr>
                <w:b w:val="0"/>
                <w:bCs w:val="0"/>
              </w:rPr>
            </w:pPr>
            <w:r w:rsidRPr="00867F8C">
              <w:rPr>
                <w:b w:val="0"/>
                <w:bCs w:val="0"/>
              </w:rPr>
              <w:t xml:space="preserve">Taxation Ruling 2022/4 – Income tax: section 100A reimbursement </w:t>
            </w:r>
            <w:proofErr w:type="gramStart"/>
            <w:r w:rsidRPr="00867F8C">
              <w:rPr>
                <w:b w:val="0"/>
                <w:bCs w:val="0"/>
              </w:rPr>
              <w:t>agreements</w:t>
            </w:r>
            <w:proofErr w:type="gramEnd"/>
          </w:p>
          <w:p w14:paraId="36E04F52" w14:textId="77777777" w:rsidR="00867F8C" w:rsidRPr="00584116" w:rsidRDefault="00867F8C" w:rsidP="00867F8C">
            <w:pPr>
              <w:pStyle w:val="ListBullet"/>
              <w:numPr>
                <w:ilvl w:val="0"/>
                <w:numId w:val="70"/>
              </w:numPr>
              <w:rPr>
                <w:b w:val="0"/>
                <w:bCs w:val="0"/>
              </w:rPr>
            </w:pPr>
            <w:r w:rsidRPr="00867F8C">
              <w:rPr>
                <w:b w:val="0"/>
                <w:bCs w:val="0"/>
              </w:rPr>
              <w:t xml:space="preserve">Taxpayer Alert TA 2022/1 – Parents benefitting from the trust entitlements of their children over 18 years of </w:t>
            </w:r>
            <w:proofErr w:type="gramStart"/>
            <w:r w:rsidRPr="00867F8C">
              <w:rPr>
                <w:b w:val="0"/>
                <w:bCs w:val="0"/>
              </w:rPr>
              <w:t>age</w:t>
            </w:r>
            <w:proofErr w:type="gramEnd"/>
          </w:p>
          <w:p w14:paraId="182CA650" w14:textId="055206EC" w:rsidR="008C3FBB" w:rsidRPr="00A75412" w:rsidRDefault="008C3FBB" w:rsidP="00867F8C">
            <w:pPr>
              <w:pStyle w:val="ListBullet"/>
              <w:numPr>
                <w:ilvl w:val="0"/>
                <w:numId w:val="70"/>
              </w:numPr>
              <w:rPr>
                <w:b w:val="0"/>
                <w:bCs w:val="0"/>
              </w:rPr>
            </w:pPr>
            <w:r w:rsidRPr="00383AC5">
              <w:rPr>
                <w:b w:val="0"/>
                <w:bCs w:val="0"/>
              </w:rPr>
              <w:t>Practical Compliance Guideline PCG 2022/2 – Section 100A reimbursement agreements – ATO compliance approach</w:t>
            </w:r>
          </w:p>
          <w:p w14:paraId="03F504FC" w14:textId="77777777" w:rsidR="008C3FBB" w:rsidRPr="00395812" w:rsidRDefault="008C3FBB" w:rsidP="008C3FBB">
            <w:pPr>
              <w:pStyle w:val="ListBullet"/>
              <w:ind w:firstLine="0"/>
              <w:rPr>
                <w:b w:val="0"/>
                <w:bCs w:val="0"/>
                <w:color w:val="000000"/>
              </w:rPr>
            </w:pPr>
          </w:p>
          <w:p w14:paraId="3FEA7979" w14:textId="3DAF896A" w:rsidR="008C3FBB" w:rsidRPr="00A75412" w:rsidRDefault="008C3FBB" w:rsidP="00A75412">
            <w:pPr>
              <w:pStyle w:val="ListBullet"/>
              <w:ind w:left="0" w:firstLine="0"/>
              <w:rPr>
                <w:b w:val="0"/>
                <w:bCs w:val="0"/>
                <w:color w:val="0A5CC7" w:themeColor="accent3"/>
                <w:szCs w:val="18"/>
                <w:u w:val="single"/>
              </w:rPr>
            </w:pPr>
            <w:r w:rsidRPr="009827AD">
              <w:rPr>
                <w:b w:val="0"/>
                <w:bCs w:val="0"/>
              </w:rPr>
              <w:t xml:space="preserve">For further information, refer to CPA Australia’s </w:t>
            </w:r>
            <w:hyperlink r:id="rId14" w:history="1">
              <w:r w:rsidRPr="00BD748B">
                <w:rPr>
                  <w:rStyle w:val="Hyperlink"/>
                  <w:b w:val="0"/>
                  <w:bCs w:val="0"/>
                  <w:szCs w:val="18"/>
                </w:rPr>
                <w:t>Trust Streaming Manual</w:t>
              </w:r>
            </w:hyperlink>
            <w:r w:rsidR="00365ED1">
              <w:rPr>
                <w:rStyle w:val="Hyperlink"/>
                <w:szCs w:val="18"/>
              </w:rPr>
              <w:t>.</w:t>
            </w:r>
          </w:p>
        </w:tc>
        <w:tc>
          <w:tcPr>
            <w:tcW w:w="283" w:type="pct"/>
            <w:gridSpan w:val="2"/>
          </w:tcPr>
          <w:p w14:paraId="2142EF86" w14:textId="77777777" w:rsidR="008C3FBB" w:rsidRDefault="008C3FBB"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1FEBB5FB" w14:textId="77777777" w:rsidR="008C3FBB" w:rsidRDefault="008C3FBB"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30B130E8" w14:textId="77777777" w:rsidR="008C3FBB" w:rsidRDefault="008C3FBB"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42B5D" w14:paraId="6A9B1FDB"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54925655" w14:textId="77777777" w:rsidR="00C42B5D" w:rsidRPr="00DC0701" w:rsidRDefault="00C42B5D" w:rsidP="00C42B5D">
            <w:pPr>
              <w:rPr>
                <w:b w:val="0"/>
                <w:bCs w:val="0"/>
              </w:rPr>
            </w:pPr>
            <w:r w:rsidRPr="00DC0701">
              <w:rPr>
                <w:b w:val="0"/>
                <w:bCs w:val="0"/>
              </w:rPr>
              <w:t>Review the trust deed of a discretionary or hybrid trust to ensure that the relevant beneficiaries are being made presently entitled to a share of the income of the trust estate (subject to any beneficiaries being made specifically entitled to any capital gains or franked distributions).</w:t>
            </w:r>
          </w:p>
          <w:p w14:paraId="0D06D1CD" w14:textId="782B554C" w:rsidR="00C42B5D" w:rsidRDefault="00C42B5D" w:rsidP="00C42B5D">
            <w:r w:rsidRPr="00DC0701">
              <w:rPr>
                <w:b w:val="0"/>
                <w:bCs w:val="0"/>
              </w:rPr>
              <w:t>Where the trust deed requires the trustee to make a beneficiary presently entitled to trust income by way of a trustee resolution, this resolution must generally be made by the end of the income year as specified in the trust deed (being typically 30</w:t>
            </w:r>
            <w:r w:rsidR="00BB24BC">
              <w:rPr>
                <w:b w:val="0"/>
                <w:bCs w:val="0"/>
              </w:rPr>
              <w:t xml:space="preserve"> </w:t>
            </w:r>
            <w:r w:rsidRPr="00DC0701">
              <w:rPr>
                <w:b w:val="0"/>
                <w:bCs w:val="0"/>
              </w:rPr>
              <w:t>June). This resolution will determine each beneficiary’s share of the trust income which in turn will establish who is to be assessed on a proportional share of the trust's net income (</w:t>
            </w:r>
            <w:proofErr w:type="gramStart"/>
            <w:r w:rsidRPr="00DC0701">
              <w:rPr>
                <w:b w:val="0"/>
                <w:bCs w:val="0"/>
              </w:rPr>
              <w:t>i.e.</w:t>
            </w:r>
            <w:proofErr w:type="gramEnd"/>
            <w:r w:rsidRPr="00DC0701">
              <w:rPr>
                <w:b w:val="0"/>
                <w:bCs w:val="0"/>
              </w:rPr>
              <w:t xml:space="preserve"> taxable income). If the trust deed requires a resolution to be made at a date before 30</w:t>
            </w:r>
            <w:r w:rsidR="00BB24BC">
              <w:rPr>
                <w:b w:val="0"/>
                <w:bCs w:val="0"/>
              </w:rPr>
              <w:t xml:space="preserve"> </w:t>
            </w:r>
            <w:proofErr w:type="gramStart"/>
            <w:r w:rsidRPr="00DC0701">
              <w:rPr>
                <w:b w:val="0"/>
                <w:bCs w:val="0"/>
              </w:rPr>
              <w:t>June</w:t>
            </w:r>
            <w:proofErr w:type="gramEnd"/>
            <w:r w:rsidR="00BB24BC">
              <w:rPr>
                <w:b w:val="0"/>
                <w:bCs w:val="0"/>
              </w:rPr>
              <w:t xml:space="preserve"> </w:t>
            </w:r>
            <w:r w:rsidRPr="00DC0701">
              <w:rPr>
                <w:b w:val="0"/>
                <w:bCs w:val="0"/>
              </w:rPr>
              <w:t xml:space="preserve">the trustee should comply with the requirements of the deed.  </w:t>
            </w:r>
          </w:p>
          <w:p w14:paraId="60628CF3" w14:textId="77777777" w:rsidR="003A42EA" w:rsidRPr="00DC0701" w:rsidRDefault="003A42EA" w:rsidP="00C42B5D">
            <w:pPr>
              <w:rPr>
                <w:b w:val="0"/>
                <w:bCs w:val="0"/>
              </w:rPr>
            </w:pPr>
          </w:p>
          <w:p w14:paraId="6DE99CCF" w14:textId="59AB4D8F" w:rsidR="00C42B5D" w:rsidRPr="001F62C8" w:rsidRDefault="00C42B5D" w:rsidP="00C42B5D">
            <w:r w:rsidRPr="00DC0701">
              <w:rPr>
                <w:b w:val="0"/>
                <w:bCs w:val="0"/>
              </w:rPr>
              <w:t>For further information, refer to CPA Australia’s</w:t>
            </w:r>
            <w:r w:rsidRPr="00C41DD3">
              <w:rPr>
                <w:b w:val="0"/>
                <w:bCs w:val="0"/>
              </w:rPr>
              <w:t xml:space="preserve"> </w:t>
            </w:r>
            <w:hyperlink r:id="rId15" w:history="1">
              <w:r w:rsidRPr="00C41DD3">
                <w:rPr>
                  <w:rStyle w:val="Hyperlink"/>
                  <w:szCs w:val="18"/>
                </w:rPr>
                <w:t>Trustee Guidance Resolutions</w:t>
              </w:r>
            </w:hyperlink>
            <w:r w:rsidRPr="001F62C8">
              <w:rPr>
                <w:b w:val="0"/>
                <w:bCs w:val="0"/>
                <w:color w:val="000000"/>
              </w:rPr>
              <w:t xml:space="preserve"> </w:t>
            </w:r>
            <w:r w:rsidRPr="00DC0701">
              <w:rPr>
                <w:b w:val="0"/>
                <w:bCs w:val="0"/>
              </w:rPr>
              <w:t>publication</w:t>
            </w:r>
            <w:r w:rsidRPr="001F62C8">
              <w:rPr>
                <w:b w:val="0"/>
                <w:bCs w:val="0"/>
                <w:i/>
                <w:color w:val="000000"/>
              </w:rPr>
              <w:t>.</w:t>
            </w:r>
          </w:p>
        </w:tc>
        <w:tc>
          <w:tcPr>
            <w:tcW w:w="0" w:type="pct"/>
            <w:gridSpan w:val="2"/>
            <w:shd w:val="clear" w:color="auto" w:fill="auto"/>
          </w:tcPr>
          <w:p w14:paraId="3631B599" w14:textId="77777777" w:rsidR="00C42B5D" w:rsidRDefault="00C42B5D"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2C1086ED" w14:textId="77777777" w:rsidR="00C42B5D" w:rsidRDefault="00C42B5D"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114EB7F" w14:textId="77777777" w:rsidR="00C42B5D" w:rsidRDefault="00C42B5D"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2FB2D005"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188C5723" w14:textId="77777777" w:rsidR="00E72752" w:rsidRPr="001F62C8" w:rsidRDefault="00E72752" w:rsidP="001F62C8">
            <w:pPr>
              <w:rPr>
                <w:b w:val="0"/>
                <w:bCs w:val="0"/>
              </w:rPr>
            </w:pPr>
            <w:r w:rsidRPr="001F62C8">
              <w:rPr>
                <w:b w:val="0"/>
                <w:bCs w:val="0"/>
              </w:rPr>
              <w:lastRenderedPageBreak/>
              <w:t>Where permitted by the trust deed, has the trustee made a determination about what amounts should be treated as income of the trust estate (</w:t>
            </w:r>
            <w:proofErr w:type="gramStart"/>
            <w:r w:rsidRPr="001F62C8">
              <w:rPr>
                <w:b w:val="0"/>
                <w:bCs w:val="0"/>
              </w:rPr>
              <w:t>e.g.</w:t>
            </w:r>
            <w:proofErr w:type="gramEnd"/>
            <w:r w:rsidRPr="001F62C8">
              <w:rPr>
                <w:b w:val="0"/>
                <w:bCs w:val="0"/>
              </w:rPr>
              <w:t xml:space="preserve"> trust capital gains may be treated as trust income in certain circumstances </w:t>
            </w:r>
            <w:r w:rsidRPr="001F62C8">
              <w:rPr>
                <w:b w:val="0"/>
                <w:bCs w:val="0"/>
                <w:i/>
              </w:rPr>
              <w:t>(</w:t>
            </w:r>
            <w:r w:rsidRPr="001F62C8">
              <w:rPr>
                <w:b w:val="0"/>
                <w:bCs w:val="0"/>
              </w:rPr>
              <w:t>refer to</w:t>
            </w:r>
            <w:r w:rsidRPr="001F62C8">
              <w:rPr>
                <w:b w:val="0"/>
                <w:bCs w:val="0"/>
                <w:i/>
              </w:rPr>
              <w:t xml:space="preserve"> Commissioner of Taxation v Bamford [2010] HCA 10)</w:t>
            </w:r>
            <w:r w:rsidRPr="001F62C8">
              <w:rPr>
                <w:b w:val="0"/>
                <w:bCs w:val="0"/>
              </w:rPr>
              <w:t xml:space="preserve">)? </w:t>
            </w:r>
          </w:p>
          <w:p w14:paraId="5AF79189" w14:textId="77777777" w:rsidR="00E72752" w:rsidRPr="001F62C8" w:rsidRDefault="00E72752" w:rsidP="001F62C8">
            <w:pPr>
              <w:rPr>
                <w:b w:val="0"/>
                <w:bCs w:val="0"/>
              </w:rPr>
            </w:pPr>
            <w:r w:rsidRPr="001F62C8">
              <w:rPr>
                <w:b w:val="0"/>
                <w:bCs w:val="0"/>
              </w:rPr>
              <w:t xml:space="preserve">Check to see how the income of the trust estate is defined under the trust deed. Given the disparity of trust deeds income of the trust may be defined in a number of ways including income as defined under the trust law, income which is equal to the trust’s net income, income determined at the discretion of the trustee, but which will be treated as ordinary income where the trustee does not exercise that discretion and income according to trust law but which also includes some specific receipts such as net capital gains. </w:t>
            </w:r>
          </w:p>
          <w:p w14:paraId="66971AF8" w14:textId="12A23C1A" w:rsidR="00E72752" w:rsidRDefault="00E72752" w:rsidP="001F62C8">
            <w:r w:rsidRPr="001F62C8">
              <w:rPr>
                <w:b w:val="0"/>
                <w:bCs w:val="0"/>
              </w:rPr>
              <w:t xml:space="preserve">The Commissioner takes the view in Draft Taxation Ruling TR 2012/D1 that there is a statutory limitation on the meaning of the income of the trust for the purposes of Division 6 of the </w:t>
            </w:r>
            <w:r w:rsidRPr="00A75412">
              <w:rPr>
                <w:iCs/>
              </w:rPr>
              <w:t>ITAA 1936</w:t>
            </w:r>
            <w:r w:rsidRPr="001F62C8">
              <w:rPr>
                <w:b w:val="0"/>
                <w:bCs w:val="0"/>
                <w:i/>
              </w:rPr>
              <w:t xml:space="preserve"> </w:t>
            </w:r>
            <w:r w:rsidRPr="001F62C8">
              <w:rPr>
                <w:b w:val="0"/>
                <w:bCs w:val="0"/>
              </w:rPr>
              <w:t>in that trust income does not include notional tax-only amounts such as franking credits, deemed dividends arising under Division 7A or a deemed capital gain arising under the market value substitution rule. Check the trust deed to determine how the definition of trust income apply to such amounts.</w:t>
            </w:r>
            <w:r>
              <w:t xml:space="preserve">  </w:t>
            </w:r>
          </w:p>
        </w:tc>
        <w:tc>
          <w:tcPr>
            <w:tcW w:w="283" w:type="pct"/>
            <w:gridSpan w:val="2"/>
          </w:tcPr>
          <w:p w14:paraId="4DF29301"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6DFE7151"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554E161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72752" w14:paraId="13518436"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5A913B2" w14:textId="77777777" w:rsidR="00E72752" w:rsidRPr="001F62C8" w:rsidRDefault="00E72752" w:rsidP="001F62C8">
            <w:pPr>
              <w:rPr>
                <w:b w:val="0"/>
                <w:bCs w:val="0"/>
              </w:rPr>
            </w:pPr>
            <w:r w:rsidRPr="001F62C8">
              <w:rPr>
                <w:b w:val="0"/>
                <w:bCs w:val="0"/>
              </w:rPr>
              <w:t xml:space="preserve">Check that trust income has been fully distributed to beneficiaries so that all net income of the trust is assessed to beneficiaries. </w:t>
            </w:r>
          </w:p>
          <w:p w14:paraId="72658853" w14:textId="04A205DE" w:rsidR="00E72752" w:rsidRDefault="00E72752" w:rsidP="001F62C8">
            <w:r w:rsidRPr="001F62C8">
              <w:rPr>
                <w:b w:val="0"/>
                <w:bCs w:val="0"/>
              </w:rPr>
              <w:t xml:space="preserve">If not, section 99A </w:t>
            </w:r>
            <w:r w:rsidR="00F91310">
              <w:rPr>
                <w:b w:val="0"/>
                <w:bCs w:val="0"/>
              </w:rPr>
              <w:t xml:space="preserve">of the ITAA 1936 </w:t>
            </w:r>
            <w:r w:rsidRPr="001F62C8">
              <w:rPr>
                <w:b w:val="0"/>
                <w:bCs w:val="0"/>
              </w:rPr>
              <w:t>will usually apply to tax the trustee at the effective highest marginal tax rate on any net income which is not assessed to beneficiaries, which is currently 47% (including Medicare levy) where no beneficiary is presently entitled to trust income.</w:t>
            </w:r>
            <w:r>
              <w:t xml:space="preserve">  </w:t>
            </w:r>
          </w:p>
        </w:tc>
        <w:tc>
          <w:tcPr>
            <w:tcW w:w="0" w:type="pct"/>
            <w:gridSpan w:val="2"/>
            <w:shd w:val="clear" w:color="auto" w:fill="auto"/>
          </w:tcPr>
          <w:p w14:paraId="3C2BD150"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7809B8F5"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28099979"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6B0C46CC" w14:textId="77777777" w:rsidTr="00A75412">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949C982" w14:textId="77777777" w:rsidR="00E72752" w:rsidRPr="001F62C8" w:rsidRDefault="00E72752" w:rsidP="001F62C8">
            <w:pPr>
              <w:rPr>
                <w:b w:val="0"/>
                <w:bCs w:val="0"/>
              </w:rPr>
            </w:pPr>
            <w:r w:rsidRPr="001F62C8">
              <w:rPr>
                <w:b w:val="0"/>
                <w:bCs w:val="0"/>
              </w:rPr>
              <w:t xml:space="preserve">Check whether a beneficiary has been made presently entitled to trust income due to a reimbursement agreement with a third party. </w:t>
            </w:r>
          </w:p>
          <w:p w14:paraId="2DF3CD85" w14:textId="5C2F34D2" w:rsidR="00E72752" w:rsidRPr="001F62C8" w:rsidRDefault="00E72752" w:rsidP="001F62C8">
            <w:pPr>
              <w:rPr>
                <w:b w:val="0"/>
                <w:bCs w:val="0"/>
              </w:rPr>
            </w:pPr>
            <w:r w:rsidRPr="001F62C8">
              <w:rPr>
                <w:b w:val="0"/>
                <w:bCs w:val="0"/>
              </w:rPr>
              <w:t xml:space="preserve">If so, section 100A of the </w:t>
            </w:r>
            <w:r w:rsidRPr="00A75412">
              <w:rPr>
                <w:iCs/>
              </w:rPr>
              <w:t>ITAA 1936</w:t>
            </w:r>
            <w:r w:rsidRPr="00F91310">
              <w:rPr>
                <w:b w:val="0"/>
                <w:bCs w:val="0"/>
                <w:iCs/>
              </w:rPr>
              <w:t xml:space="preserve"> </w:t>
            </w:r>
            <w:r w:rsidRPr="001F62C8">
              <w:rPr>
                <w:b w:val="0"/>
                <w:bCs w:val="0"/>
              </w:rPr>
              <w:t>may deem a beneficiary not to be presently entitled and the trustee will be assessed on the net income as the effective highest marginal tax rate which is currently 47%. If a tax-exempt entity is being made presently entitled to a proportion of trust income, the trustee should ensure that a similar proportion of the net income (</w:t>
            </w:r>
            <w:proofErr w:type="gramStart"/>
            <w:r w:rsidRPr="001F62C8">
              <w:rPr>
                <w:b w:val="0"/>
                <w:bCs w:val="0"/>
              </w:rPr>
              <w:t>i.e.</w:t>
            </w:r>
            <w:proofErr w:type="gramEnd"/>
            <w:r w:rsidRPr="001F62C8">
              <w:rPr>
                <w:b w:val="0"/>
                <w:bCs w:val="0"/>
              </w:rPr>
              <w:t xml:space="preserve"> taxable income) is attributed to the entitlement.</w:t>
            </w:r>
          </w:p>
        </w:tc>
        <w:tc>
          <w:tcPr>
            <w:tcW w:w="0" w:type="pct"/>
            <w:gridSpan w:val="2"/>
            <w:shd w:val="clear" w:color="auto" w:fill="auto"/>
          </w:tcPr>
          <w:p w14:paraId="7D20434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4"/>
            <w:shd w:val="clear" w:color="auto" w:fill="auto"/>
          </w:tcPr>
          <w:p w14:paraId="59C0E995"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shd w:val="clear" w:color="auto" w:fill="auto"/>
          </w:tcPr>
          <w:p w14:paraId="58CDD25E"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056A8" w14:paraId="50E8EDBE"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2616AEF3" w14:textId="09ED6803" w:rsidR="00412D05" w:rsidRPr="001F62C8" w:rsidRDefault="009056A8" w:rsidP="001F62C8">
            <w:r w:rsidRPr="001F62C8">
              <w:rPr>
                <w:b w:val="0"/>
                <w:bCs w:val="0"/>
              </w:rPr>
              <w:t xml:space="preserve">If the tax-exempt entity has not received a payment in respect of their entitlement within two months of the end of the year, the trustee should ensure that the tax-exempt beneficiary is notified of this entitlement in writing. If there is a mismatch between the proportion of trust income compared to the proportion of net income, or if the trustee fails to notify the tax-exempt entity of their entitlement, then sections 100AA and 100AB of </w:t>
            </w:r>
            <w:r w:rsidRPr="00376FD2">
              <w:rPr>
                <w:b w:val="0"/>
                <w:bCs w:val="0"/>
              </w:rPr>
              <w:t xml:space="preserve">the </w:t>
            </w:r>
            <w:r w:rsidRPr="00A75412">
              <w:rPr>
                <w:iCs/>
              </w:rPr>
              <w:t>ITAA 1936</w:t>
            </w:r>
            <w:r w:rsidRPr="001F62C8">
              <w:rPr>
                <w:b w:val="0"/>
                <w:bCs w:val="0"/>
              </w:rPr>
              <w:t xml:space="preserve"> may deem the tax-exempt entity to not be presently entitled to the income of the trust estate. The trustee will therefore pay tax on net income at the effective highest marginal rate being currently 47% (including Medicare levy).</w:t>
            </w:r>
          </w:p>
        </w:tc>
        <w:tc>
          <w:tcPr>
            <w:tcW w:w="0" w:type="pct"/>
            <w:gridSpan w:val="2"/>
            <w:shd w:val="clear" w:color="auto" w:fill="auto"/>
          </w:tcPr>
          <w:p w14:paraId="4F426E21" w14:textId="77777777" w:rsidR="009056A8" w:rsidRDefault="009056A8"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4287B743" w14:textId="77777777" w:rsidR="009056A8" w:rsidRDefault="009056A8"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6B8E65EC" w14:textId="77777777" w:rsidR="009056A8" w:rsidRDefault="009056A8"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470998E6" w14:textId="77777777" w:rsidTr="001F62C8">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5104FA77" w14:textId="77777777" w:rsidR="001F62C8" w:rsidRPr="001F62C8" w:rsidRDefault="001F62C8" w:rsidP="001F62C8">
            <w:pPr>
              <w:pStyle w:val="Tableheading"/>
              <w:keepNext/>
              <w:rPr>
                <w:b/>
                <w:bCs w:val="0"/>
                <w:color w:val="FFFFFF" w:themeColor="background1"/>
                <w:sz w:val="18"/>
                <w:szCs w:val="18"/>
              </w:rPr>
            </w:pPr>
            <w:r w:rsidRPr="001F62C8">
              <w:rPr>
                <w:b/>
                <w:bCs w:val="0"/>
                <w:color w:val="FFFFFF" w:themeColor="background1"/>
                <w:sz w:val="18"/>
                <w:szCs w:val="18"/>
              </w:rPr>
              <w:t>TRUSTEE UNPAID PRESENT ENTITLEMENTS OWING TO COMPANIES</w:t>
            </w:r>
          </w:p>
        </w:tc>
      </w:tr>
      <w:tr w:rsidR="001F62C8" w14:paraId="334B8952"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63B7816" w14:textId="77777777" w:rsidR="001F62C8" w:rsidRPr="001F62C8" w:rsidRDefault="001F62C8" w:rsidP="001F62C8">
            <w:pPr>
              <w:rPr>
                <w:b w:val="0"/>
                <w:bCs w:val="0"/>
              </w:rPr>
            </w:pPr>
            <w:r w:rsidRPr="001F62C8">
              <w:rPr>
                <w:b w:val="0"/>
                <w:bCs w:val="0"/>
              </w:rPr>
              <w:t xml:space="preserve">Consider whether the trust has a post 16 December 2009 Unpaid Present Entitlement (UPE) owing by a trust to a company which is part of the same family group. </w:t>
            </w:r>
          </w:p>
          <w:p w14:paraId="78565577" w14:textId="7414D7BC" w:rsidR="001F62C8" w:rsidRDefault="001F62C8" w:rsidP="001F62C8">
            <w:r w:rsidRPr="001F62C8">
              <w:rPr>
                <w:b w:val="0"/>
                <w:bCs w:val="0"/>
              </w:rPr>
              <w:t xml:space="preserve">In addition to the section 100A developments, the Commissioner has also issued a determination in relation to Division 7A (TD </w:t>
            </w:r>
            <w:r w:rsidR="00A81E86">
              <w:rPr>
                <w:b w:val="0"/>
                <w:bCs w:val="0"/>
              </w:rPr>
              <w:t>2022/11</w:t>
            </w:r>
            <w:r w:rsidRPr="001F62C8">
              <w:rPr>
                <w:b w:val="0"/>
                <w:bCs w:val="0"/>
              </w:rPr>
              <w:t xml:space="preserve">: when will an unpaid present entitlement or amount held on sub-trust become the provision of financial accommodation). </w:t>
            </w:r>
            <w:r w:rsidR="008425B0">
              <w:rPr>
                <w:b w:val="0"/>
                <w:bCs w:val="0"/>
              </w:rPr>
              <w:t>F</w:t>
            </w:r>
            <w:r w:rsidR="00940D3D">
              <w:rPr>
                <w:b w:val="0"/>
                <w:bCs w:val="0"/>
              </w:rPr>
              <w:t>rom 1 July 2022</w:t>
            </w:r>
            <w:r w:rsidR="008425B0">
              <w:rPr>
                <w:b w:val="0"/>
                <w:bCs w:val="0"/>
              </w:rPr>
              <w:t xml:space="preserve">, the Commissioner will </w:t>
            </w:r>
            <w:r w:rsidR="000D0492">
              <w:rPr>
                <w:b w:val="0"/>
                <w:bCs w:val="0"/>
              </w:rPr>
              <w:t>deem</w:t>
            </w:r>
            <w:r w:rsidR="00D42FB6">
              <w:rPr>
                <w:b w:val="0"/>
                <w:bCs w:val="0"/>
              </w:rPr>
              <w:t xml:space="preserve"> </w:t>
            </w:r>
            <w:r w:rsidRPr="001F62C8">
              <w:rPr>
                <w:b w:val="0"/>
                <w:bCs w:val="0"/>
              </w:rPr>
              <w:t xml:space="preserve">unpaid trust distributions owing to a company beneficiary </w:t>
            </w:r>
            <w:r w:rsidR="000D0492">
              <w:rPr>
                <w:b w:val="0"/>
                <w:bCs w:val="0"/>
              </w:rPr>
              <w:t>not to be</w:t>
            </w:r>
            <w:r w:rsidR="00D42FB6">
              <w:rPr>
                <w:b w:val="0"/>
                <w:bCs w:val="0"/>
              </w:rPr>
              <w:t xml:space="preserve"> deemed </w:t>
            </w:r>
            <w:r w:rsidR="009D34F3">
              <w:rPr>
                <w:b w:val="0"/>
                <w:bCs w:val="0"/>
              </w:rPr>
              <w:t xml:space="preserve">as a dividend if the financial accommodation is subject to </w:t>
            </w:r>
            <w:r w:rsidR="008E0514">
              <w:rPr>
                <w:b w:val="0"/>
                <w:bCs w:val="0"/>
              </w:rPr>
              <w:t xml:space="preserve">a </w:t>
            </w:r>
            <w:r w:rsidR="009D34F3">
              <w:rPr>
                <w:b w:val="0"/>
                <w:bCs w:val="0"/>
              </w:rPr>
              <w:t xml:space="preserve">complying loan </w:t>
            </w:r>
            <w:r w:rsidR="008E0514">
              <w:rPr>
                <w:b w:val="0"/>
                <w:bCs w:val="0"/>
              </w:rPr>
              <w:t xml:space="preserve">agreement meeting criteria on interest rate and term as set out in section 109N of the </w:t>
            </w:r>
            <w:r w:rsidR="008E0514" w:rsidRPr="00A75412">
              <w:t>ITAA</w:t>
            </w:r>
            <w:r w:rsidR="00B35364" w:rsidRPr="00A75412">
              <w:t xml:space="preserve"> 1936</w:t>
            </w:r>
            <w:r w:rsidR="00B35364">
              <w:rPr>
                <w:b w:val="0"/>
                <w:bCs w:val="0"/>
              </w:rPr>
              <w:t>.</w:t>
            </w:r>
          </w:p>
          <w:p w14:paraId="167E97B9" w14:textId="77777777" w:rsidR="003C6BF1" w:rsidRPr="001F62C8" w:rsidRDefault="003C6BF1" w:rsidP="003C6BF1">
            <w:pPr>
              <w:rPr>
                <w:b w:val="0"/>
                <w:bCs w:val="0"/>
                <w:szCs w:val="18"/>
              </w:rPr>
            </w:pPr>
            <w:r w:rsidRPr="001F62C8">
              <w:rPr>
                <w:b w:val="0"/>
                <w:bCs w:val="0"/>
                <w:szCs w:val="18"/>
              </w:rPr>
              <w:t>Where the 202</w:t>
            </w:r>
            <w:r>
              <w:rPr>
                <w:b w:val="0"/>
                <w:bCs w:val="0"/>
                <w:szCs w:val="18"/>
              </w:rPr>
              <w:t>4</w:t>
            </w:r>
            <w:r w:rsidRPr="001F62C8">
              <w:rPr>
                <w:b w:val="0"/>
                <w:bCs w:val="0"/>
                <w:szCs w:val="18"/>
              </w:rPr>
              <w:t xml:space="preserve"> UPE has not been put on a sub-trust the Commissioner considers that this UPE will be deemed to be a loan made from the company to the trust on the trust’s lodgement day (likely 15 May 202</w:t>
            </w:r>
            <w:r>
              <w:rPr>
                <w:b w:val="0"/>
                <w:bCs w:val="0"/>
                <w:szCs w:val="18"/>
              </w:rPr>
              <w:t>5</w:t>
            </w:r>
            <w:r w:rsidRPr="001F62C8">
              <w:rPr>
                <w:b w:val="0"/>
                <w:bCs w:val="0"/>
                <w:szCs w:val="18"/>
              </w:rPr>
              <w:t xml:space="preserve">). </w:t>
            </w:r>
            <w:r>
              <w:rPr>
                <w:b w:val="0"/>
                <w:bCs w:val="0"/>
                <w:szCs w:val="18"/>
              </w:rPr>
              <w:t>Where the trustee satisfies the present entitlement by setting side an amount from the main trust fund and holding it on a new separate sub-trust, if the company beneficiary consents to the sub-trustee allowing the use of funds for the benefit of the company beneficiary’s shareholder or their associate, the funds will be deemed to be a financial accommodation.</w:t>
            </w:r>
          </w:p>
          <w:p w14:paraId="6388B29E" w14:textId="77777777" w:rsidR="00AC50DA" w:rsidRDefault="00AC50DA" w:rsidP="001F62C8">
            <w:pPr>
              <w:rPr>
                <w:i/>
                <w:szCs w:val="18"/>
              </w:rPr>
            </w:pPr>
            <w:r w:rsidRPr="001F62C8">
              <w:rPr>
                <w:b w:val="0"/>
                <w:bCs w:val="0"/>
                <w:szCs w:val="18"/>
              </w:rPr>
              <w:t xml:space="preserve">Subject to the relevant company having a distributable surplus, the Division 7A rules need to be considered in relation to this new deemed loan including either the payment of the unpaid distribution or the entry into an excluded loan under section 109N of the </w:t>
            </w:r>
            <w:r w:rsidRPr="008C4117">
              <w:rPr>
                <w:b w:val="0"/>
                <w:bCs w:val="0"/>
                <w:iCs/>
                <w:szCs w:val="18"/>
              </w:rPr>
              <w:t>ITAA 1936</w:t>
            </w:r>
            <w:r w:rsidRPr="001F62C8">
              <w:rPr>
                <w:b w:val="0"/>
                <w:bCs w:val="0"/>
                <w:szCs w:val="18"/>
              </w:rPr>
              <w:t xml:space="preserve">. (See Taxation Ruling </w:t>
            </w:r>
            <w:r>
              <w:rPr>
                <w:b w:val="0"/>
                <w:bCs w:val="0"/>
                <w:szCs w:val="18"/>
              </w:rPr>
              <w:t xml:space="preserve">TD </w:t>
            </w:r>
            <w:r>
              <w:rPr>
                <w:b w:val="0"/>
                <w:bCs w:val="0"/>
                <w:szCs w:val="18"/>
              </w:rPr>
              <w:lastRenderedPageBreak/>
              <w:t>2022/11</w:t>
            </w:r>
            <w:r w:rsidRPr="001F62C8">
              <w:rPr>
                <w:b w:val="0"/>
                <w:bCs w:val="0"/>
                <w:i/>
                <w:szCs w:val="18"/>
              </w:rPr>
              <w:t>)</w:t>
            </w:r>
            <w:r w:rsidRPr="001F62C8">
              <w:rPr>
                <w:b w:val="0"/>
                <w:bCs w:val="0"/>
                <w:szCs w:val="18"/>
              </w:rPr>
              <w:t xml:space="preserve">. Refer to CPA Australia’s </w:t>
            </w:r>
            <w:r w:rsidRPr="0080192A">
              <w:rPr>
                <w:b w:val="0"/>
                <w:bCs w:val="0"/>
                <w:szCs w:val="18"/>
                <w:u w:val="single"/>
              </w:rPr>
              <w:t>Division 7A</w:t>
            </w:r>
            <w:r w:rsidRPr="0080192A">
              <w:rPr>
                <w:b w:val="0"/>
                <w:bCs w:val="0"/>
                <w:szCs w:val="18"/>
              </w:rPr>
              <w:t xml:space="preserve"> and </w:t>
            </w:r>
            <w:r w:rsidRPr="00255330">
              <w:rPr>
                <w:b w:val="0"/>
                <w:bCs w:val="0"/>
                <w:szCs w:val="18"/>
                <w:u w:val="single"/>
              </w:rPr>
              <w:t>Division 7A UPE</w:t>
            </w:r>
            <w:r w:rsidRPr="0080192A">
              <w:rPr>
                <w:b w:val="0"/>
                <w:bCs w:val="0"/>
                <w:szCs w:val="18"/>
                <w:u w:val="single"/>
              </w:rPr>
              <w:t xml:space="preserve"> checklists</w:t>
            </w:r>
            <w:r>
              <w:rPr>
                <w:rStyle w:val="Hyperlink"/>
                <w:szCs w:val="18"/>
              </w:rPr>
              <w:t xml:space="preserve"> </w:t>
            </w:r>
            <w:r w:rsidRPr="0080192A">
              <w:rPr>
                <w:b w:val="0"/>
                <w:bCs w:val="0"/>
              </w:rPr>
              <w:t>i</w:t>
            </w:r>
            <w:r w:rsidRPr="0080192A">
              <w:rPr>
                <w:b w:val="0"/>
                <w:bCs w:val="0"/>
                <w:szCs w:val="18"/>
              </w:rPr>
              <w:t xml:space="preserve">n the </w:t>
            </w:r>
            <w:hyperlink r:id="rId16" w:history="1">
              <w:r w:rsidRPr="00AC50DA">
                <w:rPr>
                  <w:rStyle w:val="Hyperlink"/>
                  <w:szCs w:val="18"/>
                </w:rPr>
                <w:t>t</w:t>
              </w:r>
              <w:r w:rsidRPr="00AC50DA">
                <w:rPr>
                  <w:rStyle w:val="Hyperlink"/>
                  <w:b w:val="0"/>
                  <w:bCs w:val="0"/>
                  <w:szCs w:val="18"/>
                </w:rPr>
                <w:t>ax</w:t>
              </w:r>
              <w:r w:rsidRPr="00DE65C3">
                <w:rPr>
                  <w:rStyle w:val="Hyperlink"/>
                  <w:b w:val="0"/>
                  <w:bCs w:val="0"/>
                  <w:szCs w:val="18"/>
                </w:rPr>
                <w:t xml:space="preserve"> time </w:t>
              </w:r>
              <w:proofErr w:type="spellStart"/>
              <w:r w:rsidRPr="00DE65C3">
                <w:rPr>
                  <w:rStyle w:val="Hyperlink"/>
                  <w:b w:val="0"/>
                  <w:bCs w:val="0"/>
                  <w:szCs w:val="18"/>
                </w:rPr>
                <w:t>year</w:t>
              </w:r>
              <w:r w:rsidRPr="00DE65C3">
                <w:rPr>
                  <w:rStyle w:val="Hyperlink"/>
                  <w:b w:val="0"/>
                  <w:bCs w:val="0"/>
                </w:rPr>
                <w:t xml:space="preserve"> </w:t>
              </w:r>
              <w:r w:rsidRPr="00DE65C3">
                <w:rPr>
                  <w:rStyle w:val="Hyperlink"/>
                  <w:b w:val="0"/>
                  <w:bCs w:val="0"/>
                  <w:szCs w:val="18"/>
                </w:rPr>
                <w:t>end</w:t>
              </w:r>
              <w:proofErr w:type="spellEnd"/>
              <w:r w:rsidRPr="00DE65C3">
                <w:rPr>
                  <w:rStyle w:val="Hyperlink"/>
                  <w:b w:val="0"/>
                  <w:bCs w:val="0"/>
                  <w:szCs w:val="18"/>
                </w:rPr>
                <w:t xml:space="preserve"> resources</w:t>
              </w:r>
            </w:hyperlink>
            <w:r w:rsidRPr="001F62C8">
              <w:rPr>
                <w:b w:val="0"/>
                <w:bCs w:val="0"/>
                <w:szCs w:val="18"/>
              </w:rPr>
              <w:t xml:space="preserve"> for further information</w:t>
            </w:r>
            <w:r w:rsidRPr="001F62C8">
              <w:rPr>
                <w:b w:val="0"/>
                <w:bCs w:val="0"/>
                <w:i/>
                <w:szCs w:val="18"/>
              </w:rPr>
              <w:t>.</w:t>
            </w:r>
          </w:p>
          <w:p w14:paraId="78D4716E" w14:textId="77562525" w:rsidR="00CA13CF" w:rsidRPr="001F62C8" w:rsidRDefault="00137E31" w:rsidP="001F62C8">
            <w:pPr>
              <w:rPr>
                <w:b w:val="0"/>
                <w:bCs w:val="0"/>
              </w:rPr>
            </w:pPr>
            <w:r>
              <w:rPr>
                <w:b w:val="0"/>
                <w:bCs w:val="0"/>
              </w:rPr>
              <w:t xml:space="preserve">It is noted that in </w:t>
            </w:r>
            <w:r w:rsidRPr="00A75412">
              <w:rPr>
                <w:i/>
                <w:iCs/>
              </w:rPr>
              <w:t>Bendel v Commissioner of Taxation</w:t>
            </w:r>
            <w:r w:rsidRPr="006E1945">
              <w:rPr>
                <w:b w:val="0"/>
                <w:bCs w:val="0"/>
              </w:rPr>
              <w:t xml:space="preserve"> [2023</w:t>
            </w:r>
            <w:r>
              <w:rPr>
                <w:b w:val="0"/>
                <w:bCs w:val="0"/>
              </w:rPr>
              <w:t xml:space="preserve">] AATA 3074, the </w:t>
            </w:r>
            <w:r w:rsidR="00DC69C8">
              <w:rPr>
                <w:b w:val="0"/>
                <w:bCs w:val="0"/>
              </w:rPr>
              <w:t>Tribunal held that a UPE arising from an entitlement to income (or capital) of a trust was not a loan for the purposes of section 109</w:t>
            </w:r>
            <w:proofErr w:type="gramStart"/>
            <w:r w:rsidR="00DC69C8">
              <w:rPr>
                <w:b w:val="0"/>
                <w:bCs w:val="0"/>
              </w:rPr>
              <w:t>D(</w:t>
            </w:r>
            <w:proofErr w:type="gramEnd"/>
            <w:r w:rsidR="00DC69C8">
              <w:rPr>
                <w:b w:val="0"/>
                <w:bCs w:val="0"/>
              </w:rPr>
              <w:t>3) of the ITAA 1936</w:t>
            </w:r>
            <w:r w:rsidR="00133C60">
              <w:rPr>
                <w:b w:val="0"/>
                <w:bCs w:val="0"/>
              </w:rPr>
              <w:t xml:space="preserve">, which is in direct contrast with the Commissioner’s administrative position in TD 2022/11 (which applies from 1 July 2022 onwards). </w:t>
            </w:r>
            <w:r w:rsidR="00574A9E">
              <w:rPr>
                <w:b w:val="0"/>
                <w:bCs w:val="0"/>
              </w:rPr>
              <w:t>As the case is on appeal, the Commissioner released an interim decision impact statement on 15 November 2023 stating that he will continue to take the position in TD 2022/11</w:t>
            </w:r>
            <w:r w:rsidR="00DC69C8">
              <w:rPr>
                <w:b w:val="0"/>
                <w:bCs w:val="0"/>
              </w:rPr>
              <w:t xml:space="preserve"> </w:t>
            </w:r>
            <w:r w:rsidR="00574A9E">
              <w:rPr>
                <w:b w:val="0"/>
                <w:bCs w:val="0"/>
              </w:rPr>
              <w:t>until the appeal process concludes.</w:t>
            </w:r>
            <w:r w:rsidR="00BB24BC">
              <w:rPr>
                <w:b w:val="0"/>
                <w:bCs w:val="0"/>
              </w:rPr>
              <w:t xml:space="preserve"> </w:t>
            </w:r>
            <w:r w:rsidR="00BB24BC" w:rsidRPr="00BB24BC">
              <w:rPr>
                <w:b w:val="0"/>
                <w:bCs w:val="0"/>
              </w:rPr>
              <w:t>The case is to be listed before the Full Federal Court no earlier than August 2024.</w:t>
            </w:r>
          </w:p>
        </w:tc>
        <w:tc>
          <w:tcPr>
            <w:tcW w:w="0" w:type="pct"/>
            <w:gridSpan w:val="2"/>
            <w:shd w:val="clear" w:color="auto" w:fill="auto"/>
          </w:tcPr>
          <w:p w14:paraId="091073BD"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5734C6FE"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1EC2D3FE"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11EC9F01"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0E40593F" w14:textId="77777777" w:rsidR="001F62C8" w:rsidRPr="001F62C8" w:rsidRDefault="001F62C8" w:rsidP="001F62C8">
            <w:pPr>
              <w:rPr>
                <w:b w:val="0"/>
                <w:bCs w:val="0"/>
                <w:szCs w:val="18"/>
              </w:rPr>
            </w:pPr>
            <w:r w:rsidRPr="001F62C8">
              <w:rPr>
                <w:b w:val="0"/>
                <w:bCs w:val="0"/>
                <w:szCs w:val="18"/>
              </w:rPr>
              <w:t xml:space="preserve">Consider whether the trust has a pre-16 December 2009 UPE owing to a company. </w:t>
            </w:r>
          </w:p>
          <w:p w14:paraId="55AC8F2A" w14:textId="77777777" w:rsidR="001F62C8" w:rsidRPr="001F62C8" w:rsidRDefault="001F62C8" w:rsidP="001F62C8">
            <w:pPr>
              <w:rPr>
                <w:b w:val="0"/>
                <w:bCs w:val="0"/>
                <w:szCs w:val="18"/>
              </w:rPr>
            </w:pPr>
            <w:r w:rsidRPr="001F62C8">
              <w:rPr>
                <w:b w:val="0"/>
                <w:bCs w:val="0"/>
                <w:szCs w:val="18"/>
              </w:rPr>
              <w:t>If so, to the extent that these have been properly recorded as a UPE (and not a loan), then ensure that these UPE’s are not disturbed. These UPE’s should not generally be subject to deemed loan treatment at this stage, however it is important to note that there have been announcements regarding significant changes to Division 7A.</w:t>
            </w:r>
          </w:p>
        </w:tc>
        <w:tc>
          <w:tcPr>
            <w:tcW w:w="283" w:type="pct"/>
            <w:gridSpan w:val="2"/>
          </w:tcPr>
          <w:p w14:paraId="57FD30D2"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2746DE14"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64C26D6B"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1FFD3D6F"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3D9CA9E1" w14:textId="0B488166" w:rsidR="001F62C8" w:rsidRPr="001F62C8" w:rsidRDefault="001F62C8" w:rsidP="001F62C8">
            <w:pPr>
              <w:rPr>
                <w:b w:val="0"/>
                <w:bCs w:val="0"/>
                <w:szCs w:val="18"/>
              </w:rPr>
            </w:pPr>
            <w:r w:rsidRPr="001F62C8">
              <w:rPr>
                <w:b w:val="0"/>
                <w:bCs w:val="0"/>
                <w:szCs w:val="18"/>
              </w:rPr>
              <w:t>Where the trust has a pre-16 December 2009 UPE</w:t>
            </w:r>
            <w:r w:rsidR="00AC50DA">
              <w:rPr>
                <w:b w:val="0"/>
                <w:bCs w:val="0"/>
                <w:szCs w:val="18"/>
              </w:rPr>
              <w:t xml:space="preserve"> </w:t>
            </w:r>
            <w:r w:rsidRPr="001F62C8">
              <w:rPr>
                <w:b w:val="0"/>
                <w:bCs w:val="0"/>
                <w:szCs w:val="18"/>
              </w:rPr>
              <w:t xml:space="preserve">or has put a post-16 December 2009 UPE on sub-trust terms, you should consider the application of Subdivision EA of Division 7A of the </w:t>
            </w:r>
            <w:r w:rsidRPr="00A75412">
              <w:rPr>
                <w:iCs/>
                <w:szCs w:val="18"/>
              </w:rPr>
              <w:t>ITAA 1936</w:t>
            </w:r>
            <w:r w:rsidRPr="001F62C8">
              <w:rPr>
                <w:b w:val="0"/>
                <w:bCs w:val="0"/>
                <w:szCs w:val="18"/>
              </w:rPr>
              <w:t xml:space="preserve"> where the trustee makes certain loans, payments or forgives a debt in favour of shareholders or associates of the private company where there is an unpaid present entitlement owed to the private company. Refer to CPA Australia’s </w:t>
            </w:r>
            <w:r w:rsidRPr="00255330">
              <w:rPr>
                <w:b w:val="0"/>
                <w:bCs w:val="0"/>
                <w:szCs w:val="18"/>
                <w:u w:val="single"/>
              </w:rPr>
              <w:t>Division 7A UPE checklist</w:t>
            </w:r>
            <w:r w:rsidR="00DE65C3">
              <w:rPr>
                <w:b w:val="0"/>
                <w:bCs w:val="0"/>
                <w:szCs w:val="18"/>
                <w:u w:val="single"/>
              </w:rPr>
              <w:t xml:space="preserve"> </w:t>
            </w:r>
            <w:r w:rsidR="00DE65C3" w:rsidRPr="0080192A">
              <w:rPr>
                <w:b w:val="0"/>
                <w:bCs w:val="0"/>
              </w:rPr>
              <w:t>i</w:t>
            </w:r>
            <w:r w:rsidR="00DE65C3" w:rsidRPr="0080192A">
              <w:rPr>
                <w:b w:val="0"/>
                <w:bCs w:val="0"/>
                <w:szCs w:val="18"/>
              </w:rPr>
              <w:t>n the</w:t>
            </w:r>
            <w:r w:rsidR="00DE65C3" w:rsidRPr="00AC50DA">
              <w:rPr>
                <w:b w:val="0"/>
                <w:bCs w:val="0"/>
                <w:szCs w:val="18"/>
              </w:rPr>
              <w:t xml:space="preserve"> </w:t>
            </w:r>
            <w:hyperlink r:id="rId17" w:history="1">
              <w:r w:rsidR="00DE65C3" w:rsidRPr="00AC50DA">
                <w:rPr>
                  <w:rStyle w:val="Hyperlink"/>
                  <w:szCs w:val="18"/>
                </w:rPr>
                <w:t>t</w:t>
              </w:r>
              <w:r w:rsidR="00DE65C3" w:rsidRPr="00AC50DA">
                <w:rPr>
                  <w:rStyle w:val="Hyperlink"/>
                  <w:b w:val="0"/>
                  <w:bCs w:val="0"/>
                  <w:szCs w:val="18"/>
                </w:rPr>
                <w:t xml:space="preserve">ax time </w:t>
              </w:r>
              <w:proofErr w:type="spellStart"/>
              <w:r w:rsidR="00DE65C3" w:rsidRPr="00AC50DA">
                <w:rPr>
                  <w:rStyle w:val="Hyperlink"/>
                  <w:b w:val="0"/>
                  <w:bCs w:val="0"/>
                  <w:szCs w:val="18"/>
                </w:rPr>
                <w:t>year end</w:t>
              </w:r>
              <w:proofErr w:type="spellEnd"/>
              <w:r w:rsidR="00DE65C3" w:rsidRPr="00AC50DA">
                <w:rPr>
                  <w:rStyle w:val="Hyperlink"/>
                  <w:b w:val="0"/>
                  <w:bCs w:val="0"/>
                  <w:szCs w:val="18"/>
                </w:rPr>
                <w:t xml:space="preserve"> resources</w:t>
              </w:r>
            </w:hyperlink>
            <w:r w:rsidRPr="001F62C8">
              <w:rPr>
                <w:b w:val="0"/>
                <w:bCs w:val="0"/>
                <w:szCs w:val="18"/>
              </w:rPr>
              <w:t xml:space="preserve"> for further information</w:t>
            </w:r>
            <w:r w:rsidRPr="001F62C8">
              <w:rPr>
                <w:b w:val="0"/>
                <w:bCs w:val="0"/>
                <w:i/>
                <w:szCs w:val="18"/>
              </w:rPr>
              <w:t>.</w:t>
            </w:r>
          </w:p>
        </w:tc>
        <w:tc>
          <w:tcPr>
            <w:tcW w:w="0" w:type="pct"/>
            <w:gridSpan w:val="2"/>
            <w:shd w:val="clear" w:color="auto" w:fill="auto"/>
          </w:tcPr>
          <w:p w14:paraId="3E2DDF46"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00DB65A9"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7BD7C714" w14:textId="77777777" w:rsidR="001F62C8" w:rsidRDefault="001F62C8" w:rsidP="001F62C8">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100D7EDF"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0083C60C" w14:textId="77777777" w:rsidR="001F62C8" w:rsidRPr="001F62C8" w:rsidRDefault="001F62C8" w:rsidP="001F62C8">
            <w:pPr>
              <w:rPr>
                <w:b w:val="0"/>
                <w:bCs w:val="0"/>
              </w:rPr>
            </w:pPr>
            <w:r w:rsidRPr="001F62C8">
              <w:rPr>
                <w:b w:val="0"/>
                <w:bCs w:val="0"/>
              </w:rPr>
              <w:t xml:space="preserve">Consider the implications of the interposed entity rules in Subdivision EB of Division 7A of the </w:t>
            </w:r>
            <w:r w:rsidRPr="00A75412">
              <w:rPr>
                <w:iCs/>
              </w:rPr>
              <w:t>ITAA 1936</w:t>
            </w:r>
            <w:r w:rsidRPr="001F62C8">
              <w:rPr>
                <w:b w:val="0"/>
                <w:bCs w:val="0"/>
                <w:i/>
              </w:rPr>
              <w:t xml:space="preserve"> </w:t>
            </w:r>
            <w:r w:rsidRPr="001F62C8">
              <w:rPr>
                <w:b w:val="0"/>
                <w:bCs w:val="0"/>
              </w:rPr>
              <w:t>where:</w:t>
            </w:r>
          </w:p>
          <w:p w14:paraId="5A51696A" w14:textId="77777777" w:rsidR="001F62C8" w:rsidRPr="001F62C8" w:rsidRDefault="001F62C8" w:rsidP="00A75412">
            <w:pPr>
              <w:pStyle w:val="ListBullet"/>
              <w:numPr>
                <w:ilvl w:val="0"/>
                <w:numId w:val="70"/>
              </w:numPr>
              <w:rPr>
                <w:b w:val="0"/>
                <w:bCs w:val="0"/>
              </w:rPr>
            </w:pPr>
            <w:r w:rsidRPr="001F62C8">
              <w:rPr>
                <w:b w:val="0"/>
                <w:bCs w:val="0"/>
                <w:lang w:val="en-US"/>
              </w:rPr>
              <w:t xml:space="preserve">An </w:t>
            </w:r>
            <w:r w:rsidRPr="001F62C8">
              <w:rPr>
                <w:b w:val="0"/>
                <w:bCs w:val="0"/>
              </w:rPr>
              <w:t>entity</w:t>
            </w:r>
            <w:r w:rsidRPr="001F62C8">
              <w:rPr>
                <w:b w:val="0"/>
                <w:bCs w:val="0"/>
                <w:lang w:val="en-US"/>
              </w:rPr>
              <w:t xml:space="preserve"> has been interposed between the trustee with the UPE owed to a private company beneficiary and the shareholder or associate (</w:t>
            </w:r>
            <w:proofErr w:type="gramStart"/>
            <w:r w:rsidRPr="001F62C8">
              <w:rPr>
                <w:b w:val="0"/>
                <w:bCs w:val="0"/>
                <w:lang w:val="en-US"/>
              </w:rPr>
              <w:t>i.e.</w:t>
            </w:r>
            <w:proofErr w:type="gramEnd"/>
            <w:r w:rsidRPr="001F62C8">
              <w:rPr>
                <w:b w:val="0"/>
                <w:bCs w:val="0"/>
                <w:lang w:val="en-US"/>
              </w:rPr>
              <w:t xml:space="preserve"> the target entity) receiving a payment or loan from that trust or</w:t>
            </w:r>
          </w:p>
          <w:p w14:paraId="1CE607E4" w14:textId="105E735B" w:rsidR="001F62C8" w:rsidRPr="001F62C8" w:rsidRDefault="001F62C8" w:rsidP="00A75412">
            <w:pPr>
              <w:pStyle w:val="ListBullet"/>
              <w:numPr>
                <w:ilvl w:val="0"/>
                <w:numId w:val="70"/>
              </w:numPr>
              <w:rPr>
                <w:b w:val="0"/>
                <w:bCs w:val="0"/>
              </w:rPr>
            </w:pPr>
            <w:r w:rsidRPr="001F62C8">
              <w:rPr>
                <w:b w:val="0"/>
                <w:bCs w:val="0"/>
              </w:rPr>
              <w:t>One</w:t>
            </w:r>
            <w:r w:rsidRPr="001F62C8">
              <w:rPr>
                <w:rFonts w:cs="Calibri"/>
                <w:b w:val="0"/>
                <w:bCs w:val="0"/>
                <w:lang w:val="en-US"/>
              </w:rPr>
              <w:t xml:space="preserve"> or more trusts has been interposed between the trust (</w:t>
            </w:r>
            <w:proofErr w:type="gramStart"/>
            <w:r w:rsidRPr="001F62C8">
              <w:rPr>
                <w:rFonts w:cs="Calibri"/>
                <w:b w:val="0"/>
                <w:bCs w:val="0"/>
                <w:lang w:val="en-US"/>
              </w:rPr>
              <w:t>i.e.</w:t>
            </w:r>
            <w:proofErr w:type="gramEnd"/>
            <w:r w:rsidRPr="001F62C8">
              <w:rPr>
                <w:rFonts w:cs="Calibri"/>
                <w:b w:val="0"/>
                <w:bCs w:val="0"/>
                <w:lang w:val="en-US"/>
              </w:rPr>
              <w:t xml:space="preserve"> target trust) which is making the payment, loan or debt forgiveness to the shareholder or associate and the private company beneficiary which is, or becomes, entitled to a UPE.</w:t>
            </w:r>
          </w:p>
          <w:p w14:paraId="0045E40D" w14:textId="6936E406" w:rsidR="001F62C8" w:rsidRDefault="00851CF5" w:rsidP="00383AC5">
            <w:pPr>
              <w:pStyle w:val="ListBullet"/>
              <w:ind w:left="0" w:firstLine="0"/>
            </w:pPr>
            <w:r>
              <w:rPr>
                <w:b w:val="0"/>
                <w:bCs w:val="0"/>
              </w:rPr>
              <w:t xml:space="preserve">As stated in the Taxpayer Alert TA 2023/1, </w:t>
            </w:r>
            <w:r w:rsidR="004B5BB5">
              <w:rPr>
                <w:b w:val="0"/>
                <w:bCs w:val="0"/>
              </w:rPr>
              <w:t xml:space="preserve">ATO is currently reviewing arrangements where </w:t>
            </w:r>
            <w:r w:rsidR="00B06C77">
              <w:rPr>
                <w:b w:val="0"/>
                <w:bCs w:val="0"/>
              </w:rPr>
              <w:t xml:space="preserve">profits </w:t>
            </w:r>
            <w:r w:rsidR="00867D80">
              <w:rPr>
                <w:b w:val="0"/>
                <w:bCs w:val="0"/>
              </w:rPr>
              <w:t>are passed to individual</w:t>
            </w:r>
            <w:r w:rsidR="00914474">
              <w:rPr>
                <w:b w:val="0"/>
                <w:bCs w:val="0"/>
              </w:rPr>
              <w:t xml:space="preserve"> shareholders</w:t>
            </w:r>
            <w:r w:rsidR="00867D80">
              <w:rPr>
                <w:b w:val="0"/>
                <w:bCs w:val="0"/>
              </w:rPr>
              <w:t xml:space="preserve"> through an interposed holding company </w:t>
            </w:r>
            <w:r w:rsidR="005046EE">
              <w:rPr>
                <w:b w:val="0"/>
                <w:bCs w:val="0"/>
              </w:rPr>
              <w:t>and CGT roll-over is applied</w:t>
            </w:r>
            <w:r w:rsidR="00A73BF0">
              <w:rPr>
                <w:b w:val="0"/>
                <w:bCs w:val="0"/>
              </w:rPr>
              <w:t xml:space="preserve">, enabling the shareholders to </w:t>
            </w:r>
            <w:r w:rsidR="009D66B3">
              <w:rPr>
                <w:b w:val="0"/>
                <w:bCs w:val="0"/>
              </w:rPr>
              <w:t>circumvent the operation of Division 7A</w:t>
            </w:r>
            <w:r w:rsidR="00826CF6">
              <w:rPr>
                <w:b w:val="0"/>
                <w:bCs w:val="0"/>
              </w:rPr>
              <w:t>.</w:t>
            </w:r>
          </w:p>
        </w:tc>
        <w:tc>
          <w:tcPr>
            <w:tcW w:w="283" w:type="pct"/>
            <w:gridSpan w:val="2"/>
          </w:tcPr>
          <w:p w14:paraId="144A6BD1"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0616E109"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36C3C947" w14:textId="77777777" w:rsidR="001F62C8" w:rsidRDefault="001F62C8" w:rsidP="001F62C8">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656E2707" w14:textId="77777777" w:rsidTr="001F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70C8E10A" w14:textId="77777777" w:rsidR="001F62C8" w:rsidRPr="001F62C8" w:rsidRDefault="001F62C8" w:rsidP="001F62C8">
            <w:pPr>
              <w:pStyle w:val="Tableheading"/>
              <w:rPr>
                <w:b/>
                <w:bCs w:val="0"/>
                <w:color w:val="FFFFFF" w:themeColor="background1"/>
                <w:sz w:val="18"/>
                <w:szCs w:val="18"/>
              </w:rPr>
            </w:pPr>
            <w:r w:rsidRPr="001F62C8">
              <w:rPr>
                <w:b/>
                <w:bCs w:val="0"/>
                <w:color w:val="FFFFFF" w:themeColor="background1"/>
                <w:sz w:val="18"/>
                <w:szCs w:val="18"/>
              </w:rPr>
              <w:t xml:space="preserve">CLOSELY HELD AND FAMILY TRUSTS – TFN WITHHOLDING TAX </w:t>
            </w:r>
          </w:p>
        </w:tc>
      </w:tr>
      <w:tr w:rsidR="00D8293F" w14:paraId="6D19566C" w14:textId="77777777" w:rsidTr="002D7D14">
        <w:tc>
          <w:tcPr>
            <w:cnfStyle w:val="001000000000" w:firstRow="0" w:lastRow="0" w:firstColumn="1" w:lastColumn="0" w:oddVBand="0" w:evenVBand="0" w:oddHBand="0" w:evenHBand="0" w:firstRowFirstColumn="0" w:firstRowLastColumn="0" w:lastRowFirstColumn="0" w:lastRowLastColumn="0"/>
            <w:tcW w:w="4115" w:type="pct"/>
          </w:tcPr>
          <w:p w14:paraId="0FC62B26" w14:textId="77777777" w:rsidR="00D8293F" w:rsidRPr="001F62C8" w:rsidRDefault="00D8293F" w:rsidP="00D8293F">
            <w:pPr>
              <w:spacing w:before="100" w:after="100"/>
              <w:rPr>
                <w:b w:val="0"/>
                <w:bCs w:val="0"/>
                <w:szCs w:val="18"/>
              </w:rPr>
            </w:pPr>
            <w:r w:rsidRPr="001F62C8">
              <w:rPr>
                <w:b w:val="0"/>
                <w:bCs w:val="0"/>
                <w:szCs w:val="18"/>
              </w:rPr>
              <w:t xml:space="preserve">Has the trustee obtained the TFNs of all beneficiaries prior to making distributions of ordinary or statutory income or upon such beneficiaries becoming presently entitled to a share of the income of the trust estate? </w:t>
            </w:r>
          </w:p>
          <w:p w14:paraId="4071FA17" w14:textId="6D57384E" w:rsidR="00D8293F" w:rsidRPr="001F62C8" w:rsidRDefault="00D8293F" w:rsidP="00D8293F">
            <w:pPr>
              <w:spacing w:before="100" w:after="100"/>
              <w:rPr>
                <w:b w:val="0"/>
                <w:bCs w:val="0"/>
                <w:szCs w:val="18"/>
              </w:rPr>
            </w:pPr>
            <w:r w:rsidRPr="001F62C8">
              <w:rPr>
                <w:b w:val="0"/>
                <w:bCs w:val="0"/>
                <w:szCs w:val="18"/>
              </w:rPr>
              <w:t>No disclosure is required for beneficiaries that are under a legal disability (</w:t>
            </w:r>
            <w:proofErr w:type="gramStart"/>
            <w:r w:rsidRPr="001F62C8">
              <w:rPr>
                <w:b w:val="0"/>
                <w:bCs w:val="0"/>
                <w:szCs w:val="18"/>
              </w:rPr>
              <w:t>e.g.</w:t>
            </w:r>
            <w:proofErr w:type="gramEnd"/>
            <w:r w:rsidRPr="001F62C8">
              <w:rPr>
                <w:b w:val="0"/>
                <w:bCs w:val="0"/>
                <w:szCs w:val="18"/>
              </w:rPr>
              <w:t xml:space="preserve"> minors), non-residents or tax-exempt entities. </w:t>
            </w:r>
            <w:r w:rsidR="00274FFF">
              <w:rPr>
                <w:b w:val="0"/>
                <w:bCs w:val="0"/>
                <w:szCs w:val="18"/>
              </w:rPr>
              <w:t>The</w:t>
            </w:r>
            <w:r w:rsidRPr="001F62C8">
              <w:rPr>
                <w:b w:val="0"/>
                <w:bCs w:val="0"/>
                <w:szCs w:val="18"/>
              </w:rPr>
              <w:t xml:space="preserve"> measures </w:t>
            </w:r>
            <w:r w:rsidR="00274FFF">
              <w:rPr>
                <w:b w:val="0"/>
                <w:bCs w:val="0"/>
                <w:szCs w:val="18"/>
              </w:rPr>
              <w:t xml:space="preserve">also not </w:t>
            </w:r>
            <w:r w:rsidRPr="001F62C8">
              <w:rPr>
                <w:b w:val="0"/>
                <w:bCs w:val="0"/>
                <w:szCs w:val="18"/>
              </w:rPr>
              <w:t xml:space="preserve">apply to complying superannuation funds, listed trusts, certain deceased </w:t>
            </w:r>
            <w:proofErr w:type="gramStart"/>
            <w:r w:rsidRPr="001F62C8">
              <w:rPr>
                <w:b w:val="0"/>
                <w:bCs w:val="0"/>
                <w:szCs w:val="18"/>
              </w:rPr>
              <w:t>estates</w:t>
            </w:r>
            <w:proofErr w:type="gramEnd"/>
            <w:r w:rsidRPr="001F62C8">
              <w:rPr>
                <w:b w:val="0"/>
                <w:bCs w:val="0"/>
                <w:szCs w:val="18"/>
              </w:rPr>
              <w:t xml:space="preserve"> and trusts which have been subject to the trustee beneficiary reporting rules or family trust distribution tax.     </w:t>
            </w:r>
          </w:p>
          <w:p w14:paraId="6F94216A" w14:textId="77777777" w:rsidR="00D8293F" w:rsidRPr="001F62C8" w:rsidRDefault="00D8293F" w:rsidP="00D8293F">
            <w:pPr>
              <w:spacing w:before="100" w:after="100"/>
              <w:rPr>
                <w:rFonts w:eastAsia="Times New Roman"/>
                <w:b w:val="0"/>
                <w:bCs w:val="0"/>
                <w:szCs w:val="18"/>
                <w:lang w:eastAsia="en-AU"/>
              </w:rPr>
            </w:pPr>
            <w:r w:rsidRPr="001F62C8">
              <w:rPr>
                <w:rFonts w:eastAsia="Times New Roman"/>
                <w:b w:val="0"/>
                <w:bCs w:val="0"/>
                <w:szCs w:val="18"/>
                <w:lang w:eastAsia="en-AU"/>
              </w:rPr>
              <w:t>Where no TFN is quoted before the distribution or present entitlement arises the trustee must withhold tax from any future payments at the effective highest marginal tax rate of 47% unless a TFN is quoted. However, once a trustee has provided a beneficiary’s TFN details to the ATO it will not need to be quoted again. Where a TFN has not been quoted a trustee must:</w:t>
            </w:r>
          </w:p>
          <w:p w14:paraId="20D2D047" w14:textId="77777777" w:rsidR="00D8293F" w:rsidRPr="001F62C8" w:rsidRDefault="00D8293F" w:rsidP="00A75412">
            <w:pPr>
              <w:pStyle w:val="ListBullet"/>
              <w:numPr>
                <w:ilvl w:val="0"/>
                <w:numId w:val="71"/>
              </w:numPr>
              <w:rPr>
                <w:b w:val="0"/>
                <w:bCs w:val="0"/>
              </w:rPr>
            </w:pPr>
            <w:r w:rsidRPr="001F62C8">
              <w:rPr>
                <w:b w:val="0"/>
                <w:bCs w:val="0"/>
              </w:rPr>
              <w:t xml:space="preserve">Lodge an annual TFN withholding report containing details of all withheld amounts by 30 </w:t>
            </w:r>
            <w:proofErr w:type="gramStart"/>
            <w:r w:rsidRPr="001F62C8">
              <w:rPr>
                <w:b w:val="0"/>
                <w:bCs w:val="0"/>
              </w:rPr>
              <w:t>September</w:t>
            </w:r>
            <w:proofErr w:type="gramEnd"/>
          </w:p>
          <w:p w14:paraId="528CF581" w14:textId="77777777" w:rsidR="00D8293F" w:rsidRPr="001F62C8" w:rsidRDefault="00D8293F" w:rsidP="00A75412">
            <w:pPr>
              <w:pStyle w:val="ListBullet"/>
              <w:numPr>
                <w:ilvl w:val="0"/>
                <w:numId w:val="71"/>
              </w:numPr>
              <w:rPr>
                <w:b w:val="0"/>
                <w:bCs w:val="0"/>
              </w:rPr>
            </w:pPr>
            <w:r w:rsidRPr="001F62C8">
              <w:rPr>
                <w:b w:val="0"/>
                <w:bCs w:val="0"/>
              </w:rPr>
              <w:t xml:space="preserve">Provide an annual payment summary to the beneficiary where tax has been </w:t>
            </w:r>
            <w:proofErr w:type="gramStart"/>
            <w:r w:rsidRPr="001F62C8">
              <w:rPr>
                <w:b w:val="0"/>
                <w:bCs w:val="0"/>
              </w:rPr>
              <w:t>withheld</w:t>
            </w:r>
            <w:proofErr w:type="gramEnd"/>
          </w:p>
          <w:p w14:paraId="04B33B2C" w14:textId="77777777" w:rsidR="00D8293F" w:rsidRPr="001F62C8" w:rsidRDefault="00D8293F" w:rsidP="00A75412">
            <w:pPr>
              <w:pStyle w:val="ListBullet"/>
              <w:numPr>
                <w:ilvl w:val="0"/>
                <w:numId w:val="71"/>
              </w:numPr>
              <w:rPr>
                <w:b w:val="0"/>
                <w:bCs w:val="0"/>
              </w:rPr>
            </w:pPr>
            <w:r w:rsidRPr="001F62C8">
              <w:rPr>
                <w:b w:val="0"/>
                <w:bCs w:val="0"/>
              </w:rPr>
              <w:t xml:space="preserve">Register for pay as you go (PAYG) withholding for closely held </w:t>
            </w:r>
            <w:proofErr w:type="gramStart"/>
            <w:r w:rsidRPr="001F62C8">
              <w:rPr>
                <w:b w:val="0"/>
                <w:bCs w:val="0"/>
              </w:rPr>
              <w:t>trusts</w:t>
            </w:r>
            <w:proofErr w:type="gramEnd"/>
          </w:p>
          <w:p w14:paraId="76848442" w14:textId="6AF1AA46" w:rsidR="00D8293F" w:rsidRPr="004F3D08" w:rsidRDefault="00D8293F" w:rsidP="00A75412">
            <w:pPr>
              <w:pStyle w:val="ListBullet"/>
              <w:numPr>
                <w:ilvl w:val="0"/>
                <w:numId w:val="71"/>
              </w:numPr>
              <w:rPr>
                <w:b w:val="0"/>
                <w:bCs w:val="0"/>
                <w:szCs w:val="18"/>
              </w:rPr>
            </w:pPr>
            <w:r w:rsidRPr="004F3D08">
              <w:rPr>
                <w:b w:val="0"/>
                <w:bCs w:val="0"/>
              </w:rPr>
              <w:t>Remit tax withheld to the ATO.</w:t>
            </w:r>
          </w:p>
        </w:tc>
        <w:tc>
          <w:tcPr>
            <w:tcW w:w="283" w:type="pct"/>
            <w:gridSpan w:val="2"/>
          </w:tcPr>
          <w:p w14:paraId="54D2C37F" w14:textId="77777777" w:rsidR="00D8293F" w:rsidRDefault="00D8293F"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34A2D227" w14:textId="77777777" w:rsidR="00D8293F" w:rsidRDefault="00D8293F"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6564F509" w14:textId="77777777" w:rsidR="00D8293F" w:rsidRDefault="00D8293F"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49A9EE04" w14:textId="77777777" w:rsidTr="001F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229BAF89" w14:textId="77777777" w:rsidR="001F62C8" w:rsidRPr="001F62C8" w:rsidRDefault="001F62C8" w:rsidP="001F62C8">
            <w:pPr>
              <w:pStyle w:val="Tableheading"/>
              <w:rPr>
                <w:b/>
                <w:bCs w:val="0"/>
                <w:color w:val="FFFFFF" w:themeColor="background1"/>
                <w:sz w:val="18"/>
                <w:szCs w:val="18"/>
              </w:rPr>
            </w:pPr>
            <w:r w:rsidRPr="001F62C8">
              <w:rPr>
                <w:b/>
                <w:bCs w:val="0"/>
                <w:color w:val="FFFFFF" w:themeColor="background1"/>
                <w:sz w:val="18"/>
                <w:szCs w:val="18"/>
              </w:rPr>
              <w:lastRenderedPageBreak/>
              <w:t xml:space="preserve">FAMILY TRUST ELECTION </w:t>
            </w:r>
          </w:p>
        </w:tc>
      </w:tr>
      <w:tr w:rsidR="001F62C8" w14:paraId="2D821A48" w14:textId="77777777" w:rsidTr="002D7D14">
        <w:tc>
          <w:tcPr>
            <w:cnfStyle w:val="001000000000" w:firstRow="0" w:lastRow="0" w:firstColumn="1" w:lastColumn="0" w:oddVBand="0" w:evenVBand="0" w:oddHBand="0" w:evenHBand="0" w:firstRowFirstColumn="0" w:firstRowLastColumn="0" w:lastRowFirstColumn="0" w:lastRowLastColumn="0"/>
            <w:tcW w:w="4115" w:type="pct"/>
            <w:hideMark/>
          </w:tcPr>
          <w:p w14:paraId="171CE1BA" w14:textId="77777777" w:rsidR="001F62C8" w:rsidRPr="001F62C8" w:rsidRDefault="001F62C8" w:rsidP="001F62C8">
            <w:pPr>
              <w:spacing w:before="100" w:after="100"/>
              <w:rPr>
                <w:b w:val="0"/>
                <w:bCs w:val="0"/>
                <w:szCs w:val="18"/>
              </w:rPr>
            </w:pPr>
            <w:r w:rsidRPr="001F62C8">
              <w:rPr>
                <w:b w:val="0"/>
                <w:bCs w:val="0"/>
                <w:szCs w:val="18"/>
              </w:rPr>
              <w:t>Determine whether the trustee of a non-fixed trust should make a Family Trust Election (FTE) for the purposes of:</w:t>
            </w:r>
          </w:p>
          <w:p w14:paraId="4A0C60FB" w14:textId="27628DA7" w:rsidR="001F62C8" w:rsidRPr="001F62C8" w:rsidRDefault="007849F4" w:rsidP="00A75412">
            <w:pPr>
              <w:pStyle w:val="ListBullet"/>
              <w:numPr>
                <w:ilvl w:val="0"/>
                <w:numId w:val="72"/>
              </w:numPr>
              <w:rPr>
                <w:b w:val="0"/>
                <w:bCs w:val="0"/>
              </w:rPr>
            </w:pPr>
            <w:r>
              <w:rPr>
                <w:b w:val="0"/>
                <w:bCs w:val="0"/>
              </w:rPr>
              <w:t>l</w:t>
            </w:r>
            <w:r w:rsidR="001F62C8" w:rsidRPr="001F62C8">
              <w:rPr>
                <w:b w:val="0"/>
                <w:bCs w:val="0"/>
              </w:rPr>
              <w:t xml:space="preserve">oss recoupment, as any non-fixed trust electing such relief will only be subject to a modified version of the income injection </w:t>
            </w:r>
            <w:proofErr w:type="gramStart"/>
            <w:r w:rsidR="001F62C8" w:rsidRPr="001F62C8">
              <w:rPr>
                <w:b w:val="0"/>
                <w:bCs w:val="0"/>
              </w:rPr>
              <w:t>test</w:t>
            </w:r>
            <w:proofErr w:type="gramEnd"/>
            <w:r w:rsidR="001F62C8" w:rsidRPr="001F62C8">
              <w:rPr>
                <w:b w:val="0"/>
                <w:bCs w:val="0"/>
              </w:rPr>
              <w:t xml:space="preserve"> </w:t>
            </w:r>
          </w:p>
          <w:p w14:paraId="57F150CD" w14:textId="27412FE2" w:rsidR="001F62C8" w:rsidRPr="001F62C8" w:rsidRDefault="007849F4" w:rsidP="00A75412">
            <w:pPr>
              <w:pStyle w:val="ListBullet"/>
              <w:numPr>
                <w:ilvl w:val="0"/>
                <w:numId w:val="72"/>
              </w:numPr>
              <w:rPr>
                <w:b w:val="0"/>
                <w:bCs w:val="0"/>
              </w:rPr>
            </w:pPr>
            <w:r>
              <w:rPr>
                <w:b w:val="0"/>
                <w:bCs w:val="0"/>
              </w:rPr>
              <w:t>s</w:t>
            </w:r>
            <w:r w:rsidR="001F62C8" w:rsidRPr="001F62C8">
              <w:rPr>
                <w:b w:val="0"/>
                <w:bCs w:val="0"/>
              </w:rPr>
              <w:t xml:space="preserve">atisfying the 45/90 day holding period rules for franking purposes so that franking credits can be passed on to beneficiaries of non-fixed trusts who are not otherwise eligible for the small shareholder </w:t>
            </w:r>
            <w:proofErr w:type="gramStart"/>
            <w:r w:rsidR="001F62C8" w:rsidRPr="001F62C8">
              <w:rPr>
                <w:b w:val="0"/>
                <w:bCs w:val="0"/>
              </w:rPr>
              <w:t>exemption</w:t>
            </w:r>
            <w:proofErr w:type="gramEnd"/>
          </w:p>
          <w:p w14:paraId="5FB5BD95" w14:textId="7F5E8ADB" w:rsidR="001F62C8" w:rsidRPr="001F62C8" w:rsidRDefault="007849F4" w:rsidP="00A75412">
            <w:pPr>
              <w:pStyle w:val="ListBullet"/>
              <w:numPr>
                <w:ilvl w:val="0"/>
                <w:numId w:val="72"/>
              </w:numPr>
              <w:rPr>
                <w:b w:val="0"/>
                <w:bCs w:val="0"/>
              </w:rPr>
            </w:pPr>
            <w:r>
              <w:rPr>
                <w:b w:val="0"/>
                <w:bCs w:val="0"/>
              </w:rPr>
              <w:t>a</w:t>
            </w:r>
            <w:r w:rsidR="001F62C8" w:rsidRPr="001F62C8">
              <w:rPr>
                <w:b w:val="0"/>
                <w:bCs w:val="0"/>
              </w:rPr>
              <w:t xml:space="preserve">ssisting a loss company (in which the trust holds shares) to satisfy the continuity of ownership </w:t>
            </w:r>
            <w:proofErr w:type="gramStart"/>
            <w:r w:rsidR="001F62C8" w:rsidRPr="001F62C8">
              <w:rPr>
                <w:b w:val="0"/>
                <w:bCs w:val="0"/>
              </w:rPr>
              <w:t>test</w:t>
            </w:r>
            <w:proofErr w:type="gramEnd"/>
            <w:r w:rsidR="001F62C8" w:rsidRPr="001F62C8">
              <w:rPr>
                <w:b w:val="0"/>
                <w:bCs w:val="0"/>
              </w:rPr>
              <w:t xml:space="preserve"> </w:t>
            </w:r>
          </w:p>
          <w:p w14:paraId="5A36F9A9" w14:textId="223FC8D7" w:rsidR="001F62C8" w:rsidRPr="001F62C8" w:rsidRDefault="007849F4" w:rsidP="00A75412">
            <w:pPr>
              <w:pStyle w:val="ListBullet"/>
              <w:numPr>
                <w:ilvl w:val="0"/>
                <w:numId w:val="72"/>
              </w:numPr>
              <w:rPr>
                <w:b w:val="0"/>
                <w:bCs w:val="0"/>
              </w:rPr>
            </w:pPr>
            <w:r>
              <w:rPr>
                <w:b w:val="0"/>
                <w:bCs w:val="0"/>
              </w:rPr>
              <w:t>b</w:t>
            </w:r>
            <w:r w:rsidR="001F62C8" w:rsidRPr="001F62C8">
              <w:rPr>
                <w:b w:val="0"/>
                <w:bCs w:val="0"/>
              </w:rPr>
              <w:t>eing excluded from the trustee beneficiary reporting rules</w:t>
            </w:r>
            <w:r w:rsidR="00304D4C">
              <w:rPr>
                <w:b w:val="0"/>
                <w:bCs w:val="0"/>
              </w:rPr>
              <w:t>,</w:t>
            </w:r>
            <w:r w:rsidR="001F62C8" w:rsidRPr="001F62C8">
              <w:rPr>
                <w:b w:val="0"/>
                <w:bCs w:val="0"/>
              </w:rPr>
              <w:t xml:space="preserve"> or </w:t>
            </w:r>
          </w:p>
          <w:p w14:paraId="0A149DE4" w14:textId="77777777" w:rsidR="001F62C8" w:rsidRDefault="001F62C8" w:rsidP="00A75412">
            <w:pPr>
              <w:pStyle w:val="ListBullet"/>
              <w:numPr>
                <w:ilvl w:val="0"/>
                <w:numId w:val="72"/>
              </w:numPr>
            </w:pPr>
            <w:r w:rsidRPr="001F62C8">
              <w:rPr>
                <w:b w:val="0"/>
                <w:bCs w:val="0"/>
              </w:rPr>
              <w:t xml:space="preserve">Applying the small business restructure rollover relief under Subdivision 328-G of </w:t>
            </w:r>
            <w:r w:rsidRPr="00276679">
              <w:rPr>
                <w:b w:val="0"/>
                <w:bCs w:val="0"/>
              </w:rPr>
              <w:t xml:space="preserve">the </w:t>
            </w:r>
            <w:r w:rsidRPr="00A75412">
              <w:rPr>
                <w:iCs/>
              </w:rPr>
              <w:t>ITAA 1997</w:t>
            </w:r>
            <w:r w:rsidRPr="001F62C8">
              <w:rPr>
                <w:b w:val="0"/>
                <w:bCs w:val="0"/>
              </w:rPr>
              <w:t xml:space="preserve"> where the transferor or transferee is a trust which is also a small business entity.</w:t>
            </w:r>
            <w:r>
              <w:t xml:space="preserve">   </w:t>
            </w:r>
          </w:p>
        </w:tc>
        <w:tc>
          <w:tcPr>
            <w:tcW w:w="283" w:type="pct"/>
            <w:gridSpan w:val="2"/>
          </w:tcPr>
          <w:p w14:paraId="53F9F0F8" w14:textId="77777777" w:rsidR="001F62C8" w:rsidRDefault="001F62C8"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0" w:type="pct"/>
            <w:gridSpan w:val="4"/>
          </w:tcPr>
          <w:p w14:paraId="369E3C53" w14:textId="77777777" w:rsidR="001F62C8" w:rsidRDefault="001F62C8"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2" w:type="pct"/>
          </w:tcPr>
          <w:p w14:paraId="6F7D1B02" w14:textId="77777777" w:rsidR="001F62C8" w:rsidRDefault="001F62C8" w:rsidP="001F62C8">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F62C8" w14:paraId="58F6CDC6"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3370E0D" w14:textId="77777777" w:rsidR="001F62C8" w:rsidRPr="001F62C8" w:rsidRDefault="001F62C8" w:rsidP="001F62C8">
            <w:pPr>
              <w:rPr>
                <w:b w:val="0"/>
                <w:bCs w:val="0"/>
              </w:rPr>
            </w:pPr>
            <w:r w:rsidRPr="001F62C8">
              <w:rPr>
                <w:b w:val="0"/>
                <w:bCs w:val="0"/>
              </w:rPr>
              <w:t xml:space="preserve">Where an FTE is in place, have any distributions been made outside the test individual’s family group which may be subject to family trust distribution tax? </w:t>
            </w:r>
          </w:p>
          <w:p w14:paraId="2222F705" w14:textId="77777777" w:rsidR="001F62C8" w:rsidRPr="001F62C8" w:rsidRDefault="001F62C8" w:rsidP="001F62C8">
            <w:pPr>
              <w:rPr>
                <w:b w:val="0"/>
                <w:bCs w:val="0"/>
              </w:rPr>
            </w:pPr>
            <w:r w:rsidRPr="001F62C8">
              <w:rPr>
                <w:b w:val="0"/>
                <w:bCs w:val="0"/>
              </w:rPr>
              <w:t xml:space="preserve">If so, check whether the entity receiving the distribution has made an interposed entity election (IEE).    </w:t>
            </w:r>
          </w:p>
          <w:p w14:paraId="0153DAEE" w14:textId="0D06766D" w:rsidR="001F62C8" w:rsidRDefault="001F62C8" w:rsidP="001F62C8">
            <w:pPr>
              <w:rPr>
                <w:rFonts w:cs="Arial"/>
              </w:rPr>
            </w:pPr>
            <w:r w:rsidRPr="001F62C8">
              <w:rPr>
                <w:rFonts w:cs="Arial"/>
                <w:b w:val="0"/>
                <w:bCs w:val="0"/>
              </w:rPr>
              <w:t>Distributions by a trustee of a trust that has made a FTE, or by an entity that has made an IEE, to persons and entities outside the family group are potentially taxed under the family trust distribution tax which is levied at 47% for the year ended 30 June 202</w:t>
            </w:r>
            <w:r w:rsidR="0083698F">
              <w:rPr>
                <w:rFonts w:cs="Arial"/>
                <w:b w:val="0"/>
                <w:bCs w:val="0"/>
              </w:rPr>
              <w:t>4</w:t>
            </w:r>
            <w:r w:rsidRPr="001F62C8">
              <w:rPr>
                <w:rFonts w:cs="Arial"/>
                <w:b w:val="0"/>
                <w:bCs w:val="0"/>
              </w:rPr>
              <w:t xml:space="preserve">. </w:t>
            </w:r>
          </w:p>
          <w:p w14:paraId="326B3CAE" w14:textId="1A96F6C8" w:rsidR="004A2F0C" w:rsidRPr="00A75412" w:rsidRDefault="004A2F0C" w:rsidP="001F62C8">
            <w:pPr>
              <w:rPr>
                <w:rFonts w:cs="Arial"/>
              </w:rPr>
            </w:pPr>
            <w:r w:rsidRPr="001F62C8">
              <w:rPr>
                <w:rFonts w:cs="Arial"/>
                <w:b w:val="0"/>
                <w:bCs w:val="0"/>
              </w:rPr>
              <w:t xml:space="preserve">Section 272-60 of Schedule 2F of the </w:t>
            </w:r>
            <w:r w:rsidRPr="003C4AFD">
              <w:rPr>
                <w:rFonts w:cs="Arial"/>
                <w:b w:val="0"/>
                <w:bCs w:val="0"/>
                <w:iCs/>
              </w:rPr>
              <w:t>ITAA 1936</w:t>
            </w:r>
            <w:r w:rsidRPr="004A2F0C">
              <w:rPr>
                <w:rFonts w:cs="Arial"/>
                <w:b w:val="0"/>
                <w:bCs w:val="0"/>
                <w:iCs/>
              </w:rPr>
              <w:t xml:space="preserve"> </w:t>
            </w:r>
            <w:r w:rsidRPr="001F62C8">
              <w:rPr>
                <w:rFonts w:cs="Arial"/>
                <w:b w:val="0"/>
                <w:bCs w:val="0"/>
              </w:rPr>
              <w:t>provides that a trustee ‘distributes’ income or capital to a person outside the family group if it pays or credits income or capital to such a person, transfers property to that person, or allows the use of that property by the person, deals with money or property for or on behalf of a person or as the person directs; applies money or property for the benefit of the person or extinguishes, forgives, releases or waives a debt or other liability owed by the person.</w:t>
            </w:r>
          </w:p>
        </w:tc>
        <w:tc>
          <w:tcPr>
            <w:tcW w:w="0" w:type="pct"/>
            <w:gridSpan w:val="2"/>
            <w:shd w:val="clear" w:color="auto" w:fill="auto"/>
          </w:tcPr>
          <w:p w14:paraId="5703AC16"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4"/>
            <w:shd w:val="clear" w:color="auto" w:fill="auto"/>
          </w:tcPr>
          <w:p w14:paraId="42EDAFC5"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337CE1FF"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F62C8" w14:paraId="504B6B32" w14:textId="77777777" w:rsidTr="001F62C8">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3065E693" w14:textId="77777777" w:rsidR="001F62C8" w:rsidRPr="001F62C8" w:rsidRDefault="001F62C8" w:rsidP="001F62C8">
            <w:pPr>
              <w:pStyle w:val="Table"/>
              <w:spacing w:before="100" w:after="100"/>
              <w:rPr>
                <w:color w:val="FFFFFF" w:themeColor="background1"/>
              </w:rPr>
            </w:pPr>
            <w:r w:rsidRPr="001F62C8">
              <w:rPr>
                <w:color w:val="FFFFFF" w:themeColor="background1"/>
                <w:sz w:val="18"/>
                <w:szCs w:val="18"/>
              </w:rPr>
              <w:t xml:space="preserve">TRUST LOSSES </w:t>
            </w:r>
          </w:p>
        </w:tc>
      </w:tr>
      <w:tr w:rsidR="001F62C8" w14:paraId="25289A83" w14:textId="77777777" w:rsidTr="002D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pct"/>
            <w:hideMark/>
          </w:tcPr>
          <w:p w14:paraId="596AE74A" w14:textId="77777777" w:rsidR="001F62C8" w:rsidRDefault="001F62C8" w:rsidP="001F62C8">
            <w:pPr>
              <w:spacing w:before="100" w:after="100"/>
              <w:rPr>
                <w:szCs w:val="18"/>
              </w:rPr>
            </w:pPr>
            <w:r w:rsidRPr="001F62C8">
              <w:rPr>
                <w:b w:val="0"/>
                <w:bCs w:val="0"/>
                <w:szCs w:val="18"/>
              </w:rPr>
              <w:t xml:space="preserve">If the trust has tax losses to be recouped ensure that you have considered the respective trust loss rules that apply to fixed and non-fixed trusts under Schedule 2F of the </w:t>
            </w:r>
            <w:r w:rsidRPr="00A75412">
              <w:rPr>
                <w:iCs/>
                <w:szCs w:val="18"/>
              </w:rPr>
              <w:t>ITAA 1936</w:t>
            </w:r>
            <w:r w:rsidRPr="001F62C8">
              <w:rPr>
                <w:b w:val="0"/>
                <w:bCs w:val="0"/>
                <w:szCs w:val="18"/>
              </w:rPr>
              <w:t>.</w:t>
            </w:r>
          </w:p>
          <w:p w14:paraId="11A70B82" w14:textId="77777777" w:rsidR="00276679" w:rsidRPr="001F62C8" w:rsidRDefault="00276679" w:rsidP="00276679">
            <w:pPr>
              <w:spacing w:before="100" w:after="100"/>
              <w:rPr>
                <w:b w:val="0"/>
                <w:bCs w:val="0"/>
                <w:szCs w:val="18"/>
              </w:rPr>
            </w:pPr>
            <w:r w:rsidRPr="001F62C8">
              <w:rPr>
                <w:b w:val="0"/>
                <w:bCs w:val="0"/>
                <w:szCs w:val="18"/>
              </w:rPr>
              <w:t xml:space="preserve">A non-fixed trust will need to satisfy the income injection test, control test, pattern of distributions test and the 50% stake test (if applicable) over the loss test period. The most difficult test for a non-fixed trust to apply is typically the pattern of distributions test especially where there is significant variance in trust distributions over the period tested. The trustee of a discretionary trust will be relieved of the need to comply with the trust loss tests other than a modified version of the income injection test where the trustee has made an FTE. A fixed trust need only satisfy the income injection test and 50% stake test over the lost test period.           </w:t>
            </w:r>
          </w:p>
          <w:p w14:paraId="5BC6FB4B" w14:textId="50713B30" w:rsidR="00276679" w:rsidRPr="002D7D14" w:rsidRDefault="00276679" w:rsidP="00276679">
            <w:pPr>
              <w:spacing w:before="100" w:after="100"/>
              <w:rPr>
                <w:b w:val="0"/>
                <w:bCs w:val="0"/>
                <w:szCs w:val="18"/>
              </w:rPr>
            </w:pPr>
            <w:r w:rsidRPr="001F62C8">
              <w:rPr>
                <w:b w:val="0"/>
                <w:bCs w:val="0"/>
                <w:szCs w:val="18"/>
              </w:rPr>
              <w:t>T</w:t>
            </w:r>
            <w:r w:rsidRPr="001F62C8">
              <w:rPr>
                <w:rFonts w:eastAsia="Calibri"/>
                <w:b w:val="0"/>
                <w:bCs w:val="0"/>
                <w:szCs w:val="18"/>
                <w:lang w:val="en-US"/>
              </w:rPr>
              <w:t xml:space="preserve">he legislative distinction between fixed and non-fixed trusts became blurred following the issue of the ATO’s Decision Impact Statement in respect of the Federal Court decision in </w:t>
            </w:r>
            <w:r w:rsidRPr="001F62C8">
              <w:rPr>
                <w:rFonts w:eastAsia="Calibri"/>
                <w:b w:val="0"/>
                <w:bCs w:val="0"/>
                <w:i/>
                <w:szCs w:val="18"/>
              </w:rPr>
              <w:t>Colonial First State Investments Ltd v Commissioner of Taxation</w:t>
            </w:r>
            <w:r w:rsidRPr="001F62C8">
              <w:rPr>
                <w:rFonts w:eastAsia="Calibri"/>
                <w:b w:val="0"/>
                <w:bCs w:val="0"/>
                <w:szCs w:val="18"/>
                <w:lang w:val="en-US"/>
              </w:rPr>
              <w:t xml:space="preserve"> (2011) FCA 16</w:t>
            </w:r>
            <w:r w:rsidRPr="001F62C8">
              <w:rPr>
                <w:b w:val="0"/>
                <w:bCs w:val="0"/>
                <w:iCs/>
                <w:szCs w:val="18"/>
              </w:rPr>
              <w:t>. However, the Commissioner of Taxation may exercise a discretion to treat a trust as a fixed trust in certain circumstances. Practical Compliance Guideline PCG 2016/16 provides practical guidance on how the Commissioner exercises this discretion including the application of safe harbours that allow trustees of certain trusts to manage their tax affairs on the basis that the Commissioner has exercised a discretion to treat the trust as a fixed trust.</w:t>
            </w:r>
            <w:r>
              <w:rPr>
                <w:iCs/>
                <w:szCs w:val="18"/>
              </w:rPr>
              <w:t xml:space="preserve">  </w:t>
            </w:r>
          </w:p>
        </w:tc>
        <w:tc>
          <w:tcPr>
            <w:tcW w:w="347" w:type="pct"/>
            <w:gridSpan w:val="4"/>
          </w:tcPr>
          <w:p w14:paraId="7BA3464E"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66" w:type="pct"/>
            <w:gridSpan w:val="2"/>
          </w:tcPr>
          <w:p w14:paraId="41CD2B47"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 w:type="pct"/>
          </w:tcPr>
          <w:p w14:paraId="77020FE4" w14:textId="77777777" w:rsidR="001F62C8" w:rsidRDefault="001F62C8" w:rsidP="001F62C8">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72752" w14:paraId="7C8D3D6D" w14:textId="77777777" w:rsidTr="00E058E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34DBA081" w14:textId="77777777" w:rsidR="00E72752" w:rsidRPr="00FF46CB" w:rsidRDefault="00E72752" w:rsidP="00FF46CB">
            <w:pPr>
              <w:pStyle w:val="Table"/>
              <w:spacing w:before="100" w:after="100"/>
              <w:rPr>
                <w:bCs w:val="0"/>
                <w:color w:val="090D46" w:themeColor="text1"/>
                <w:sz w:val="18"/>
                <w:szCs w:val="18"/>
              </w:rPr>
            </w:pPr>
            <w:r w:rsidRPr="00FF46CB">
              <w:rPr>
                <w:bCs w:val="0"/>
                <w:color w:val="090D46" w:themeColor="text1"/>
                <w:sz w:val="18"/>
                <w:szCs w:val="18"/>
              </w:rPr>
              <w:br w:type="page"/>
            </w:r>
            <w:bookmarkStart w:id="4" w:name="_Hlk515191121"/>
            <w:r w:rsidRPr="00FF46CB">
              <w:rPr>
                <w:bCs w:val="0"/>
                <w:color w:val="090D46" w:themeColor="text1"/>
                <w:sz w:val="18"/>
                <w:szCs w:val="18"/>
              </w:rPr>
              <w:t xml:space="preserve">COMPANIES </w:t>
            </w:r>
          </w:p>
        </w:tc>
        <w:tc>
          <w:tcPr>
            <w:tcW w:w="336" w:type="pct"/>
            <w:gridSpan w:val="2"/>
            <w:hideMark/>
          </w:tcPr>
          <w:p w14:paraId="68A951C6" w14:textId="77777777" w:rsidR="00E72752" w:rsidRPr="00FF46CB" w:rsidRDefault="00E72752" w:rsidP="00FF46CB">
            <w:pPr>
              <w:pStyle w:val="Table"/>
              <w:spacing w:before="100" w:after="100"/>
              <w:cnfStyle w:val="000000000000" w:firstRow="0" w:lastRow="0" w:firstColumn="0" w:lastColumn="0" w:oddVBand="0" w:evenVBand="0" w:oddHBand="0" w:evenHBand="0" w:firstRowFirstColumn="0" w:firstRowLastColumn="0" w:lastRowFirstColumn="0" w:lastRowLastColumn="0"/>
              <w:rPr>
                <w:bCs/>
                <w:color w:val="090D46" w:themeColor="text1"/>
                <w:sz w:val="18"/>
                <w:szCs w:val="18"/>
              </w:rPr>
            </w:pPr>
            <w:r w:rsidRPr="00FF46CB">
              <w:rPr>
                <w:color w:val="090D46" w:themeColor="text1"/>
                <w:sz w:val="18"/>
                <w:szCs w:val="18"/>
              </w:rPr>
              <w:t>YES</w:t>
            </w:r>
          </w:p>
        </w:tc>
        <w:tc>
          <w:tcPr>
            <w:tcW w:w="270" w:type="pct"/>
            <w:gridSpan w:val="2"/>
            <w:hideMark/>
          </w:tcPr>
          <w:p w14:paraId="42B2FBC3" w14:textId="77777777" w:rsidR="00E72752" w:rsidRPr="00FF46CB" w:rsidRDefault="00E72752" w:rsidP="00FF46CB">
            <w:pPr>
              <w:pStyle w:val="Table"/>
              <w:spacing w:before="100" w:after="100"/>
              <w:cnfStyle w:val="000000000000" w:firstRow="0" w:lastRow="0" w:firstColumn="0" w:lastColumn="0" w:oddVBand="0" w:evenVBand="0" w:oddHBand="0" w:evenHBand="0" w:firstRowFirstColumn="0" w:firstRowLastColumn="0" w:lastRowFirstColumn="0" w:lastRowLastColumn="0"/>
              <w:rPr>
                <w:bCs/>
                <w:color w:val="090D46" w:themeColor="text1"/>
                <w:sz w:val="18"/>
                <w:szCs w:val="18"/>
              </w:rPr>
            </w:pPr>
            <w:r w:rsidRPr="00FF46CB">
              <w:rPr>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5" w:type="pct"/>
            <w:gridSpan w:val="2"/>
            <w:hideMark/>
          </w:tcPr>
          <w:p w14:paraId="677131B8" w14:textId="77777777" w:rsidR="00E72752" w:rsidRPr="00FF46CB" w:rsidRDefault="00E72752" w:rsidP="00FF46CB">
            <w:pPr>
              <w:pStyle w:val="Table"/>
              <w:spacing w:before="100" w:after="100"/>
              <w:rPr>
                <w:bCs w:val="0"/>
                <w:color w:val="090D46" w:themeColor="text1"/>
                <w:sz w:val="18"/>
                <w:szCs w:val="18"/>
              </w:rPr>
            </w:pPr>
            <w:r w:rsidRPr="00FF46CB">
              <w:rPr>
                <w:bCs w:val="0"/>
                <w:color w:val="090D46" w:themeColor="text1"/>
                <w:sz w:val="18"/>
                <w:szCs w:val="18"/>
              </w:rPr>
              <w:t>N/A</w:t>
            </w:r>
          </w:p>
        </w:tc>
        <w:bookmarkEnd w:id="4"/>
      </w:tr>
      <w:tr w:rsidR="00E72752" w14:paraId="629EB8CF" w14:textId="77777777" w:rsidTr="00FF46C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517A79C7" w14:textId="77777777" w:rsidR="00E72752" w:rsidRPr="00FF46CB" w:rsidRDefault="00E72752" w:rsidP="009C7A83">
            <w:pPr>
              <w:pStyle w:val="Tableheading"/>
              <w:keepNext/>
              <w:rPr>
                <w:b/>
                <w:bCs w:val="0"/>
                <w:color w:val="FFFFFF" w:themeColor="background1"/>
                <w:sz w:val="18"/>
                <w:szCs w:val="18"/>
              </w:rPr>
            </w:pPr>
            <w:r w:rsidRPr="00FF46CB">
              <w:rPr>
                <w:b/>
                <w:bCs w:val="0"/>
                <w:color w:val="FFFFFF" w:themeColor="background1"/>
                <w:sz w:val="18"/>
                <w:szCs w:val="18"/>
              </w:rPr>
              <w:lastRenderedPageBreak/>
              <w:t>APPLICABLE COMPANY TAX RATE</w:t>
            </w:r>
          </w:p>
        </w:tc>
      </w:tr>
      <w:tr w:rsidR="00E72752" w14:paraId="6FCFE593" w14:textId="77777777" w:rsidTr="00E058E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7E24BE27" w14:textId="37E5A13D" w:rsidR="00E72752" w:rsidRPr="00FF46CB" w:rsidRDefault="00E72752" w:rsidP="00FF46CB">
            <w:pPr>
              <w:rPr>
                <w:b w:val="0"/>
                <w:bCs w:val="0"/>
              </w:rPr>
            </w:pPr>
            <w:r w:rsidRPr="00FF46CB">
              <w:rPr>
                <w:b w:val="0"/>
                <w:bCs w:val="0"/>
              </w:rPr>
              <w:t>A tax rate of 25% applies to a company which is a base rate entity for the year</w:t>
            </w:r>
            <w:r w:rsidR="00D61177">
              <w:rPr>
                <w:b w:val="0"/>
                <w:bCs w:val="0"/>
              </w:rPr>
              <w:t xml:space="preserve"> end</w:t>
            </w:r>
            <w:r w:rsidR="00A91184">
              <w:rPr>
                <w:b w:val="0"/>
                <w:bCs w:val="0"/>
              </w:rPr>
              <w:t>ed</w:t>
            </w:r>
            <w:r w:rsidRPr="00FF46CB">
              <w:rPr>
                <w:b w:val="0"/>
                <w:bCs w:val="0"/>
              </w:rPr>
              <w:t xml:space="preserve"> 30 June 202</w:t>
            </w:r>
            <w:r w:rsidR="00E43A1F">
              <w:rPr>
                <w:b w:val="0"/>
                <w:bCs w:val="0"/>
              </w:rPr>
              <w:t>4</w:t>
            </w:r>
            <w:r w:rsidRPr="00FF46CB">
              <w:rPr>
                <w:b w:val="0"/>
                <w:bCs w:val="0"/>
              </w:rPr>
              <w:t xml:space="preserve">. Where a company does not satisfy the definition of being a ‘base rate entity’ its taxable income will be subject to tax at a rate of 30%. </w:t>
            </w:r>
          </w:p>
          <w:p w14:paraId="4B93A7D2" w14:textId="77777777" w:rsidR="00D61177" w:rsidRDefault="00E72752" w:rsidP="00FF46CB">
            <w:r w:rsidRPr="00FF46CB">
              <w:rPr>
                <w:b w:val="0"/>
                <w:bCs w:val="0"/>
              </w:rPr>
              <w:t>A company will be regarded as being a base rate entity if</w:t>
            </w:r>
            <w:r w:rsidR="00D61177">
              <w:rPr>
                <w:b w:val="0"/>
                <w:bCs w:val="0"/>
              </w:rPr>
              <w:t>:</w:t>
            </w:r>
          </w:p>
          <w:p w14:paraId="46FF2346" w14:textId="3A0AFEF3" w:rsidR="00D61177" w:rsidRPr="00AB2D91" w:rsidRDefault="00E72752" w:rsidP="00D61177">
            <w:pPr>
              <w:pStyle w:val="ListParagraph"/>
              <w:numPr>
                <w:ilvl w:val="0"/>
                <w:numId w:val="73"/>
              </w:numPr>
              <w:spacing w:before="60" w:after="60"/>
              <w:rPr>
                <w:b w:val="0"/>
                <w:bCs w:val="0"/>
                <w:sz w:val="18"/>
              </w:rPr>
            </w:pPr>
            <w:r w:rsidRPr="00383AC5">
              <w:rPr>
                <w:b w:val="0"/>
                <w:bCs w:val="0"/>
                <w:sz w:val="18"/>
              </w:rPr>
              <w:t xml:space="preserve">no more than 80% of the company’s assessable income comprises ‘base rate entity passive income’ (BREPI) and </w:t>
            </w:r>
          </w:p>
          <w:p w14:paraId="7D32049D" w14:textId="486C93CE" w:rsidR="00D61177" w:rsidRPr="00AB2D91" w:rsidRDefault="00E72752" w:rsidP="00D61177">
            <w:pPr>
              <w:pStyle w:val="ListParagraph"/>
              <w:numPr>
                <w:ilvl w:val="0"/>
                <w:numId w:val="73"/>
              </w:numPr>
              <w:spacing w:before="60" w:after="60"/>
              <w:rPr>
                <w:b w:val="0"/>
                <w:bCs w:val="0"/>
                <w:sz w:val="18"/>
              </w:rPr>
            </w:pPr>
            <w:r w:rsidRPr="00383AC5">
              <w:rPr>
                <w:b w:val="0"/>
                <w:bCs w:val="0"/>
                <w:sz w:val="18"/>
              </w:rPr>
              <w:t>its ‘aggregated turnover’ is less than $50 million for the year ended 30 June 202</w:t>
            </w:r>
            <w:r w:rsidR="00D61177" w:rsidRPr="00AB2D91">
              <w:rPr>
                <w:b w:val="0"/>
                <w:bCs w:val="0"/>
                <w:sz w:val="18"/>
              </w:rPr>
              <w:t>4</w:t>
            </w:r>
            <w:r w:rsidRPr="00383AC5">
              <w:rPr>
                <w:b w:val="0"/>
                <w:bCs w:val="0"/>
                <w:sz w:val="18"/>
              </w:rPr>
              <w:t xml:space="preserve">. </w:t>
            </w:r>
            <w:bookmarkStart w:id="5" w:name="_Hlk8469243"/>
          </w:p>
          <w:p w14:paraId="629FE004" w14:textId="066BADC1" w:rsidR="00E72752" w:rsidRPr="00AB2D91" w:rsidRDefault="00E72752" w:rsidP="00D61177">
            <w:pPr>
              <w:rPr>
                <w:b w:val="0"/>
                <w:bCs w:val="0"/>
              </w:rPr>
            </w:pPr>
            <w:r w:rsidRPr="00383AC5">
              <w:rPr>
                <w:b w:val="0"/>
                <w:bCs w:val="0"/>
              </w:rPr>
              <w:t>For these purposes aggregated turnover is only calculated on the relevant annual turnover of the company and its affiliates and connected entities for the current year being 30 June 202</w:t>
            </w:r>
            <w:r w:rsidR="00F97B5E" w:rsidRPr="00383AC5">
              <w:rPr>
                <w:b w:val="0"/>
                <w:bCs w:val="0"/>
              </w:rPr>
              <w:t>4</w:t>
            </w:r>
            <w:r w:rsidRPr="00383AC5">
              <w:rPr>
                <w:b w:val="0"/>
                <w:bCs w:val="0"/>
              </w:rPr>
              <w:t>.</w:t>
            </w:r>
            <w:bookmarkEnd w:id="5"/>
            <w:r w:rsidRPr="00383AC5">
              <w:rPr>
                <w:b w:val="0"/>
                <w:bCs w:val="0"/>
              </w:rPr>
              <w:t xml:space="preserve">  </w:t>
            </w:r>
          </w:p>
        </w:tc>
        <w:tc>
          <w:tcPr>
            <w:tcW w:w="336" w:type="pct"/>
            <w:gridSpan w:val="2"/>
          </w:tcPr>
          <w:p w14:paraId="2A61F16A"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gridSpan w:val="2"/>
          </w:tcPr>
          <w:p w14:paraId="0A7741EF"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1C2919CF" w14:textId="77777777" w:rsidR="00E72752" w:rsidRDefault="00E72752" w:rsidP="009C7A83">
            <w:pPr>
              <w:pStyle w:val="Table"/>
              <w:spacing w:before="100" w:after="100"/>
              <w:jc w:val="center"/>
              <w:rPr>
                <w:sz w:val="18"/>
                <w:szCs w:val="18"/>
              </w:rPr>
            </w:pPr>
          </w:p>
        </w:tc>
      </w:tr>
      <w:tr w:rsidR="00E72752" w14:paraId="34B5FD07"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15A72E44" w14:textId="77777777" w:rsidR="00E72752" w:rsidRPr="00FF46CB" w:rsidRDefault="00E72752" w:rsidP="009C7A83">
            <w:pPr>
              <w:spacing w:before="100" w:after="100"/>
              <w:rPr>
                <w:b w:val="0"/>
                <w:bCs w:val="0"/>
                <w:i/>
                <w:szCs w:val="18"/>
              </w:rPr>
            </w:pPr>
            <w:r w:rsidRPr="00FF46CB">
              <w:rPr>
                <w:b w:val="0"/>
                <w:bCs w:val="0"/>
                <w:szCs w:val="18"/>
              </w:rPr>
              <w:t>A company’s BREPI includes the following:</w:t>
            </w:r>
          </w:p>
          <w:p w14:paraId="6F181985" w14:textId="636B0FC5" w:rsidR="00E50F62" w:rsidRPr="00FF46CB" w:rsidRDefault="00E72752" w:rsidP="00A75412">
            <w:pPr>
              <w:pStyle w:val="ListBullet"/>
              <w:numPr>
                <w:ilvl w:val="0"/>
                <w:numId w:val="74"/>
              </w:numPr>
              <w:rPr>
                <w:b w:val="0"/>
                <w:bCs w:val="0"/>
                <w:i/>
              </w:rPr>
            </w:pPr>
            <w:r w:rsidRPr="00FF46CB">
              <w:rPr>
                <w:b w:val="0"/>
                <w:bCs w:val="0"/>
              </w:rPr>
              <w:t>Distributions (</w:t>
            </w:r>
            <w:proofErr w:type="gramStart"/>
            <w:r w:rsidRPr="00FF46CB">
              <w:rPr>
                <w:b w:val="0"/>
                <w:bCs w:val="0"/>
              </w:rPr>
              <w:t>e.g.</w:t>
            </w:r>
            <w:proofErr w:type="gramEnd"/>
            <w:r w:rsidRPr="00FF46CB">
              <w:rPr>
                <w:b w:val="0"/>
                <w:bCs w:val="0"/>
              </w:rPr>
              <w:t xml:space="preserve"> dividends) other than non-portfolio dividends. A non-portfolio dividend is defined under section 317 of the </w:t>
            </w:r>
            <w:r w:rsidRPr="00FF46CB">
              <w:rPr>
                <w:b w:val="0"/>
                <w:bCs w:val="0"/>
                <w:i/>
              </w:rPr>
              <w:t>ITAA 1936</w:t>
            </w:r>
            <w:r w:rsidRPr="00FF46CB">
              <w:rPr>
                <w:b w:val="0"/>
                <w:bCs w:val="0"/>
              </w:rPr>
              <w:t xml:space="preserve"> to mean a dividend paid to a company where that </w:t>
            </w:r>
          </w:p>
        </w:tc>
        <w:tc>
          <w:tcPr>
            <w:tcW w:w="0" w:type="pct"/>
            <w:gridSpan w:val="2"/>
            <w:shd w:val="clear" w:color="auto" w:fill="auto"/>
          </w:tcPr>
          <w:p w14:paraId="0A97F6EF"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2"/>
            <w:shd w:val="clear" w:color="auto" w:fill="auto"/>
          </w:tcPr>
          <w:p w14:paraId="02E8ECCB"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3CD0E38A" w14:textId="77777777" w:rsidR="00E72752" w:rsidRDefault="00E72752" w:rsidP="009C7A83">
            <w:pPr>
              <w:pStyle w:val="Table"/>
              <w:spacing w:before="100" w:after="100"/>
              <w:jc w:val="center"/>
              <w:rPr>
                <w:sz w:val="18"/>
                <w:szCs w:val="18"/>
              </w:rPr>
            </w:pPr>
          </w:p>
        </w:tc>
      </w:tr>
      <w:tr w:rsidR="00276679" w14:paraId="4EC5429F"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0A5CC7" w:themeFill="accent3"/>
          </w:tcPr>
          <w:p w14:paraId="0B03D655" w14:textId="38EE264A" w:rsidR="00276679" w:rsidRPr="00FF46CB" w:rsidRDefault="00276679" w:rsidP="009C7A83">
            <w:pPr>
              <w:spacing w:before="100" w:after="100"/>
              <w:rPr>
                <w:szCs w:val="18"/>
              </w:rPr>
            </w:pPr>
            <w:r w:rsidRPr="00FF46CB">
              <w:rPr>
                <w:bCs w:val="0"/>
                <w:color w:val="FFFFFF" w:themeColor="background1"/>
                <w:szCs w:val="18"/>
              </w:rPr>
              <w:t>APPLICABLE COMPANY TAX RATE</w:t>
            </w:r>
            <w:r>
              <w:rPr>
                <w:bCs w:val="0"/>
                <w:color w:val="FFFFFF" w:themeColor="background1"/>
                <w:szCs w:val="18"/>
              </w:rPr>
              <w:t xml:space="preserve"> (CONTINUED)</w:t>
            </w:r>
          </w:p>
        </w:tc>
        <w:tc>
          <w:tcPr>
            <w:tcW w:w="0" w:type="pct"/>
            <w:gridSpan w:val="2"/>
            <w:shd w:val="clear" w:color="auto" w:fill="0A5CC7" w:themeFill="accent3"/>
          </w:tcPr>
          <w:p w14:paraId="2D421F4C" w14:textId="77777777" w:rsidR="00276679" w:rsidRDefault="00276679"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0A5CC7" w:themeFill="accent3"/>
          </w:tcPr>
          <w:p w14:paraId="5CB764B9" w14:textId="77777777" w:rsidR="00276679" w:rsidRDefault="00276679"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0A5CC7" w:themeFill="accent3"/>
          </w:tcPr>
          <w:p w14:paraId="029FFD4E" w14:textId="77777777" w:rsidR="00276679" w:rsidRDefault="00276679" w:rsidP="009C7A83">
            <w:pPr>
              <w:pStyle w:val="Table"/>
              <w:spacing w:before="100" w:after="100"/>
              <w:jc w:val="center"/>
              <w:rPr>
                <w:sz w:val="18"/>
                <w:szCs w:val="18"/>
              </w:rPr>
            </w:pPr>
          </w:p>
        </w:tc>
      </w:tr>
      <w:tr w:rsidR="00276679" w14:paraId="69B4CF9E" w14:textId="77777777" w:rsidTr="00276679">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gridSpan w:val="2"/>
            <w:shd w:val="clear" w:color="auto" w:fill="auto"/>
          </w:tcPr>
          <w:p w14:paraId="5985C3FC" w14:textId="77777777" w:rsidR="00276679" w:rsidRPr="00FF46CB" w:rsidRDefault="00276679" w:rsidP="00276679">
            <w:pPr>
              <w:pStyle w:val="ListBullet"/>
              <w:numPr>
                <w:ilvl w:val="0"/>
                <w:numId w:val="74"/>
              </w:numPr>
              <w:rPr>
                <w:b w:val="0"/>
                <w:bCs w:val="0"/>
                <w:i/>
              </w:rPr>
            </w:pPr>
            <w:r w:rsidRPr="00FF46CB">
              <w:rPr>
                <w:b w:val="0"/>
                <w:bCs w:val="0"/>
              </w:rPr>
              <w:t xml:space="preserve">company has a voting interest amounting to at least 10% of the voting power in the company paying the </w:t>
            </w:r>
            <w:proofErr w:type="gramStart"/>
            <w:r w:rsidRPr="00FF46CB">
              <w:rPr>
                <w:b w:val="0"/>
                <w:bCs w:val="0"/>
              </w:rPr>
              <w:t>dividend</w:t>
            </w:r>
            <w:proofErr w:type="gramEnd"/>
          </w:p>
          <w:p w14:paraId="7BBC829E" w14:textId="77777777" w:rsidR="00276679" w:rsidRPr="00FF46CB" w:rsidRDefault="00276679" w:rsidP="00276679">
            <w:pPr>
              <w:pStyle w:val="ListBullet"/>
              <w:numPr>
                <w:ilvl w:val="0"/>
                <w:numId w:val="74"/>
              </w:numPr>
              <w:rPr>
                <w:b w:val="0"/>
                <w:bCs w:val="0"/>
              </w:rPr>
            </w:pPr>
            <w:r w:rsidRPr="00FF46CB">
              <w:rPr>
                <w:b w:val="0"/>
                <w:bCs w:val="0"/>
              </w:rPr>
              <w:t xml:space="preserve">Franking credits attached to </w:t>
            </w:r>
            <w:proofErr w:type="gramStart"/>
            <w:r w:rsidRPr="00FF46CB">
              <w:rPr>
                <w:b w:val="0"/>
                <w:bCs w:val="0"/>
              </w:rPr>
              <w:t>dividends</w:t>
            </w:r>
            <w:proofErr w:type="gramEnd"/>
          </w:p>
          <w:p w14:paraId="09EBF312" w14:textId="77777777" w:rsidR="00276679" w:rsidRPr="00FF46CB" w:rsidRDefault="00276679" w:rsidP="00276679">
            <w:pPr>
              <w:pStyle w:val="ListBullet"/>
              <w:numPr>
                <w:ilvl w:val="0"/>
                <w:numId w:val="74"/>
              </w:numPr>
              <w:rPr>
                <w:b w:val="0"/>
                <w:bCs w:val="0"/>
                <w:i/>
              </w:rPr>
            </w:pPr>
            <w:r w:rsidRPr="00FF46CB">
              <w:rPr>
                <w:b w:val="0"/>
                <w:bCs w:val="0"/>
              </w:rPr>
              <w:t>Non-share dividends</w:t>
            </w:r>
          </w:p>
          <w:p w14:paraId="3BD89CD5" w14:textId="77777777" w:rsidR="00276679" w:rsidRPr="00935F28" w:rsidRDefault="00276679" w:rsidP="00276679">
            <w:pPr>
              <w:pStyle w:val="ListBullet"/>
              <w:numPr>
                <w:ilvl w:val="0"/>
                <w:numId w:val="74"/>
              </w:numPr>
              <w:rPr>
                <w:b w:val="0"/>
                <w:bCs w:val="0"/>
                <w:i/>
              </w:rPr>
            </w:pPr>
            <w:r w:rsidRPr="00FF46CB">
              <w:rPr>
                <w:b w:val="0"/>
                <w:bCs w:val="0"/>
              </w:rPr>
              <w:t xml:space="preserve">Interest income or a payment </w:t>
            </w:r>
            <w:proofErr w:type="gramStart"/>
            <w:r w:rsidRPr="00FF46CB">
              <w:rPr>
                <w:b w:val="0"/>
                <w:bCs w:val="0"/>
              </w:rPr>
              <w:t>in the nature of interest</w:t>
            </w:r>
            <w:proofErr w:type="gramEnd"/>
            <w:r w:rsidRPr="00FF46CB">
              <w:rPr>
                <w:b w:val="0"/>
                <w:bCs w:val="0"/>
              </w:rPr>
              <w:t xml:space="preserve"> (except interest income derived by an entity which is a financial institution such as a Bank or a Co-operative Housing Society or an entity that holds an Australian credit licence or is a financial services licensee in certain circumstances) </w:t>
            </w:r>
          </w:p>
          <w:p w14:paraId="00056010" w14:textId="77777777" w:rsidR="00276679" w:rsidRPr="00E058EC" w:rsidRDefault="00276679" w:rsidP="00276679">
            <w:pPr>
              <w:pStyle w:val="ListBullet"/>
              <w:numPr>
                <w:ilvl w:val="0"/>
                <w:numId w:val="74"/>
              </w:numPr>
              <w:rPr>
                <w:b w:val="0"/>
                <w:bCs w:val="0"/>
                <w:i/>
              </w:rPr>
            </w:pPr>
            <w:r w:rsidRPr="00E058EC">
              <w:rPr>
                <w:b w:val="0"/>
                <w:bCs w:val="0"/>
              </w:rPr>
              <w:t xml:space="preserve">Royalties and </w:t>
            </w:r>
            <w:proofErr w:type="gramStart"/>
            <w:r w:rsidRPr="00E058EC">
              <w:rPr>
                <w:b w:val="0"/>
                <w:bCs w:val="0"/>
              </w:rPr>
              <w:t>rent</w:t>
            </w:r>
            <w:proofErr w:type="gramEnd"/>
          </w:p>
          <w:p w14:paraId="694300A1" w14:textId="77777777" w:rsidR="00276679" w:rsidRPr="00E058EC" w:rsidRDefault="00276679" w:rsidP="00276679">
            <w:pPr>
              <w:pStyle w:val="ListBullet"/>
              <w:numPr>
                <w:ilvl w:val="0"/>
                <w:numId w:val="74"/>
              </w:numPr>
              <w:rPr>
                <w:b w:val="0"/>
                <w:bCs w:val="0"/>
                <w:i/>
              </w:rPr>
            </w:pPr>
            <w:r w:rsidRPr="00E058EC">
              <w:rPr>
                <w:b w:val="0"/>
                <w:bCs w:val="0"/>
              </w:rPr>
              <w:t>Deferred and discounted gains on Division 16E qualifying securities</w:t>
            </w:r>
          </w:p>
          <w:p w14:paraId="4A7C10E2" w14:textId="77777777" w:rsidR="00276679" w:rsidRPr="00E058EC" w:rsidRDefault="00276679" w:rsidP="00276679">
            <w:pPr>
              <w:pStyle w:val="ListBullet"/>
              <w:numPr>
                <w:ilvl w:val="0"/>
                <w:numId w:val="74"/>
              </w:numPr>
              <w:rPr>
                <w:b w:val="0"/>
                <w:bCs w:val="0"/>
                <w:i/>
              </w:rPr>
            </w:pPr>
            <w:r w:rsidRPr="00E058EC">
              <w:rPr>
                <w:b w:val="0"/>
                <w:bCs w:val="0"/>
              </w:rPr>
              <w:t xml:space="preserve">Net capital gains (as defined under section 995-1(1) of the </w:t>
            </w:r>
            <w:r w:rsidRPr="00E058EC">
              <w:rPr>
                <w:b w:val="0"/>
                <w:bCs w:val="0"/>
                <w:i/>
              </w:rPr>
              <w:t>ITAA 1997</w:t>
            </w:r>
          </w:p>
          <w:p w14:paraId="14A08120" w14:textId="77777777" w:rsidR="00276679" w:rsidRPr="00E058EC" w:rsidRDefault="00276679" w:rsidP="00276679">
            <w:pPr>
              <w:pStyle w:val="ListBullet"/>
              <w:numPr>
                <w:ilvl w:val="0"/>
                <w:numId w:val="74"/>
              </w:numPr>
              <w:rPr>
                <w:rFonts w:cs="Arial"/>
                <w:b w:val="0"/>
                <w:bCs w:val="0"/>
              </w:rPr>
            </w:pPr>
            <w:r w:rsidRPr="00E058EC">
              <w:rPr>
                <w:b w:val="0"/>
                <w:bCs w:val="0"/>
              </w:rPr>
              <w:t xml:space="preserve">Amounts included in assessable partnership or trust distributions of net income to the extent that they are attributable to base rate entity passive income under one of the preceding items which has been on-distributed to a company which is a partner in a partnership or a company which is a beneficiary of a </w:t>
            </w:r>
            <w:proofErr w:type="gramStart"/>
            <w:r w:rsidRPr="00E058EC">
              <w:rPr>
                <w:b w:val="0"/>
                <w:bCs w:val="0"/>
              </w:rPr>
              <w:t>trust</w:t>
            </w:r>
            <w:proofErr w:type="gramEnd"/>
          </w:p>
          <w:p w14:paraId="3EA20D75" w14:textId="6C8665FD" w:rsidR="00276679" w:rsidRPr="00FF46CB" w:rsidRDefault="00276679" w:rsidP="00276679">
            <w:pPr>
              <w:spacing w:before="100" w:after="100"/>
              <w:rPr>
                <w:szCs w:val="18"/>
              </w:rPr>
            </w:pPr>
            <w:r w:rsidRPr="00E058EC">
              <w:rPr>
                <w:rFonts w:cs="Arial"/>
                <w:b w:val="0"/>
                <w:bCs w:val="0"/>
                <w:szCs w:val="18"/>
              </w:rPr>
              <w:t xml:space="preserve">Further guidance on the concepts of ‘base rate entity’ and BREPI can be found in </w:t>
            </w:r>
            <w:r w:rsidRPr="00E058EC">
              <w:rPr>
                <w:b w:val="0"/>
                <w:bCs w:val="0"/>
                <w:szCs w:val="18"/>
              </w:rPr>
              <w:t xml:space="preserve">Law Companion </w:t>
            </w:r>
            <w:r w:rsidRPr="00A91184">
              <w:rPr>
                <w:b w:val="0"/>
                <w:bCs w:val="0"/>
              </w:rPr>
              <w:t>Ruling</w:t>
            </w:r>
            <w:r w:rsidRPr="00E058EC">
              <w:rPr>
                <w:b w:val="0"/>
                <w:bCs w:val="0"/>
                <w:szCs w:val="18"/>
              </w:rPr>
              <w:t xml:space="preserve"> </w:t>
            </w:r>
            <w:r w:rsidRPr="00E058EC">
              <w:rPr>
                <w:rFonts w:cs="Arial"/>
                <w:b w:val="0"/>
                <w:bCs w:val="0"/>
                <w:szCs w:val="18"/>
              </w:rPr>
              <w:t>LCR 2019/5.</w:t>
            </w:r>
          </w:p>
        </w:tc>
        <w:tc>
          <w:tcPr>
            <w:tcW w:w="336" w:type="pct"/>
            <w:gridSpan w:val="2"/>
            <w:shd w:val="clear" w:color="auto" w:fill="auto"/>
          </w:tcPr>
          <w:p w14:paraId="69EB0DC7" w14:textId="77777777" w:rsidR="00276679" w:rsidRDefault="00276679"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gridSpan w:val="2"/>
            <w:shd w:val="clear" w:color="auto" w:fill="auto"/>
          </w:tcPr>
          <w:p w14:paraId="797C880C" w14:textId="77777777" w:rsidR="00276679" w:rsidRDefault="00276679"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shd w:val="clear" w:color="auto" w:fill="auto"/>
          </w:tcPr>
          <w:p w14:paraId="397C1EC2" w14:textId="77777777" w:rsidR="00276679" w:rsidRDefault="00276679" w:rsidP="009C7A83">
            <w:pPr>
              <w:pStyle w:val="Table"/>
              <w:spacing w:before="100" w:after="100"/>
              <w:jc w:val="center"/>
              <w:rPr>
                <w:sz w:val="18"/>
                <w:szCs w:val="18"/>
              </w:rPr>
            </w:pPr>
          </w:p>
        </w:tc>
      </w:tr>
      <w:tr w:rsidR="002D7D14" w14:paraId="75057708"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4ABACDA3" w14:textId="77777777" w:rsidR="002D7D14" w:rsidRPr="00E058EC" w:rsidRDefault="002D7D14" w:rsidP="002D7D14">
            <w:pPr>
              <w:spacing w:before="100" w:after="100"/>
              <w:rPr>
                <w:rFonts w:cs="Arial"/>
                <w:b w:val="0"/>
                <w:bCs w:val="0"/>
                <w:szCs w:val="18"/>
              </w:rPr>
            </w:pPr>
            <w:r w:rsidRPr="00E058EC">
              <w:rPr>
                <w:rFonts w:cs="Arial"/>
                <w:b w:val="0"/>
                <w:bCs w:val="0"/>
                <w:szCs w:val="18"/>
              </w:rPr>
              <w:t xml:space="preserve">An amount that flows through a partnership or trust to a company (either directly or via interposed trusts or partnerships) will retain its character in the hands of the company for the purposes of determining </w:t>
            </w:r>
            <w:proofErr w:type="gramStart"/>
            <w:r w:rsidRPr="00E058EC">
              <w:rPr>
                <w:rFonts w:cs="Arial"/>
                <w:b w:val="0"/>
                <w:bCs w:val="0"/>
                <w:szCs w:val="18"/>
              </w:rPr>
              <w:t>whether or not</w:t>
            </w:r>
            <w:proofErr w:type="gramEnd"/>
            <w:r w:rsidRPr="00E058EC">
              <w:rPr>
                <w:rFonts w:cs="Arial"/>
                <w:b w:val="0"/>
                <w:bCs w:val="0"/>
                <w:szCs w:val="18"/>
              </w:rPr>
              <w:t xml:space="preserve"> that amount is BREPI of the company. </w:t>
            </w:r>
          </w:p>
          <w:p w14:paraId="7B6FBB2E" w14:textId="77777777" w:rsidR="002D7D14" w:rsidRPr="00E058EC" w:rsidRDefault="002D7D14" w:rsidP="002D7D14">
            <w:pPr>
              <w:pStyle w:val="Table"/>
              <w:spacing w:before="100" w:after="100"/>
              <w:outlineLvl w:val="5"/>
              <w:rPr>
                <w:color w:val="090D46" w:themeColor="text1"/>
                <w:sz w:val="18"/>
                <w:szCs w:val="18"/>
              </w:rPr>
            </w:pPr>
            <w:r w:rsidRPr="00E058EC">
              <w:rPr>
                <w:rFonts w:cs="Arial"/>
                <w:b w:val="0"/>
                <w:bCs w:val="0"/>
                <w:color w:val="090D46" w:themeColor="text1"/>
                <w:sz w:val="18"/>
                <w:szCs w:val="18"/>
              </w:rPr>
              <w:t xml:space="preserve">Accordingly, it is necessary to analyse and dissect partnership and trust distributions to determine the nature of the income which is received by the company where it is either a partner in a partnership or a beneficiary of a trust. </w:t>
            </w:r>
            <w:r w:rsidRPr="00E058EC">
              <w:rPr>
                <w:b w:val="0"/>
                <w:bCs w:val="0"/>
                <w:color w:val="090D46" w:themeColor="text1"/>
                <w:sz w:val="18"/>
                <w:szCs w:val="18"/>
              </w:rPr>
              <w:t>LCR 2019/5 provides that if a company is assessed on a share of ‘net’ income of a trust or partnership it will have BREPI to the extent that the amount is included in assessable income as a trust or partnership distribution. However, where the distribution comprises a mixture of BREPI and trading income it will be necessary to allocate expenses in a fair and reasonable way particularly in relation to indirect costs.</w:t>
            </w:r>
          </w:p>
        </w:tc>
        <w:tc>
          <w:tcPr>
            <w:tcW w:w="0" w:type="pct"/>
            <w:gridSpan w:val="2"/>
            <w:shd w:val="clear" w:color="auto" w:fill="auto"/>
          </w:tcPr>
          <w:p w14:paraId="086CD32B"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51EDCB0C"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2A936E91" w14:textId="77777777" w:rsidR="002D7D14" w:rsidRDefault="002D7D14" w:rsidP="002D7D14">
            <w:pPr>
              <w:pStyle w:val="Table"/>
              <w:spacing w:before="100" w:after="100"/>
              <w:jc w:val="center"/>
              <w:rPr>
                <w:sz w:val="18"/>
                <w:szCs w:val="18"/>
              </w:rPr>
            </w:pPr>
          </w:p>
        </w:tc>
      </w:tr>
      <w:tr w:rsidR="002D7D14" w14:paraId="25E8BA05" w14:textId="77777777" w:rsidTr="00540E51">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6E3EABFE" w14:textId="77777777" w:rsidR="002D7D14" w:rsidRPr="00540E51" w:rsidRDefault="002D7D14" w:rsidP="002D7D14">
            <w:pPr>
              <w:pStyle w:val="Table"/>
              <w:spacing w:before="100" w:after="100"/>
              <w:rPr>
                <w:color w:val="090D46" w:themeColor="text1"/>
                <w:sz w:val="18"/>
                <w:szCs w:val="18"/>
              </w:rPr>
            </w:pPr>
            <w:r w:rsidRPr="00540E51">
              <w:rPr>
                <w:color w:val="090D46" w:themeColor="text1"/>
                <w:sz w:val="18"/>
                <w:szCs w:val="18"/>
              </w:rPr>
              <w:t>Comments:</w:t>
            </w:r>
          </w:p>
          <w:p w14:paraId="1BE6251D" w14:textId="77777777" w:rsidR="002D7D14" w:rsidRDefault="002D7D14" w:rsidP="002D7D14">
            <w:pPr>
              <w:pStyle w:val="Table"/>
              <w:spacing w:before="100" w:after="100"/>
              <w:rPr>
                <w:b w:val="0"/>
                <w:bCs w:val="0"/>
                <w:sz w:val="18"/>
                <w:szCs w:val="18"/>
              </w:rPr>
            </w:pPr>
          </w:p>
          <w:p w14:paraId="66140D55" w14:textId="77777777" w:rsidR="002D7D14" w:rsidRDefault="002D7D14" w:rsidP="002D7D14">
            <w:pPr>
              <w:pStyle w:val="Table"/>
              <w:spacing w:before="100" w:after="100"/>
              <w:rPr>
                <w:b w:val="0"/>
                <w:bCs w:val="0"/>
                <w:sz w:val="18"/>
                <w:szCs w:val="18"/>
              </w:rPr>
            </w:pPr>
          </w:p>
          <w:p w14:paraId="7FB99963" w14:textId="77777777" w:rsidR="002D7D14" w:rsidRDefault="002D7D14" w:rsidP="002D7D14">
            <w:pPr>
              <w:pStyle w:val="Table"/>
              <w:spacing w:before="100" w:after="100"/>
              <w:rPr>
                <w:b w:val="0"/>
                <w:bCs w:val="0"/>
                <w:sz w:val="18"/>
                <w:szCs w:val="18"/>
              </w:rPr>
            </w:pPr>
          </w:p>
          <w:p w14:paraId="0B670A85" w14:textId="77777777" w:rsidR="00850739" w:rsidRDefault="00850739" w:rsidP="002D7D14">
            <w:pPr>
              <w:pStyle w:val="Table"/>
              <w:spacing w:before="100" w:after="100"/>
              <w:rPr>
                <w:b w:val="0"/>
                <w:bCs w:val="0"/>
                <w:sz w:val="18"/>
                <w:szCs w:val="18"/>
              </w:rPr>
            </w:pPr>
          </w:p>
          <w:p w14:paraId="345116E9" w14:textId="1A713A93" w:rsidR="008A4A63" w:rsidRDefault="008A4A63" w:rsidP="002D7D14">
            <w:pPr>
              <w:pStyle w:val="Table"/>
              <w:spacing w:before="100" w:after="100"/>
              <w:rPr>
                <w:sz w:val="18"/>
                <w:szCs w:val="18"/>
              </w:rPr>
            </w:pPr>
          </w:p>
        </w:tc>
      </w:tr>
      <w:tr w:rsidR="002D7D14" w:rsidRPr="00E058EC" w14:paraId="5BF137FA" w14:textId="77777777" w:rsidTr="00E058E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4119" w:type="pct"/>
            <w:gridSpan w:val="2"/>
            <w:shd w:val="clear" w:color="auto" w:fill="0A5CC7" w:themeFill="accent3"/>
            <w:hideMark/>
          </w:tcPr>
          <w:p w14:paraId="6DB45D3F" w14:textId="77777777" w:rsidR="002D7D14" w:rsidRPr="00E058EC" w:rsidRDefault="002D7D14" w:rsidP="002D7D14">
            <w:pPr>
              <w:pStyle w:val="Table"/>
              <w:spacing w:before="100" w:after="100"/>
              <w:rPr>
                <w:color w:val="FFFFFF" w:themeColor="background1"/>
                <w:sz w:val="18"/>
                <w:szCs w:val="18"/>
              </w:rPr>
            </w:pPr>
            <w:r w:rsidRPr="00E058EC">
              <w:rPr>
                <w:color w:val="FFFFFF" w:themeColor="background1"/>
                <w:sz w:val="18"/>
                <w:szCs w:val="18"/>
              </w:rPr>
              <w:lastRenderedPageBreak/>
              <w:t>DIVIDENDS</w:t>
            </w:r>
          </w:p>
        </w:tc>
        <w:tc>
          <w:tcPr>
            <w:tcW w:w="336" w:type="pct"/>
            <w:gridSpan w:val="2"/>
            <w:shd w:val="clear" w:color="auto" w:fill="0A5CC7" w:themeFill="accent3"/>
          </w:tcPr>
          <w:p w14:paraId="3B6A3718" w14:textId="77777777" w:rsidR="002D7D14" w:rsidRPr="00E058EC"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tcW w:w="270" w:type="pct"/>
            <w:gridSpan w:val="2"/>
            <w:shd w:val="clear" w:color="auto" w:fill="0A5CC7" w:themeFill="accent3"/>
          </w:tcPr>
          <w:p w14:paraId="74D05B46" w14:textId="77777777" w:rsidR="002D7D14" w:rsidRPr="00E058EC"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shd w:val="clear" w:color="auto" w:fill="0A5CC7" w:themeFill="accent3"/>
          </w:tcPr>
          <w:p w14:paraId="784A782C" w14:textId="77777777" w:rsidR="002D7D14" w:rsidRPr="00E058EC" w:rsidRDefault="002D7D14" w:rsidP="002D7D14">
            <w:pPr>
              <w:pStyle w:val="Table"/>
              <w:spacing w:before="100" w:after="100"/>
              <w:jc w:val="center"/>
              <w:rPr>
                <w:color w:val="FFFFFF" w:themeColor="background1"/>
                <w:sz w:val="18"/>
                <w:szCs w:val="18"/>
              </w:rPr>
            </w:pPr>
          </w:p>
        </w:tc>
      </w:tr>
      <w:tr w:rsidR="002D7D14" w14:paraId="7BD4D714"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4FFD65BC" w14:textId="77777777" w:rsidR="002D7D14" w:rsidRPr="00E058EC" w:rsidRDefault="002D7D14" w:rsidP="002D7D14">
            <w:pPr>
              <w:rPr>
                <w:b w:val="0"/>
                <w:bCs w:val="0"/>
              </w:rPr>
            </w:pPr>
            <w:r w:rsidRPr="00E058EC">
              <w:rPr>
                <w:b w:val="0"/>
                <w:bCs w:val="0"/>
              </w:rPr>
              <w:t>Check whether the taxpayer has a franking deficit account balance at year end.</w:t>
            </w:r>
          </w:p>
        </w:tc>
        <w:tc>
          <w:tcPr>
            <w:tcW w:w="336" w:type="pct"/>
            <w:gridSpan w:val="2"/>
          </w:tcPr>
          <w:p w14:paraId="4734B710"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gridSpan w:val="2"/>
          </w:tcPr>
          <w:p w14:paraId="4C5FAB84"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0D43C478" w14:textId="77777777" w:rsidR="002D7D14" w:rsidRDefault="002D7D14" w:rsidP="002D7D14">
            <w:pPr>
              <w:pStyle w:val="Table"/>
              <w:spacing w:before="100" w:after="100"/>
              <w:jc w:val="center"/>
              <w:rPr>
                <w:sz w:val="18"/>
                <w:szCs w:val="18"/>
              </w:rPr>
            </w:pPr>
          </w:p>
        </w:tc>
      </w:tr>
      <w:tr w:rsidR="002D7D14" w14:paraId="2CBF8208"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2F4C0FE8" w14:textId="77777777" w:rsidR="002D7D14" w:rsidRPr="00E058EC" w:rsidRDefault="002D7D14" w:rsidP="002D7D14">
            <w:pPr>
              <w:rPr>
                <w:b w:val="0"/>
                <w:bCs w:val="0"/>
              </w:rPr>
            </w:pPr>
            <w:r w:rsidRPr="00E058EC">
              <w:rPr>
                <w:b w:val="0"/>
                <w:bCs w:val="0"/>
              </w:rPr>
              <w:t>If there is a franking deficit account balance:</w:t>
            </w:r>
          </w:p>
          <w:p w14:paraId="5E0C7A1D" w14:textId="77777777" w:rsidR="002D7D14" w:rsidRPr="00A80725" w:rsidRDefault="002D7D14" w:rsidP="00A75412">
            <w:pPr>
              <w:pStyle w:val="ListBullet"/>
              <w:numPr>
                <w:ilvl w:val="0"/>
                <w:numId w:val="75"/>
              </w:numPr>
              <w:rPr>
                <w:b w:val="0"/>
                <w:bCs w:val="0"/>
                <w:i/>
              </w:rPr>
            </w:pPr>
            <w:r w:rsidRPr="00E058EC">
              <w:rPr>
                <w:b w:val="0"/>
                <w:bCs w:val="0"/>
              </w:rPr>
              <w:t xml:space="preserve">Consider deferring any franked dividends to the next financial </w:t>
            </w:r>
            <w:proofErr w:type="gramStart"/>
            <w:r w:rsidRPr="00E058EC">
              <w:rPr>
                <w:b w:val="0"/>
                <w:bCs w:val="0"/>
              </w:rPr>
              <w:t>year</w:t>
            </w:r>
            <w:proofErr w:type="gramEnd"/>
          </w:p>
          <w:p w14:paraId="140AF1A7" w14:textId="084400BF" w:rsidR="002D7D14" w:rsidRPr="00E058EC" w:rsidRDefault="002D7D14" w:rsidP="00A75412">
            <w:pPr>
              <w:pStyle w:val="ListBullet"/>
              <w:numPr>
                <w:ilvl w:val="0"/>
                <w:numId w:val="75"/>
              </w:numPr>
              <w:rPr>
                <w:b w:val="0"/>
                <w:bCs w:val="0"/>
                <w:i/>
              </w:rPr>
            </w:pPr>
            <w:r w:rsidRPr="00E058EC">
              <w:rPr>
                <w:b w:val="0"/>
                <w:bCs w:val="0"/>
              </w:rPr>
              <w:t>Check the liability for franking deficit tax (and the amount of any franking deficit tax offset potentially available).</w:t>
            </w:r>
          </w:p>
        </w:tc>
        <w:tc>
          <w:tcPr>
            <w:tcW w:w="0" w:type="pct"/>
            <w:gridSpan w:val="2"/>
            <w:shd w:val="clear" w:color="auto" w:fill="auto"/>
          </w:tcPr>
          <w:p w14:paraId="02E55A4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33C42723"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071E340D" w14:textId="77777777" w:rsidR="002D7D14" w:rsidRDefault="002D7D14" w:rsidP="002D7D14">
            <w:pPr>
              <w:pStyle w:val="Table"/>
              <w:spacing w:before="100" w:after="100"/>
              <w:jc w:val="center"/>
              <w:rPr>
                <w:sz w:val="18"/>
                <w:szCs w:val="18"/>
              </w:rPr>
            </w:pPr>
          </w:p>
        </w:tc>
      </w:tr>
      <w:tr w:rsidR="002D7D14" w14:paraId="024BDD6C"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748308CF" w14:textId="306092CD" w:rsidR="002D7D14" w:rsidRPr="00E058EC" w:rsidRDefault="002D7D14" w:rsidP="002D7D14">
            <w:pPr>
              <w:rPr>
                <w:b w:val="0"/>
                <w:bCs w:val="0"/>
              </w:rPr>
            </w:pPr>
            <w:r w:rsidRPr="00E058EC">
              <w:rPr>
                <w:b w:val="0"/>
                <w:bCs w:val="0"/>
              </w:rPr>
              <w:t>Check that the company tax rate used for imputation purposes in the 202</w:t>
            </w:r>
            <w:r w:rsidR="009728A7">
              <w:rPr>
                <w:b w:val="0"/>
                <w:bCs w:val="0"/>
              </w:rPr>
              <w:t>4</w:t>
            </w:r>
            <w:r w:rsidRPr="00E058EC">
              <w:rPr>
                <w:b w:val="0"/>
                <w:bCs w:val="0"/>
              </w:rPr>
              <w:t xml:space="preserve"> year has been calculated based on the company’s 202</w:t>
            </w:r>
            <w:r w:rsidR="003C7C14">
              <w:rPr>
                <w:b w:val="0"/>
                <w:bCs w:val="0"/>
              </w:rPr>
              <w:t>3</w:t>
            </w:r>
            <w:r w:rsidRPr="00E058EC">
              <w:rPr>
                <w:b w:val="0"/>
                <w:bCs w:val="0"/>
              </w:rPr>
              <w:t xml:space="preserve"> aggregated turnover, BREPI and assessable income which are taken to have been derived for the 202</w:t>
            </w:r>
            <w:r w:rsidR="003C7C14">
              <w:rPr>
                <w:b w:val="0"/>
                <w:bCs w:val="0"/>
              </w:rPr>
              <w:t>3</w:t>
            </w:r>
            <w:r w:rsidRPr="00E058EC">
              <w:rPr>
                <w:b w:val="0"/>
                <w:bCs w:val="0"/>
              </w:rPr>
              <w:t xml:space="preserve"> year for franking purposes.   </w:t>
            </w:r>
          </w:p>
          <w:p w14:paraId="27186E19" w14:textId="61096243" w:rsidR="002D7D14" w:rsidRDefault="002D7D14" w:rsidP="002D7D14">
            <w:pPr>
              <w:pStyle w:val="ListBullet"/>
              <w:ind w:left="0" w:firstLine="0"/>
              <w:rPr>
                <w:rFonts w:cs="Arial"/>
              </w:rPr>
            </w:pPr>
            <w:r w:rsidRPr="00E058EC">
              <w:rPr>
                <w:rFonts w:cs="Arial"/>
                <w:b w:val="0"/>
                <w:bCs w:val="0"/>
              </w:rPr>
              <w:t>Where the company had an aggregated turnover of less than $50 million and no more than 80% of that company’s assessable income is BREPI for the 202</w:t>
            </w:r>
            <w:r w:rsidR="003C7C14">
              <w:rPr>
                <w:rFonts w:cs="Arial"/>
                <w:b w:val="0"/>
                <w:bCs w:val="0"/>
              </w:rPr>
              <w:t>3</w:t>
            </w:r>
            <w:r w:rsidRPr="00E058EC">
              <w:rPr>
                <w:rFonts w:cs="Arial"/>
                <w:b w:val="0"/>
                <w:bCs w:val="0"/>
              </w:rPr>
              <w:t xml:space="preserve"> year it will apply the lower corporate tax rate of 25% in the 202</w:t>
            </w:r>
            <w:r w:rsidR="006329C8">
              <w:rPr>
                <w:rFonts w:cs="Arial"/>
                <w:b w:val="0"/>
                <w:bCs w:val="0"/>
              </w:rPr>
              <w:t>4</w:t>
            </w:r>
            <w:r w:rsidRPr="00E058EC">
              <w:rPr>
                <w:rFonts w:cs="Arial"/>
                <w:b w:val="0"/>
                <w:bCs w:val="0"/>
              </w:rPr>
              <w:t xml:space="preserve"> year for franking purposes. Where </w:t>
            </w:r>
            <w:proofErr w:type="gramStart"/>
            <w:r w:rsidRPr="00E058EC">
              <w:rPr>
                <w:rFonts w:cs="Arial"/>
                <w:b w:val="0"/>
                <w:bCs w:val="0"/>
              </w:rPr>
              <w:t>this criteria</w:t>
            </w:r>
            <w:proofErr w:type="gramEnd"/>
            <w:r w:rsidRPr="00E058EC">
              <w:rPr>
                <w:rFonts w:cs="Arial"/>
                <w:b w:val="0"/>
                <w:bCs w:val="0"/>
              </w:rPr>
              <w:t xml:space="preserve"> is not met</w:t>
            </w:r>
            <w:r w:rsidR="003968FC">
              <w:rPr>
                <w:rFonts w:cs="Arial"/>
                <w:b w:val="0"/>
                <w:bCs w:val="0"/>
              </w:rPr>
              <w:t>,</w:t>
            </w:r>
            <w:r w:rsidRPr="00E058EC">
              <w:rPr>
                <w:rFonts w:cs="Arial"/>
                <w:b w:val="0"/>
                <w:bCs w:val="0"/>
              </w:rPr>
              <w:t xml:space="preserve"> the corporate tax rate for imputation purposes for the 202</w:t>
            </w:r>
            <w:r w:rsidR="006329C8">
              <w:rPr>
                <w:rFonts w:cs="Arial"/>
                <w:b w:val="0"/>
                <w:bCs w:val="0"/>
              </w:rPr>
              <w:t>4</w:t>
            </w:r>
            <w:r w:rsidRPr="00E058EC">
              <w:rPr>
                <w:rFonts w:cs="Arial"/>
                <w:b w:val="0"/>
                <w:bCs w:val="0"/>
              </w:rPr>
              <w:t xml:space="preserve"> year will be 30%. Where the company did not exist in the previous year its corporate tax rate for imputation purposes will be deemed to be at the lower corporate tax rate of 2</w:t>
            </w:r>
            <w:r w:rsidR="00303D1B">
              <w:rPr>
                <w:rFonts w:cs="Arial"/>
                <w:b w:val="0"/>
                <w:bCs w:val="0"/>
              </w:rPr>
              <w:t>5</w:t>
            </w:r>
            <w:r w:rsidRPr="00E058EC">
              <w:rPr>
                <w:rFonts w:cs="Arial"/>
                <w:b w:val="0"/>
                <w:bCs w:val="0"/>
              </w:rPr>
              <w:t>%.</w:t>
            </w:r>
          </w:p>
          <w:p w14:paraId="49EC464C" w14:textId="1C9BFBD2" w:rsidR="002D7D14" w:rsidRPr="00E058EC" w:rsidRDefault="002D7D14" w:rsidP="002D7D14">
            <w:pPr>
              <w:pStyle w:val="ListBullet"/>
              <w:ind w:left="0" w:firstLine="0"/>
              <w:rPr>
                <w:b w:val="0"/>
                <w:bCs w:val="0"/>
              </w:rPr>
            </w:pPr>
          </w:p>
        </w:tc>
        <w:tc>
          <w:tcPr>
            <w:tcW w:w="336" w:type="pct"/>
            <w:gridSpan w:val="2"/>
          </w:tcPr>
          <w:p w14:paraId="08519FD7"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gridSpan w:val="2"/>
          </w:tcPr>
          <w:p w14:paraId="3E6DA07F"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0EB2F41E" w14:textId="77777777" w:rsidR="002D7D14" w:rsidRDefault="002D7D14" w:rsidP="002D7D14">
            <w:pPr>
              <w:pStyle w:val="Table"/>
              <w:spacing w:before="100" w:after="100"/>
              <w:jc w:val="center"/>
              <w:rPr>
                <w:sz w:val="18"/>
                <w:szCs w:val="18"/>
              </w:rPr>
            </w:pPr>
          </w:p>
        </w:tc>
      </w:tr>
      <w:tr w:rsidR="002D7D14" w14:paraId="77B21E47"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5229A108" w14:textId="77777777" w:rsidR="002D7D14" w:rsidRDefault="002D7D14" w:rsidP="002D7D14">
            <w:r w:rsidRPr="00E058EC">
              <w:rPr>
                <w:b w:val="0"/>
                <w:bCs w:val="0"/>
              </w:rPr>
              <w:t>Ensure that the 45/90 day holding period rule has been considered in relation to dividends paid/received.</w:t>
            </w:r>
          </w:p>
          <w:p w14:paraId="701F9FF9" w14:textId="5E5DDE65" w:rsidR="002D7D14" w:rsidRDefault="002D7D14" w:rsidP="002D7D14"/>
        </w:tc>
        <w:tc>
          <w:tcPr>
            <w:tcW w:w="0" w:type="pct"/>
            <w:gridSpan w:val="2"/>
            <w:shd w:val="clear" w:color="auto" w:fill="auto"/>
          </w:tcPr>
          <w:p w14:paraId="0848F58B"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7200802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18405964" w14:textId="77777777" w:rsidR="002D7D14" w:rsidRDefault="002D7D14" w:rsidP="002D7D14">
            <w:pPr>
              <w:pStyle w:val="Table"/>
              <w:spacing w:before="100" w:after="100"/>
              <w:jc w:val="center"/>
              <w:rPr>
                <w:sz w:val="18"/>
                <w:szCs w:val="18"/>
              </w:rPr>
            </w:pPr>
          </w:p>
        </w:tc>
      </w:tr>
      <w:tr w:rsidR="002D7D14" w14:paraId="291F2C50"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tcPr>
          <w:p w14:paraId="0740788A" w14:textId="135EA99E" w:rsidR="002D7D14" w:rsidRPr="00D5618C" w:rsidRDefault="002D7D14" w:rsidP="002D7D14">
            <w:r w:rsidRPr="00E058EC">
              <w:rPr>
                <w:b w:val="0"/>
                <w:bCs w:val="0"/>
              </w:rPr>
              <w:t xml:space="preserve">Check that section 254T of the </w:t>
            </w:r>
            <w:r w:rsidRPr="00E058EC">
              <w:rPr>
                <w:b w:val="0"/>
                <w:bCs w:val="0"/>
                <w:i/>
              </w:rPr>
              <w:t>Corporations Act 2001</w:t>
            </w:r>
            <w:r w:rsidRPr="00E058EC">
              <w:rPr>
                <w:b w:val="0"/>
                <w:bCs w:val="0"/>
              </w:rPr>
              <w:t xml:space="preserve"> has been complied with in determining the company’s ability to pay a dividend and that a dividend resolution has been prepared.</w:t>
            </w:r>
          </w:p>
        </w:tc>
        <w:tc>
          <w:tcPr>
            <w:tcW w:w="0" w:type="pct"/>
            <w:gridSpan w:val="2"/>
            <w:shd w:val="clear" w:color="auto" w:fill="auto"/>
          </w:tcPr>
          <w:p w14:paraId="4F5D0B97" w14:textId="77777777" w:rsidR="002D7D14" w:rsidRPr="00E058EC" w:rsidRDefault="002D7D14" w:rsidP="002D7D14">
            <w:pPr>
              <w:cnfStyle w:val="000000100000" w:firstRow="0" w:lastRow="0" w:firstColumn="0" w:lastColumn="0" w:oddVBand="0" w:evenVBand="0" w:oddHBand="1" w:evenHBand="0" w:firstRowFirstColumn="0" w:firstRowLastColumn="0" w:lastRowFirstColumn="0" w:lastRowLastColumn="0"/>
            </w:pPr>
          </w:p>
        </w:tc>
        <w:tc>
          <w:tcPr>
            <w:tcW w:w="0" w:type="pct"/>
            <w:gridSpan w:val="2"/>
            <w:shd w:val="clear" w:color="auto" w:fill="auto"/>
          </w:tcPr>
          <w:p w14:paraId="3F92884E"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7383FA1D" w14:textId="77777777" w:rsidR="002D7D14" w:rsidRDefault="002D7D14" w:rsidP="002D7D14">
            <w:pPr>
              <w:pStyle w:val="Table"/>
              <w:spacing w:before="100" w:after="100"/>
              <w:jc w:val="center"/>
              <w:rPr>
                <w:sz w:val="18"/>
                <w:szCs w:val="18"/>
              </w:rPr>
            </w:pPr>
          </w:p>
        </w:tc>
      </w:tr>
      <w:tr w:rsidR="00D5618C" w14:paraId="3F6A058D"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tcPr>
          <w:p w14:paraId="2B2FDEE7" w14:textId="41B03122" w:rsidR="00D5618C" w:rsidRPr="00E058EC" w:rsidRDefault="00D5618C" w:rsidP="002D7D14">
            <w:r>
              <w:rPr>
                <w:b w:val="0"/>
                <w:bCs w:val="0"/>
              </w:rPr>
              <w:t>Check whether the franked distributions made are directly or indirectly funded by capital raising activities</w:t>
            </w:r>
            <w:r w:rsidR="00A72243">
              <w:rPr>
                <w:b w:val="0"/>
                <w:bCs w:val="0"/>
              </w:rPr>
              <w:t xml:space="preserve">, as </w:t>
            </w:r>
            <w:r>
              <w:rPr>
                <w:b w:val="0"/>
                <w:bCs w:val="0"/>
              </w:rPr>
              <w:t xml:space="preserve">companies </w:t>
            </w:r>
            <w:r w:rsidR="00150AC2">
              <w:rPr>
                <w:b w:val="0"/>
                <w:bCs w:val="0"/>
              </w:rPr>
              <w:t>are prevented from attaching franking credits to such distributions</w:t>
            </w:r>
            <w:r w:rsidR="008A5777">
              <w:rPr>
                <w:b w:val="0"/>
                <w:bCs w:val="0"/>
              </w:rPr>
              <w:t xml:space="preserve"> made from 28 November 2023,</w:t>
            </w:r>
            <w:r w:rsidR="00150AC2">
              <w:rPr>
                <w:b w:val="0"/>
                <w:bCs w:val="0"/>
              </w:rPr>
              <w:t xml:space="preserve"> if the conditions of section 207-159 of the ITAA 1997 are </w:t>
            </w:r>
            <w:r w:rsidR="008A5777">
              <w:rPr>
                <w:b w:val="0"/>
                <w:bCs w:val="0"/>
              </w:rPr>
              <w:t>met</w:t>
            </w:r>
            <w:r w:rsidR="00150AC2">
              <w:rPr>
                <w:b w:val="0"/>
                <w:bCs w:val="0"/>
              </w:rPr>
              <w:t xml:space="preserve">. </w:t>
            </w:r>
          </w:p>
        </w:tc>
        <w:tc>
          <w:tcPr>
            <w:tcW w:w="0" w:type="pct"/>
            <w:gridSpan w:val="2"/>
            <w:shd w:val="clear" w:color="auto" w:fill="auto"/>
          </w:tcPr>
          <w:p w14:paraId="6686FC30" w14:textId="77777777" w:rsidR="00D5618C" w:rsidRPr="00E058EC" w:rsidRDefault="00D5618C" w:rsidP="002D7D14">
            <w:pPr>
              <w:cnfStyle w:val="000000000000" w:firstRow="0" w:lastRow="0" w:firstColumn="0" w:lastColumn="0" w:oddVBand="0" w:evenVBand="0" w:oddHBand="0" w:evenHBand="0" w:firstRowFirstColumn="0" w:firstRowLastColumn="0" w:lastRowFirstColumn="0" w:lastRowLastColumn="0"/>
            </w:pPr>
          </w:p>
        </w:tc>
        <w:tc>
          <w:tcPr>
            <w:tcW w:w="0" w:type="pct"/>
            <w:gridSpan w:val="2"/>
            <w:shd w:val="clear" w:color="auto" w:fill="auto"/>
          </w:tcPr>
          <w:p w14:paraId="6385A716" w14:textId="77777777" w:rsidR="00D5618C" w:rsidRDefault="00D5618C"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1967D52E" w14:textId="77777777" w:rsidR="00D5618C" w:rsidRDefault="00D5618C" w:rsidP="002D7D14">
            <w:pPr>
              <w:pStyle w:val="Table"/>
              <w:spacing w:before="100" w:after="100"/>
              <w:jc w:val="center"/>
              <w:rPr>
                <w:sz w:val="18"/>
                <w:szCs w:val="18"/>
              </w:rPr>
            </w:pPr>
          </w:p>
        </w:tc>
      </w:tr>
      <w:tr w:rsidR="002D7D14" w14:paraId="69E00E88"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755F7388" w14:textId="77777777" w:rsidR="002D7D14" w:rsidRPr="00E058EC" w:rsidRDefault="002D7D14" w:rsidP="002D7D14">
            <w:pPr>
              <w:pStyle w:val="Table"/>
              <w:spacing w:before="100" w:after="100"/>
              <w:rPr>
                <w:bCs w:val="0"/>
                <w:color w:val="FFFFFF" w:themeColor="background1"/>
                <w:sz w:val="18"/>
                <w:szCs w:val="18"/>
              </w:rPr>
            </w:pPr>
            <w:r w:rsidRPr="00E058EC">
              <w:rPr>
                <w:color w:val="FFFFFF" w:themeColor="background1"/>
                <w:sz w:val="18"/>
                <w:szCs w:val="18"/>
              </w:rPr>
              <w:t xml:space="preserve">DEDUCTIONS ON PAYMENTS </w:t>
            </w:r>
          </w:p>
        </w:tc>
      </w:tr>
      <w:tr w:rsidR="002D7D14" w14:paraId="515A015A"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539A676C" w14:textId="7E29E3EA" w:rsidR="002D7D14" w:rsidRPr="00E058EC" w:rsidRDefault="002D7D14" w:rsidP="00AB2D91">
            <w:pPr>
              <w:pStyle w:val="Table"/>
              <w:spacing w:before="100" w:after="100"/>
              <w:rPr>
                <w:b w:val="0"/>
                <w:bCs w:val="0"/>
                <w:color w:val="090D46" w:themeColor="text1"/>
                <w:sz w:val="18"/>
                <w:szCs w:val="18"/>
              </w:rPr>
            </w:pPr>
            <w:r w:rsidRPr="00E058EC">
              <w:rPr>
                <w:b w:val="0"/>
                <w:bCs w:val="0"/>
                <w:color w:val="090D46" w:themeColor="text1"/>
                <w:sz w:val="18"/>
                <w:szCs w:val="18"/>
              </w:rPr>
              <w:t xml:space="preserve">Payments made or non-cash benefits provided on or after 1 July 2019 to an employee, director, religious practitioner or under a labour hire agreement is not deductible if the payer fails to withhold (or in the case of a non-cash benefit pay an amount) under the PAYG withholding </w:t>
            </w:r>
            <w:proofErr w:type="gramStart"/>
            <w:r w:rsidRPr="00E058EC">
              <w:rPr>
                <w:b w:val="0"/>
                <w:bCs w:val="0"/>
                <w:color w:val="090D46" w:themeColor="text1"/>
                <w:sz w:val="18"/>
                <w:szCs w:val="18"/>
              </w:rPr>
              <w:t>system</w:t>
            </w:r>
            <w:r w:rsidR="00B52E44">
              <w:rPr>
                <w:b w:val="0"/>
                <w:bCs w:val="0"/>
                <w:color w:val="090D46" w:themeColor="text1"/>
                <w:sz w:val="18"/>
                <w:szCs w:val="18"/>
              </w:rPr>
              <w:t>,</w:t>
            </w:r>
            <w:r w:rsidRPr="00E058EC">
              <w:rPr>
                <w:b w:val="0"/>
                <w:bCs w:val="0"/>
                <w:color w:val="090D46" w:themeColor="text1"/>
                <w:sz w:val="18"/>
                <w:szCs w:val="18"/>
              </w:rPr>
              <w:t xml:space="preserve"> or</w:t>
            </w:r>
            <w:proofErr w:type="gramEnd"/>
            <w:r w:rsidRPr="00E058EC">
              <w:rPr>
                <w:b w:val="0"/>
                <w:bCs w:val="0"/>
                <w:color w:val="090D46" w:themeColor="text1"/>
                <w:sz w:val="18"/>
                <w:szCs w:val="18"/>
              </w:rPr>
              <w:t xml:space="preserve"> fails to notify the ATO where required to do so.</w:t>
            </w:r>
          </w:p>
        </w:tc>
        <w:tc>
          <w:tcPr>
            <w:tcW w:w="0" w:type="pct"/>
            <w:gridSpan w:val="2"/>
            <w:shd w:val="clear" w:color="auto" w:fill="auto"/>
          </w:tcPr>
          <w:p w14:paraId="657E8947"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426549FA"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42D3C5DA" w14:textId="77777777" w:rsidR="002D7D14" w:rsidRDefault="002D7D14" w:rsidP="002D7D14">
            <w:pPr>
              <w:pStyle w:val="Table"/>
              <w:spacing w:before="100" w:after="100"/>
              <w:jc w:val="center"/>
              <w:rPr>
                <w:sz w:val="18"/>
                <w:szCs w:val="18"/>
              </w:rPr>
            </w:pPr>
          </w:p>
        </w:tc>
      </w:tr>
      <w:tr w:rsidR="002D7D14" w14:paraId="5BBA545E"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3BD4547F" w14:textId="77777777" w:rsidR="002D7D14" w:rsidRPr="00E058EC" w:rsidRDefault="002D7D14" w:rsidP="002D7D14">
            <w:pPr>
              <w:pStyle w:val="Tableheading"/>
              <w:keepNext/>
              <w:rPr>
                <w:b/>
                <w:bCs w:val="0"/>
                <w:color w:val="FFFFFF" w:themeColor="background1"/>
                <w:sz w:val="18"/>
                <w:szCs w:val="18"/>
              </w:rPr>
            </w:pPr>
            <w:r w:rsidRPr="00E058EC">
              <w:rPr>
                <w:b/>
                <w:bCs w:val="0"/>
                <w:color w:val="FFFFFF" w:themeColor="background1"/>
                <w:sz w:val="18"/>
                <w:szCs w:val="18"/>
              </w:rPr>
              <w:t xml:space="preserve">FRINGE BENEFITS TAX </w:t>
            </w:r>
          </w:p>
        </w:tc>
      </w:tr>
      <w:tr w:rsidR="002D7D14" w14:paraId="7FDC8A6F"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164377E3" w14:textId="3CA571E1" w:rsidR="002D7D14" w:rsidRPr="00E058EC" w:rsidRDefault="002D7D14" w:rsidP="002D7D14">
            <w:pPr>
              <w:rPr>
                <w:b w:val="0"/>
                <w:bCs w:val="0"/>
              </w:rPr>
            </w:pPr>
            <w:r w:rsidRPr="00E058EC">
              <w:rPr>
                <w:b w:val="0"/>
                <w:bCs w:val="0"/>
              </w:rPr>
              <w:t xml:space="preserve">Review an employee’s remuneration package to determine whether any exempt or concessionally taxed fringe benefits could be provided to employees as part of their future packaging arrangements. Refer to CPA Australia’s </w:t>
            </w:r>
            <w:hyperlink r:id="rId18" w:history="1">
              <w:r w:rsidRPr="00540E51">
                <w:rPr>
                  <w:b w:val="0"/>
                  <w:bCs w:val="0"/>
                  <w:u w:val="single"/>
                </w:rPr>
                <w:t>FBT checklist</w:t>
              </w:r>
            </w:hyperlink>
            <w:r w:rsidRPr="00540E51">
              <w:rPr>
                <w:b w:val="0"/>
                <w:bCs w:val="0"/>
              </w:rPr>
              <w:t xml:space="preserve"> in</w:t>
            </w:r>
            <w:r w:rsidRPr="0080192A">
              <w:rPr>
                <w:b w:val="0"/>
                <w:bCs w:val="0"/>
                <w:szCs w:val="18"/>
              </w:rPr>
              <w:t xml:space="preserve"> </w:t>
            </w:r>
            <w:r w:rsidRPr="00F010E3">
              <w:rPr>
                <w:b w:val="0"/>
                <w:bCs w:val="0"/>
                <w:szCs w:val="18"/>
              </w:rPr>
              <w:t xml:space="preserve">the </w:t>
            </w:r>
            <w:hyperlink r:id="rId19" w:history="1">
              <w:r w:rsidRPr="00F010E3">
                <w:rPr>
                  <w:rStyle w:val="Hyperlink"/>
                  <w:szCs w:val="18"/>
                </w:rPr>
                <w:t>t</w:t>
              </w:r>
              <w:r w:rsidRPr="00F010E3">
                <w:rPr>
                  <w:rStyle w:val="Hyperlink"/>
                  <w:b w:val="0"/>
                  <w:bCs w:val="0"/>
                  <w:szCs w:val="18"/>
                </w:rPr>
                <w:t xml:space="preserve">ax time </w:t>
              </w:r>
              <w:proofErr w:type="spellStart"/>
              <w:r w:rsidRPr="00F010E3">
                <w:rPr>
                  <w:rStyle w:val="Hyperlink"/>
                  <w:b w:val="0"/>
                  <w:bCs w:val="0"/>
                  <w:szCs w:val="18"/>
                </w:rPr>
                <w:t>year end</w:t>
              </w:r>
              <w:proofErr w:type="spellEnd"/>
              <w:r w:rsidRPr="00F010E3">
                <w:rPr>
                  <w:rStyle w:val="Hyperlink"/>
                  <w:b w:val="0"/>
                  <w:bCs w:val="0"/>
                  <w:szCs w:val="18"/>
                </w:rPr>
                <w:t xml:space="preserve"> resources</w:t>
              </w:r>
            </w:hyperlink>
            <w:r w:rsidRPr="00F010E3">
              <w:rPr>
                <w:b w:val="0"/>
                <w:bCs w:val="0"/>
                <w:szCs w:val="18"/>
              </w:rPr>
              <w:t xml:space="preserve"> for details of each category of fringe benefits and their valuation rules.</w:t>
            </w:r>
          </w:p>
        </w:tc>
        <w:tc>
          <w:tcPr>
            <w:tcW w:w="0" w:type="pct"/>
            <w:gridSpan w:val="2"/>
            <w:shd w:val="clear" w:color="auto" w:fill="auto"/>
          </w:tcPr>
          <w:p w14:paraId="355AFBDC"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7E7CE9D4"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19237217" w14:textId="77777777" w:rsidR="002D7D14" w:rsidRDefault="002D7D14" w:rsidP="002D7D14">
            <w:pPr>
              <w:pStyle w:val="Table"/>
              <w:spacing w:before="100" w:after="100"/>
              <w:jc w:val="center"/>
              <w:rPr>
                <w:sz w:val="18"/>
                <w:szCs w:val="18"/>
              </w:rPr>
            </w:pPr>
          </w:p>
        </w:tc>
      </w:tr>
      <w:tr w:rsidR="002D7D14" w14:paraId="37C95857"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4AB7B95D" w14:textId="77777777" w:rsidR="002D7D14" w:rsidRPr="00E058EC" w:rsidRDefault="002D7D14" w:rsidP="002D7D14">
            <w:pPr>
              <w:rPr>
                <w:b w:val="0"/>
                <w:bCs w:val="0"/>
              </w:rPr>
            </w:pPr>
            <w:r w:rsidRPr="00E058EC">
              <w:rPr>
                <w:b w:val="0"/>
                <w:bCs w:val="0"/>
              </w:rPr>
              <w:lastRenderedPageBreak/>
              <w:t>Consider if your staff entertainment expenditure will qualify for the minor and infrequent FBT exemption (</w:t>
            </w:r>
            <w:proofErr w:type="gramStart"/>
            <w:r w:rsidRPr="00E058EC">
              <w:rPr>
                <w:b w:val="0"/>
                <w:bCs w:val="0"/>
              </w:rPr>
              <w:t>i.e.</w:t>
            </w:r>
            <w:proofErr w:type="gramEnd"/>
            <w:r w:rsidRPr="00E058EC">
              <w:rPr>
                <w:b w:val="0"/>
                <w:bCs w:val="0"/>
              </w:rPr>
              <w:t xml:space="preserve"> less than $300) to minimise FBT liability. Further details on the rule regarding the provision of minor benefits is set out in Taxation Ruling TR 2007/12</w:t>
            </w:r>
            <w:r w:rsidRPr="00E058EC">
              <w:rPr>
                <w:b w:val="0"/>
                <w:bCs w:val="0"/>
                <w:i/>
              </w:rPr>
              <w:t>.</w:t>
            </w:r>
          </w:p>
        </w:tc>
        <w:tc>
          <w:tcPr>
            <w:tcW w:w="0" w:type="pct"/>
            <w:gridSpan w:val="2"/>
            <w:shd w:val="clear" w:color="auto" w:fill="auto"/>
          </w:tcPr>
          <w:p w14:paraId="054EF423"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2"/>
            <w:shd w:val="clear" w:color="auto" w:fill="auto"/>
          </w:tcPr>
          <w:p w14:paraId="40F8A3E7"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1DB4AFCF" w14:textId="77777777" w:rsidR="002D7D14" w:rsidRDefault="002D7D14" w:rsidP="002D7D14">
            <w:pPr>
              <w:pStyle w:val="Table"/>
              <w:spacing w:before="100" w:after="100"/>
              <w:jc w:val="center"/>
              <w:rPr>
                <w:sz w:val="18"/>
                <w:szCs w:val="18"/>
              </w:rPr>
            </w:pPr>
          </w:p>
        </w:tc>
      </w:tr>
      <w:tr w:rsidR="002D7D14" w14:paraId="7E623B5A"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424EC7AA" w14:textId="77777777" w:rsidR="002D7D14" w:rsidRPr="00E058EC" w:rsidRDefault="002D7D14" w:rsidP="002D7D14">
            <w:pPr>
              <w:rPr>
                <w:b w:val="0"/>
                <w:bCs w:val="0"/>
              </w:rPr>
            </w:pPr>
            <w:r w:rsidRPr="00E058EC">
              <w:rPr>
                <w:b w:val="0"/>
                <w:bCs w:val="0"/>
              </w:rPr>
              <w:t>Ensure that no GST input tax credit has been claimed on entertainment that qualifies for the minor and infrequent FBT exemption.</w:t>
            </w:r>
          </w:p>
        </w:tc>
        <w:tc>
          <w:tcPr>
            <w:tcW w:w="0" w:type="pct"/>
            <w:gridSpan w:val="2"/>
            <w:shd w:val="clear" w:color="auto" w:fill="auto"/>
          </w:tcPr>
          <w:p w14:paraId="634E983A"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5932D03F"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0D6BDF4D" w14:textId="77777777" w:rsidR="002D7D14" w:rsidRDefault="002D7D14" w:rsidP="002D7D14">
            <w:pPr>
              <w:pStyle w:val="Table"/>
              <w:spacing w:before="100" w:after="100"/>
              <w:jc w:val="center"/>
              <w:rPr>
                <w:sz w:val="18"/>
                <w:szCs w:val="18"/>
              </w:rPr>
            </w:pPr>
          </w:p>
        </w:tc>
      </w:tr>
      <w:tr w:rsidR="002D7D14" w14:paraId="523EEE3C"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198BD63F" w14:textId="1532BAD1" w:rsidR="002D7D14" w:rsidRPr="00E058EC" w:rsidRDefault="002D7D14" w:rsidP="00AB2D91">
            <w:pPr>
              <w:rPr>
                <w:b w:val="0"/>
                <w:bCs w:val="0"/>
              </w:rPr>
            </w:pPr>
            <w:r w:rsidRPr="00E058EC">
              <w:rPr>
                <w:b w:val="0"/>
                <w:bCs w:val="0"/>
              </w:rPr>
              <w:t>Ensure pooled or shared cars which are used by more than one employee for private purposes are not reported on the employee’s payment summary.</w:t>
            </w:r>
          </w:p>
        </w:tc>
        <w:tc>
          <w:tcPr>
            <w:tcW w:w="0" w:type="pct"/>
            <w:gridSpan w:val="2"/>
            <w:shd w:val="clear" w:color="auto" w:fill="auto"/>
          </w:tcPr>
          <w:p w14:paraId="24A6EDC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2"/>
            <w:shd w:val="clear" w:color="auto" w:fill="auto"/>
          </w:tcPr>
          <w:p w14:paraId="32FBC7CD"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002CD047" w14:textId="77777777" w:rsidR="002D7D14" w:rsidRDefault="002D7D14" w:rsidP="002D7D14">
            <w:pPr>
              <w:pStyle w:val="Table"/>
              <w:spacing w:before="100" w:after="100"/>
              <w:jc w:val="center"/>
              <w:rPr>
                <w:sz w:val="18"/>
                <w:szCs w:val="18"/>
              </w:rPr>
            </w:pPr>
          </w:p>
        </w:tc>
      </w:tr>
      <w:tr w:rsidR="002D7D14" w14:paraId="0C99351D"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534667B6" w14:textId="77777777" w:rsidR="002D7D14" w:rsidRPr="00E058EC" w:rsidRDefault="002D7D14" w:rsidP="002D7D14">
            <w:pPr>
              <w:rPr>
                <w:b w:val="0"/>
                <w:bCs w:val="0"/>
              </w:rPr>
            </w:pPr>
            <w:r w:rsidRPr="00E058EC">
              <w:rPr>
                <w:b w:val="0"/>
                <w:bCs w:val="0"/>
              </w:rPr>
              <w:t>Check for any exempt eligible work items, intended to be used primarily in the employee’s employment, including:</w:t>
            </w:r>
          </w:p>
          <w:p w14:paraId="4F059944" w14:textId="77777777" w:rsidR="002D7D14" w:rsidRPr="00E058EC" w:rsidRDefault="002D7D14" w:rsidP="00A75412">
            <w:pPr>
              <w:pStyle w:val="ListBullet"/>
              <w:numPr>
                <w:ilvl w:val="0"/>
                <w:numId w:val="76"/>
              </w:numPr>
              <w:rPr>
                <w:b w:val="0"/>
                <w:bCs w:val="0"/>
              </w:rPr>
            </w:pPr>
            <w:r w:rsidRPr="00E058EC">
              <w:rPr>
                <w:b w:val="0"/>
                <w:bCs w:val="0"/>
              </w:rPr>
              <w:t>Portable electronic devices</w:t>
            </w:r>
          </w:p>
          <w:p w14:paraId="24D5B1FA" w14:textId="77777777" w:rsidR="002D7D14" w:rsidRPr="00E058EC" w:rsidRDefault="002D7D14" w:rsidP="00A75412">
            <w:pPr>
              <w:pStyle w:val="ListBullet"/>
              <w:numPr>
                <w:ilvl w:val="0"/>
                <w:numId w:val="76"/>
              </w:numPr>
              <w:rPr>
                <w:b w:val="0"/>
                <w:bCs w:val="0"/>
              </w:rPr>
            </w:pPr>
            <w:r w:rsidRPr="00E058EC">
              <w:rPr>
                <w:b w:val="0"/>
                <w:bCs w:val="0"/>
              </w:rPr>
              <w:t>Computer software</w:t>
            </w:r>
          </w:p>
          <w:p w14:paraId="3519895B" w14:textId="77777777" w:rsidR="002D7D14" w:rsidRPr="00E058EC" w:rsidRDefault="002D7D14" w:rsidP="00A75412">
            <w:pPr>
              <w:pStyle w:val="ListBullet"/>
              <w:numPr>
                <w:ilvl w:val="0"/>
                <w:numId w:val="76"/>
              </w:numPr>
              <w:rPr>
                <w:b w:val="0"/>
                <w:bCs w:val="0"/>
              </w:rPr>
            </w:pPr>
            <w:r w:rsidRPr="00E058EC">
              <w:rPr>
                <w:b w:val="0"/>
                <w:bCs w:val="0"/>
              </w:rPr>
              <w:t>Protective clothing</w:t>
            </w:r>
          </w:p>
          <w:p w14:paraId="2FB7311D" w14:textId="77777777" w:rsidR="002D7D14" w:rsidRPr="00E058EC" w:rsidRDefault="002D7D14" w:rsidP="00A75412">
            <w:pPr>
              <w:pStyle w:val="ListBullet"/>
              <w:numPr>
                <w:ilvl w:val="0"/>
                <w:numId w:val="76"/>
              </w:numPr>
              <w:rPr>
                <w:b w:val="0"/>
                <w:bCs w:val="0"/>
              </w:rPr>
            </w:pPr>
            <w:r w:rsidRPr="00E058EC">
              <w:rPr>
                <w:b w:val="0"/>
                <w:bCs w:val="0"/>
              </w:rPr>
              <w:t>Briefcase</w:t>
            </w:r>
          </w:p>
          <w:p w14:paraId="21E40333" w14:textId="61286B7A" w:rsidR="002D7D14" w:rsidRDefault="002D7D14" w:rsidP="00A75412">
            <w:pPr>
              <w:pStyle w:val="ListBullet"/>
              <w:numPr>
                <w:ilvl w:val="0"/>
                <w:numId w:val="76"/>
              </w:numPr>
            </w:pPr>
            <w:r w:rsidRPr="00E058EC">
              <w:rPr>
                <w:b w:val="0"/>
                <w:bCs w:val="0"/>
              </w:rPr>
              <w:t>Tools of trade</w:t>
            </w:r>
          </w:p>
          <w:p w14:paraId="435B70F4" w14:textId="1FD7E152" w:rsidR="002D7D14" w:rsidRPr="00E058EC" w:rsidRDefault="002D7D14" w:rsidP="002D7D14">
            <w:pPr>
              <w:rPr>
                <w:b w:val="0"/>
                <w:bCs w:val="0"/>
                <w:szCs w:val="18"/>
              </w:rPr>
            </w:pPr>
            <w:r w:rsidRPr="00E058EC">
              <w:rPr>
                <w:b w:val="0"/>
                <w:bCs w:val="0"/>
              </w:rPr>
              <w:t xml:space="preserve">From 1 April 2021, the turnover threshold to determine if a small business can access this exemption </w:t>
            </w:r>
            <w:r w:rsidR="007D79C3">
              <w:rPr>
                <w:b w:val="0"/>
                <w:bCs w:val="0"/>
              </w:rPr>
              <w:t>is</w:t>
            </w:r>
            <w:r w:rsidRPr="00E058EC">
              <w:rPr>
                <w:b w:val="0"/>
                <w:bCs w:val="0"/>
              </w:rPr>
              <w:t xml:space="preserve"> $50 million for an income year that ends or starts in the relevant FBT year</w:t>
            </w:r>
            <w:r w:rsidRPr="00E058EC">
              <w:rPr>
                <w:b w:val="0"/>
                <w:bCs w:val="0"/>
                <w:szCs w:val="18"/>
              </w:rPr>
              <w:t>.</w:t>
            </w:r>
          </w:p>
        </w:tc>
        <w:tc>
          <w:tcPr>
            <w:tcW w:w="0" w:type="pct"/>
            <w:gridSpan w:val="2"/>
            <w:shd w:val="clear" w:color="auto" w:fill="auto"/>
          </w:tcPr>
          <w:p w14:paraId="260907AD"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437832D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754253E3" w14:textId="77777777" w:rsidR="002D7D14" w:rsidRDefault="002D7D14" w:rsidP="002D7D14">
            <w:pPr>
              <w:pStyle w:val="Table"/>
              <w:spacing w:before="100" w:after="100"/>
              <w:jc w:val="center"/>
              <w:rPr>
                <w:sz w:val="18"/>
                <w:szCs w:val="18"/>
              </w:rPr>
            </w:pPr>
          </w:p>
        </w:tc>
      </w:tr>
      <w:tr w:rsidR="002D7D14" w14:paraId="2C6EDE87"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6C974092" w14:textId="77777777" w:rsidR="002D7D14" w:rsidRPr="00E058EC" w:rsidRDefault="002D7D14" w:rsidP="002D7D14">
            <w:pPr>
              <w:rPr>
                <w:b w:val="0"/>
                <w:bCs w:val="0"/>
              </w:rPr>
            </w:pPr>
            <w:r w:rsidRPr="00E058EC">
              <w:rPr>
                <w:b w:val="0"/>
                <w:bCs w:val="0"/>
              </w:rPr>
              <w:t>Is the employer a small business that provides car parking to its employees?</w:t>
            </w:r>
          </w:p>
          <w:p w14:paraId="0195133C" w14:textId="77777777" w:rsidR="002D7D14" w:rsidRDefault="002D7D14" w:rsidP="002D7D14">
            <w:r w:rsidRPr="00E058EC">
              <w:rPr>
                <w:b w:val="0"/>
                <w:bCs w:val="0"/>
              </w:rPr>
              <w:t>Employers that are not public companies, and which have derived less than $50 million in ordinary and statutory income in the previous income year or are small business entities, may qualify for a small business car parking exemption.</w:t>
            </w:r>
            <w:r>
              <w:t xml:space="preserve"> </w:t>
            </w:r>
          </w:p>
        </w:tc>
        <w:tc>
          <w:tcPr>
            <w:tcW w:w="336" w:type="pct"/>
            <w:gridSpan w:val="2"/>
          </w:tcPr>
          <w:p w14:paraId="4F0F916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gridSpan w:val="2"/>
          </w:tcPr>
          <w:p w14:paraId="23491301" w14:textId="77777777" w:rsidR="002D7D14" w:rsidRDefault="002D7D14" w:rsidP="002D7D14">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456AC75C" w14:textId="77777777" w:rsidR="002D7D14" w:rsidRDefault="002D7D14" w:rsidP="002D7D14">
            <w:pPr>
              <w:pStyle w:val="Table"/>
              <w:spacing w:before="100" w:after="100"/>
              <w:jc w:val="center"/>
              <w:rPr>
                <w:sz w:val="18"/>
                <w:szCs w:val="18"/>
              </w:rPr>
            </w:pPr>
          </w:p>
        </w:tc>
      </w:tr>
      <w:tr w:rsidR="002D7D14" w14:paraId="07AEDAAF"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345BAD2C" w14:textId="1B4E0C2C" w:rsidR="002D7D14" w:rsidRPr="00E058EC" w:rsidRDefault="002D7D14" w:rsidP="00AB2D91">
            <w:pPr>
              <w:rPr>
                <w:b w:val="0"/>
                <w:bCs w:val="0"/>
              </w:rPr>
            </w:pPr>
            <w:r w:rsidRPr="00E058EC">
              <w:rPr>
                <w:b w:val="0"/>
                <w:bCs w:val="0"/>
              </w:rPr>
              <w:t>Check for exempt relocation benefits, such as relocation transport travel and removal and storage expenses.</w:t>
            </w:r>
          </w:p>
        </w:tc>
        <w:tc>
          <w:tcPr>
            <w:tcW w:w="0" w:type="pct"/>
            <w:gridSpan w:val="2"/>
            <w:shd w:val="clear" w:color="auto" w:fill="auto"/>
          </w:tcPr>
          <w:p w14:paraId="3C0F3971"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2F1B7054" w14:textId="77777777" w:rsidR="002D7D14" w:rsidRDefault="002D7D14" w:rsidP="002D7D14">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4AB11CE8" w14:textId="77777777" w:rsidR="002D7D14" w:rsidRDefault="002D7D14" w:rsidP="002D7D14">
            <w:pPr>
              <w:pStyle w:val="Table"/>
              <w:spacing w:before="100" w:after="100"/>
              <w:jc w:val="center"/>
              <w:rPr>
                <w:sz w:val="18"/>
                <w:szCs w:val="18"/>
              </w:rPr>
            </w:pPr>
          </w:p>
        </w:tc>
      </w:tr>
      <w:tr w:rsidR="002D7D14" w14:paraId="04348C0E"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5A081C5A" w14:textId="77777777" w:rsidR="002D7D14" w:rsidRPr="00E058EC" w:rsidRDefault="002D7D14" w:rsidP="002D7D14">
            <w:pPr>
              <w:pStyle w:val="Tableheading"/>
              <w:keepNext/>
              <w:rPr>
                <w:b/>
                <w:bCs w:val="0"/>
                <w:sz w:val="18"/>
                <w:szCs w:val="18"/>
              </w:rPr>
            </w:pPr>
            <w:r w:rsidRPr="00E058EC">
              <w:rPr>
                <w:b/>
                <w:bCs w:val="0"/>
                <w:color w:val="FFFFFF" w:themeColor="background1"/>
                <w:sz w:val="18"/>
                <w:szCs w:val="18"/>
              </w:rPr>
              <w:t xml:space="preserve">LOSSES </w:t>
            </w:r>
          </w:p>
        </w:tc>
      </w:tr>
      <w:tr w:rsidR="002D7D14" w14:paraId="4E886378"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tcPr>
          <w:p w14:paraId="19025956" w14:textId="77777777" w:rsidR="00A75ADE" w:rsidRDefault="002D7D14" w:rsidP="002D7D14">
            <w:pPr>
              <w:rPr>
                <w:szCs w:val="18"/>
              </w:rPr>
            </w:pPr>
            <w:r w:rsidRPr="00E058EC">
              <w:rPr>
                <w:b w:val="0"/>
                <w:bCs w:val="0"/>
                <w:szCs w:val="18"/>
              </w:rPr>
              <w:t xml:space="preserve">If the company has tax losses to be recouped ensure that the continuity of ownership test (COT), the same business test or the similar business test is passed. </w:t>
            </w:r>
          </w:p>
          <w:p w14:paraId="6EEDA304" w14:textId="05BC046C" w:rsidR="002D7D14" w:rsidRPr="00E058EC" w:rsidRDefault="002D7D14" w:rsidP="002D7D14">
            <w:pPr>
              <w:rPr>
                <w:b w:val="0"/>
                <w:bCs w:val="0"/>
                <w:szCs w:val="18"/>
              </w:rPr>
            </w:pPr>
            <w:proofErr w:type="gramStart"/>
            <w:r w:rsidRPr="00E058EC">
              <w:rPr>
                <w:b w:val="0"/>
                <w:bCs w:val="0"/>
                <w:szCs w:val="18"/>
              </w:rPr>
              <w:t>In order to</w:t>
            </w:r>
            <w:proofErr w:type="gramEnd"/>
            <w:r w:rsidRPr="00E058EC">
              <w:rPr>
                <w:b w:val="0"/>
                <w:bCs w:val="0"/>
                <w:szCs w:val="18"/>
              </w:rPr>
              <w:t xml:space="preserve"> pass the continuity of ownership test shares carrying more than 50% of all voting, dividend and capital rights must be ultimately beneficially owned by the same persons at all times during the test period which runs from the start of the loss year to the end of the income year in which the loss is recouped. In addition, a person’s share in a company may only be counted if that person owned the same interests in the same shares throughout the test period.</w:t>
            </w:r>
          </w:p>
          <w:p w14:paraId="2D93B78E" w14:textId="6C9F01F4" w:rsidR="002D7D14" w:rsidRDefault="002D7D14" w:rsidP="002D7D14">
            <w:pPr>
              <w:rPr>
                <w:szCs w:val="18"/>
              </w:rPr>
            </w:pPr>
            <w:r w:rsidRPr="00E058EC">
              <w:rPr>
                <w:b w:val="0"/>
                <w:bCs w:val="0"/>
                <w:szCs w:val="18"/>
              </w:rPr>
              <w:t xml:space="preserve">Where the continuity of ownership test is breached, reliance can be placed on the business continuity test where the company carries on the same or similar business throughout the business continuity period that it carried on immediately prior to the COT being </w:t>
            </w:r>
            <w:proofErr w:type="gramStart"/>
            <w:r w:rsidRPr="00E058EC">
              <w:rPr>
                <w:b w:val="0"/>
                <w:bCs w:val="0"/>
                <w:szCs w:val="18"/>
              </w:rPr>
              <w:t>breached</w:t>
            </w:r>
            <w:proofErr w:type="gramEnd"/>
          </w:p>
          <w:p w14:paraId="314586BF" w14:textId="77777777" w:rsidR="002D7D14" w:rsidRPr="00E058EC" w:rsidRDefault="002D7D14" w:rsidP="002D7D14">
            <w:pPr>
              <w:rPr>
                <w:b w:val="0"/>
                <w:bCs w:val="0"/>
                <w:szCs w:val="18"/>
              </w:rPr>
            </w:pPr>
          </w:p>
          <w:p w14:paraId="16F59A08" w14:textId="77777777" w:rsidR="002D7D14" w:rsidRPr="006D7D23" w:rsidRDefault="002D7D14" w:rsidP="002D7D14">
            <w:pPr>
              <w:rPr>
                <w:szCs w:val="18"/>
              </w:rPr>
            </w:pPr>
            <w:r w:rsidRPr="006D7D23">
              <w:rPr>
                <w:szCs w:val="18"/>
              </w:rPr>
              <w:t>Same business test</w:t>
            </w:r>
          </w:p>
          <w:p w14:paraId="4A7BF0D6" w14:textId="48899342" w:rsidR="00447865" w:rsidRPr="00E058EC" w:rsidRDefault="002D7D14" w:rsidP="00447865">
            <w:pPr>
              <w:rPr>
                <w:b w:val="0"/>
                <w:bCs w:val="0"/>
                <w:szCs w:val="18"/>
              </w:rPr>
            </w:pPr>
            <w:r w:rsidRPr="00E058EC">
              <w:rPr>
                <w:b w:val="0"/>
                <w:bCs w:val="0"/>
                <w:szCs w:val="18"/>
              </w:rPr>
              <w:t>This test involves a comparison between the business that the company carried on in the recoupment year to that carried on immediately before the change in majority ownership of the company to determine whether the business activities have remained the same over that period. However, it is</w:t>
            </w:r>
            <w:r w:rsidR="00447865">
              <w:rPr>
                <w:b w:val="0"/>
                <w:bCs w:val="0"/>
                <w:szCs w:val="18"/>
              </w:rPr>
              <w:t xml:space="preserve"> </w:t>
            </w:r>
            <w:r w:rsidR="00447865" w:rsidRPr="00E058EC">
              <w:rPr>
                <w:b w:val="0"/>
                <w:bCs w:val="0"/>
                <w:szCs w:val="18"/>
              </w:rPr>
              <w:t xml:space="preserve">necessary to ensure that the company does not </w:t>
            </w:r>
            <w:proofErr w:type="gramStart"/>
            <w:r w:rsidR="00447865" w:rsidRPr="00E058EC">
              <w:rPr>
                <w:b w:val="0"/>
                <w:bCs w:val="0"/>
                <w:szCs w:val="18"/>
              </w:rPr>
              <w:t>enter into</w:t>
            </w:r>
            <w:proofErr w:type="gramEnd"/>
            <w:r w:rsidR="00447865" w:rsidRPr="00E058EC">
              <w:rPr>
                <w:b w:val="0"/>
                <w:bCs w:val="0"/>
                <w:szCs w:val="18"/>
              </w:rPr>
              <w:t xml:space="preserve"> transactions or business of a new kind in order to inject income into the loss company to absorb its losses where reliance is placed on the same business test.</w:t>
            </w:r>
          </w:p>
          <w:p w14:paraId="3F90384E" w14:textId="2F789332" w:rsidR="00A75ADE" w:rsidRDefault="00447865" w:rsidP="00447865">
            <w:pPr>
              <w:rPr>
                <w:szCs w:val="18"/>
              </w:rPr>
            </w:pPr>
            <w:r w:rsidRPr="00E058EC">
              <w:rPr>
                <w:b w:val="0"/>
                <w:bCs w:val="0"/>
                <w:szCs w:val="18"/>
              </w:rPr>
              <w:t>T</w:t>
            </w:r>
            <w:r w:rsidRPr="00E058EC">
              <w:rPr>
                <w:rFonts w:cs="Arial"/>
                <w:b w:val="0"/>
                <w:bCs w:val="0"/>
                <w:szCs w:val="18"/>
                <w:lang w:eastAsia="en-AU"/>
              </w:rPr>
              <w:t xml:space="preserve">he Commissioner </w:t>
            </w:r>
            <w:r w:rsidR="000573A7">
              <w:rPr>
                <w:rFonts w:cs="Arial"/>
                <w:b w:val="0"/>
                <w:bCs w:val="0"/>
                <w:szCs w:val="18"/>
                <w:lang w:eastAsia="en-AU"/>
              </w:rPr>
              <w:t>views</w:t>
            </w:r>
            <w:r w:rsidR="000573A7" w:rsidRPr="00E058EC">
              <w:rPr>
                <w:rFonts w:cs="Arial"/>
                <w:b w:val="0"/>
                <w:bCs w:val="0"/>
                <w:szCs w:val="18"/>
                <w:lang w:eastAsia="en-AU"/>
              </w:rPr>
              <w:t xml:space="preserve"> </w:t>
            </w:r>
            <w:r w:rsidRPr="00E058EC">
              <w:rPr>
                <w:rFonts w:cs="Arial"/>
                <w:b w:val="0"/>
                <w:bCs w:val="0"/>
                <w:szCs w:val="18"/>
                <w:lang w:eastAsia="en-AU"/>
              </w:rPr>
              <w:t xml:space="preserve">in Taxation Ruling TR 1999/9 </w:t>
            </w:r>
            <w:r w:rsidR="000573A7">
              <w:rPr>
                <w:rFonts w:cs="Arial"/>
                <w:b w:val="0"/>
                <w:bCs w:val="0"/>
                <w:szCs w:val="18"/>
                <w:lang w:eastAsia="en-AU"/>
              </w:rPr>
              <w:t xml:space="preserve">is </w:t>
            </w:r>
            <w:r w:rsidRPr="00E058EC">
              <w:rPr>
                <w:rFonts w:cs="Arial"/>
                <w:b w:val="0"/>
                <w:bCs w:val="0"/>
                <w:szCs w:val="18"/>
                <w:lang w:eastAsia="en-AU"/>
              </w:rPr>
              <w:t>that the organic growth of business through the adoption of new compatible operations will not mean that it automatically fails the same business test as there is some recognition that a business may expand or contract as part of its business without it necessarily ceasing to carry on the same business.</w:t>
            </w:r>
          </w:p>
          <w:p w14:paraId="0FD30C00" w14:textId="1625128D" w:rsidR="00447865" w:rsidRPr="00383AC5" w:rsidRDefault="00447865" w:rsidP="00447865">
            <w:pPr>
              <w:rPr>
                <w:b w:val="0"/>
                <w:bCs w:val="0"/>
                <w:szCs w:val="18"/>
              </w:rPr>
            </w:pPr>
          </w:p>
          <w:p w14:paraId="2E800FB4" w14:textId="77777777" w:rsidR="00447865" w:rsidRPr="006D7D23" w:rsidRDefault="00447865" w:rsidP="00447865">
            <w:pPr>
              <w:rPr>
                <w:szCs w:val="18"/>
              </w:rPr>
            </w:pPr>
            <w:r w:rsidRPr="006D7D23">
              <w:rPr>
                <w:szCs w:val="18"/>
              </w:rPr>
              <w:t>Similar business test</w:t>
            </w:r>
          </w:p>
          <w:p w14:paraId="01E72C9C" w14:textId="77777777" w:rsidR="00447865" w:rsidRPr="00E058EC" w:rsidRDefault="00447865" w:rsidP="00447865">
            <w:pPr>
              <w:rPr>
                <w:rFonts w:cs="Arial"/>
                <w:b w:val="0"/>
                <w:bCs w:val="0"/>
                <w:szCs w:val="18"/>
                <w:lang w:eastAsia="en-AU"/>
              </w:rPr>
            </w:pPr>
            <w:r w:rsidRPr="00E058EC">
              <w:rPr>
                <w:rFonts w:cs="Arial"/>
                <w:b w:val="0"/>
                <w:bCs w:val="0"/>
                <w:szCs w:val="18"/>
                <w:lang w:eastAsia="en-AU"/>
              </w:rPr>
              <w:t xml:space="preserve">There is an alternate business continuity test to the same business test being the ’similar business test’ which applies to income years commencing on or after 1 July 2015 where the COT is </w:t>
            </w:r>
            <w:proofErr w:type="gramStart"/>
            <w:r w:rsidRPr="00E058EC">
              <w:rPr>
                <w:rFonts w:cs="Arial"/>
                <w:b w:val="0"/>
                <w:bCs w:val="0"/>
                <w:szCs w:val="18"/>
                <w:lang w:eastAsia="en-AU"/>
              </w:rPr>
              <w:t>failed</w:t>
            </w:r>
            <w:proofErr w:type="gramEnd"/>
            <w:r w:rsidRPr="00E058EC">
              <w:rPr>
                <w:rFonts w:cs="Arial"/>
                <w:b w:val="0"/>
                <w:bCs w:val="0"/>
                <w:szCs w:val="18"/>
                <w:lang w:eastAsia="en-AU"/>
              </w:rPr>
              <w:t xml:space="preserve"> and the same business test is not satisfied.</w:t>
            </w:r>
          </w:p>
          <w:p w14:paraId="1CA70356" w14:textId="77777777" w:rsidR="00447865" w:rsidRPr="00E058EC" w:rsidRDefault="00447865" w:rsidP="00447865">
            <w:pPr>
              <w:rPr>
                <w:b w:val="0"/>
                <w:bCs w:val="0"/>
                <w:szCs w:val="18"/>
              </w:rPr>
            </w:pPr>
            <w:r w:rsidRPr="00E058EC">
              <w:rPr>
                <w:b w:val="0"/>
                <w:bCs w:val="0"/>
                <w:szCs w:val="18"/>
              </w:rPr>
              <w:t>The similar business test involves comparing the business carried on by the company in the recoupment year to that carried on immediately before the change in majority ownership of the company to determine whether the current and former businesses are sufficiently similar in nature. LCR 2019/1 sets outs the Commissioner’s views on carrying on a similar business.</w:t>
            </w:r>
          </w:p>
          <w:p w14:paraId="124A57AC" w14:textId="77777777" w:rsidR="002D7D14" w:rsidRDefault="00447865" w:rsidP="00447865">
            <w:pPr>
              <w:rPr>
                <w:rFonts w:cs="Arial"/>
                <w:szCs w:val="18"/>
              </w:rPr>
            </w:pPr>
            <w:r w:rsidRPr="00E058EC">
              <w:rPr>
                <w:b w:val="0"/>
                <w:bCs w:val="0"/>
                <w:szCs w:val="18"/>
              </w:rPr>
              <w:t xml:space="preserve">However, unlike the same business test there are no negative limbs which apply regarding income derived from new transactions or kinds of business in the business continuity period that were not derived prior to the change in majority ownership of the company. </w:t>
            </w:r>
            <w:r w:rsidRPr="00E058EC">
              <w:rPr>
                <w:rFonts w:cs="Arial"/>
                <w:b w:val="0"/>
                <w:bCs w:val="0"/>
                <w:szCs w:val="18"/>
              </w:rPr>
              <w:t>Further guidance on the application of the similar business test is set out in Law Companion Ruling LCR 2019/1.</w:t>
            </w:r>
          </w:p>
          <w:p w14:paraId="3FEE236E" w14:textId="77777777" w:rsidR="00383AC5" w:rsidRDefault="00383AC5" w:rsidP="00447865">
            <w:pPr>
              <w:rPr>
                <w:rFonts w:cs="Arial"/>
                <w:szCs w:val="18"/>
              </w:rPr>
            </w:pPr>
          </w:p>
          <w:p w14:paraId="6CC8CDB8" w14:textId="77777777" w:rsidR="00383AC5" w:rsidRDefault="00383AC5" w:rsidP="00447865">
            <w:pPr>
              <w:rPr>
                <w:rFonts w:cs="Arial"/>
                <w:szCs w:val="18"/>
              </w:rPr>
            </w:pPr>
          </w:p>
          <w:p w14:paraId="50E607E2" w14:textId="08D3BD93" w:rsidR="00383AC5" w:rsidRPr="00E058EC" w:rsidRDefault="00383AC5" w:rsidP="00447865">
            <w:pPr>
              <w:rPr>
                <w:rFonts w:cs="Arial"/>
                <w:b w:val="0"/>
                <w:bCs w:val="0"/>
                <w:szCs w:val="18"/>
              </w:rPr>
            </w:pPr>
          </w:p>
        </w:tc>
        <w:tc>
          <w:tcPr>
            <w:tcW w:w="0" w:type="pct"/>
            <w:gridSpan w:val="2"/>
            <w:shd w:val="clear" w:color="auto" w:fill="auto"/>
          </w:tcPr>
          <w:p w14:paraId="23C94351"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7B284893"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53751A8D" w14:textId="77777777" w:rsidR="002D7D14" w:rsidRDefault="002D7D14" w:rsidP="002D7D14">
            <w:pPr>
              <w:pStyle w:val="Body"/>
              <w:spacing w:before="100" w:after="100"/>
              <w:ind w:right="0"/>
              <w:jc w:val="center"/>
              <w:rPr>
                <w:sz w:val="18"/>
                <w:szCs w:val="18"/>
              </w:rPr>
            </w:pPr>
          </w:p>
        </w:tc>
      </w:tr>
      <w:tr w:rsidR="002D7D14" w14:paraId="645EF7D2" w14:textId="77777777" w:rsidTr="00E058E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A5CC7" w:themeFill="accent3"/>
            <w:hideMark/>
          </w:tcPr>
          <w:p w14:paraId="46FFF4CB" w14:textId="3C1AE37B" w:rsidR="002D7D14" w:rsidRPr="00E058EC" w:rsidRDefault="002D7D14" w:rsidP="002D7D14">
            <w:pPr>
              <w:pStyle w:val="Body"/>
              <w:spacing w:before="100" w:after="100"/>
              <w:ind w:right="0"/>
              <w:rPr>
                <w:i w:val="0"/>
                <w:color w:val="FFFFFF" w:themeColor="background1"/>
                <w:sz w:val="18"/>
                <w:szCs w:val="18"/>
              </w:rPr>
            </w:pPr>
            <w:r w:rsidRPr="00E058EC">
              <w:rPr>
                <w:i w:val="0"/>
                <w:color w:val="FFFFFF" w:themeColor="background1"/>
                <w:sz w:val="18"/>
                <w:szCs w:val="18"/>
              </w:rPr>
              <w:t xml:space="preserve">  </w:t>
            </w:r>
            <w:r>
              <w:rPr>
                <w:i w:val="0"/>
                <w:color w:val="FFFFFF" w:themeColor="background1"/>
                <w:sz w:val="18"/>
                <w:szCs w:val="18"/>
              </w:rPr>
              <w:t xml:space="preserve">DIVISION 7A </w:t>
            </w:r>
          </w:p>
        </w:tc>
      </w:tr>
      <w:tr w:rsidR="002D7D14" w14:paraId="5339351C" w14:textId="77777777" w:rsidTr="00E058E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2A561898" w14:textId="77777777" w:rsidR="002D7D14" w:rsidRPr="00E058EC" w:rsidRDefault="002D7D14" w:rsidP="002D7D14">
            <w:pPr>
              <w:pStyle w:val="Table"/>
              <w:spacing w:before="100" w:after="100"/>
              <w:rPr>
                <w:rFonts w:asciiTheme="minorHAnsi" w:hAnsiTheme="minorHAnsi" w:cstheme="minorHAnsi"/>
                <w:b w:val="0"/>
                <w:bCs w:val="0"/>
                <w:color w:val="090D46" w:themeColor="text1"/>
                <w:sz w:val="18"/>
                <w:szCs w:val="18"/>
              </w:rPr>
            </w:pPr>
            <w:r w:rsidRPr="00E058EC">
              <w:rPr>
                <w:rFonts w:asciiTheme="minorHAnsi" w:hAnsiTheme="minorHAnsi" w:cstheme="minorHAnsi"/>
                <w:b w:val="0"/>
                <w:bCs w:val="0"/>
                <w:color w:val="090D46" w:themeColor="text1"/>
                <w:sz w:val="18"/>
                <w:szCs w:val="18"/>
              </w:rPr>
              <w:t xml:space="preserve">Check whether loans, </w:t>
            </w:r>
            <w:proofErr w:type="gramStart"/>
            <w:r w:rsidRPr="00E058EC">
              <w:rPr>
                <w:rFonts w:asciiTheme="minorHAnsi" w:hAnsiTheme="minorHAnsi" w:cstheme="minorHAnsi"/>
                <w:b w:val="0"/>
                <w:bCs w:val="0"/>
                <w:color w:val="090D46" w:themeColor="text1"/>
                <w:sz w:val="18"/>
                <w:szCs w:val="18"/>
              </w:rPr>
              <w:t>payments</w:t>
            </w:r>
            <w:proofErr w:type="gramEnd"/>
            <w:r w:rsidRPr="00E058EC">
              <w:rPr>
                <w:rFonts w:asciiTheme="minorHAnsi" w:hAnsiTheme="minorHAnsi" w:cstheme="minorHAnsi"/>
                <w:b w:val="0"/>
                <w:bCs w:val="0"/>
                <w:color w:val="090D46" w:themeColor="text1"/>
                <w:sz w:val="18"/>
                <w:szCs w:val="18"/>
              </w:rPr>
              <w:t xml:space="preserve"> or debt forgiveness by a private company to a shareholder, former shareholder or an associate of such a person would be deemed to be an unfranked dividend. </w:t>
            </w:r>
          </w:p>
          <w:p w14:paraId="15245B60" w14:textId="77777777" w:rsidR="00510924" w:rsidRDefault="002D7D14" w:rsidP="002D7D14">
            <w:pPr>
              <w:spacing w:before="100" w:after="100"/>
            </w:pPr>
            <w:r w:rsidRPr="00E058EC">
              <w:rPr>
                <w:rFonts w:cstheme="minorHAnsi"/>
                <w:b w:val="0"/>
                <w:bCs w:val="0"/>
                <w:szCs w:val="18"/>
              </w:rPr>
              <w:t>Where such an exposure arises do any of the exemptions under Division 7A apply which could exempt such an amount from Division 7A? For example, can a payment or loan transaction be structured to be an ‘excluded loan’ before the earlier of the actual or due date of lodgement of the company’s income tax return?</w:t>
            </w:r>
            <w:r w:rsidR="00510924" w:rsidRPr="00E058EC">
              <w:rPr>
                <w:b w:val="0"/>
                <w:bCs w:val="0"/>
              </w:rPr>
              <w:t xml:space="preserve"> </w:t>
            </w:r>
          </w:p>
          <w:p w14:paraId="43FA48E0" w14:textId="0A1F90E2" w:rsidR="002D7D14" w:rsidRDefault="00510924" w:rsidP="002D7D14">
            <w:pPr>
              <w:spacing w:before="100" w:after="100"/>
              <w:rPr>
                <w:rFonts w:cs="Arial"/>
                <w:szCs w:val="18"/>
                <w:lang w:val="en-US"/>
              </w:rPr>
            </w:pPr>
            <w:r w:rsidRPr="00E058EC">
              <w:rPr>
                <w:b w:val="0"/>
                <w:bCs w:val="0"/>
              </w:rPr>
              <w:t xml:space="preserve">Where a loan has been made by the private company to a shareholder, former </w:t>
            </w:r>
            <w:proofErr w:type="gramStart"/>
            <w:r w:rsidRPr="00E058EC">
              <w:rPr>
                <w:b w:val="0"/>
                <w:bCs w:val="0"/>
              </w:rPr>
              <w:t>shareholder</w:t>
            </w:r>
            <w:proofErr w:type="gramEnd"/>
            <w:r w:rsidRPr="00E058EC">
              <w:rPr>
                <w:b w:val="0"/>
                <w:bCs w:val="0"/>
              </w:rPr>
              <w:t xml:space="preserve"> or an associate of such a person can it be repaid before the earlier of the actual or due date of lodgement of the company’s income tax return?</w:t>
            </w:r>
          </w:p>
        </w:tc>
        <w:tc>
          <w:tcPr>
            <w:tcW w:w="336" w:type="pct"/>
            <w:gridSpan w:val="2"/>
          </w:tcPr>
          <w:p w14:paraId="73CA820D"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gridSpan w:val="2"/>
          </w:tcPr>
          <w:p w14:paraId="3AEC3445" w14:textId="77777777" w:rsidR="002D7D14" w:rsidRDefault="002D7D14" w:rsidP="002D7D14">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129E052C" w14:textId="77777777" w:rsidR="002D7D14" w:rsidRDefault="002D7D14" w:rsidP="002D7D14">
            <w:pPr>
              <w:pStyle w:val="Body"/>
              <w:spacing w:before="100" w:after="100"/>
              <w:ind w:right="0"/>
              <w:jc w:val="center"/>
              <w:rPr>
                <w:sz w:val="18"/>
                <w:szCs w:val="18"/>
              </w:rPr>
            </w:pPr>
          </w:p>
        </w:tc>
      </w:tr>
      <w:tr w:rsidR="009A313D" w14:paraId="2F61AEC6"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659008A8" w14:textId="77777777" w:rsidR="009A313D" w:rsidRPr="00E058EC" w:rsidRDefault="009A313D" w:rsidP="009A313D">
            <w:pPr>
              <w:rPr>
                <w:b w:val="0"/>
                <w:bCs w:val="0"/>
                <w:i/>
                <w:szCs w:val="18"/>
              </w:rPr>
            </w:pPr>
            <w:r w:rsidRPr="00E058EC">
              <w:rPr>
                <w:b w:val="0"/>
                <w:bCs w:val="0"/>
                <w:szCs w:val="18"/>
              </w:rPr>
              <w:t xml:space="preserve">Has the private company’s distributable surplus been calculated at year end in accordance with section 109Y of the </w:t>
            </w:r>
            <w:r w:rsidRPr="00E058EC">
              <w:rPr>
                <w:b w:val="0"/>
                <w:bCs w:val="0"/>
                <w:i/>
                <w:szCs w:val="18"/>
              </w:rPr>
              <w:t xml:space="preserve">ITAA 1936? </w:t>
            </w:r>
          </w:p>
          <w:p w14:paraId="61A8F803" w14:textId="77777777" w:rsidR="009A313D" w:rsidRPr="00E058EC" w:rsidRDefault="009A313D" w:rsidP="009A313D">
            <w:pPr>
              <w:rPr>
                <w:b w:val="0"/>
                <w:bCs w:val="0"/>
                <w:szCs w:val="18"/>
              </w:rPr>
            </w:pPr>
            <w:r w:rsidRPr="00E058EC">
              <w:rPr>
                <w:rFonts w:cs="Arial"/>
                <w:b w:val="0"/>
                <w:bCs w:val="0"/>
                <w:szCs w:val="18"/>
                <w:lang w:val="en-US"/>
              </w:rPr>
              <w:t>The amount of any deemed dividend(s) arising at year end will be proportionally reduced where the total amount of dividend(s) exceeds the distributable surplus of the company at that time under section 109</w:t>
            </w:r>
            <w:proofErr w:type="gramStart"/>
            <w:r w:rsidRPr="00E058EC">
              <w:rPr>
                <w:rFonts w:cs="Arial"/>
                <w:b w:val="0"/>
                <w:bCs w:val="0"/>
                <w:szCs w:val="18"/>
                <w:lang w:val="en-US"/>
              </w:rPr>
              <w:t>Y(</w:t>
            </w:r>
            <w:proofErr w:type="gramEnd"/>
            <w:r w:rsidRPr="00E058EC">
              <w:rPr>
                <w:rFonts w:cs="Arial"/>
                <w:b w:val="0"/>
                <w:bCs w:val="0"/>
                <w:szCs w:val="18"/>
                <w:lang w:val="en-US"/>
              </w:rPr>
              <w:t>3). Where the company has a nil distributable surplus the amount of any deemed dividend(s) will be reduced to nil.</w:t>
            </w:r>
          </w:p>
        </w:tc>
        <w:tc>
          <w:tcPr>
            <w:tcW w:w="0" w:type="pct"/>
            <w:gridSpan w:val="2"/>
            <w:shd w:val="clear" w:color="auto" w:fill="auto"/>
          </w:tcPr>
          <w:p w14:paraId="2A3F62E8"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2"/>
            <w:shd w:val="clear" w:color="auto" w:fill="auto"/>
          </w:tcPr>
          <w:p w14:paraId="5CC233A0"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214356B2" w14:textId="77777777" w:rsidR="009A313D" w:rsidRDefault="009A313D" w:rsidP="009A313D">
            <w:pPr>
              <w:pStyle w:val="Body"/>
              <w:spacing w:before="100" w:after="100"/>
              <w:ind w:right="0"/>
              <w:jc w:val="center"/>
              <w:rPr>
                <w:sz w:val="18"/>
                <w:szCs w:val="18"/>
              </w:rPr>
            </w:pPr>
          </w:p>
        </w:tc>
      </w:tr>
      <w:tr w:rsidR="009A313D" w14:paraId="0E182FD6" w14:textId="77777777" w:rsidTr="00E058E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4119" w:type="pct"/>
            <w:gridSpan w:val="2"/>
            <w:hideMark/>
          </w:tcPr>
          <w:p w14:paraId="517AC00A" w14:textId="77777777" w:rsidR="009A313D" w:rsidRPr="00E058EC" w:rsidRDefault="009A313D" w:rsidP="009A313D">
            <w:pPr>
              <w:rPr>
                <w:b w:val="0"/>
                <w:bCs w:val="0"/>
                <w:szCs w:val="18"/>
              </w:rPr>
            </w:pPr>
            <w:r w:rsidRPr="00E058EC">
              <w:rPr>
                <w:b w:val="0"/>
                <w:bCs w:val="0"/>
                <w:szCs w:val="18"/>
              </w:rPr>
              <w:t>Ensure that pre - 4 December 1997 loans are not refreshed and remain undisturbed.</w:t>
            </w:r>
          </w:p>
          <w:p w14:paraId="6D261EDD" w14:textId="77777777" w:rsidR="009A313D" w:rsidRPr="00E058EC" w:rsidRDefault="009A313D" w:rsidP="009A313D">
            <w:pPr>
              <w:rPr>
                <w:rFonts w:cs="Arial"/>
                <w:b w:val="0"/>
                <w:bCs w:val="0"/>
                <w:szCs w:val="18"/>
                <w:lang w:val="en-US"/>
              </w:rPr>
            </w:pPr>
            <w:r w:rsidRPr="00E058EC">
              <w:rPr>
                <w:rFonts w:cs="Arial"/>
                <w:b w:val="0"/>
                <w:bCs w:val="0"/>
                <w:szCs w:val="18"/>
                <w:lang w:val="en-US"/>
              </w:rPr>
              <w:t>Pursuant to section 109</w:t>
            </w:r>
            <w:proofErr w:type="gramStart"/>
            <w:r w:rsidRPr="00E058EC">
              <w:rPr>
                <w:rFonts w:cs="Arial"/>
                <w:b w:val="0"/>
                <w:bCs w:val="0"/>
                <w:szCs w:val="18"/>
                <w:lang w:val="en-US"/>
              </w:rPr>
              <w:t>D(</w:t>
            </w:r>
            <w:proofErr w:type="gramEnd"/>
            <w:r w:rsidRPr="00E058EC">
              <w:rPr>
                <w:rFonts w:cs="Arial"/>
                <w:b w:val="0"/>
                <w:bCs w:val="0"/>
                <w:szCs w:val="18"/>
                <w:lang w:val="en-US"/>
              </w:rPr>
              <w:t xml:space="preserve">5) of the </w:t>
            </w:r>
            <w:r w:rsidRPr="00E058EC">
              <w:rPr>
                <w:rFonts w:cs="Arial"/>
                <w:b w:val="0"/>
                <w:bCs w:val="0"/>
                <w:i/>
                <w:szCs w:val="18"/>
                <w:lang w:val="en-US"/>
              </w:rPr>
              <w:t>ITAA 1936</w:t>
            </w:r>
            <w:r w:rsidRPr="00E058EC">
              <w:rPr>
                <w:rFonts w:cs="Arial"/>
                <w:b w:val="0"/>
                <w:bCs w:val="0"/>
                <w:szCs w:val="18"/>
                <w:lang w:val="en-US"/>
              </w:rPr>
              <w:t xml:space="preserve"> where the terms of a loan made before 4 December 1997 are varied on or after that date by either extending the duration of the loan or increasing the amount of the loan, Division 7A applies to that loan as if it were made on new terms from the time the variation occurred.</w:t>
            </w:r>
          </w:p>
        </w:tc>
        <w:tc>
          <w:tcPr>
            <w:tcW w:w="336" w:type="pct"/>
            <w:gridSpan w:val="2"/>
          </w:tcPr>
          <w:p w14:paraId="6A7AFF51"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gridSpan w:val="2"/>
          </w:tcPr>
          <w:p w14:paraId="0BA1AA29"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5409914E" w14:textId="77777777" w:rsidR="009A313D" w:rsidRDefault="009A313D" w:rsidP="009A313D">
            <w:pPr>
              <w:pStyle w:val="Body"/>
              <w:spacing w:before="100" w:after="100"/>
              <w:ind w:right="0"/>
              <w:jc w:val="center"/>
              <w:rPr>
                <w:sz w:val="18"/>
                <w:szCs w:val="18"/>
              </w:rPr>
            </w:pPr>
          </w:p>
        </w:tc>
      </w:tr>
      <w:tr w:rsidR="009A313D" w14:paraId="778814B0"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tcPr>
          <w:p w14:paraId="672DAA71" w14:textId="691DCA1A" w:rsidR="009A313D" w:rsidRPr="00E058EC" w:rsidRDefault="009A313D" w:rsidP="009A313D">
            <w:pPr>
              <w:rPr>
                <w:szCs w:val="18"/>
              </w:rPr>
            </w:pPr>
            <w:r w:rsidRPr="00E058EC">
              <w:rPr>
                <w:b w:val="0"/>
                <w:bCs w:val="0"/>
                <w:szCs w:val="18"/>
              </w:rPr>
              <w:t xml:space="preserve">Has a payment or loan made to an interposed entity been made solely or mainly as part of an arrangement involving a payment or loan by a private company to a shareholder or shareholder's associate (the 'target entity') in which case the target entity may derive a deemed dividend under Subdivision E of Division 7A of the </w:t>
            </w:r>
            <w:r w:rsidRPr="00A75412">
              <w:rPr>
                <w:iCs/>
                <w:szCs w:val="18"/>
              </w:rPr>
              <w:t>ITAA 1936</w:t>
            </w:r>
            <w:r w:rsidRPr="00E058EC">
              <w:rPr>
                <w:b w:val="0"/>
                <w:bCs w:val="0"/>
                <w:szCs w:val="18"/>
              </w:rPr>
              <w:t xml:space="preserve">?    </w:t>
            </w:r>
          </w:p>
        </w:tc>
        <w:tc>
          <w:tcPr>
            <w:tcW w:w="0" w:type="pct"/>
            <w:gridSpan w:val="2"/>
            <w:shd w:val="clear" w:color="auto" w:fill="auto"/>
          </w:tcPr>
          <w:p w14:paraId="5DF09D8C"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2"/>
            <w:shd w:val="clear" w:color="auto" w:fill="auto"/>
          </w:tcPr>
          <w:p w14:paraId="72D8DE4C"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04D4ECAB" w14:textId="77777777" w:rsidR="009A313D" w:rsidRDefault="009A313D" w:rsidP="009A313D">
            <w:pPr>
              <w:pStyle w:val="Body"/>
              <w:spacing w:before="100" w:after="100"/>
              <w:ind w:right="0"/>
              <w:jc w:val="center"/>
              <w:rPr>
                <w:sz w:val="18"/>
                <w:szCs w:val="18"/>
              </w:rPr>
            </w:pPr>
          </w:p>
        </w:tc>
      </w:tr>
      <w:tr w:rsidR="009A313D" w14:paraId="1E91A219" w14:textId="77777777" w:rsidTr="00A75412">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21746C81" w14:textId="77777777" w:rsidR="009A313D" w:rsidRPr="00E058EC" w:rsidRDefault="009A313D" w:rsidP="009A313D">
            <w:pPr>
              <w:rPr>
                <w:b w:val="0"/>
                <w:bCs w:val="0"/>
                <w:szCs w:val="18"/>
              </w:rPr>
            </w:pPr>
            <w:r w:rsidRPr="00E058EC">
              <w:rPr>
                <w:b w:val="0"/>
                <w:bCs w:val="0"/>
                <w:szCs w:val="18"/>
              </w:rPr>
              <w:t xml:space="preserve">Does the company provide its shareholders or associates with free (or less than market rate) use of property owned by the private company </w:t>
            </w:r>
            <w:proofErr w:type="gramStart"/>
            <w:r w:rsidRPr="00E058EC">
              <w:rPr>
                <w:b w:val="0"/>
                <w:bCs w:val="0"/>
                <w:szCs w:val="18"/>
              </w:rPr>
              <w:t>e.g.</w:t>
            </w:r>
            <w:proofErr w:type="gramEnd"/>
            <w:r w:rsidRPr="00E058EC">
              <w:rPr>
                <w:b w:val="0"/>
                <w:bCs w:val="0"/>
                <w:szCs w:val="18"/>
              </w:rPr>
              <w:t xml:space="preserve"> a holiday home or boat? </w:t>
            </w:r>
          </w:p>
          <w:p w14:paraId="0A7364A3" w14:textId="77777777" w:rsidR="009A313D" w:rsidRPr="00E058EC" w:rsidRDefault="009A313D" w:rsidP="009A313D">
            <w:pPr>
              <w:rPr>
                <w:rFonts w:eastAsia="Times New Roman" w:cs="Arial"/>
                <w:b w:val="0"/>
                <w:bCs w:val="0"/>
                <w:szCs w:val="18"/>
              </w:rPr>
            </w:pPr>
            <w:r w:rsidRPr="00E058EC">
              <w:rPr>
                <w:b w:val="0"/>
                <w:bCs w:val="0"/>
                <w:szCs w:val="18"/>
              </w:rPr>
              <w:t xml:space="preserve">If so, such use of assets may deem a dividend to be paid from the company to the shareholder (subject to certain conditions being met). </w:t>
            </w:r>
            <w:r w:rsidRPr="00E058EC">
              <w:rPr>
                <w:rFonts w:eastAsia="Times New Roman" w:cs="Arial"/>
                <w:b w:val="0"/>
                <w:bCs w:val="0"/>
                <w:szCs w:val="18"/>
              </w:rPr>
              <w:t xml:space="preserve">The amount of the dividend is the market value of such use less any consideration paid. </w:t>
            </w:r>
          </w:p>
          <w:p w14:paraId="07E8778B" w14:textId="77777777" w:rsidR="009A313D" w:rsidRPr="00E058EC" w:rsidRDefault="009A313D" w:rsidP="009A313D">
            <w:pPr>
              <w:rPr>
                <w:rFonts w:eastAsia="MS Gothic" w:cs="Arial"/>
                <w:b w:val="0"/>
                <w:bCs w:val="0"/>
                <w:szCs w:val="18"/>
                <w:lang w:val="en-US"/>
              </w:rPr>
            </w:pPr>
            <w:r w:rsidRPr="00E058EC">
              <w:rPr>
                <w:rFonts w:eastAsia="Times New Roman" w:cs="Arial"/>
                <w:b w:val="0"/>
                <w:bCs w:val="0"/>
                <w:szCs w:val="18"/>
              </w:rPr>
              <w:lastRenderedPageBreak/>
              <w:t>However, the deemed dividend will not arise if the annual value of the benefits received was less than $300, the private usage would otherwise have been allowable as a once-only deduction or where certain dwellings are provided for private use by the company.</w:t>
            </w:r>
          </w:p>
        </w:tc>
        <w:tc>
          <w:tcPr>
            <w:tcW w:w="0" w:type="pct"/>
            <w:gridSpan w:val="2"/>
            <w:shd w:val="clear" w:color="auto" w:fill="auto"/>
          </w:tcPr>
          <w:p w14:paraId="7C3EB70E"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gridSpan w:val="2"/>
            <w:shd w:val="clear" w:color="auto" w:fill="auto"/>
          </w:tcPr>
          <w:p w14:paraId="0D0190B2" w14:textId="77777777" w:rsidR="009A313D"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1018B2D7" w14:textId="77777777" w:rsidR="009A313D" w:rsidRDefault="009A313D" w:rsidP="009A313D">
            <w:pPr>
              <w:pStyle w:val="Body"/>
              <w:spacing w:before="100" w:after="100"/>
              <w:ind w:right="0"/>
              <w:jc w:val="center"/>
              <w:rPr>
                <w:sz w:val="18"/>
                <w:szCs w:val="18"/>
              </w:rPr>
            </w:pPr>
          </w:p>
        </w:tc>
      </w:tr>
      <w:tr w:rsidR="009A313D" w14:paraId="06F63281" w14:textId="77777777" w:rsidTr="00A7541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auto"/>
            <w:hideMark/>
          </w:tcPr>
          <w:p w14:paraId="5C7CE142" w14:textId="77777777" w:rsidR="009A313D" w:rsidRPr="00425D74" w:rsidRDefault="009A313D" w:rsidP="009A313D">
            <w:pPr>
              <w:rPr>
                <w:b w:val="0"/>
                <w:bCs w:val="0"/>
                <w:szCs w:val="18"/>
              </w:rPr>
            </w:pPr>
            <w:r w:rsidRPr="00E058EC">
              <w:rPr>
                <w:b w:val="0"/>
                <w:bCs w:val="0"/>
                <w:szCs w:val="18"/>
              </w:rPr>
              <w:t xml:space="preserve">Check whether corrective action can be undertaken to eliminate a deemed dividend which arose because of an honest mistake or </w:t>
            </w:r>
            <w:proofErr w:type="gramStart"/>
            <w:r w:rsidRPr="00E058EC">
              <w:rPr>
                <w:b w:val="0"/>
                <w:bCs w:val="0"/>
                <w:szCs w:val="18"/>
              </w:rPr>
              <w:t>inadvertent error</w:t>
            </w:r>
            <w:proofErr w:type="gramEnd"/>
            <w:r w:rsidRPr="00E058EC">
              <w:rPr>
                <w:b w:val="0"/>
                <w:bCs w:val="0"/>
                <w:szCs w:val="18"/>
              </w:rPr>
              <w:t xml:space="preserve"> by applying to the </w:t>
            </w:r>
            <w:r w:rsidRPr="00425D74">
              <w:rPr>
                <w:b w:val="0"/>
                <w:bCs w:val="0"/>
                <w:szCs w:val="18"/>
              </w:rPr>
              <w:t xml:space="preserve">Commissioner to disregard the deemed dividend or allow it to be franked under section 109RB of the </w:t>
            </w:r>
            <w:r w:rsidRPr="00A75412">
              <w:rPr>
                <w:iCs/>
                <w:szCs w:val="18"/>
              </w:rPr>
              <w:t>ITAA 1936</w:t>
            </w:r>
            <w:r w:rsidRPr="00425D74">
              <w:rPr>
                <w:b w:val="0"/>
                <w:bCs w:val="0"/>
                <w:iCs/>
                <w:szCs w:val="18"/>
              </w:rPr>
              <w:t>.</w:t>
            </w:r>
          </w:p>
          <w:p w14:paraId="3DDA8A07" w14:textId="21F12EBF" w:rsidR="009A313D" w:rsidRPr="00425D74" w:rsidRDefault="009A313D" w:rsidP="009A313D">
            <w:pPr>
              <w:rPr>
                <w:rFonts w:eastAsia="Times New Roman"/>
                <w:b w:val="0"/>
                <w:bCs w:val="0"/>
                <w:szCs w:val="18"/>
              </w:rPr>
            </w:pPr>
            <w:r w:rsidRPr="00425D74">
              <w:rPr>
                <w:rFonts w:eastAsia="Times New Roman"/>
                <w:b w:val="0"/>
                <w:bCs w:val="0"/>
                <w:szCs w:val="18"/>
              </w:rPr>
              <w:t>Refer to Taxation Ruling TR 2010/8 and Practice Statement PS LA 2011/29 for guidance on the matters that the Commissioner consider</w:t>
            </w:r>
            <w:r w:rsidR="001B17C4" w:rsidRPr="00425D74">
              <w:rPr>
                <w:rFonts w:eastAsia="Times New Roman"/>
                <w:b w:val="0"/>
                <w:bCs w:val="0"/>
                <w:szCs w:val="18"/>
              </w:rPr>
              <w:t>s</w:t>
            </w:r>
            <w:r w:rsidRPr="00425D74">
              <w:rPr>
                <w:rFonts w:eastAsia="Times New Roman"/>
                <w:b w:val="0"/>
                <w:bCs w:val="0"/>
                <w:szCs w:val="18"/>
              </w:rPr>
              <w:t xml:space="preserve"> for requests to exercise discretion under section 109RB. </w:t>
            </w:r>
          </w:p>
          <w:p w14:paraId="03EDFB59" w14:textId="2D75EFF6" w:rsidR="009A313D" w:rsidRPr="00E058EC" w:rsidRDefault="009A313D" w:rsidP="009A313D">
            <w:pPr>
              <w:rPr>
                <w:rFonts w:eastAsia="MS Gothic"/>
                <w:b w:val="0"/>
                <w:bCs w:val="0"/>
                <w:szCs w:val="18"/>
              </w:rPr>
            </w:pPr>
            <w:r w:rsidRPr="003220D1">
              <w:rPr>
                <w:b w:val="0"/>
                <w:bCs w:val="0"/>
              </w:rPr>
              <w:t xml:space="preserve">For more information refer to CPA Australia’s </w:t>
            </w:r>
            <w:r w:rsidR="000D06A8" w:rsidRPr="003220D1">
              <w:rPr>
                <w:b w:val="0"/>
                <w:bCs w:val="0"/>
              </w:rPr>
              <w:t>Division 7A Checklist</w:t>
            </w:r>
            <w:r w:rsidRPr="003220D1">
              <w:rPr>
                <w:b w:val="0"/>
                <w:bCs w:val="0"/>
              </w:rPr>
              <w:t xml:space="preserve"> in the </w:t>
            </w:r>
            <w:hyperlink r:id="rId20" w:history="1">
              <w:r w:rsidRPr="00F74999">
                <w:rPr>
                  <w:b w:val="0"/>
                  <w:bCs w:val="0"/>
                  <w:u w:val="single"/>
                </w:rPr>
                <w:t xml:space="preserve">tax time </w:t>
              </w:r>
              <w:r w:rsidR="00075365" w:rsidRPr="00F74999">
                <w:rPr>
                  <w:b w:val="0"/>
                  <w:bCs w:val="0"/>
                  <w:u w:val="single"/>
                </w:rPr>
                <w:t>year-end</w:t>
              </w:r>
              <w:r w:rsidRPr="00F74999">
                <w:rPr>
                  <w:b w:val="0"/>
                  <w:bCs w:val="0"/>
                  <w:u w:val="single"/>
                </w:rPr>
                <w:t xml:space="preserve"> resources</w:t>
              </w:r>
            </w:hyperlink>
            <w:r w:rsidRPr="00425D74">
              <w:rPr>
                <w:b w:val="0"/>
                <w:bCs w:val="0"/>
                <w:szCs w:val="18"/>
              </w:rPr>
              <w:t>.</w:t>
            </w:r>
          </w:p>
        </w:tc>
        <w:tc>
          <w:tcPr>
            <w:tcW w:w="0" w:type="pct"/>
            <w:gridSpan w:val="2"/>
            <w:shd w:val="clear" w:color="auto" w:fill="auto"/>
          </w:tcPr>
          <w:p w14:paraId="5BD03FC6"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gridSpan w:val="2"/>
            <w:shd w:val="clear" w:color="auto" w:fill="auto"/>
          </w:tcPr>
          <w:p w14:paraId="5F2B82D8" w14:textId="77777777" w:rsidR="009A313D" w:rsidRDefault="009A313D" w:rsidP="009A313D">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gridSpan w:val="2"/>
            <w:shd w:val="clear" w:color="auto" w:fill="auto"/>
          </w:tcPr>
          <w:p w14:paraId="2347723C" w14:textId="77777777" w:rsidR="009A313D" w:rsidRDefault="009A313D" w:rsidP="009A313D">
            <w:pPr>
              <w:pStyle w:val="Body"/>
              <w:spacing w:before="100" w:after="100"/>
              <w:ind w:right="0"/>
              <w:jc w:val="center"/>
              <w:rPr>
                <w:sz w:val="18"/>
                <w:szCs w:val="18"/>
              </w:rPr>
            </w:pPr>
          </w:p>
        </w:tc>
      </w:tr>
      <w:tr w:rsidR="009A313D" w14:paraId="7B469745" w14:textId="77777777" w:rsidTr="00425CCF">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gridSpan w:val="2"/>
          </w:tcPr>
          <w:p w14:paraId="126C2736" w14:textId="77777777" w:rsidR="009A313D" w:rsidRDefault="009A313D" w:rsidP="009A313D">
            <w:pPr>
              <w:rPr>
                <w:b w:val="0"/>
                <w:bCs w:val="0"/>
                <w:szCs w:val="18"/>
              </w:rPr>
            </w:pPr>
            <w:r>
              <w:rPr>
                <w:szCs w:val="18"/>
              </w:rPr>
              <w:t>COMMENTS:</w:t>
            </w:r>
          </w:p>
          <w:p w14:paraId="311DD59F" w14:textId="77777777" w:rsidR="009A313D" w:rsidRDefault="009A313D" w:rsidP="009A313D">
            <w:pPr>
              <w:rPr>
                <w:b w:val="0"/>
                <w:bCs w:val="0"/>
                <w:szCs w:val="18"/>
              </w:rPr>
            </w:pPr>
          </w:p>
          <w:p w14:paraId="3234B28A" w14:textId="77777777" w:rsidR="009A313D" w:rsidRDefault="009A313D" w:rsidP="009A313D">
            <w:pPr>
              <w:rPr>
                <w:b w:val="0"/>
                <w:bCs w:val="0"/>
                <w:szCs w:val="18"/>
              </w:rPr>
            </w:pPr>
          </w:p>
          <w:p w14:paraId="0945F6A5" w14:textId="4FE22866" w:rsidR="009A313D" w:rsidRPr="00E058EC" w:rsidRDefault="009A313D" w:rsidP="009A313D">
            <w:pPr>
              <w:rPr>
                <w:szCs w:val="18"/>
              </w:rPr>
            </w:pPr>
          </w:p>
        </w:tc>
        <w:tc>
          <w:tcPr>
            <w:tcW w:w="336" w:type="pct"/>
            <w:gridSpan w:val="2"/>
          </w:tcPr>
          <w:p w14:paraId="5C13DB27" w14:textId="77777777" w:rsidR="009A313D" w:rsidRDefault="009A313D" w:rsidP="009A313D">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tcW w:w="270" w:type="pct"/>
            <w:gridSpan w:val="2"/>
          </w:tcPr>
          <w:p w14:paraId="00CB3E64" w14:textId="77777777" w:rsidR="009A313D" w:rsidRDefault="009A313D" w:rsidP="009A313D">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gridSpan w:val="2"/>
          </w:tcPr>
          <w:p w14:paraId="10251FEE" w14:textId="77777777" w:rsidR="009A313D" w:rsidRDefault="009A313D" w:rsidP="009A313D">
            <w:pPr>
              <w:pStyle w:val="Body"/>
              <w:spacing w:before="100" w:after="100"/>
              <w:ind w:right="0"/>
              <w:jc w:val="center"/>
              <w:rPr>
                <w:sz w:val="18"/>
                <w:szCs w:val="18"/>
              </w:rPr>
            </w:pPr>
          </w:p>
        </w:tc>
      </w:tr>
    </w:tbl>
    <w:p w14:paraId="7864D73B" w14:textId="77777777" w:rsidR="00BB5238" w:rsidRDefault="00BB5238"/>
    <w:tbl>
      <w:tblPr>
        <w:tblStyle w:val="RACVTable"/>
        <w:tblW w:w="5200" w:type="pct"/>
        <w:tblLook w:val="01E0" w:firstRow="1" w:lastRow="1" w:firstColumn="1" w:lastColumn="1" w:noHBand="0" w:noVBand="0"/>
      </w:tblPr>
      <w:tblGrid>
        <w:gridCol w:w="8549"/>
        <w:gridCol w:w="697"/>
        <w:gridCol w:w="560"/>
        <w:gridCol w:w="571"/>
      </w:tblGrid>
      <w:tr w:rsidR="009A313D" w14:paraId="5C6DAF94" w14:textId="77777777" w:rsidTr="0042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pct"/>
            <w:shd w:val="clear" w:color="auto" w:fill="auto"/>
            <w:hideMark/>
          </w:tcPr>
          <w:p w14:paraId="3DF43D25" w14:textId="77777777" w:rsidR="009A313D" w:rsidRPr="006E4D25" w:rsidRDefault="009A313D" w:rsidP="009A313D">
            <w:pPr>
              <w:pStyle w:val="Table"/>
              <w:spacing w:before="100" w:after="100"/>
              <w:rPr>
                <w:bCs w:val="0"/>
                <w:color w:val="090D46" w:themeColor="text1"/>
                <w:sz w:val="18"/>
                <w:szCs w:val="18"/>
              </w:rPr>
            </w:pPr>
            <w:r w:rsidRPr="006E4D25">
              <w:rPr>
                <w:bCs w:val="0"/>
                <w:color w:val="090D46" w:themeColor="text1"/>
                <w:sz w:val="18"/>
                <w:szCs w:val="18"/>
              </w:rPr>
              <w:t xml:space="preserve">TAX COMPLIANCE </w:t>
            </w:r>
          </w:p>
        </w:tc>
        <w:tc>
          <w:tcPr>
            <w:tcW w:w="336" w:type="pct"/>
            <w:shd w:val="clear" w:color="auto" w:fill="auto"/>
            <w:hideMark/>
          </w:tcPr>
          <w:p w14:paraId="5DDA92ED" w14:textId="77777777" w:rsidR="009A313D" w:rsidRPr="00244DC1" w:rsidRDefault="009A313D" w:rsidP="009A313D">
            <w:pPr>
              <w:pStyle w:val="Tableheading"/>
              <w:keepNext/>
              <w:jc w:val="center"/>
              <w:cnfStyle w:val="100000000000" w:firstRow="1" w:lastRow="0" w:firstColumn="0" w:lastColumn="0" w:oddVBand="0" w:evenVBand="0" w:oddHBand="0" w:evenHBand="0" w:firstRowFirstColumn="0" w:firstRowLastColumn="0" w:lastRowFirstColumn="0" w:lastRowLastColumn="0"/>
              <w:rPr>
                <w:b/>
                <w:bCs w:val="0"/>
                <w:color w:val="090D46" w:themeColor="text1"/>
                <w:sz w:val="18"/>
                <w:szCs w:val="18"/>
              </w:rPr>
            </w:pPr>
            <w:r w:rsidRPr="00244DC1">
              <w:rPr>
                <w:color w:val="090D46" w:themeColor="text1"/>
                <w:sz w:val="18"/>
                <w:szCs w:val="18"/>
              </w:rPr>
              <w:t>YES</w:t>
            </w:r>
          </w:p>
        </w:tc>
        <w:tc>
          <w:tcPr>
            <w:tcW w:w="270" w:type="pct"/>
            <w:shd w:val="clear" w:color="auto" w:fill="auto"/>
            <w:hideMark/>
          </w:tcPr>
          <w:p w14:paraId="254369D0" w14:textId="77777777" w:rsidR="009A313D" w:rsidRPr="00244DC1" w:rsidRDefault="009A313D" w:rsidP="009A313D">
            <w:pPr>
              <w:pStyle w:val="Tableheading"/>
              <w:keepNext/>
              <w:jc w:val="center"/>
              <w:cnfStyle w:val="100000000000" w:firstRow="1" w:lastRow="0" w:firstColumn="0" w:lastColumn="0" w:oddVBand="0" w:evenVBand="0" w:oddHBand="0" w:evenHBand="0" w:firstRowFirstColumn="0" w:firstRowLastColumn="0" w:lastRowFirstColumn="0" w:lastRowLastColumn="0"/>
              <w:rPr>
                <w:b/>
                <w:bCs w:val="0"/>
                <w:color w:val="090D46" w:themeColor="text1"/>
                <w:sz w:val="18"/>
                <w:szCs w:val="18"/>
              </w:rPr>
            </w:pPr>
            <w:r w:rsidRPr="00244DC1">
              <w:rPr>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5" w:type="pct"/>
            <w:shd w:val="clear" w:color="auto" w:fill="auto"/>
            <w:hideMark/>
          </w:tcPr>
          <w:p w14:paraId="263F10A1" w14:textId="77777777" w:rsidR="009A313D" w:rsidRPr="006E4D25" w:rsidRDefault="009A313D" w:rsidP="009A313D">
            <w:pPr>
              <w:pStyle w:val="Tableheading"/>
              <w:keepNext/>
              <w:jc w:val="center"/>
              <w:rPr>
                <w:b/>
                <w:bCs w:val="0"/>
                <w:color w:val="090D46" w:themeColor="text1"/>
                <w:sz w:val="18"/>
                <w:szCs w:val="18"/>
              </w:rPr>
            </w:pPr>
            <w:r w:rsidRPr="006E4D25">
              <w:rPr>
                <w:b/>
                <w:bCs w:val="0"/>
                <w:color w:val="090D46" w:themeColor="text1"/>
                <w:sz w:val="18"/>
                <w:szCs w:val="18"/>
              </w:rPr>
              <w:t>N/A</w:t>
            </w:r>
          </w:p>
        </w:tc>
      </w:tr>
      <w:tr w:rsidR="009A313D" w14:paraId="46E2C1DC" w14:textId="77777777" w:rsidTr="00E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6F5985B" w14:textId="77777777" w:rsidR="009A313D" w:rsidRPr="00E93548" w:rsidRDefault="009A313D" w:rsidP="009A313D">
            <w:pPr>
              <w:pStyle w:val="Tableheading"/>
              <w:rPr>
                <w:b/>
                <w:bCs w:val="0"/>
                <w:color w:val="FFFFFF" w:themeColor="background1"/>
                <w:sz w:val="18"/>
                <w:szCs w:val="18"/>
              </w:rPr>
            </w:pPr>
            <w:r w:rsidRPr="00E93548">
              <w:rPr>
                <w:b/>
                <w:bCs w:val="0"/>
                <w:color w:val="FFFFFF" w:themeColor="background1"/>
                <w:sz w:val="18"/>
                <w:szCs w:val="18"/>
              </w:rPr>
              <w:t xml:space="preserve">RESEARCH AND DEVELOPMENT </w:t>
            </w:r>
          </w:p>
        </w:tc>
      </w:tr>
      <w:tr w:rsidR="009A313D" w14:paraId="4A24673A" w14:textId="77777777" w:rsidTr="00A75412">
        <w:trPr>
          <w:trHeight w:val="35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433F6DB" w14:textId="1A372DDB" w:rsidR="009A313D" w:rsidRPr="00244DC1" w:rsidRDefault="009A313D" w:rsidP="009A313D">
            <w:pPr>
              <w:rPr>
                <w:b w:val="0"/>
                <w:bCs w:val="0"/>
              </w:rPr>
            </w:pPr>
            <w:r w:rsidRPr="00244DC1">
              <w:rPr>
                <w:b w:val="0"/>
                <w:bCs w:val="0"/>
              </w:rPr>
              <w:t>Ascertain whether a company may be eligible for the R&amp;D tax incentive for companies whose aggregated turnover is less than $20 million and are not controlled by income tax exempt entities, in which case a refundable tax offset is available.</w:t>
            </w:r>
          </w:p>
          <w:p w14:paraId="5891F28B" w14:textId="77777777" w:rsidR="009A313D" w:rsidRPr="00244DC1" w:rsidRDefault="009A313D" w:rsidP="009A313D">
            <w:pPr>
              <w:rPr>
                <w:b w:val="0"/>
                <w:bCs w:val="0"/>
              </w:rPr>
            </w:pPr>
            <w:r w:rsidRPr="00244DC1">
              <w:rPr>
                <w:b w:val="0"/>
                <w:bCs w:val="0"/>
              </w:rPr>
              <w:t>For income years starting on or after 1 July 2021, changes have been made to the R&amp;D tax incentive. These changes are:</w:t>
            </w:r>
          </w:p>
          <w:p w14:paraId="7212A72B" w14:textId="77777777" w:rsidR="009A313D" w:rsidRPr="00244DC1" w:rsidRDefault="009A313D" w:rsidP="00A75412">
            <w:pPr>
              <w:pStyle w:val="ListBullet"/>
              <w:numPr>
                <w:ilvl w:val="0"/>
                <w:numId w:val="77"/>
              </w:numPr>
              <w:rPr>
                <w:b w:val="0"/>
                <w:bCs w:val="0"/>
              </w:rPr>
            </w:pPr>
            <w:r w:rsidRPr="00244DC1">
              <w:rPr>
                <w:b w:val="0"/>
                <w:bCs w:val="0"/>
              </w:rPr>
              <w:t xml:space="preserve">Linking the refundable tax offset to the claimant’s company tax rate plus a 18.5% premium, effectively maintaining the 43.5% for base rate entities  </w:t>
            </w:r>
          </w:p>
          <w:p w14:paraId="50A4134F" w14:textId="77777777" w:rsidR="009A313D" w:rsidRPr="00244DC1" w:rsidRDefault="009A313D" w:rsidP="00A75412">
            <w:pPr>
              <w:pStyle w:val="ListBullet"/>
              <w:numPr>
                <w:ilvl w:val="0"/>
                <w:numId w:val="77"/>
              </w:numPr>
              <w:rPr>
                <w:b w:val="0"/>
                <w:bCs w:val="0"/>
              </w:rPr>
            </w:pPr>
            <w:r w:rsidRPr="00244DC1">
              <w:rPr>
                <w:b w:val="0"/>
                <w:bCs w:val="0"/>
              </w:rPr>
              <w:t xml:space="preserve">The 38.5% non-refundable tax offset is changed to a R&amp;D Premium Rate that is dependent on the R&amp;D intensity threshold scale which comprises 2 tiers being 8.5% over the corporate tax rate for notional deductions up to and including 2% of total expenses, and 16.5% over the corporate tax rate for notional deductions representing more than 2% of total expenses. The R&amp;D intensity rate is the R&amp;D expenditure as a percentage of the total business </w:t>
            </w:r>
            <w:proofErr w:type="gramStart"/>
            <w:r w:rsidRPr="00244DC1">
              <w:rPr>
                <w:b w:val="0"/>
                <w:bCs w:val="0"/>
              </w:rPr>
              <w:t>expenditure</w:t>
            </w:r>
            <w:proofErr w:type="gramEnd"/>
          </w:p>
          <w:p w14:paraId="41858CC0" w14:textId="6669BF9D" w:rsidR="00244DC1" w:rsidRPr="00AB2D91" w:rsidRDefault="009A313D" w:rsidP="00A75412">
            <w:pPr>
              <w:pStyle w:val="ListBullet"/>
              <w:numPr>
                <w:ilvl w:val="0"/>
                <w:numId w:val="77"/>
              </w:numPr>
              <w:rPr>
                <w:b w:val="0"/>
                <w:bCs w:val="0"/>
                <w:i/>
              </w:rPr>
            </w:pPr>
            <w:r w:rsidRPr="00383AC5">
              <w:rPr>
                <w:b w:val="0"/>
                <w:bCs w:val="0"/>
              </w:rPr>
              <w:t>Where an entity’s notional R&amp;D deductions exceed $150</w:t>
            </w:r>
            <w:r w:rsidR="00AB2D91">
              <w:rPr>
                <w:b w:val="0"/>
                <w:bCs w:val="0"/>
              </w:rPr>
              <w:t xml:space="preserve"> </w:t>
            </w:r>
            <w:r w:rsidRPr="00383AC5">
              <w:rPr>
                <w:b w:val="0"/>
                <w:bCs w:val="0"/>
              </w:rPr>
              <w:t xml:space="preserve">million for an income year, the excess is not </w:t>
            </w:r>
            <w:proofErr w:type="gramStart"/>
            <w:r w:rsidRPr="00383AC5">
              <w:rPr>
                <w:b w:val="0"/>
                <w:bCs w:val="0"/>
              </w:rPr>
              <w:t>taken into account</w:t>
            </w:r>
            <w:proofErr w:type="gramEnd"/>
            <w:r w:rsidRPr="00383AC5">
              <w:rPr>
                <w:b w:val="0"/>
                <w:bCs w:val="0"/>
              </w:rPr>
              <w:t xml:space="preserve"> for the purposes of calculating the entity’s R&amp;D i</w:t>
            </w:r>
            <w:r w:rsidR="00891EBC" w:rsidRPr="00383AC5">
              <w:rPr>
                <w:b w:val="0"/>
                <w:bCs w:val="0"/>
              </w:rPr>
              <w:t>ncentive</w:t>
            </w:r>
          </w:p>
        </w:tc>
        <w:tc>
          <w:tcPr>
            <w:tcW w:w="0" w:type="pct"/>
            <w:shd w:val="clear" w:color="auto" w:fill="auto"/>
          </w:tcPr>
          <w:p w14:paraId="3B756D6E" w14:textId="77777777" w:rsidR="009A313D" w:rsidRPr="00244DC1"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shd w:val="clear" w:color="auto" w:fill="auto"/>
          </w:tcPr>
          <w:p w14:paraId="22F3D9F9" w14:textId="77777777" w:rsidR="009A313D" w:rsidRPr="00244DC1" w:rsidRDefault="009A313D" w:rsidP="009A313D">
            <w:pPr>
              <w:pStyle w:val="Body"/>
              <w:spacing w:before="100" w:after="100"/>
              <w:ind w:righ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tcPr>
          <w:p w14:paraId="7FFDE418" w14:textId="77777777" w:rsidR="009A313D" w:rsidRDefault="009A313D" w:rsidP="009A313D">
            <w:pPr>
              <w:pStyle w:val="Body"/>
              <w:spacing w:before="100" w:after="100"/>
              <w:ind w:right="0"/>
              <w:jc w:val="center"/>
              <w:rPr>
                <w:sz w:val="18"/>
                <w:szCs w:val="18"/>
              </w:rPr>
            </w:pPr>
          </w:p>
        </w:tc>
      </w:tr>
      <w:tr w:rsidR="009A313D" w14:paraId="1407BE5B" w14:textId="77777777" w:rsidTr="00E9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198F54F" w14:textId="77777777" w:rsidR="009A313D" w:rsidRPr="00E93548" w:rsidRDefault="009A313D" w:rsidP="009A313D">
            <w:pPr>
              <w:pStyle w:val="Tableheading"/>
              <w:rPr>
                <w:b/>
                <w:bCs w:val="0"/>
                <w:color w:val="FFFFFF" w:themeColor="background1"/>
                <w:sz w:val="18"/>
                <w:szCs w:val="18"/>
              </w:rPr>
            </w:pPr>
            <w:r w:rsidRPr="00E93548">
              <w:rPr>
                <w:b/>
                <w:bCs w:val="0"/>
                <w:color w:val="FFFFFF" w:themeColor="background1"/>
                <w:sz w:val="18"/>
                <w:szCs w:val="18"/>
              </w:rPr>
              <w:t xml:space="preserve">SUPERANNUATION GUARANTEE – ‘ORDINARY TIMES EARNINGS’ </w:t>
            </w:r>
          </w:p>
        </w:tc>
      </w:tr>
      <w:tr w:rsidR="009A313D" w14:paraId="5D2E5F05" w14:textId="77777777" w:rsidTr="005E108B">
        <w:tc>
          <w:tcPr>
            <w:cnfStyle w:val="001000000000" w:firstRow="0" w:lastRow="0" w:firstColumn="1" w:lastColumn="0" w:oddVBand="0" w:evenVBand="0" w:oddHBand="0" w:evenHBand="0" w:firstRowFirstColumn="0" w:firstRowLastColumn="0" w:lastRowFirstColumn="0" w:lastRowLastColumn="0"/>
            <w:tcW w:w="4119" w:type="pct"/>
            <w:hideMark/>
          </w:tcPr>
          <w:p w14:paraId="081E56D8" w14:textId="77777777" w:rsidR="009A313D" w:rsidRPr="005E108B" w:rsidRDefault="009A313D" w:rsidP="009A313D">
            <w:pPr>
              <w:rPr>
                <w:b w:val="0"/>
                <w:bCs w:val="0"/>
              </w:rPr>
            </w:pPr>
            <w:r w:rsidRPr="005E108B">
              <w:rPr>
                <w:b w:val="0"/>
                <w:bCs w:val="0"/>
              </w:rPr>
              <w:t xml:space="preserve">Consider whether all required Superannuation Guarantee (SG) contributions have been made for the year. Employers who do not meet their obligations may be liable to the superannuation guarantee charge.   </w:t>
            </w:r>
          </w:p>
          <w:p w14:paraId="0EF64F46" w14:textId="1151FE37" w:rsidR="009A313D" w:rsidRPr="00BD0C6F" w:rsidRDefault="009A313D" w:rsidP="00AA5362">
            <w:r w:rsidRPr="005E108B">
              <w:rPr>
                <w:rFonts w:cs="Arial"/>
                <w:b w:val="0"/>
                <w:bCs w:val="0"/>
              </w:rPr>
              <w:t>An employer will not be required to provide minimum SG support to the extent that an employee’s ordinary time earnings each quarter exceeds the ‘maximum contribution base’ which is $</w:t>
            </w:r>
            <w:r>
              <w:rPr>
                <w:rFonts w:cs="Arial"/>
                <w:b w:val="0"/>
                <w:bCs w:val="0"/>
              </w:rPr>
              <w:t>62,270</w:t>
            </w:r>
            <w:r w:rsidRPr="005E108B">
              <w:rPr>
                <w:rFonts w:cs="Arial"/>
                <w:b w:val="0"/>
                <w:bCs w:val="0"/>
              </w:rPr>
              <w:t xml:space="preserve"> for the year ended 30 June 202</w:t>
            </w:r>
            <w:r>
              <w:rPr>
                <w:rFonts w:cs="Arial"/>
                <w:b w:val="0"/>
                <w:bCs w:val="0"/>
              </w:rPr>
              <w:t>4</w:t>
            </w:r>
            <w:r w:rsidR="00137C67">
              <w:rPr>
                <w:rFonts w:cs="Arial"/>
                <w:b w:val="0"/>
                <w:bCs w:val="0"/>
              </w:rPr>
              <w:t xml:space="preserve"> and </w:t>
            </w:r>
            <w:r w:rsidR="00137C67" w:rsidRPr="005E108B">
              <w:rPr>
                <w:rFonts w:cs="Arial"/>
                <w:b w:val="0"/>
                <w:bCs w:val="0"/>
              </w:rPr>
              <w:t>$</w:t>
            </w:r>
            <w:r w:rsidR="00137C67">
              <w:rPr>
                <w:rFonts w:cs="Arial"/>
                <w:b w:val="0"/>
                <w:bCs w:val="0"/>
              </w:rPr>
              <w:t>65,</w:t>
            </w:r>
            <w:r w:rsidR="00376A66">
              <w:rPr>
                <w:rFonts w:cs="Arial"/>
                <w:b w:val="0"/>
                <w:bCs w:val="0"/>
              </w:rPr>
              <w:t>07</w:t>
            </w:r>
            <w:r w:rsidR="00137C67">
              <w:rPr>
                <w:rFonts w:cs="Arial"/>
                <w:b w:val="0"/>
                <w:bCs w:val="0"/>
              </w:rPr>
              <w:t>0</w:t>
            </w:r>
            <w:r w:rsidR="00137C67" w:rsidRPr="005E108B">
              <w:rPr>
                <w:rFonts w:cs="Arial"/>
                <w:b w:val="0"/>
                <w:bCs w:val="0"/>
              </w:rPr>
              <w:t xml:space="preserve"> for the year ended 30 June 202</w:t>
            </w:r>
            <w:r w:rsidR="00376A66">
              <w:rPr>
                <w:rFonts w:cs="Arial"/>
                <w:b w:val="0"/>
                <w:bCs w:val="0"/>
              </w:rPr>
              <w:t>5.</w:t>
            </w:r>
          </w:p>
        </w:tc>
        <w:tc>
          <w:tcPr>
            <w:tcW w:w="336" w:type="pct"/>
          </w:tcPr>
          <w:p w14:paraId="1A4BE9C1"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D5342DD"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E390981" w14:textId="77777777" w:rsidR="009A313D" w:rsidRDefault="009A313D" w:rsidP="009A313D">
            <w:pPr>
              <w:pStyle w:val="Table"/>
              <w:spacing w:before="100" w:after="100"/>
              <w:jc w:val="center"/>
              <w:rPr>
                <w:sz w:val="18"/>
                <w:szCs w:val="18"/>
              </w:rPr>
            </w:pPr>
          </w:p>
        </w:tc>
      </w:tr>
      <w:tr w:rsidR="009A313D" w14:paraId="5D836A58"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70035C1" w14:textId="77777777" w:rsidR="009A313D" w:rsidRPr="00C50E50" w:rsidRDefault="009A313D" w:rsidP="009A313D">
            <w:pPr>
              <w:rPr>
                <w:b w:val="0"/>
                <w:bCs w:val="0"/>
              </w:rPr>
            </w:pPr>
            <w:r w:rsidRPr="00C50E50">
              <w:rPr>
                <w:b w:val="0"/>
                <w:bCs w:val="0"/>
              </w:rPr>
              <w:t>Has the company identified all eligible employees for superannuation guarantee purposes?</w:t>
            </w:r>
          </w:p>
          <w:p w14:paraId="3E1B1F61" w14:textId="77777777" w:rsidR="009A313D" w:rsidRDefault="009A313D" w:rsidP="009A313D">
            <w:r w:rsidRPr="00C50E50">
              <w:rPr>
                <w:b w:val="0"/>
                <w:bCs w:val="0"/>
              </w:rPr>
              <w:t>An eligible employee includes an employee at common law, an individual performing duties as a member of an executive body of a body corporate, and an individual working under contract wholly or principally for labour of that person. Further details are set out in Superannuation Guarantee Ruling SGR 2005/1.</w:t>
            </w:r>
          </w:p>
        </w:tc>
        <w:tc>
          <w:tcPr>
            <w:tcW w:w="0" w:type="pct"/>
            <w:shd w:val="clear" w:color="auto" w:fill="auto"/>
          </w:tcPr>
          <w:p w14:paraId="318FA627" w14:textId="77777777" w:rsidR="009A313D" w:rsidRDefault="009A313D" w:rsidP="009A313D">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6EE5FECE" w14:textId="77777777" w:rsidR="009A313D" w:rsidRDefault="009A313D" w:rsidP="009A313D">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0" w:type="pct"/>
            <w:shd w:val="clear" w:color="auto" w:fill="auto"/>
          </w:tcPr>
          <w:p w14:paraId="086D2079" w14:textId="77777777" w:rsidR="009A313D" w:rsidRDefault="009A313D" w:rsidP="009A313D">
            <w:pPr>
              <w:pStyle w:val="Table"/>
              <w:spacing w:before="100" w:after="100"/>
              <w:jc w:val="center"/>
              <w:rPr>
                <w:sz w:val="18"/>
                <w:szCs w:val="18"/>
              </w:rPr>
            </w:pPr>
          </w:p>
        </w:tc>
      </w:tr>
      <w:tr w:rsidR="009A313D" w14:paraId="5B0CF860" w14:textId="77777777" w:rsidTr="005E108B">
        <w:tc>
          <w:tcPr>
            <w:cnfStyle w:val="001000000000" w:firstRow="0" w:lastRow="0" w:firstColumn="1" w:lastColumn="0" w:oddVBand="0" w:evenVBand="0" w:oddHBand="0" w:evenHBand="0" w:firstRowFirstColumn="0" w:firstRowLastColumn="0" w:lastRowFirstColumn="0" w:lastRowLastColumn="0"/>
            <w:tcW w:w="4119" w:type="pct"/>
            <w:hideMark/>
          </w:tcPr>
          <w:p w14:paraId="5AFBBD6E" w14:textId="77777777" w:rsidR="009A313D" w:rsidRPr="00C50E50" w:rsidRDefault="009A313D" w:rsidP="009A313D">
            <w:pPr>
              <w:rPr>
                <w:b w:val="0"/>
                <w:bCs w:val="0"/>
              </w:rPr>
            </w:pPr>
            <w:r w:rsidRPr="00C50E50">
              <w:rPr>
                <w:b w:val="0"/>
                <w:bCs w:val="0"/>
              </w:rPr>
              <w:lastRenderedPageBreak/>
              <w:t>Consider whether the payroll needs to be reviewed to ensure that the Superannuation Guarantee calculation is based on the employee’s ordinary time earnings as opposed to salary and wages.</w:t>
            </w:r>
          </w:p>
          <w:p w14:paraId="069F14C2" w14:textId="04C2DDA6" w:rsidR="009A313D" w:rsidRPr="00C50E50" w:rsidRDefault="009A313D" w:rsidP="009A313D">
            <w:pPr>
              <w:rPr>
                <w:rFonts w:cs="Arial"/>
                <w:b w:val="0"/>
                <w:bCs w:val="0"/>
              </w:rPr>
            </w:pPr>
            <w:r w:rsidRPr="00C50E50">
              <w:rPr>
                <w:rFonts w:cs="Arial"/>
                <w:b w:val="0"/>
                <w:bCs w:val="0"/>
              </w:rPr>
              <w:t xml:space="preserve">The term </w:t>
            </w:r>
            <w:r w:rsidR="00D5574E">
              <w:rPr>
                <w:rFonts w:cs="Arial"/>
                <w:b w:val="0"/>
                <w:bCs w:val="0"/>
              </w:rPr>
              <w:t>‘</w:t>
            </w:r>
            <w:r w:rsidRPr="00C50E50">
              <w:rPr>
                <w:rFonts w:cs="Arial"/>
                <w:b w:val="0"/>
                <w:bCs w:val="0"/>
              </w:rPr>
              <w:t>ordinary times earnings</w:t>
            </w:r>
            <w:r w:rsidR="00D5574E">
              <w:rPr>
                <w:rFonts w:cs="Arial"/>
                <w:b w:val="0"/>
                <w:bCs w:val="0"/>
              </w:rPr>
              <w:t>’</w:t>
            </w:r>
            <w:r w:rsidRPr="00C50E50">
              <w:rPr>
                <w:rFonts w:cs="Arial"/>
                <w:b w:val="0"/>
                <w:bCs w:val="0"/>
              </w:rPr>
              <w:t xml:space="preserve"> is defined as an employee’s total of earnings in respect of ordinary hours of work and specifically includes earnings consisting of over award payments, shift loading or commission. </w:t>
            </w:r>
          </w:p>
          <w:p w14:paraId="1FEC0A41" w14:textId="74E87B06" w:rsidR="009A313D" w:rsidRDefault="009A313D" w:rsidP="009A313D">
            <w:r w:rsidRPr="00C50E50">
              <w:rPr>
                <w:rFonts w:cs="Arial"/>
                <w:b w:val="0"/>
                <w:bCs w:val="0"/>
              </w:rPr>
              <w:t>It also specifically excludes lump sum payments received on the termination of an employee’s employment which are in respect of unused sick leave, unused long service leave and unused annual leave</w:t>
            </w:r>
            <w:r w:rsidRPr="00C50E50">
              <w:rPr>
                <w:b w:val="0"/>
                <w:bCs w:val="0"/>
                <w:i/>
              </w:rPr>
              <w:t>.</w:t>
            </w:r>
            <w:r w:rsidRPr="00C50E50">
              <w:rPr>
                <w:b w:val="0"/>
                <w:bCs w:val="0"/>
              </w:rPr>
              <w:t xml:space="preserve"> For more information refer to Superannuation Guarantee Ruling SGR 2009/2</w:t>
            </w:r>
            <w:r w:rsidRPr="00C50E50">
              <w:rPr>
                <w:b w:val="0"/>
                <w:bCs w:val="0"/>
                <w:i/>
              </w:rPr>
              <w:t>.</w:t>
            </w:r>
          </w:p>
        </w:tc>
        <w:tc>
          <w:tcPr>
            <w:tcW w:w="336" w:type="pct"/>
          </w:tcPr>
          <w:p w14:paraId="3D5226CC"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3A72905" w14:textId="77777777" w:rsidR="009A313D" w:rsidRDefault="009A313D" w:rsidP="009A313D">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EDD4E2E" w14:textId="77777777" w:rsidR="009A313D" w:rsidRDefault="009A313D" w:rsidP="009A313D">
            <w:pPr>
              <w:pStyle w:val="Table"/>
              <w:spacing w:before="100" w:after="100"/>
              <w:jc w:val="center"/>
              <w:rPr>
                <w:sz w:val="18"/>
                <w:szCs w:val="18"/>
              </w:rPr>
            </w:pPr>
          </w:p>
        </w:tc>
      </w:tr>
      <w:tr w:rsidR="009A313D" w14:paraId="25584C9B" w14:textId="77777777" w:rsidTr="00BE66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023277D" w14:textId="77777777" w:rsidR="009A313D" w:rsidRDefault="009A313D" w:rsidP="009A313D">
            <w:pPr>
              <w:pStyle w:val="Table"/>
              <w:spacing w:before="100" w:after="100"/>
              <w:rPr>
                <w:b w:val="0"/>
                <w:bCs w:val="0"/>
                <w:sz w:val="18"/>
                <w:szCs w:val="18"/>
              </w:rPr>
            </w:pPr>
            <w:r>
              <w:rPr>
                <w:sz w:val="18"/>
                <w:szCs w:val="18"/>
              </w:rPr>
              <w:t>Comments:</w:t>
            </w:r>
          </w:p>
          <w:p w14:paraId="68FDC99D" w14:textId="77777777" w:rsidR="009A313D" w:rsidRDefault="009A313D" w:rsidP="009A313D">
            <w:pPr>
              <w:pStyle w:val="Table"/>
              <w:spacing w:before="100" w:after="100"/>
              <w:rPr>
                <w:b w:val="0"/>
                <w:bCs w:val="0"/>
                <w:sz w:val="18"/>
                <w:szCs w:val="18"/>
              </w:rPr>
            </w:pPr>
          </w:p>
          <w:p w14:paraId="5CCE8254" w14:textId="77777777" w:rsidR="009A313D" w:rsidRDefault="009A313D" w:rsidP="009A313D">
            <w:pPr>
              <w:pStyle w:val="Table"/>
              <w:spacing w:before="100" w:after="100"/>
              <w:rPr>
                <w:b w:val="0"/>
                <w:bCs w:val="0"/>
                <w:sz w:val="18"/>
                <w:szCs w:val="18"/>
              </w:rPr>
            </w:pPr>
          </w:p>
          <w:p w14:paraId="0A0225E8" w14:textId="77777777" w:rsidR="006A0D70" w:rsidRDefault="006A0D70" w:rsidP="009A313D">
            <w:pPr>
              <w:pStyle w:val="Table"/>
              <w:spacing w:before="100" w:after="100"/>
              <w:rPr>
                <w:sz w:val="18"/>
                <w:szCs w:val="18"/>
              </w:rPr>
            </w:pPr>
          </w:p>
          <w:p w14:paraId="2EFBFB49" w14:textId="77777777" w:rsidR="006A0D70" w:rsidRDefault="006A0D70" w:rsidP="009A313D">
            <w:pPr>
              <w:pStyle w:val="Table"/>
              <w:spacing w:before="100" w:after="100"/>
              <w:rPr>
                <w:b w:val="0"/>
                <w:bCs w:val="0"/>
                <w:sz w:val="18"/>
                <w:szCs w:val="18"/>
              </w:rPr>
            </w:pPr>
          </w:p>
          <w:p w14:paraId="02A8EB52" w14:textId="2CC3ADFF" w:rsidR="009A313D" w:rsidRDefault="009A313D" w:rsidP="009A313D">
            <w:pPr>
              <w:pStyle w:val="Table"/>
              <w:spacing w:before="100" w:after="100"/>
              <w:rPr>
                <w:sz w:val="18"/>
                <w:szCs w:val="18"/>
              </w:rPr>
            </w:pPr>
          </w:p>
        </w:tc>
      </w:tr>
    </w:tbl>
    <w:p w14:paraId="53476DCC" w14:textId="77777777" w:rsidR="00E72752" w:rsidRDefault="00E72752" w:rsidP="00E72752"/>
    <w:tbl>
      <w:tblPr>
        <w:tblStyle w:val="RACVTable"/>
        <w:tblW w:w="5200" w:type="pct"/>
        <w:tblLook w:val="01E0" w:firstRow="1" w:lastRow="1" w:firstColumn="1" w:lastColumn="1" w:noHBand="0" w:noVBand="0"/>
      </w:tblPr>
      <w:tblGrid>
        <w:gridCol w:w="8057"/>
        <w:gridCol w:w="294"/>
        <w:gridCol w:w="294"/>
        <w:gridCol w:w="496"/>
        <w:gridCol w:w="204"/>
        <w:gridCol w:w="496"/>
        <w:gridCol w:w="536"/>
      </w:tblGrid>
      <w:tr w:rsidR="00E72752" w14:paraId="5AE9DDAC" w14:textId="77777777" w:rsidTr="00A75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hideMark/>
          </w:tcPr>
          <w:p w14:paraId="764C0758"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 xml:space="preserve">TAX CONSOLIDATION </w:t>
            </w:r>
          </w:p>
        </w:tc>
        <w:tc>
          <w:tcPr>
            <w:tcW w:w="0" w:type="pct"/>
            <w:gridSpan w:val="2"/>
            <w:hideMark/>
          </w:tcPr>
          <w:p w14:paraId="5DC2ABCF" w14:textId="77777777" w:rsidR="00E72752" w:rsidRPr="009764CF" w:rsidRDefault="00E72752" w:rsidP="009764C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9764CF">
              <w:rPr>
                <w:bCs w:val="0"/>
                <w:color w:val="090D46" w:themeColor="text1"/>
                <w:sz w:val="18"/>
                <w:szCs w:val="18"/>
              </w:rPr>
              <w:t>YES</w:t>
            </w:r>
          </w:p>
        </w:tc>
        <w:tc>
          <w:tcPr>
            <w:tcW w:w="0" w:type="pct"/>
            <w:hideMark/>
          </w:tcPr>
          <w:p w14:paraId="10461352" w14:textId="77777777" w:rsidR="00E72752" w:rsidRPr="009764CF" w:rsidRDefault="00E72752" w:rsidP="009764CF">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9764CF">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0" w:type="pct"/>
            <w:gridSpan w:val="3"/>
            <w:hideMark/>
          </w:tcPr>
          <w:p w14:paraId="6B5FF293"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N/A</w:t>
            </w:r>
          </w:p>
        </w:tc>
      </w:tr>
      <w:tr w:rsidR="00E72752" w14:paraId="23608788" w14:textId="77777777" w:rsidTr="00976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0A5CC7" w:themeFill="accent3"/>
            <w:hideMark/>
          </w:tcPr>
          <w:p w14:paraId="58E9FB74" w14:textId="77777777" w:rsidR="00E72752" w:rsidRPr="009764CF" w:rsidRDefault="00E72752" w:rsidP="009C7A83">
            <w:pPr>
              <w:pStyle w:val="Tableheading"/>
              <w:rPr>
                <w:b/>
                <w:bCs w:val="0"/>
                <w:color w:val="FFFFFF" w:themeColor="background1"/>
                <w:sz w:val="18"/>
                <w:szCs w:val="18"/>
              </w:rPr>
            </w:pPr>
            <w:r w:rsidRPr="009764CF">
              <w:rPr>
                <w:b/>
                <w:bCs w:val="0"/>
                <w:color w:val="FFFFFF" w:themeColor="background1"/>
                <w:sz w:val="18"/>
                <w:szCs w:val="18"/>
              </w:rPr>
              <w:t xml:space="preserve">GENERAL </w:t>
            </w:r>
          </w:p>
        </w:tc>
      </w:tr>
      <w:tr w:rsidR="00E72752" w14:paraId="1DFAE6BB" w14:textId="77777777" w:rsidTr="00A75412">
        <w:tc>
          <w:tcPr>
            <w:cnfStyle w:val="001000000000" w:firstRow="0" w:lastRow="0" w:firstColumn="1" w:lastColumn="0" w:oddVBand="0" w:evenVBand="0" w:oddHBand="0" w:evenHBand="0" w:firstRowFirstColumn="0" w:firstRowLastColumn="0" w:lastRowFirstColumn="0" w:lastRowLastColumn="0"/>
            <w:tcW w:w="4122" w:type="pct"/>
            <w:hideMark/>
          </w:tcPr>
          <w:p w14:paraId="493C1F95" w14:textId="77777777" w:rsidR="00E72752" w:rsidRPr="009764CF" w:rsidRDefault="00E72752" w:rsidP="009764CF">
            <w:pPr>
              <w:rPr>
                <w:b w:val="0"/>
                <w:bCs w:val="0"/>
              </w:rPr>
            </w:pPr>
            <w:r w:rsidRPr="009764CF">
              <w:rPr>
                <w:b w:val="0"/>
                <w:bCs w:val="0"/>
              </w:rPr>
              <w:t>If the taxpayer is part of a corporate group but is not consolidated for tax purposes, consider whether it is appropriate to tax consolidate, and if so, the best time to do so.</w:t>
            </w:r>
          </w:p>
        </w:tc>
        <w:tc>
          <w:tcPr>
            <w:tcW w:w="0" w:type="pct"/>
            <w:gridSpan w:val="2"/>
          </w:tcPr>
          <w:p w14:paraId="2294734B"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tcPr>
          <w:p w14:paraId="3417C7C2"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gridSpan w:val="3"/>
          </w:tcPr>
          <w:p w14:paraId="0F572A35" w14:textId="77777777" w:rsidR="00E72752" w:rsidRDefault="00E72752" w:rsidP="009C7A83">
            <w:pPr>
              <w:pStyle w:val="Table"/>
              <w:spacing w:before="100" w:after="100"/>
              <w:jc w:val="center"/>
              <w:rPr>
                <w:sz w:val="18"/>
                <w:szCs w:val="18"/>
              </w:rPr>
            </w:pPr>
          </w:p>
        </w:tc>
      </w:tr>
      <w:tr w:rsidR="00E72752" w14:paraId="2E2EE421" w14:textId="77777777" w:rsidTr="00A7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shd w:val="clear" w:color="auto" w:fill="auto"/>
            <w:hideMark/>
          </w:tcPr>
          <w:p w14:paraId="3D72659B" w14:textId="77777777" w:rsidR="00E72752" w:rsidRPr="009764CF" w:rsidRDefault="00E72752" w:rsidP="009764CF">
            <w:pPr>
              <w:rPr>
                <w:b w:val="0"/>
                <w:bCs w:val="0"/>
              </w:rPr>
            </w:pPr>
            <w:r w:rsidRPr="009764CF">
              <w:rPr>
                <w:b w:val="0"/>
                <w:bCs w:val="0"/>
              </w:rPr>
              <w:t>Consider selling shares in certain wholly owned subsidiaries to exclude the entities from consolidation if the taxpayer does not want the entities to be part of the tax consolidation group.</w:t>
            </w:r>
          </w:p>
        </w:tc>
        <w:tc>
          <w:tcPr>
            <w:tcW w:w="0" w:type="pct"/>
            <w:gridSpan w:val="2"/>
            <w:shd w:val="clear" w:color="auto" w:fill="auto"/>
          </w:tcPr>
          <w:p w14:paraId="68B0C4B2"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0" w:type="pct"/>
            <w:shd w:val="clear" w:color="auto" w:fill="auto"/>
          </w:tcPr>
          <w:p w14:paraId="6076D540" w14:textId="77777777" w:rsidR="00E72752" w:rsidRDefault="00E72752" w:rsidP="009C7A83">
            <w:pPr>
              <w:pStyle w:val="Table"/>
              <w:spacing w:before="100" w:after="10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gridSpan w:val="3"/>
            <w:shd w:val="clear" w:color="auto" w:fill="auto"/>
          </w:tcPr>
          <w:p w14:paraId="49DFEA5E" w14:textId="77777777" w:rsidR="00E72752" w:rsidRDefault="00E72752" w:rsidP="009C7A83">
            <w:pPr>
              <w:pStyle w:val="Table"/>
              <w:spacing w:before="100" w:after="100"/>
              <w:jc w:val="center"/>
              <w:rPr>
                <w:sz w:val="18"/>
                <w:szCs w:val="18"/>
              </w:rPr>
            </w:pPr>
          </w:p>
        </w:tc>
      </w:tr>
      <w:tr w:rsidR="00E72752" w14:paraId="7D976E88" w14:textId="77777777" w:rsidTr="00A75412">
        <w:tc>
          <w:tcPr>
            <w:cnfStyle w:val="001000000000" w:firstRow="0" w:lastRow="0" w:firstColumn="1" w:lastColumn="0" w:oddVBand="0" w:evenVBand="0" w:oddHBand="0" w:evenHBand="0" w:firstRowFirstColumn="0" w:firstRowLastColumn="0" w:lastRowFirstColumn="0" w:lastRowLastColumn="0"/>
            <w:tcW w:w="4122" w:type="pct"/>
            <w:hideMark/>
          </w:tcPr>
          <w:p w14:paraId="57F28082" w14:textId="77777777" w:rsidR="00E72752" w:rsidRPr="009764CF" w:rsidRDefault="00E72752" w:rsidP="009764CF">
            <w:pPr>
              <w:rPr>
                <w:b w:val="0"/>
                <w:bCs w:val="0"/>
              </w:rPr>
            </w:pPr>
            <w:r w:rsidRPr="009764CF">
              <w:rPr>
                <w:b w:val="0"/>
                <w:bCs w:val="0"/>
              </w:rPr>
              <w:t>Consider whether tax sharing and tax funding agreements should be put in place for an existing tax consolidated group.</w:t>
            </w:r>
          </w:p>
        </w:tc>
        <w:tc>
          <w:tcPr>
            <w:tcW w:w="0" w:type="pct"/>
            <w:gridSpan w:val="2"/>
          </w:tcPr>
          <w:p w14:paraId="0D38CFC0"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0" w:type="pct"/>
          </w:tcPr>
          <w:p w14:paraId="5786A807" w14:textId="77777777" w:rsidR="00E72752" w:rsidRDefault="00E72752" w:rsidP="009C7A83">
            <w:pPr>
              <w:pStyle w:val="Table"/>
              <w:spacing w:before="100" w:after="100"/>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gridSpan w:val="3"/>
          </w:tcPr>
          <w:p w14:paraId="63E905FC" w14:textId="77777777" w:rsidR="00E72752" w:rsidRDefault="00E72752" w:rsidP="009C7A83">
            <w:pPr>
              <w:pStyle w:val="Table"/>
              <w:spacing w:before="100" w:after="100"/>
              <w:jc w:val="center"/>
              <w:rPr>
                <w:sz w:val="18"/>
                <w:szCs w:val="18"/>
              </w:rPr>
            </w:pPr>
          </w:p>
        </w:tc>
      </w:tr>
      <w:tr w:rsidR="00E72752" w14:paraId="3BB63C74" w14:textId="77777777" w:rsidTr="00BE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gridSpan w:val="2"/>
            <w:hideMark/>
          </w:tcPr>
          <w:p w14:paraId="2CE5C039"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 xml:space="preserve">TAXATION OF FINANCIAL ARRANGEMENTS – DIVISION 230 </w:t>
            </w:r>
          </w:p>
        </w:tc>
        <w:tc>
          <w:tcPr>
            <w:tcW w:w="338" w:type="pct"/>
            <w:gridSpan w:val="3"/>
            <w:hideMark/>
          </w:tcPr>
          <w:p w14:paraId="050C2261" w14:textId="77777777" w:rsidR="00E72752" w:rsidRPr="009764CF" w:rsidRDefault="00E72752" w:rsidP="009764CF">
            <w:pPr>
              <w:pStyle w:val="Table"/>
              <w:spacing w:before="100" w:after="100"/>
              <w:cnfStyle w:val="000000100000" w:firstRow="0" w:lastRow="0" w:firstColumn="0" w:lastColumn="0" w:oddVBand="0" w:evenVBand="0" w:oddHBand="1" w:evenHBand="0" w:firstRowFirstColumn="0" w:firstRowLastColumn="0" w:lastRowFirstColumn="0" w:lastRowLastColumn="0"/>
              <w:rPr>
                <w:bCs/>
                <w:color w:val="090D46" w:themeColor="text1"/>
                <w:sz w:val="18"/>
                <w:szCs w:val="18"/>
              </w:rPr>
            </w:pPr>
            <w:r w:rsidRPr="009764CF">
              <w:rPr>
                <w:color w:val="090D46" w:themeColor="text1"/>
                <w:sz w:val="18"/>
                <w:szCs w:val="18"/>
              </w:rPr>
              <w:t>YES</w:t>
            </w:r>
          </w:p>
        </w:tc>
        <w:tc>
          <w:tcPr>
            <w:tcW w:w="271" w:type="pct"/>
            <w:hideMark/>
          </w:tcPr>
          <w:p w14:paraId="3D8F8448" w14:textId="77777777" w:rsidR="00E72752" w:rsidRPr="009764CF" w:rsidRDefault="00E72752" w:rsidP="009764CF">
            <w:pPr>
              <w:pStyle w:val="Table"/>
              <w:spacing w:before="100" w:after="100"/>
              <w:cnfStyle w:val="000000100000" w:firstRow="0" w:lastRow="0" w:firstColumn="0" w:lastColumn="0" w:oddVBand="0" w:evenVBand="0" w:oddHBand="1" w:evenHBand="0" w:firstRowFirstColumn="0" w:firstRowLastColumn="0" w:lastRowFirstColumn="0" w:lastRowLastColumn="0"/>
              <w:rPr>
                <w:bCs/>
                <w:color w:val="090D46" w:themeColor="text1"/>
                <w:sz w:val="18"/>
                <w:szCs w:val="18"/>
              </w:rPr>
            </w:pPr>
            <w:r w:rsidRPr="009764CF">
              <w:rPr>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270" w:type="pct"/>
            <w:hideMark/>
          </w:tcPr>
          <w:p w14:paraId="45D29BF7" w14:textId="77777777" w:rsidR="00E72752" w:rsidRPr="009764CF" w:rsidRDefault="00E72752" w:rsidP="009764CF">
            <w:pPr>
              <w:pStyle w:val="Table"/>
              <w:spacing w:before="100" w:after="100"/>
              <w:rPr>
                <w:bCs w:val="0"/>
                <w:color w:val="090D46" w:themeColor="text1"/>
                <w:sz w:val="18"/>
                <w:szCs w:val="18"/>
              </w:rPr>
            </w:pPr>
            <w:r w:rsidRPr="009764CF">
              <w:rPr>
                <w:bCs w:val="0"/>
                <w:color w:val="090D46" w:themeColor="text1"/>
                <w:sz w:val="18"/>
                <w:szCs w:val="18"/>
              </w:rPr>
              <w:t>N/A</w:t>
            </w:r>
          </w:p>
        </w:tc>
      </w:tr>
      <w:tr w:rsidR="00E72752" w14:paraId="24030654" w14:textId="77777777" w:rsidTr="009764CF">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0A5CC7" w:themeFill="accent3"/>
            <w:hideMark/>
          </w:tcPr>
          <w:p w14:paraId="593A134B" w14:textId="77777777" w:rsidR="00E72752" w:rsidRPr="009764CF" w:rsidRDefault="00E72752" w:rsidP="009C7A83">
            <w:pPr>
              <w:pStyle w:val="Tableheading"/>
              <w:rPr>
                <w:b/>
                <w:bCs w:val="0"/>
                <w:color w:val="FFFFFF" w:themeColor="background1"/>
                <w:sz w:val="18"/>
                <w:szCs w:val="18"/>
              </w:rPr>
            </w:pPr>
            <w:r w:rsidRPr="009764CF">
              <w:rPr>
                <w:b/>
                <w:bCs w:val="0"/>
                <w:color w:val="FFFFFF" w:themeColor="background1"/>
                <w:sz w:val="18"/>
                <w:szCs w:val="18"/>
              </w:rPr>
              <w:t xml:space="preserve">WHAT IS A FINANCIAL ARRANGEMENT? </w:t>
            </w:r>
          </w:p>
        </w:tc>
      </w:tr>
      <w:tr w:rsidR="00E72752" w14:paraId="682CA289" w14:textId="77777777" w:rsidTr="00BE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gridSpan w:val="2"/>
            <w:hideMark/>
          </w:tcPr>
          <w:p w14:paraId="23169571" w14:textId="77777777" w:rsidR="00E72752" w:rsidRPr="009764CF" w:rsidRDefault="00E72752" w:rsidP="009764CF">
            <w:pPr>
              <w:rPr>
                <w:b w:val="0"/>
                <w:bCs w:val="0"/>
              </w:rPr>
            </w:pPr>
            <w:r w:rsidRPr="009764CF">
              <w:rPr>
                <w:b w:val="0"/>
                <w:bCs w:val="0"/>
              </w:rPr>
              <w:t>A financial arrangement is any arrangement under which all significant rights and/or obligations can be settled with money or another financial arrangement (</w:t>
            </w:r>
            <w:proofErr w:type="gramStart"/>
            <w:r w:rsidRPr="009764CF">
              <w:rPr>
                <w:b w:val="0"/>
                <w:bCs w:val="0"/>
              </w:rPr>
              <w:t>i.e.</w:t>
            </w:r>
            <w:proofErr w:type="gramEnd"/>
            <w:r w:rsidRPr="009764CF">
              <w:rPr>
                <w:b w:val="0"/>
                <w:bCs w:val="0"/>
              </w:rPr>
              <w:t xml:space="preserve"> cash settleable arrangements).</w:t>
            </w:r>
          </w:p>
          <w:p w14:paraId="346FCA1F" w14:textId="77777777" w:rsidR="00E72752" w:rsidRPr="009764CF" w:rsidRDefault="00E72752" w:rsidP="009764CF">
            <w:pPr>
              <w:rPr>
                <w:b w:val="0"/>
                <w:bCs w:val="0"/>
              </w:rPr>
            </w:pPr>
            <w:r w:rsidRPr="009764CF">
              <w:rPr>
                <w:b w:val="0"/>
                <w:bCs w:val="0"/>
              </w:rPr>
              <w:t>Some common examples of financial arrangements are:</w:t>
            </w:r>
          </w:p>
          <w:p w14:paraId="3FA9D856" w14:textId="77777777" w:rsidR="00E72752" w:rsidRPr="009764CF" w:rsidRDefault="00E72752" w:rsidP="00A75412">
            <w:pPr>
              <w:pStyle w:val="ListBullet"/>
              <w:numPr>
                <w:ilvl w:val="0"/>
                <w:numId w:val="78"/>
              </w:numPr>
              <w:rPr>
                <w:b w:val="0"/>
                <w:bCs w:val="0"/>
              </w:rPr>
            </w:pPr>
            <w:r w:rsidRPr="009764CF">
              <w:rPr>
                <w:b w:val="0"/>
                <w:bCs w:val="0"/>
              </w:rPr>
              <w:t xml:space="preserve">Debt type arrangements including loans, bonds, promissory notes and </w:t>
            </w:r>
            <w:proofErr w:type="gramStart"/>
            <w:r w:rsidRPr="009764CF">
              <w:rPr>
                <w:b w:val="0"/>
                <w:bCs w:val="0"/>
              </w:rPr>
              <w:t>debentures</w:t>
            </w:r>
            <w:proofErr w:type="gramEnd"/>
          </w:p>
          <w:p w14:paraId="71DD233F" w14:textId="77777777" w:rsidR="00E72752" w:rsidRPr="009764CF" w:rsidRDefault="00E72752" w:rsidP="00A75412">
            <w:pPr>
              <w:pStyle w:val="ListBullet"/>
              <w:numPr>
                <w:ilvl w:val="0"/>
                <w:numId w:val="78"/>
              </w:numPr>
              <w:rPr>
                <w:b w:val="0"/>
                <w:bCs w:val="0"/>
              </w:rPr>
            </w:pPr>
            <w:r w:rsidRPr="009764CF">
              <w:rPr>
                <w:b w:val="0"/>
                <w:bCs w:val="0"/>
              </w:rPr>
              <w:t xml:space="preserve">Risk shifting derivatives including swaps, forwards and </w:t>
            </w:r>
            <w:proofErr w:type="gramStart"/>
            <w:r w:rsidRPr="009764CF">
              <w:rPr>
                <w:b w:val="0"/>
                <w:bCs w:val="0"/>
              </w:rPr>
              <w:t>options</w:t>
            </w:r>
            <w:proofErr w:type="gramEnd"/>
          </w:p>
          <w:p w14:paraId="4B9E1714" w14:textId="77777777" w:rsidR="00E72752" w:rsidRPr="009764CF" w:rsidRDefault="00E72752" w:rsidP="00A75412">
            <w:pPr>
              <w:pStyle w:val="ListBullet"/>
              <w:numPr>
                <w:ilvl w:val="0"/>
                <w:numId w:val="78"/>
              </w:numPr>
              <w:rPr>
                <w:b w:val="0"/>
                <w:bCs w:val="0"/>
              </w:rPr>
            </w:pPr>
            <w:r w:rsidRPr="009764CF">
              <w:rPr>
                <w:b w:val="0"/>
                <w:bCs w:val="0"/>
              </w:rPr>
              <w:t>Deferred settlement arrangements.</w:t>
            </w:r>
          </w:p>
          <w:p w14:paraId="0AE84963" w14:textId="77777777" w:rsidR="00E72752" w:rsidRPr="009764CF" w:rsidRDefault="00E72752" w:rsidP="009C7A83">
            <w:pPr>
              <w:pStyle w:val="TableBullet"/>
              <w:numPr>
                <w:ilvl w:val="0"/>
                <w:numId w:val="0"/>
              </w:numPr>
              <w:spacing w:before="100" w:after="100"/>
              <w:rPr>
                <w:b w:val="0"/>
                <w:bCs w:val="0"/>
                <w:color w:val="FFFFFF"/>
                <w:sz w:val="18"/>
                <w:szCs w:val="18"/>
              </w:rPr>
            </w:pPr>
            <w:r w:rsidRPr="009764CF">
              <w:rPr>
                <w:b w:val="0"/>
                <w:bCs w:val="0"/>
                <w:color w:val="090D46" w:themeColor="text1"/>
                <w:sz w:val="18"/>
                <w:szCs w:val="18"/>
              </w:rPr>
              <w:t xml:space="preserve">The provisions may bring gains and losses to account on an </w:t>
            </w:r>
            <w:proofErr w:type="gramStart"/>
            <w:r w:rsidRPr="009764CF">
              <w:rPr>
                <w:b w:val="0"/>
                <w:bCs w:val="0"/>
                <w:color w:val="090D46" w:themeColor="text1"/>
                <w:sz w:val="18"/>
                <w:szCs w:val="18"/>
              </w:rPr>
              <w:t>accruals</w:t>
            </w:r>
            <w:proofErr w:type="gramEnd"/>
            <w:r w:rsidRPr="009764CF">
              <w:rPr>
                <w:b w:val="0"/>
                <w:bCs w:val="0"/>
                <w:color w:val="090D46" w:themeColor="text1"/>
                <w:sz w:val="18"/>
                <w:szCs w:val="18"/>
              </w:rPr>
              <w:t xml:space="preserve"> basis rather than on a realisation basis.</w:t>
            </w:r>
          </w:p>
        </w:tc>
        <w:tc>
          <w:tcPr>
            <w:tcW w:w="338" w:type="pct"/>
            <w:gridSpan w:val="3"/>
          </w:tcPr>
          <w:p w14:paraId="0C541CC1" w14:textId="77777777" w:rsidR="00E72752" w:rsidRDefault="00E72752" w:rsidP="009C7A83">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1" w:type="pct"/>
          </w:tcPr>
          <w:p w14:paraId="11DFDE06" w14:textId="77777777" w:rsidR="00E72752" w:rsidRDefault="00E72752" w:rsidP="009C7A83">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545551B6" w14:textId="77777777" w:rsidR="00E72752" w:rsidRDefault="00E72752" w:rsidP="009C7A83">
            <w:pPr>
              <w:pStyle w:val="Body"/>
              <w:spacing w:before="100" w:after="100"/>
              <w:ind w:right="0"/>
              <w:jc w:val="center"/>
              <w:rPr>
                <w:sz w:val="18"/>
                <w:szCs w:val="18"/>
              </w:rPr>
            </w:pPr>
          </w:p>
        </w:tc>
      </w:tr>
      <w:tr w:rsidR="00E72752" w14:paraId="4E39E26F" w14:textId="77777777" w:rsidTr="000623F3">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0A5CC7" w:themeFill="accent3"/>
            <w:hideMark/>
          </w:tcPr>
          <w:p w14:paraId="795508A7" w14:textId="77777777" w:rsidR="00E72752" w:rsidRPr="000623F3" w:rsidRDefault="00E72752" w:rsidP="009C7A83">
            <w:pPr>
              <w:pStyle w:val="Tableheading"/>
              <w:rPr>
                <w:b/>
                <w:bCs w:val="0"/>
                <w:color w:val="FFFFFF" w:themeColor="background1"/>
                <w:sz w:val="18"/>
                <w:szCs w:val="18"/>
              </w:rPr>
            </w:pPr>
            <w:r w:rsidRPr="000623F3">
              <w:rPr>
                <w:b/>
                <w:bCs w:val="0"/>
                <w:color w:val="FFFFFF" w:themeColor="background1"/>
                <w:sz w:val="18"/>
                <w:szCs w:val="18"/>
              </w:rPr>
              <w:t xml:space="preserve">DOES DIVISION 230 APPLY TO YOU </w:t>
            </w:r>
          </w:p>
        </w:tc>
      </w:tr>
      <w:tr w:rsidR="00E72752" w14:paraId="2FE7AE72" w14:textId="77777777" w:rsidTr="00BE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gridSpan w:val="2"/>
            <w:hideMark/>
          </w:tcPr>
          <w:p w14:paraId="1DB0883B" w14:textId="77777777" w:rsidR="00E72752" w:rsidRPr="000623F3" w:rsidRDefault="00E72752" w:rsidP="009C7A83">
            <w:pPr>
              <w:spacing w:before="100" w:after="100"/>
              <w:rPr>
                <w:b w:val="0"/>
                <w:bCs w:val="0"/>
                <w:szCs w:val="18"/>
              </w:rPr>
            </w:pPr>
            <w:r w:rsidRPr="000623F3">
              <w:rPr>
                <w:b w:val="0"/>
                <w:bCs w:val="0"/>
                <w:szCs w:val="18"/>
              </w:rPr>
              <w:t>Division 230 may apply to the following taxpayers with financial arrangements:</w:t>
            </w:r>
          </w:p>
          <w:p w14:paraId="1866F2FD" w14:textId="77777777" w:rsidR="00E72752" w:rsidRPr="000623F3" w:rsidRDefault="00E72752" w:rsidP="00A75412">
            <w:pPr>
              <w:pStyle w:val="ListBullet"/>
              <w:numPr>
                <w:ilvl w:val="0"/>
                <w:numId w:val="79"/>
              </w:numPr>
              <w:rPr>
                <w:b w:val="0"/>
                <w:bCs w:val="0"/>
              </w:rPr>
            </w:pPr>
            <w:r w:rsidRPr="000623F3">
              <w:rPr>
                <w:b w:val="0"/>
                <w:bCs w:val="0"/>
              </w:rPr>
              <w:lastRenderedPageBreak/>
              <w:t xml:space="preserve">Financial institutions whose aggregated annual turnover exceeds $20 </w:t>
            </w:r>
            <w:proofErr w:type="gramStart"/>
            <w:r w:rsidRPr="000623F3">
              <w:rPr>
                <w:b w:val="0"/>
                <w:bCs w:val="0"/>
              </w:rPr>
              <w:t>million</w:t>
            </w:r>
            <w:proofErr w:type="gramEnd"/>
          </w:p>
          <w:p w14:paraId="40848630" w14:textId="77777777" w:rsidR="00E72752" w:rsidRPr="000623F3" w:rsidRDefault="00E72752" w:rsidP="00A75412">
            <w:pPr>
              <w:pStyle w:val="ListBullet"/>
              <w:numPr>
                <w:ilvl w:val="0"/>
                <w:numId w:val="79"/>
              </w:numPr>
              <w:rPr>
                <w:b w:val="0"/>
                <w:bCs w:val="0"/>
              </w:rPr>
            </w:pPr>
            <w:r w:rsidRPr="000623F3">
              <w:rPr>
                <w:b w:val="0"/>
                <w:bCs w:val="0"/>
              </w:rPr>
              <w:t>Managed funds and superannuation funds with assets of $100 million or more</w:t>
            </w:r>
          </w:p>
          <w:p w14:paraId="371CB4B5" w14:textId="77777777" w:rsidR="00E72752" w:rsidRPr="000623F3" w:rsidRDefault="00E72752" w:rsidP="00A75412">
            <w:pPr>
              <w:pStyle w:val="ListBullet"/>
              <w:numPr>
                <w:ilvl w:val="0"/>
                <w:numId w:val="79"/>
              </w:numPr>
              <w:rPr>
                <w:b w:val="0"/>
                <w:bCs w:val="0"/>
              </w:rPr>
            </w:pPr>
            <w:r w:rsidRPr="000623F3">
              <w:rPr>
                <w:b w:val="0"/>
                <w:bCs w:val="0"/>
              </w:rPr>
              <w:t xml:space="preserve">Other businesses, unless their aggregated annual turnover is less than $100 million, the value of financial assets </w:t>
            </w:r>
            <w:proofErr w:type="gramStart"/>
            <w:r w:rsidRPr="000623F3">
              <w:rPr>
                <w:b w:val="0"/>
                <w:bCs w:val="0"/>
              </w:rPr>
              <w:t>are</w:t>
            </w:r>
            <w:proofErr w:type="gramEnd"/>
            <w:r w:rsidRPr="000623F3">
              <w:rPr>
                <w:b w:val="0"/>
                <w:bCs w:val="0"/>
              </w:rPr>
              <w:t xml:space="preserve"> less than $100 million and the value of total assets are less than $300 million</w:t>
            </w:r>
          </w:p>
          <w:p w14:paraId="634D525A" w14:textId="6D7A6D9C" w:rsidR="00E72752" w:rsidRDefault="00E72752" w:rsidP="00A75412">
            <w:pPr>
              <w:pStyle w:val="ListBullet"/>
              <w:numPr>
                <w:ilvl w:val="0"/>
                <w:numId w:val="79"/>
              </w:numPr>
            </w:pPr>
            <w:r w:rsidRPr="000623F3">
              <w:rPr>
                <w:b w:val="0"/>
                <w:bCs w:val="0"/>
              </w:rPr>
              <w:t>Other taxpayers that hold a qualifying security with a remaining term of over 12 months at the time that they begin to hold it</w:t>
            </w:r>
          </w:p>
        </w:tc>
        <w:tc>
          <w:tcPr>
            <w:tcW w:w="338" w:type="pct"/>
            <w:gridSpan w:val="3"/>
          </w:tcPr>
          <w:p w14:paraId="285D354B" w14:textId="77777777" w:rsidR="00E72752" w:rsidRDefault="00E72752" w:rsidP="009C7A83">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1" w:type="pct"/>
          </w:tcPr>
          <w:p w14:paraId="1AD2359F" w14:textId="77777777" w:rsidR="00E72752" w:rsidRDefault="00E72752" w:rsidP="009C7A83">
            <w:pPr>
              <w:pStyle w:val="Body"/>
              <w:spacing w:before="100" w:after="100"/>
              <w:ind w:righ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0D5FD128" w14:textId="77777777" w:rsidR="00E72752" w:rsidRDefault="00E72752" w:rsidP="009C7A83">
            <w:pPr>
              <w:pStyle w:val="Body"/>
              <w:spacing w:before="100" w:after="100"/>
              <w:ind w:right="0"/>
              <w:jc w:val="center"/>
              <w:rPr>
                <w:sz w:val="18"/>
                <w:szCs w:val="18"/>
              </w:rPr>
            </w:pPr>
          </w:p>
        </w:tc>
      </w:tr>
      <w:tr w:rsidR="00E72752" w14:paraId="27357896" w14:textId="77777777" w:rsidTr="00BE66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2" w:type="pct"/>
            <w:gridSpan w:val="2"/>
            <w:hideMark/>
          </w:tcPr>
          <w:p w14:paraId="661C06C1" w14:textId="77777777" w:rsidR="00E72752" w:rsidRPr="000623F3" w:rsidRDefault="00E72752" w:rsidP="009C7A83">
            <w:pPr>
              <w:spacing w:before="100" w:after="100"/>
              <w:rPr>
                <w:b w:val="0"/>
                <w:bCs w:val="0"/>
                <w:szCs w:val="18"/>
              </w:rPr>
            </w:pPr>
            <w:r w:rsidRPr="000623F3">
              <w:rPr>
                <w:b w:val="0"/>
                <w:bCs w:val="0"/>
                <w:szCs w:val="18"/>
              </w:rPr>
              <w:t>Where Division 230 does not apply, a taxpayer can make an irrevocable election that it will apply (which may suit associates of entities that are required to apply Division 230).</w:t>
            </w:r>
          </w:p>
        </w:tc>
        <w:tc>
          <w:tcPr>
            <w:tcW w:w="338" w:type="pct"/>
            <w:gridSpan w:val="3"/>
          </w:tcPr>
          <w:p w14:paraId="5C3C14EB" w14:textId="77777777" w:rsidR="00E72752" w:rsidRDefault="00E72752" w:rsidP="009C7A83">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tcW w:w="271" w:type="pct"/>
          </w:tcPr>
          <w:p w14:paraId="07FB706A" w14:textId="77777777" w:rsidR="00E72752" w:rsidRDefault="00E72752" w:rsidP="009C7A83">
            <w:pPr>
              <w:pStyle w:val="Body"/>
              <w:spacing w:before="100" w:after="100"/>
              <w:ind w:right="0"/>
              <w:jc w:val="center"/>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0" w:type="pct"/>
          </w:tcPr>
          <w:p w14:paraId="54143B58" w14:textId="77777777" w:rsidR="00E72752" w:rsidRDefault="00E72752" w:rsidP="009C7A83">
            <w:pPr>
              <w:pStyle w:val="Body"/>
              <w:spacing w:before="100" w:after="100"/>
              <w:ind w:right="0"/>
              <w:jc w:val="center"/>
              <w:rPr>
                <w:sz w:val="18"/>
                <w:szCs w:val="18"/>
              </w:rPr>
            </w:pPr>
          </w:p>
        </w:tc>
      </w:tr>
    </w:tbl>
    <w:p w14:paraId="57E27CD8" w14:textId="77777777" w:rsidR="000D6FB7" w:rsidRDefault="000D6FB7" w:rsidP="00E72752"/>
    <w:p w14:paraId="40EE15F2" w14:textId="77777777" w:rsidR="00244DC1" w:rsidRDefault="00244DC1" w:rsidP="00E72752"/>
    <w:p w14:paraId="72FD365B" w14:textId="77777777" w:rsidR="00244DC1" w:rsidRDefault="00244DC1" w:rsidP="00E72752"/>
    <w:p w14:paraId="2128BE29" w14:textId="77777777" w:rsidR="00244DC1" w:rsidRDefault="00244DC1" w:rsidP="00E72752"/>
    <w:p w14:paraId="431C5385" w14:textId="77777777" w:rsidR="00244DC1" w:rsidRDefault="00244DC1" w:rsidP="00E72752"/>
    <w:p w14:paraId="7BCA18A0" w14:textId="77777777" w:rsidR="00244DC1" w:rsidRDefault="00244DC1" w:rsidP="00E72752"/>
    <w:tbl>
      <w:tblPr>
        <w:tblStyle w:val="RACVTable"/>
        <w:tblW w:w="5200" w:type="pct"/>
        <w:tblLook w:val="01E0" w:firstRow="1" w:lastRow="1" w:firstColumn="1" w:lastColumn="1" w:noHBand="0" w:noVBand="0"/>
      </w:tblPr>
      <w:tblGrid>
        <w:gridCol w:w="8011"/>
        <w:gridCol w:w="587"/>
        <w:gridCol w:w="496"/>
        <w:gridCol w:w="1283"/>
      </w:tblGrid>
      <w:tr w:rsidR="00E72752" w14:paraId="464AB9E0" w14:textId="77777777" w:rsidTr="00BE6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pct"/>
            <w:hideMark/>
          </w:tcPr>
          <w:p w14:paraId="6738C616" w14:textId="2D12D1E1" w:rsidR="00E72752" w:rsidRPr="006642DE" w:rsidRDefault="00E72752" w:rsidP="006642DE">
            <w:pPr>
              <w:pStyle w:val="Table"/>
              <w:spacing w:before="100" w:after="100"/>
              <w:rPr>
                <w:bCs w:val="0"/>
                <w:color w:val="090D46" w:themeColor="text1"/>
                <w:sz w:val="18"/>
                <w:szCs w:val="18"/>
              </w:rPr>
            </w:pPr>
            <w:r w:rsidRPr="00CF231B">
              <w:rPr>
                <w:color w:val="090D46" w:themeColor="text1"/>
                <w:sz w:val="18"/>
                <w:szCs w:val="18"/>
              </w:rPr>
              <w:t xml:space="preserve">PROPOSED CHANGES ANNOUNCED IN THE </w:t>
            </w:r>
            <w:r w:rsidR="009227BC">
              <w:rPr>
                <w:color w:val="090D46" w:themeColor="text1"/>
                <w:sz w:val="18"/>
                <w:szCs w:val="18"/>
              </w:rPr>
              <w:t>MAY</w:t>
            </w:r>
            <w:r w:rsidRPr="00CF231B">
              <w:rPr>
                <w:color w:val="090D46" w:themeColor="text1"/>
                <w:sz w:val="18"/>
                <w:szCs w:val="18"/>
              </w:rPr>
              <w:t xml:space="preserve"> FEDERAL BUDGET 202</w:t>
            </w:r>
            <w:r w:rsidR="00757346">
              <w:rPr>
                <w:color w:val="090D46" w:themeColor="text1"/>
                <w:sz w:val="18"/>
                <w:szCs w:val="18"/>
              </w:rPr>
              <w:t>4</w:t>
            </w:r>
            <w:r w:rsidRPr="00CF231B">
              <w:rPr>
                <w:color w:val="090D46" w:themeColor="text1"/>
                <w:sz w:val="18"/>
                <w:szCs w:val="18"/>
              </w:rPr>
              <w:t>-2</w:t>
            </w:r>
            <w:r w:rsidR="00757346">
              <w:rPr>
                <w:color w:val="090D46" w:themeColor="text1"/>
                <w:sz w:val="18"/>
                <w:szCs w:val="18"/>
              </w:rPr>
              <w:t>5</w:t>
            </w:r>
            <w:r w:rsidRPr="006642DE">
              <w:rPr>
                <w:bCs w:val="0"/>
                <w:color w:val="090D46" w:themeColor="text1"/>
                <w:sz w:val="18"/>
                <w:szCs w:val="18"/>
              </w:rPr>
              <w:t xml:space="preserve"> </w:t>
            </w:r>
          </w:p>
        </w:tc>
        <w:tc>
          <w:tcPr>
            <w:tcW w:w="283" w:type="pct"/>
            <w:hideMark/>
          </w:tcPr>
          <w:p w14:paraId="08142CA3" w14:textId="77777777" w:rsidR="00E72752" w:rsidRPr="006642DE" w:rsidRDefault="00E72752" w:rsidP="006642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6642DE">
              <w:rPr>
                <w:bCs w:val="0"/>
                <w:color w:val="090D46" w:themeColor="text1"/>
                <w:sz w:val="18"/>
                <w:szCs w:val="18"/>
              </w:rPr>
              <w:t>YES</w:t>
            </w:r>
          </w:p>
        </w:tc>
        <w:tc>
          <w:tcPr>
            <w:tcW w:w="239" w:type="pct"/>
            <w:hideMark/>
          </w:tcPr>
          <w:p w14:paraId="0901193F" w14:textId="77777777" w:rsidR="00E72752" w:rsidRPr="006642DE" w:rsidRDefault="00E72752" w:rsidP="006642DE">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sidRPr="006642DE">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618" w:type="pct"/>
            <w:hideMark/>
          </w:tcPr>
          <w:p w14:paraId="0A3249ED" w14:textId="77777777" w:rsidR="00E72752" w:rsidRPr="006642DE" w:rsidRDefault="00E72752" w:rsidP="006642DE">
            <w:pPr>
              <w:pStyle w:val="Table"/>
              <w:spacing w:before="100" w:after="100"/>
              <w:rPr>
                <w:bCs w:val="0"/>
                <w:color w:val="090D46" w:themeColor="text1"/>
                <w:sz w:val="18"/>
                <w:szCs w:val="18"/>
              </w:rPr>
            </w:pPr>
            <w:r w:rsidRPr="006642DE">
              <w:rPr>
                <w:bCs w:val="0"/>
                <w:color w:val="090D46" w:themeColor="text1"/>
                <w:sz w:val="18"/>
                <w:szCs w:val="18"/>
              </w:rPr>
              <w:t>N/A</w:t>
            </w:r>
          </w:p>
        </w:tc>
      </w:tr>
    </w:tbl>
    <w:p w14:paraId="7DCF1D22" w14:textId="0D40AE2F" w:rsidR="002E2E41" w:rsidRDefault="0062317F" w:rsidP="0062317F">
      <w:pPr>
        <w:spacing w:before="100" w:after="100"/>
        <w:rPr>
          <w:szCs w:val="18"/>
        </w:rPr>
      </w:pPr>
      <w:r w:rsidRPr="00A75412">
        <w:rPr>
          <w:sz w:val="18"/>
          <w:szCs w:val="18"/>
        </w:rPr>
        <w:t>The following</w:t>
      </w:r>
      <w:r>
        <w:rPr>
          <w:sz w:val="18"/>
          <w:szCs w:val="18"/>
        </w:rPr>
        <w:t xml:space="preserve"> relevant changes have been announced by the Government</w:t>
      </w:r>
      <w:r w:rsidR="002D10A8">
        <w:rPr>
          <w:sz w:val="18"/>
          <w:szCs w:val="18"/>
        </w:rPr>
        <w:t xml:space="preserve"> (but may not yet be law)</w:t>
      </w:r>
      <w:r>
        <w:rPr>
          <w:sz w:val="18"/>
          <w:szCs w:val="18"/>
        </w:rPr>
        <w:t>:</w:t>
      </w:r>
    </w:p>
    <w:p w14:paraId="507056F2" w14:textId="354204FC" w:rsidR="0062317F" w:rsidRDefault="008F52B1" w:rsidP="00A75412">
      <w:pPr>
        <w:pStyle w:val="ListParagraph"/>
        <w:numPr>
          <w:ilvl w:val="0"/>
          <w:numId w:val="81"/>
        </w:numPr>
        <w:spacing w:before="100" w:after="100"/>
        <w:ind w:hanging="357"/>
        <w:contextualSpacing w:val="0"/>
        <w:rPr>
          <w:color w:val="090D46" w:themeColor="text1"/>
          <w:sz w:val="18"/>
          <w:szCs w:val="18"/>
        </w:rPr>
      </w:pPr>
      <w:r w:rsidRPr="00A75412">
        <w:rPr>
          <w:color w:val="090D46" w:themeColor="text1"/>
          <w:sz w:val="18"/>
          <w:szCs w:val="18"/>
        </w:rPr>
        <w:t xml:space="preserve">Stage 3 Tax Cuts will apply </w:t>
      </w:r>
      <w:r>
        <w:rPr>
          <w:color w:val="090D46" w:themeColor="text1"/>
          <w:sz w:val="18"/>
          <w:szCs w:val="18"/>
        </w:rPr>
        <w:t>from 1 July 2024</w:t>
      </w:r>
      <w:r w:rsidR="009109B7">
        <w:rPr>
          <w:color w:val="090D46" w:themeColor="text1"/>
          <w:sz w:val="18"/>
          <w:szCs w:val="18"/>
        </w:rPr>
        <w:t>, where:</w:t>
      </w:r>
    </w:p>
    <w:p w14:paraId="10CA080C" w14:textId="6632342A" w:rsidR="009109B7" w:rsidRDefault="000E4679"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the 19</w:t>
      </w:r>
      <w:r w:rsidR="002D10A8">
        <w:rPr>
          <w:color w:val="090D46" w:themeColor="text1"/>
          <w:sz w:val="18"/>
          <w:szCs w:val="18"/>
        </w:rPr>
        <w:t>%</w:t>
      </w:r>
      <w:r>
        <w:rPr>
          <w:color w:val="090D46" w:themeColor="text1"/>
          <w:sz w:val="18"/>
          <w:szCs w:val="18"/>
        </w:rPr>
        <w:t xml:space="preserve"> tax rate will be reduced to 16</w:t>
      </w:r>
      <w:r w:rsidR="002D10A8">
        <w:rPr>
          <w:color w:val="090D46" w:themeColor="text1"/>
          <w:sz w:val="18"/>
          <w:szCs w:val="18"/>
        </w:rPr>
        <w:t>%</w:t>
      </w:r>
    </w:p>
    <w:p w14:paraId="6473CEFA" w14:textId="41D92302" w:rsidR="000E4679" w:rsidRDefault="000E4679"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the 32.5</w:t>
      </w:r>
      <w:r w:rsidR="002D10A8">
        <w:rPr>
          <w:color w:val="090D46" w:themeColor="text1"/>
          <w:sz w:val="18"/>
          <w:szCs w:val="18"/>
        </w:rPr>
        <w:t>%</w:t>
      </w:r>
      <w:r>
        <w:rPr>
          <w:color w:val="090D46" w:themeColor="text1"/>
          <w:sz w:val="18"/>
          <w:szCs w:val="18"/>
        </w:rPr>
        <w:t xml:space="preserve"> tax rate will be reduced to 30</w:t>
      </w:r>
      <w:r w:rsidR="002D10A8">
        <w:rPr>
          <w:color w:val="090D46" w:themeColor="text1"/>
          <w:sz w:val="18"/>
          <w:szCs w:val="18"/>
        </w:rPr>
        <w:t>%</w:t>
      </w:r>
    </w:p>
    <w:p w14:paraId="24BA476D" w14:textId="1144F998" w:rsidR="000E4679" w:rsidRDefault="000E4679"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 xml:space="preserve">the income threshold above </w:t>
      </w:r>
      <w:r w:rsidR="002C3A95">
        <w:rPr>
          <w:color w:val="090D46" w:themeColor="text1"/>
          <w:sz w:val="18"/>
          <w:szCs w:val="18"/>
        </w:rPr>
        <w:t>which the 37</w:t>
      </w:r>
      <w:r w:rsidR="002D10A8">
        <w:rPr>
          <w:color w:val="090D46" w:themeColor="text1"/>
          <w:sz w:val="18"/>
          <w:szCs w:val="18"/>
        </w:rPr>
        <w:t>%</w:t>
      </w:r>
      <w:r w:rsidR="002C3A95">
        <w:rPr>
          <w:color w:val="090D46" w:themeColor="text1"/>
          <w:sz w:val="18"/>
          <w:szCs w:val="18"/>
        </w:rPr>
        <w:t xml:space="preserve"> tax rate applies will be increased from $120,000 to $135,00, and</w:t>
      </w:r>
    </w:p>
    <w:p w14:paraId="1D303D6E" w14:textId="0BC6B6C2" w:rsidR="002C3A95" w:rsidRDefault="002C3A95"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the income threshold above which the 45</w:t>
      </w:r>
      <w:r w:rsidR="002D10A8">
        <w:rPr>
          <w:color w:val="090D46" w:themeColor="text1"/>
          <w:sz w:val="18"/>
          <w:szCs w:val="18"/>
        </w:rPr>
        <w:t>%</w:t>
      </w:r>
      <w:r>
        <w:rPr>
          <w:color w:val="090D46" w:themeColor="text1"/>
          <w:sz w:val="18"/>
          <w:szCs w:val="18"/>
        </w:rPr>
        <w:t xml:space="preserve"> tax rate applies will be increased from $180,000 to $190,000.</w:t>
      </w:r>
    </w:p>
    <w:p w14:paraId="1196BE14" w14:textId="565978F4" w:rsidR="002C3A95" w:rsidRDefault="00E330C2" w:rsidP="00A75412">
      <w:pPr>
        <w:pStyle w:val="ListParagraph"/>
        <w:numPr>
          <w:ilvl w:val="0"/>
          <w:numId w:val="81"/>
        </w:numPr>
        <w:spacing w:before="100" w:after="100"/>
        <w:ind w:hanging="357"/>
        <w:contextualSpacing w:val="0"/>
        <w:rPr>
          <w:color w:val="090D46" w:themeColor="text1"/>
          <w:sz w:val="18"/>
          <w:szCs w:val="18"/>
        </w:rPr>
      </w:pPr>
      <w:r>
        <w:rPr>
          <w:color w:val="090D46" w:themeColor="text1"/>
          <w:sz w:val="18"/>
          <w:szCs w:val="18"/>
        </w:rPr>
        <w:t xml:space="preserve">Eligible small businesses will </w:t>
      </w:r>
      <w:r w:rsidR="00474475">
        <w:rPr>
          <w:color w:val="090D46" w:themeColor="text1"/>
          <w:sz w:val="18"/>
          <w:szCs w:val="18"/>
        </w:rPr>
        <w:t>receive</w:t>
      </w:r>
      <w:r>
        <w:rPr>
          <w:color w:val="090D46" w:themeColor="text1"/>
          <w:sz w:val="18"/>
          <w:szCs w:val="18"/>
        </w:rPr>
        <w:t xml:space="preserve"> $325 total rebate on their energy bill from 1 July 2024. To access this rebate, small businesses must meet their state and territory definition of electricity small customer</w:t>
      </w:r>
      <w:r w:rsidR="00474475">
        <w:rPr>
          <w:color w:val="090D46" w:themeColor="text1"/>
          <w:sz w:val="18"/>
          <w:szCs w:val="18"/>
        </w:rPr>
        <w:t>.</w:t>
      </w:r>
    </w:p>
    <w:p w14:paraId="3795FC0A" w14:textId="2FD72890" w:rsidR="00474475" w:rsidRDefault="00474475" w:rsidP="00A75412">
      <w:pPr>
        <w:pStyle w:val="ListParagraph"/>
        <w:numPr>
          <w:ilvl w:val="0"/>
          <w:numId w:val="81"/>
        </w:numPr>
        <w:spacing w:before="100" w:after="100"/>
        <w:ind w:hanging="357"/>
        <w:contextualSpacing w:val="0"/>
        <w:rPr>
          <w:color w:val="090D46" w:themeColor="text1"/>
          <w:sz w:val="18"/>
          <w:szCs w:val="18"/>
        </w:rPr>
      </w:pPr>
      <w:r>
        <w:rPr>
          <w:color w:val="090D46" w:themeColor="text1"/>
          <w:sz w:val="18"/>
          <w:szCs w:val="18"/>
        </w:rPr>
        <w:t>The $20,000 instant asset write-off will be extended for 12 months to 30 June 2025, for eligible small businesses with an aggregated turnover of less than $10 million.</w:t>
      </w:r>
    </w:p>
    <w:p w14:paraId="64DCA95D" w14:textId="503F042E" w:rsidR="00474475" w:rsidRDefault="000417D8" w:rsidP="00A75412">
      <w:pPr>
        <w:pStyle w:val="ListParagraph"/>
        <w:numPr>
          <w:ilvl w:val="0"/>
          <w:numId w:val="81"/>
        </w:numPr>
        <w:spacing w:before="100" w:after="100"/>
        <w:ind w:hanging="357"/>
        <w:contextualSpacing w:val="0"/>
        <w:rPr>
          <w:color w:val="090D46" w:themeColor="text1"/>
          <w:sz w:val="18"/>
          <w:szCs w:val="18"/>
        </w:rPr>
      </w:pPr>
      <w:r>
        <w:rPr>
          <w:color w:val="090D46" w:themeColor="text1"/>
          <w:sz w:val="18"/>
          <w:szCs w:val="18"/>
        </w:rPr>
        <w:t>Amendments to CGT events commencing from 1 July 2025 to:</w:t>
      </w:r>
    </w:p>
    <w:p w14:paraId="1347DA33" w14:textId="2AFBB338" w:rsidR="000417D8" w:rsidRDefault="006E5DE8"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c</w:t>
      </w:r>
      <w:r w:rsidR="000417D8">
        <w:rPr>
          <w:color w:val="090D46" w:themeColor="text1"/>
          <w:sz w:val="18"/>
          <w:szCs w:val="18"/>
        </w:rPr>
        <w:t xml:space="preserve">larify and </w:t>
      </w:r>
      <w:r>
        <w:rPr>
          <w:color w:val="090D46" w:themeColor="text1"/>
          <w:sz w:val="18"/>
          <w:szCs w:val="18"/>
        </w:rPr>
        <w:t xml:space="preserve">broaden the types of assets that foreign residents will be subject to under the CGT </w:t>
      </w:r>
      <w:proofErr w:type="gramStart"/>
      <w:r>
        <w:rPr>
          <w:color w:val="090D46" w:themeColor="text1"/>
          <w:sz w:val="18"/>
          <w:szCs w:val="18"/>
        </w:rPr>
        <w:t>provisions</w:t>
      </w:r>
      <w:proofErr w:type="gramEnd"/>
    </w:p>
    <w:p w14:paraId="320881AC" w14:textId="1327448E" w:rsidR="006E5DE8" w:rsidRDefault="006E5DE8"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amen</w:t>
      </w:r>
      <w:r w:rsidR="000E7E03">
        <w:rPr>
          <w:color w:val="090D46" w:themeColor="text1"/>
          <w:sz w:val="18"/>
          <w:szCs w:val="18"/>
        </w:rPr>
        <w:t>d</w:t>
      </w:r>
      <w:r>
        <w:rPr>
          <w:color w:val="090D46" w:themeColor="text1"/>
          <w:sz w:val="18"/>
          <w:szCs w:val="18"/>
        </w:rPr>
        <w:t xml:space="preserve"> the point-in-time principal asset test to a 365-day testing </w:t>
      </w:r>
      <w:proofErr w:type="gramStart"/>
      <w:r>
        <w:rPr>
          <w:color w:val="090D46" w:themeColor="text1"/>
          <w:sz w:val="18"/>
          <w:szCs w:val="18"/>
        </w:rPr>
        <w:t>period</w:t>
      </w:r>
      <w:proofErr w:type="gramEnd"/>
    </w:p>
    <w:p w14:paraId="6957A400" w14:textId="4721FDF6" w:rsidR="006E5DE8" w:rsidRDefault="006E5DE8" w:rsidP="00A75412">
      <w:pPr>
        <w:pStyle w:val="ListParagraph"/>
        <w:numPr>
          <w:ilvl w:val="1"/>
          <w:numId w:val="81"/>
        </w:numPr>
        <w:spacing w:before="100" w:after="100"/>
        <w:ind w:hanging="357"/>
        <w:contextualSpacing w:val="0"/>
        <w:rPr>
          <w:color w:val="090D46" w:themeColor="text1"/>
          <w:sz w:val="18"/>
          <w:szCs w:val="18"/>
        </w:rPr>
      </w:pPr>
      <w:r>
        <w:rPr>
          <w:color w:val="090D46" w:themeColor="text1"/>
          <w:sz w:val="18"/>
          <w:szCs w:val="18"/>
        </w:rPr>
        <w:t>require foreign residents disposing of shares and other membership interests exceeding $20 million in value</w:t>
      </w:r>
      <w:r w:rsidR="00633E62">
        <w:rPr>
          <w:color w:val="090D46" w:themeColor="text1"/>
          <w:sz w:val="18"/>
          <w:szCs w:val="18"/>
        </w:rPr>
        <w:t xml:space="preserve"> to notify the ATO, prior to the transaction being executed.</w:t>
      </w:r>
    </w:p>
    <w:p w14:paraId="528B545A" w14:textId="01E43603" w:rsidR="000E7E03" w:rsidRPr="00A75412" w:rsidRDefault="000E7E03" w:rsidP="00A75412">
      <w:pPr>
        <w:pStyle w:val="ListParagraph"/>
        <w:numPr>
          <w:ilvl w:val="0"/>
          <w:numId w:val="81"/>
        </w:numPr>
        <w:spacing w:before="100" w:after="100"/>
        <w:ind w:hanging="357"/>
        <w:contextualSpacing w:val="0"/>
        <w:rPr>
          <w:sz w:val="18"/>
          <w:szCs w:val="18"/>
        </w:rPr>
      </w:pPr>
      <w:r>
        <w:rPr>
          <w:color w:val="090D46" w:themeColor="text1"/>
          <w:sz w:val="18"/>
          <w:szCs w:val="18"/>
        </w:rPr>
        <w:t xml:space="preserve">Amendments to the tax law to give the Commissioner a discretion to not use a taxpayer’s refund to offset old tax debts, where the Commissioner had put that old tax debt on hold prior to 1 January 2017. This discretion will apply to individuals, small </w:t>
      </w:r>
      <w:proofErr w:type="gramStart"/>
      <w:r>
        <w:rPr>
          <w:color w:val="090D46" w:themeColor="text1"/>
          <w:sz w:val="18"/>
          <w:szCs w:val="18"/>
        </w:rPr>
        <w:t>businesses</w:t>
      </w:r>
      <w:proofErr w:type="gramEnd"/>
      <w:r>
        <w:rPr>
          <w:color w:val="090D46" w:themeColor="text1"/>
          <w:sz w:val="18"/>
          <w:szCs w:val="18"/>
        </w:rPr>
        <w:t xml:space="preserve"> and not-for-profits.</w:t>
      </w:r>
    </w:p>
    <w:tbl>
      <w:tblPr>
        <w:tblStyle w:val="RACVTable"/>
        <w:tblW w:w="5044" w:type="pct"/>
        <w:tblLook w:val="01E0" w:firstRow="1" w:lastRow="1" w:firstColumn="1" w:lastColumn="1" w:noHBand="0" w:noVBand="0"/>
      </w:tblPr>
      <w:tblGrid>
        <w:gridCol w:w="8082"/>
        <w:gridCol w:w="711"/>
        <w:gridCol w:w="570"/>
        <w:gridCol w:w="703"/>
      </w:tblGrid>
      <w:tr w:rsidR="00E72752" w14:paraId="52F76470" w14:textId="77777777" w:rsidTr="00D00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EB14983" w14:textId="77777777" w:rsidR="00E72752" w:rsidRPr="00DB6440" w:rsidRDefault="00E72752" w:rsidP="00DB6440">
            <w:pPr>
              <w:pStyle w:val="Table"/>
              <w:spacing w:before="100" w:after="100"/>
              <w:rPr>
                <w:bCs w:val="0"/>
                <w:color w:val="090D46" w:themeColor="text1"/>
                <w:sz w:val="18"/>
                <w:szCs w:val="18"/>
              </w:rPr>
            </w:pPr>
            <w:r w:rsidRPr="00DB6440">
              <w:rPr>
                <w:bCs w:val="0"/>
                <w:color w:val="090D46" w:themeColor="text1"/>
                <w:sz w:val="18"/>
                <w:szCs w:val="18"/>
              </w:rPr>
              <w:t xml:space="preserve">TRANSACTIONS AT RISK UNDER ATO COMPLIANCE ACTIVITIES </w:t>
            </w:r>
          </w:p>
        </w:tc>
        <w:tc>
          <w:tcPr>
            <w:tcW w:w="353" w:type="pct"/>
            <w:hideMark/>
          </w:tcPr>
          <w:p w14:paraId="025E0634" w14:textId="7D8A76E6" w:rsidR="00E72752" w:rsidRPr="00DB6440" w:rsidRDefault="00DB6440" w:rsidP="00DB6440">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Pr>
                <w:bCs w:val="0"/>
                <w:color w:val="090D46" w:themeColor="text1"/>
                <w:sz w:val="18"/>
                <w:szCs w:val="18"/>
              </w:rPr>
              <w:t>YES</w:t>
            </w:r>
          </w:p>
        </w:tc>
        <w:tc>
          <w:tcPr>
            <w:tcW w:w="283" w:type="pct"/>
            <w:hideMark/>
          </w:tcPr>
          <w:p w14:paraId="6C20A3AC" w14:textId="76EF891D" w:rsidR="00E72752" w:rsidRPr="00DB6440" w:rsidRDefault="00DB6440" w:rsidP="00DB6440">
            <w:pPr>
              <w:pStyle w:val="Table"/>
              <w:spacing w:before="100" w:after="100"/>
              <w:cnfStyle w:val="100000000000" w:firstRow="1" w:lastRow="0" w:firstColumn="0" w:lastColumn="0" w:oddVBand="0" w:evenVBand="0" w:oddHBand="0" w:evenHBand="0" w:firstRowFirstColumn="0" w:firstRowLastColumn="0" w:lastRowFirstColumn="0" w:lastRowLastColumn="0"/>
              <w:rPr>
                <w:bCs w:val="0"/>
                <w:color w:val="090D46" w:themeColor="text1"/>
                <w:sz w:val="18"/>
                <w:szCs w:val="18"/>
              </w:rPr>
            </w:pPr>
            <w:r>
              <w:rPr>
                <w:bCs w:val="0"/>
                <w:color w:val="090D46" w:themeColor="text1"/>
                <w:sz w:val="18"/>
                <w:szCs w:val="18"/>
              </w:rPr>
              <w:t>NO</w:t>
            </w:r>
          </w:p>
        </w:tc>
        <w:tc>
          <w:tcPr>
            <w:cnfStyle w:val="000100000000" w:firstRow="0" w:lastRow="0" w:firstColumn="0" w:lastColumn="1" w:oddVBand="0" w:evenVBand="0" w:oddHBand="0" w:evenHBand="0" w:firstRowFirstColumn="0" w:firstRowLastColumn="0" w:lastRowFirstColumn="0" w:lastRowLastColumn="0"/>
            <w:tcW w:w="349" w:type="pct"/>
            <w:hideMark/>
          </w:tcPr>
          <w:p w14:paraId="3B33F2D3" w14:textId="77777777" w:rsidR="00E72752" w:rsidRPr="00DB6440" w:rsidRDefault="00E72752" w:rsidP="00DB6440">
            <w:pPr>
              <w:pStyle w:val="Table"/>
              <w:spacing w:before="100" w:after="100"/>
              <w:rPr>
                <w:bCs w:val="0"/>
                <w:color w:val="090D46" w:themeColor="text1"/>
                <w:sz w:val="18"/>
                <w:szCs w:val="18"/>
              </w:rPr>
            </w:pPr>
            <w:r w:rsidRPr="00DB6440">
              <w:rPr>
                <w:bCs w:val="0"/>
                <w:color w:val="090D46" w:themeColor="text1"/>
                <w:sz w:val="18"/>
                <w:szCs w:val="18"/>
              </w:rPr>
              <w:t>N/A</w:t>
            </w:r>
          </w:p>
        </w:tc>
      </w:tr>
      <w:tr w:rsidR="00DB6440" w:rsidRPr="00DB6440" w14:paraId="258EBD69"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7D50A14" w14:textId="77777777" w:rsidR="00E72752" w:rsidRPr="00DB6440" w:rsidRDefault="00E72752" w:rsidP="00DB6440">
            <w:pPr>
              <w:rPr>
                <w:rFonts w:cstheme="minorHAnsi"/>
                <w:b w:val="0"/>
                <w:bCs w:val="0"/>
                <w:i/>
                <w:szCs w:val="18"/>
              </w:rPr>
            </w:pPr>
            <w:r w:rsidRPr="00DB6440">
              <w:rPr>
                <w:rFonts w:cstheme="minorHAnsi"/>
                <w:b w:val="0"/>
                <w:bCs w:val="0"/>
                <w:szCs w:val="18"/>
              </w:rPr>
              <w:t>Consider the application of the following:</w:t>
            </w:r>
          </w:p>
        </w:tc>
        <w:tc>
          <w:tcPr>
            <w:cnfStyle w:val="000100000000" w:firstRow="0" w:lastRow="0" w:firstColumn="0" w:lastColumn="1" w:oddVBand="0" w:evenVBand="0" w:oddHBand="0" w:evenHBand="0" w:firstRowFirstColumn="0" w:firstRowLastColumn="0" w:lastRowFirstColumn="0" w:lastRowLastColumn="0"/>
            <w:tcW w:w="985" w:type="pct"/>
            <w:gridSpan w:val="3"/>
          </w:tcPr>
          <w:p w14:paraId="42F0A8F6" w14:textId="77777777" w:rsidR="00E72752" w:rsidRPr="00DB6440" w:rsidRDefault="00E72752" w:rsidP="00DB6440">
            <w:pPr>
              <w:rPr>
                <w:rFonts w:cstheme="minorHAnsi"/>
                <w:b w:val="0"/>
                <w:bCs w:val="0"/>
                <w:i/>
                <w:szCs w:val="18"/>
              </w:rPr>
            </w:pPr>
          </w:p>
        </w:tc>
      </w:tr>
      <w:tr w:rsidR="00DB6440" w:rsidRPr="00DB6440" w14:paraId="06A40936"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0052907" w14:textId="77777777" w:rsidR="00E72752" w:rsidRPr="00DB6440" w:rsidRDefault="00E72752" w:rsidP="00DB6440">
            <w:pPr>
              <w:rPr>
                <w:rFonts w:cstheme="minorHAnsi"/>
                <w:b w:val="0"/>
                <w:bCs w:val="0"/>
                <w:i/>
                <w:szCs w:val="18"/>
              </w:rPr>
            </w:pPr>
            <w:r w:rsidRPr="00DB6440">
              <w:rPr>
                <w:rFonts w:cstheme="minorHAnsi"/>
                <w:b w:val="0"/>
                <w:bCs w:val="0"/>
                <w:szCs w:val="18"/>
              </w:rPr>
              <w:t>Arrangements to exploit mismatches between trust and taxable income (Taxpayer Alert 2013/1).</w:t>
            </w:r>
          </w:p>
        </w:tc>
        <w:tc>
          <w:tcPr>
            <w:tcW w:w="353" w:type="pct"/>
          </w:tcPr>
          <w:p w14:paraId="1103E11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CDFDAD8"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2DB6AFC" w14:textId="77777777" w:rsidR="00E72752" w:rsidRPr="00DB6440" w:rsidRDefault="00E72752" w:rsidP="00DB6440">
            <w:pPr>
              <w:rPr>
                <w:rFonts w:cstheme="minorHAnsi"/>
                <w:b w:val="0"/>
                <w:bCs w:val="0"/>
                <w:i/>
                <w:szCs w:val="18"/>
              </w:rPr>
            </w:pPr>
          </w:p>
        </w:tc>
      </w:tr>
      <w:tr w:rsidR="00D00F3F" w:rsidRPr="00DB6440" w14:paraId="4C665B5A"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5E0210EA" w14:textId="77777777" w:rsidR="00E72752" w:rsidRPr="00DB6440" w:rsidRDefault="00E72752" w:rsidP="00DB6440">
            <w:pPr>
              <w:rPr>
                <w:rFonts w:cstheme="minorHAnsi"/>
                <w:b w:val="0"/>
                <w:bCs w:val="0"/>
                <w:i/>
                <w:szCs w:val="18"/>
              </w:rPr>
            </w:pPr>
            <w:r w:rsidRPr="00DB6440">
              <w:rPr>
                <w:rFonts w:cstheme="minorHAnsi"/>
                <w:b w:val="0"/>
                <w:bCs w:val="0"/>
                <w:szCs w:val="18"/>
              </w:rPr>
              <w:lastRenderedPageBreak/>
              <w:t>The general anti-avoidance provisions of Part IVA of the ITAA 1936 may be applied in relation to ‘dividend washing’ arrangements in Taxation Determination TD 2014/10, and specific anti-avoidance provisions have been enacted to counter such activity under section 207-157 of the imputation provisions in the ITAA 1997.</w:t>
            </w:r>
          </w:p>
        </w:tc>
        <w:tc>
          <w:tcPr>
            <w:tcW w:w="353" w:type="pct"/>
          </w:tcPr>
          <w:p w14:paraId="104FD8F9"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62437483"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0D9BE4C" w14:textId="77777777" w:rsidR="00E72752" w:rsidRPr="00DB6440" w:rsidRDefault="00E72752" w:rsidP="00DB6440">
            <w:pPr>
              <w:rPr>
                <w:rFonts w:cstheme="minorHAnsi"/>
                <w:b w:val="0"/>
                <w:bCs w:val="0"/>
                <w:i/>
                <w:szCs w:val="18"/>
              </w:rPr>
            </w:pPr>
          </w:p>
        </w:tc>
      </w:tr>
      <w:tr w:rsidR="00DB6440" w:rsidRPr="00DB6440" w14:paraId="7428399F"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0DCB5B33" w14:textId="77777777" w:rsidR="00E72752" w:rsidRPr="00DB6440" w:rsidRDefault="00E72752" w:rsidP="00DB6440">
            <w:pPr>
              <w:rPr>
                <w:rFonts w:cstheme="minorHAnsi"/>
                <w:b w:val="0"/>
                <w:bCs w:val="0"/>
                <w:i/>
                <w:szCs w:val="18"/>
              </w:rPr>
            </w:pPr>
            <w:r w:rsidRPr="00DB6440">
              <w:rPr>
                <w:rFonts w:cstheme="minorHAnsi"/>
                <w:b w:val="0"/>
                <w:bCs w:val="0"/>
                <w:szCs w:val="18"/>
              </w:rPr>
              <w:t>Purported alienation of income through discretionary trust partnerships (Taxpayer Alert TA 2013/3).</w:t>
            </w:r>
          </w:p>
        </w:tc>
        <w:tc>
          <w:tcPr>
            <w:tcW w:w="353" w:type="pct"/>
          </w:tcPr>
          <w:p w14:paraId="4D765C4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0BF558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741034B" w14:textId="77777777" w:rsidR="00E72752" w:rsidRPr="00DB6440" w:rsidRDefault="00E72752" w:rsidP="00DB6440">
            <w:pPr>
              <w:rPr>
                <w:rFonts w:cstheme="minorHAnsi"/>
                <w:b w:val="0"/>
                <w:bCs w:val="0"/>
                <w:i/>
                <w:szCs w:val="18"/>
              </w:rPr>
            </w:pPr>
          </w:p>
        </w:tc>
      </w:tr>
      <w:tr w:rsidR="00D00F3F" w:rsidRPr="00DB6440" w14:paraId="5EDF0709"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6377FBF" w14:textId="77777777" w:rsidR="00E72752" w:rsidRPr="00DB6440" w:rsidRDefault="00E72752" w:rsidP="00DB6440">
            <w:pPr>
              <w:rPr>
                <w:rFonts w:cstheme="minorHAnsi"/>
                <w:b w:val="0"/>
                <w:bCs w:val="0"/>
                <w:i/>
                <w:szCs w:val="18"/>
              </w:rPr>
            </w:pPr>
            <w:r w:rsidRPr="00DB6440">
              <w:rPr>
                <w:rFonts w:cstheme="minorHAnsi"/>
                <w:b w:val="0"/>
                <w:bCs w:val="0"/>
                <w:szCs w:val="18"/>
              </w:rPr>
              <w:t>Using data matching, the ATO will be increasing its focus on employer obligations in relation to superannuation guarantee and PAYG withholding.</w:t>
            </w:r>
          </w:p>
        </w:tc>
        <w:tc>
          <w:tcPr>
            <w:tcW w:w="353" w:type="pct"/>
          </w:tcPr>
          <w:p w14:paraId="5A2CAD4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F019141"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A2E577B" w14:textId="77777777" w:rsidR="00E72752" w:rsidRPr="00DB6440" w:rsidRDefault="00E72752" w:rsidP="00DB6440">
            <w:pPr>
              <w:rPr>
                <w:rFonts w:cstheme="minorHAnsi"/>
                <w:b w:val="0"/>
                <w:bCs w:val="0"/>
                <w:i/>
                <w:szCs w:val="18"/>
              </w:rPr>
            </w:pPr>
          </w:p>
        </w:tc>
      </w:tr>
      <w:tr w:rsidR="00DB6440" w:rsidRPr="00DB6440" w14:paraId="1FDA98F4"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D1DE021" w14:textId="0AA1956C" w:rsidR="00E72752" w:rsidRPr="00DB6440" w:rsidRDefault="00E72752" w:rsidP="00DB6440">
            <w:pPr>
              <w:rPr>
                <w:rFonts w:cstheme="minorHAnsi"/>
                <w:b w:val="0"/>
                <w:bCs w:val="0"/>
                <w:i/>
                <w:szCs w:val="18"/>
              </w:rPr>
            </w:pPr>
            <w:r w:rsidRPr="00DB6440">
              <w:rPr>
                <w:rFonts w:cstheme="minorHAnsi"/>
                <w:b w:val="0"/>
                <w:bCs w:val="0"/>
                <w:szCs w:val="18"/>
              </w:rPr>
              <w:t>An increased focus on international transactions including exploitation of transfer pricing and thin capitalisation.</w:t>
            </w:r>
          </w:p>
        </w:tc>
        <w:tc>
          <w:tcPr>
            <w:tcW w:w="353" w:type="pct"/>
          </w:tcPr>
          <w:p w14:paraId="6E2C0F21"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B4D4739"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EB20E47" w14:textId="77777777" w:rsidR="00E72752" w:rsidRPr="00DB6440" w:rsidRDefault="00E72752" w:rsidP="00DB6440">
            <w:pPr>
              <w:rPr>
                <w:rFonts w:cstheme="minorHAnsi"/>
                <w:b w:val="0"/>
                <w:bCs w:val="0"/>
                <w:i/>
                <w:szCs w:val="18"/>
              </w:rPr>
            </w:pPr>
          </w:p>
        </w:tc>
      </w:tr>
      <w:tr w:rsidR="00B51DAC" w:rsidRPr="00DB6440" w14:paraId="2CB2AFD8"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tcPr>
          <w:p w14:paraId="1CB1AA41" w14:textId="7AE50B4A" w:rsidR="00B51DAC" w:rsidRPr="00A75412" w:rsidRDefault="00B51DAC" w:rsidP="00DB6440">
            <w:pPr>
              <w:rPr>
                <w:rFonts w:cstheme="minorHAnsi"/>
                <w:b w:val="0"/>
                <w:bCs w:val="0"/>
                <w:szCs w:val="18"/>
              </w:rPr>
            </w:pPr>
            <w:r w:rsidRPr="00383AC5">
              <w:rPr>
                <w:rFonts w:cstheme="minorHAnsi"/>
                <w:b w:val="0"/>
                <w:bCs w:val="0"/>
                <w:szCs w:val="18"/>
              </w:rPr>
              <w:t xml:space="preserve">The </w:t>
            </w:r>
            <w:r w:rsidR="00E02B1E">
              <w:rPr>
                <w:rFonts w:cstheme="minorHAnsi"/>
                <w:b w:val="0"/>
                <w:bCs w:val="0"/>
                <w:szCs w:val="18"/>
              </w:rPr>
              <w:t xml:space="preserve">implementation of a global and domestic minimum tax in Australia (being Pillar 2 of the OCED/G20 </w:t>
            </w:r>
            <w:r w:rsidR="00937F4F">
              <w:rPr>
                <w:rFonts w:cstheme="minorHAnsi"/>
                <w:b w:val="0"/>
                <w:bCs w:val="0"/>
                <w:szCs w:val="18"/>
              </w:rPr>
              <w:t>Two-Pillar Solution)</w:t>
            </w:r>
            <w:r w:rsidR="00C72366">
              <w:rPr>
                <w:rFonts w:cstheme="minorHAnsi"/>
                <w:b w:val="0"/>
                <w:bCs w:val="0"/>
                <w:szCs w:val="18"/>
              </w:rPr>
              <w:t>, which will apply to</w:t>
            </w:r>
            <w:r w:rsidR="00937F4F">
              <w:rPr>
                <w:rFonts w:cstheme="minorHAnsi"/>
                <w:b w:val="0"/>
                <w:bCs w:val="0"/>
                <w:szCs w:val="18"/>
              </w:rPr>
              <w:t xml:space="preserve"> multinational entities</w:t>
            </w:r>
            <w:r w:rsidR="00C72366">
              <w:rPr>
                <w:rFonts w:cstheme="minorHAnsi"/>
                <w:b w:val="0"/>
                <w:bCs w:val="0"/>
                <w:szCs w:val="18"/>
              </w:rPr>
              <w:t xml:space="preserve"> with annual global revenue of EUR750 million or more.</w:t>
            </w:r>
          </w:p>
        </w:tc>
        <w:tc>
          <w:tcPr>
            <w:tcW w:w="353" w:type="pct"/>
          </w:tcPr>
          <w:p w14:paraId="66DD3DBA" w14:textId="77777777" w:rsidR="00B51DAC" w:rsidRPr="00DB6440" w:rsidRDefault="00B51DAC"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5095F8AA" w14:textId="77777777" w:rsidR="00B51DAC" w:rsidRPr="00DB6440" w:rsidRDefault="00B51DAC"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4716169" w14:textId="77777777" w:rsidR="00B51DAC" w:rsidRPr="00DB6440" w:rsidRDefault="00B51DAC" w:rsidP="00DB6440">
            <w:pPr>
              <w:rPr>
                <w:rFonts w:cstheme="minorHAnsi"/>
                <w:b w:val="0"/>
                <w:bCs w:val="0"/>
                <w:i/>
                <w:szCs w:val="18"/>
              </w:rPr>
            </w:pPr>
          </w:p>
        </w:tc>
      </w:tr>
      <w:tr w:rsidR="00D00F3F" w:rsidRPr="00DB6440" w14:paraId="6D9A2856"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02A9658" w14:textId="58875AF7" w:rsidR="00E72752" w:rsidRPr="00DB6440" w:rsidRDefault="00E72752" w:rsidP="00DB6440">
            <w:pPr>
              <w:rPr>
                <w:rFonts w:cstheme="minorHAnsi"/>
                <w:b w:val="0"/>
                <w:bCs w:val="0"/>
                <w:i/>
                <w:szCs w:val="18"/>
              </w:rPr>
            </w:pPr>
            <w:r w:rsidRPr="00DB6440">
              <w:rPr>
                <w:rFonts w:cstheme="minorHAnsi"/>
                <w:b w:val="0"/>
                <w:bCs w:val="0"/>
                <w:szCs w:val="18"/>
              </w:rPr>
              <w:t>Using data matching to identify non-disclosure and incorrect reporting of capital gains.</w:t>
            </w:r>
            <w:r w:rsidR="006D5133">
              <w:rPr>
                <w:rFonts w:cstheme="minorHAnsi"/>
                <w:b w:val="0"/>
                <w:bCs w:val="0"/>
                <w:szCs w:val="18"/>
              </w:rPr>
              <w:t xml:space="preserve"> Refer to the </w:t>
            </w:r>
            <w:r w:rsidR="00497405">
              <w:rPr>
                <w:rFonts w:cstheme="minorHAnsi"/>
                <w:b w:val="0"/>
                <w:bCs w:val="0"/>
                <w:szCs w:val="18"/>
              </w:rPr>
              <w:t xml:space="preserve">ATO’s data-matching protocols for each of its data-matching programs on the </w:t>
            </w:r>
            <w:hyperlink r:id="rId21" w:history="1">
              <w:r w:rsidR="00497405" w:rsidRPr="00A75412">
                <w:rPr>
                  <w:rStyle w:val="Hyperlink"/>
                </w:rPr>
                <w:t>ATO website</w:t>
              </w:r>
            </w:hyperlink>
            <w:r w:rsidR="00497405" w:rsidRPr="00497405">
              <w:rPr>
                <w:rFonts w:cstheme="minorHAnsi"/>
                <w:b w:val="0"/>
                <w:bCs w:val="0"/>
                <w:szCs w:val="18"/>
              </w:rPr>
              <w:t>.</w:t>
            </w:r>
          </w:p>
        </w:tc>
        <w:tc>
          <w:tcPr>
            <w:tcW w:w="353" w:type="pct"/>
          </w:tcPr>
          <w:p w14:paraId="1CD66F4F"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6978EC29"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F08BF27" w14:textId="77777777" w:rsidR="00E72752" w:rsidRPr="00DB6440" w:rsidRDefault="00E72752" w:rsidP="00DB6440">
            <w:pPr>
              <w:rPr>
                <w:rFonts w:cstheme="minorHAnsi"/>
                <w:b w:val="0"/>
                <w:bCs w:val="0"/>
                <w:i/>
                <w:szCs w:val="18"/>
              </w:rPr>
            </w:pPr>
          </w:p>
        </w:tc>
      </w:tr>
      <w:tr w:rsidR="00DB6440" w:rsidRPr="00DB6440" w14:paraId="3CE00D76"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E0A5E08" w14:textId="251B8F0F" w:rsidR="00E72752" w:rsidRPr="00DB6440" w:rsidRDefault="00E72752" w:rsidP="00DB6440">
            <w:pPr>
              <w:rPr>
                <w:rFonts w:cstheme="minorHAnsi"/>
                <w:b w:val="0"/>
                <w:bCs w:val="0"/>
                <w:i/>
                <w:szCs w:val="18"/>
              </w:rPr>
            </w:pPr>
            <w:r w:rsidRPr="00DB6440">
              <w:rPr>
                <w:rFonts w:cstheme="minorHAnsi"/>
                <w:b w:val="0"/>
                <w:bCs w:val="0"/>
                <w:szCs w:val="18"/>
              </w:rPr>
              <w:t xml:space="preserve">Self-managed superannuation funds arrangements to acquire property which contravene </w:t>
            </w:r>
            <w:r w:rsidR="00137DB8">
              <w:rPr>
                <w:rFonts w:cstheme="minorHAnsi"/>
                <w:b w:val="0"/>
                <w:bCs w:val="0"/>
                <w:szCs w:val="18"/>
              </w:rPr>
              <w:t xml:space="preserve">section 67 of the </w:t>
            </w:r>
            <w:r w:rsidR="00137DB8" w:rsidRPr="00383AC5">
              <w:rPr>
                <w:rFonts w:cstheme="minorHAnsi"/>
                <w:b w:val="0"/>
                <w:bCs w:val="0"/>
                <w:i/>
                <w:iCs/>
                <w:szCs w:val="18"/>
              </w:rPr>
              <w:t xml:space="preserve">Superannuation </w:t>
            </w:r>
            <w:r w:rsidR="009D71E8" w:rsidRPr="00383AC5">
              <w:rPr>
                <w:rFonts w:cstheme="minorHAnsi"/>
                <w:b w:val="0"/>
                <w:bCs w:val="0"/>
                <w:i/>
                <w:iCs/>
                <w:szCs w:val="18"/>
              </w:rPr>
              <w:t>Industry (Supervision) Act 1993</w:t>
            </w:r>
            <w:r w:rsidRPr="00DB6440">
              <w:rPr>
                <w:rFonts w:cstheme="minorHAnsi"/>
                <w:b w:val="0"/>
                <w:bCs w:val="0"/>
                <w:szCs w:val="18"/>
              </w:rPr>
              <w:t xml:space="preserve"> (Taxpayer Alert TA 2012/7).</w:t>
            </w:r>
          </w:p>
        </w:tc>
        <w:tc>
          <w:tcPr>
            <w:tcW w:w="353" w:type="pct"/>
          </w:tcPr>
          <w:p w14:paraId="7EC63D3B"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162808F5"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8EC50AF" w14:textId="77777777" w:rsidR="00E72752" w:rsidRPr="00DB6440" w:rsidRDefault="00E72752" w:rsidP="00DB6440">
            <w:pPr>
              <w:rPr>
                <w:rFonts w:cstheme="minorHAnsi"/>
                <w:b w:val="0"/>
                <w:bCs w:val="0"/>
                <w:i/>
                <w:szCs w:val="18"/>
              </w:rPr>
            </w:pPr>
          </w:p>
        </w:tc>
      </w:tr>
      <w:tr w:rsidR="00D00F3F" w:rsidRPr="00DB6440" w14:paraId="71E0028C"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A713112" w14:textId="2D1E7D54" w:rsidR="00E72752" w:rsidRPr="00DB6440" w:rsidRDefault="00E72752" w:rsidP="00DB6440">
            <w:pPr>
              <w:rPr>
                <w:rFonts w:cstheme="minorHAnsi"/>
                <w:b w:val="0"/>
                <w:bCs w:val="0"/>
                <w:i/>
                <w:szCs w:val="18"/>
              </w:rPr>
            </w:pPr>
            <w:r w:rsidRPr="00DB6440">
              <w:rPr>
                <w:rFonts w:cstheme="minorHAnsi"/>
                <w:b w:val="0"/>
                <w:bCs w:val="0"/>
                <w:szCs w:val="18"/>
              </w:rPr>
              <w:t>Accessing private company profits through a dividend access share arrangement attempting to circumvent taxation laws (Taxpayer Alert Tax 2012/4).</w:t>
            </w:r>
          </w:p>
        </w:tc>
        <w:tc>
          <w:tcPr>
            <w:tcW w:w="353" w:type="pct"/>
          </w:tcPr>
          <w:p w14:paraId="63746B22"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043EF14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DBA5F1E" w14:textId="77777777" w:rsidR="00E72752" w:rsidRPr="00DB6440" w:rsidRDefault="00E72752" w:rsidP="00DB6440">
            <w:pPr>
              <w:rPr>
                <w:rFonts w:cstheme="minorHAnsi"/>
                <w:b w:val="0"/>
                <w:bCs w:val="0"/>
                <w:i/>
                <w:szCs w:val="18"/>
              </w:rPr>
            </w:pPr>
          </w:p>
        </w:tc>
      </w:tr>
      <w:tr w:rsidR="00DB6440" w:rsidRPr="00DB6440" w14:paraId="0F47B817"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39CEB06B" w14:textId="77777777" w:rsidR="00E72752" w:rsidRPr="00DB6440" w:rsidRDefault="00E72752" w:rsidP="00DB6440">
            <w:pPr>
              <w:rPr>
                <w:rFonts w:cstheme="minorHAnsi"/>
                <w:b w:val="0"/>
                <w:bCs w:val="0"/>
                <w:i/>
                <w:szCs w:val="18"/>
              </w:rPr>
            </w:pPr>
            <w:r w:rsidRPr="00DB6440">
              <w:rPr>
                <w:rFonts w:cstheme="minorHAnsi"/>
                <w:b w:val="0"/>
                <w:bCs w:val="0"/>
                <w:szCs w:val="18"/>
              </w:rPr>
              <w:t>Non-disclosure of foreign source income by Australian tax residents (Taxpayer Alert TA 2012/1).</w:t>
            </w:r>
          </w:p>
        </w:tc>
        <w:tc>
          <w:tcPr>
            <w:tcW w:w="353" w:type="pct"/>
          </w:tcPr>
          <w:p w14:paraId="4952C09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06B2C11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2A6423C" w14:textId="77777777" w:rsidR="00E72752" w:rsidRPr="00DB6440" w:rsidRDefault="00E72752" w:rsidP="00DB6440">
            <w:pPr>
              <w:rPr>
                <w:rFonts w:cstheme="minorHAnsi"/>
                <w:b w:val="0"/>
                <w:bCs w:val="0"/>
                <w:i/>
                <w:szCs w:val="18"/>
              </w:rPr>
            </w:pPr>
          </w:p>
        </w:tc>
      </w:tr>
      <w:tr w:rsidR="00D00F3F" w:rsidRPr="00DB6440" w14:paraId="305F9DD0"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4D6DF7FC"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Loans to members of companies limited by guarantee </w:t>
            </w:r>
            <w:proofErr w:type="gramStart"/>
            <w:r w:rsidRPr="00DB6440">
              <w:rPr>
                <w:rFonts w:cstheme="minorHAnsi"/>
                <w:b w:val="0"/>
                <w:bCs w:val="0"/>
                <w:szCs w:val="18"/>
              </w:rPr>
              <w:t>in an effort to</w:t>
            </w:r>
            <w:proofErr w:type="gramEnd"/>
            <w:r w:rsidRPr="00DB6440">
              <w:rPr>
                <w:rFonts w:cstheme="minorHAnsi"/>
                <w:b w:val="0"/>
                <w:bCs w:val="0"/>
                <w:szCs w:val="18"/>
              </w:rPr>
              <w:t xml:space="preserve"> circumvent the operation of Division 7A </w:t>
            </w:r>
            <w:r w:rsidRPr="00DB6440">
              <w:rPr>
                <w:rFonts w:cstheme="minorHAnsi"/>
                <w:b w:val="0"/>
                <w:bCs w:val="0"/>
                <w:szCs w:val="18"/>
              </w:rPr>
              <w:br/>
              <w:t>(Taxpayer Alert TA 2011/1).</w:t>
            </w:r>
          </w:p>
        </w:tc>
        <w:tc>
          <w:tcPr>
            <w:tcW w:w="353" w:type="pct"/>
          </w:tcPr>
          <w:p w14:paraId="0ECF702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470DD6A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8F028F1" w14:textId="77777777" w:rsidR="00E72752" w:rsidRPr="00DB6440" w:rsidRDefault="00E72752" w:rsidP="00DB6440">
            <w:pPr>
              <w:rPr>
                <w:rFonts w:cstheme="minorHAnsi"/>
                <w:b w:val="0"/>
                <w:bCs w:val="0"/>
                <w:i/>
                <w:szCs w:val="18"/>
              </w:rPr>
            </w:pPr>
          </w:p>
        </w:tc>
      </w:tr>
      <w:tr w:rsidR="00DB6440" w:rsidRPr="00DB6440" w14:paraId="1A1947F8"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5F35FC91" w14:textId="77777777" w:rsidR="00E72752" w:rsidRPr="00DB6440" w:rsidRDefault="00E72752" w:rsidP="00DB6440">
            <w:pPr>
              <w:rPr>
                <w:rFonts w:cstheme="minorHAnsi"/>
                <w:b w:val="0"/>
                <w:bCs w:val="0"/>
                <w:i/>
                <w:szCs w:val="18"/>
              </w:rPr>
            </w:pPr>
            <w:r w:rsidRPr="00DB6440">
              <w:rPr>
                <w:rFonts w:cstheme="minorHAnsi"/>
                <w:b w:val="0"/>
                <w:bCs w:val="0"/>
                <w:szCs w:val="18"/>
              </w:rPr>
              <w:t>The use of certain labour hire arrangements utilising a discretionary trust to split income to avoid the application of the personal services income rules (Taxpayer Alert TA 2011/2).</w:t>
            </w:r>
          </w:p>
        </w:tc>
        <w:tc>
          <w:tcPr>
            <w:tcW w:w="353" w:type="pct"/>
          </w:tcPr>
          <w:p w14:paraId="352735DF"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3C4A74C5"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F6E6B5B" w14:textId="77777777" w:rsidR="00E72752" w:rsidRPr="00DB6440" w:rsidRDefault="00E72752" w:rsidP="00DB6440">
            <w:pPr>
              <w:rPr>
                <w:rFonts w:cstheme="minorHAnsi"/>
                <w:b w:val="0"/>
                <w:bCs w:val="0"/>
                <w:i/>
                <w:szCs w:val="18"/>
              </w:rPr>
            </w:pPr>
          </w:p>
        </w:tc>
      </w:tr>
      <w:tr w:rsidR="00D00F3F" w:rsidRPr="00DB6440" w14:paraId="48656BD2"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56EABAA0" w14:textId="50A668A5" w:rsidR="00E72752" w:rsidRPr="00DB6440" w:rsidRDefault="00E72752" w:rsidP="00DB6440">
            <w:pPr>
              <w:rPr>
                <w:rFonts w:cstheme="minorHAnsi"/>
                <w:b w:val="0"/>
                <w:bCs w:val="0"/>
                <w:i/>
                <w:szCs w:val="18"/>
              </w:rPr>
            </w:pPr>
            <w:r w:rsidRPr="00DB6440">
              <w:rPr>
                <w:rFonts w:cstheme="minorHAnsi"/>
                <w:b w:val="0"/>
                <w:bCs w:val="0"/>
                <w:szCs w:val="18"/>
              </w:rPr>
              <w:t>Arrangements that involve holiday travel claimed as a work related, investment or self-education expense where there is a private purpose for the travel (Taxpayer Alert TA 2011/3).</w:t>
            </w:r>
          </w:p>
        </w:tc>
        <w:tc>
          <w:tcPr>
            <w:tcW w:w="353" w:type="pct"/>
          </w:tcPr>
          <w:p w14:paraId="06067B8C"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41BE6128"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FA21752" w14:textId="77777777" w:rsidR="00E72752" w:rsidRPr="00DB6440" w:rsidRDefault="00E72752" w:rsidP="00DB6440">
            <w:pPr>
              <w:rPr>
                <w:rFonts w:cstheme="minorHAnsi"/>
                <w:b w:val="0"/>
                <w:bCs w:val="0"/>
                <w:i/>
                <w:szCs w:val="18"/>
              </w:rPr>
            </w:pPr>
          </w:p>
        </w:tc>
      </w:tr>
      <w:tr w:rsidR="00DB6440" w:rsidRPr="00DB6440" w14:paraId="3F07A652"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5E6389E" w14:textId="77777777" w:rsidR="00E72752" w:rsidRPr="00DB6440" w:rsidRDefault="00E72752" w:rsidP="00DB6440">
            <w:pPr>
              <w:rPr>
                <w:rFonts w:cstheme="minorHAnsi"/>
                <w:b w:val="0"/>
                <w:bCs w:val="0"/>
                <w:i/>
                <w:szCs w:val="18"/>
              </w:rPr>
            </w:pPr>
            <w:r w:rsidRPr="00DB6440">
              <w:rPr>
                <w:rFonts w:cstheme="minorHAnsi"/>
                <w:b w:val="0"/>
                <w:bCs w:val="0"/>
                <w:szCs w:val="18"/>
              </w:rPr>
              <w:t>Deductibility of unpaid director’s fees (Taxpayer Alert TA 2011/4).</w:t>
            </w:r>
          </w:p>
        </w:tc>
        <w:tc>
          <w:tcPr>
            <w:tcW w:w="353" w:type="pct"/>
          </w:tcPr>
          <w:p w14:paraId="1C1703BB"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39F6DA00"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E160D43" w14:textId="77777777" w:rsidR="00E72752" w:rsidRPr="00DB6440" w:rsidRDefault="00E72752" w:rsidP="00DB6440">
            <w:pPr>
              <w:rPr>
                <w:rFonts w:cstheme="minorHAnsi"/>
                <w:b w:val="0"/>
                <w:bCs w:val="0"/>
                <w:i/>
                <w:szCs w:val="18"/>
              </w:rPr>
            </w:pPr>
          </w:p>
        </w:tc>
      </w:tr>
      <w:tr w:rsidR="00D00F3F" w:rsidRPr="00DB6440" w14:paraId="52D6232D"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3846F9B"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Offshore income transactions including dividends and interest, </w:t>
            </w:r>
            <w:proofErr w:type="gramStart"/>
            <w:r w:rsidRPr="00DB6440">
              <w:rPr>
                <w:rFonts w:cstheme="minorHAnsi"/>
                <w:b w:val="0"/>
                <w:bCs w:val="0"/>
                <w:szCs w:val="18"/>
              </w:rPr>
              <w:t>royalties</w:t>
            </w:r>
            <w:proofErr w:type="gramEnd"/>
            <w:r w:rsidRPr="00DB6440">
              <w:rPr>
                <w:rFonts w:cstheme="minorHAnsi"/>
                <w:b w:val="0"/>
                <w:bCs w:val="0"/>
                <w:szCs w:val="18"/>
              </w:rPr>
              <w:t xml:space="preserve"> and rental income.</w:t>
            </w:r>
          </w:p>
        </w:tc>
        <w:tc>
          <w:tcPr>
            <w:tcW w:w="353" w:type="pct"/>
          </w:tcPr>
          <w:p w14:paraId="2ABA62A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4B67763C"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B2FC645" w14:textId="77777777" w:rsidR="00E72752" w:rsidRPr="00DB6440" w:rsidRDefault="00E72752" w:rsidP="00DB6440">
            <w:pPr>
              <w:rPr>
                <w:rFonts w:cstheme="minorHAnsi"/>
                <w:b w:val="0"/>
                <w:bCs w:val="0"/>
                <w:i/>
                <w:szCs w:val="18"/>
              </w:rPr>
            </w:pPr>
          </w:p>
        </w:tc>
      </w:tr>
      <w:tr w:rsidR="00DB6440" w:rsidRPr="00DB6440" w14:paraId="314AAB3C"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C105494"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Loans, </w:t>
            </w:r>
            <w:proofErr w:type="gramStart"/>
            <w:r w:rsidRPr="00DB6440">
              <w:rPr>
                <w:rFonts w:cstheme="minorHAnsi"/>
                <w:b w:val="0"/>
                <w:bCs w:val="0"/>
                <w:szCs w:val="18"/>
              </w:rPr>
              <w:t>payments</w:t>
            </w:r>
            <w:proofErr w:type="gramEnd"/>
            <w:r w:rsidRPr="00DB6440">
              <w:rPr>
                <w:rFonts w:cstheme="minorHAnsi"/>
                <w:b w:val="0"/>
                <w:bCs w:val="0"/>
                <w:szCs w:val="18"/>
              </w:rPr>
              <w:t xml:space="preserve"> and debt forgiveness by private companies to shareholders or their associates in a form other than dividends.</w:t>
            </w:r>
          </w:p>
        </w:tc>
        <w:tc>
          <w:tcPr>
            <w:tcW w:w="353" w:type="pct"/>
          </w:tcPr>
          <w:p w14:paraId="1989ACCD"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51B6F1D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26895E0" w14:textId="77777777" w:rsidR="00E72752" w:rsidRPr="00DB6440" w:rsidRDefault="00E72752" w:rsidP="00DB6440">
            <w:pPr>
              <w:rPr>
                <w:rFonts w:cstheme="minorHAnsi"/>
                <w:b w:val="0"/>
                <w:bCs w:val="0"/>
                <w:i/>
                <w:szCs w:val="18"/>
              </w:rPr>
            </w:pPr>
          </w:p>
        </w:tc>
      </w:tr>
      <w:tr w:rsidR="00D00F3F" w:rsidRPr="00DB6440" w14:paraId="1EBB32B6"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1897F630" w14:textId="77777777" w:rsidR="00E72752" w:rsidRPr="00DB6440" w:rsidRDefault="00E72752" w:rsidP="00DB6440">
            <w:pPr>
              <w:rPr>
                <w:rFonts w:cstheme="minorHAnsi"/>
                <w:b w:val="0"/>
                <w:bCs w:val="0"/>
                <w:i/>
                <w:szCs w:val="18"/>
              </w:rPr>
            </w:pPr>
            <w:r w:rsidRPr="00DB6440">
              <w:rPr>
                <w:rFonts w:cstheme="minorHAnsi"/>
                <w:b w:val="0"/>
                <w:bCs w:val="0"/>
                <w:szCs w:val="18"/>
              </w:rPr>
              <w:t>International non-arm’s length transactions between related Australian and offshore entities that may be intended to shift profits from Australia to other countries.</w:t>
            </w:r>
          </w:p>
        </w:tc>
        <w:tc>
          <w:tcPr>
            <w:tcW w:w="353" w:type="pct"/>
          </w:tcPr>
          <w:p w14:paraId="18CC5DA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73320E82"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62638391" w14:textId="77777777" w:rsidR="00E72752" w:rsidRPr="00DB6440" w:rsidRDefault="00E72752" w:rsidP="00DB6440">
            <w:pPr>
              <w:rPr>
                <w:rFonts w:cstheme="minorHAnsi"/>
                <w:b w:val="0"/>
                <w:bCs w:val="0"/>
                <w:i/>
                <w:szCs w:val="18"/>
              </w:rPr>
            </w:pPr>
          </w:p>
        </w:tc>
      </w:tr>
      <w:tr w:rsidR="00DB6440" w:rsidRPr="00DB6440" w14:paraId="02A9454E"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0E952C37" w14:textId="77777777" w:rsidR="00E72752" w:rsidRPr="00DB6440" w:rsidRDefault="00E72752" w:rsidP="00DB6440">
            <w:pPr>
              <w:rPr>
                <w:rFonts w:cstheme="minorHAnsi"/>
                <w:b w:val="0"/>
                <w:bCs w:val="0"/>
                <w:i/>
                <w:szCs w:val="18"/>
              </w:rPr>
            </w:pPr>
            <w:r w:rsidRPr="00DB6440">
              <w:rPr>
                <w:rFonts w:cstheme="minorHAnsi"/>
                <w:b w:val="0"/>
                <w:bCs w:val="0"/>
                <w:szCs w:val="18"/>
              </w:rPr>
              <w:t>Arrangements which are contrived and artificial in their method of execution.</w:t>
            </w:r>
          </w:p>
        </w:tc>
        <w:tc>
          <w:tcPr>
            <w:tcW w:w="353" w:type="pct"/>
          </w:tcPr>
          <w:p w14:paraId="0BCDE106"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43E48A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475B4E4" w14:textId="77777777" w:rsidR="00E72752" w:rsidRPr="00DB6440" w:rsidRDefault="00E72752" w:rsidP="00DB6440">
            <w:pPr>
              <w:rPr>
                <w:rFonts w:cstheme="minorHAnsi"/>
                <w:b w:val="0"/>
                <w:bCs w:val="0"/>
                <w:i/>
                <w:szCs w:val="18"/>
              </w:rPr>
            </w:pPr>
          </w:p>
        </w:tc>
      </w:tr>
      <w:tr w:rsidR="00D00F3F" w:rsidRPr="00DB6440" w14:paraId="0E2F100F"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32D476D6" w14:textId="77777777" w:rsidR="00E72752" w:rsidRPr="00DB6440" w:rsidRDefault="00E72752" w:rsidP="00DB6440">
            <w:pPr>
              <w:rPr>
                <w:rFonts w:cstheme="minorHAnsi"/>
                <w:b w:val="0"/>
                <w:bCs w:val="0"/>
                <w:i/>
                <w:szCs w:val="18"/>
              </w:rPr>
            </w:pPr>
            <w:r w:rsidRPr="00DB6440">
              <w:rPr>
                <w:rFonts w:cstheme="minorHAnsi"/>
                <w:b w:val="0"/>
                <w:bCs w:val="0"/>
                <w:szCs w:val="18"/>
              </w:rPr>
              <w:t>Arrangements involving limited or non-recourse financing associated with a round robin flow of funds.</w:t>
            </w:r>
          </w:p>
        </w:tc>
        <w:tc>
          <w:tcPr>
            <w:tcW w:w="353" w:type="pct"/>
          </w:tcPr>
          <w:p w14:paraId="1BDFBDBF"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717F163C"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384F16F" w14:textId="77777777" w:rsidR="00E72752" w:rsidRPr="00DB6440" w:rsidRDefault="00E72752" w:rsidP="00DB6440">
            <w:pPr>
              <w:rPr>
                <w:rFonts w:cstheme="minorHAnsi"/>
                <w:b w:val="0"/>
                <w:bCs w:val="0"/>
                <w:i/>
                <w:szCs w:val="18"/>
              </w:rPr>
            </w:pPr>
          </w:p>
        </w:tc>
      </w:tr>
      <w:tr w:rsidR="00DB6440" w:rsidRPr="00DB6440" w14:paraId="72EE5447"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3E87D608" w14:textId="77777777" w:rsidR="00E72752" w:rsidRPr="00DB6440" w:rsidRDefault="00E72752" w:rsidP="00DB6440">
            <w:pPr>
              <w:rPr>
                <w:rFonts w:cstheme="minorHAnsi"/>
                <w:b w:val="0"/>
                <w:bCs w:val="0"/>
                <w:i/>
                <w:szCs w:val="18"/>
              </w:rPr>
            </w:pPr>
            <w:r w:rsidRPr="00DB6440">
              <w:rPr>
                <w:rFonts w:cstheme="minorHAnsi"/>
                <w:b w:val="0"/>
                <w:bCs w:val="0"/>
                <w:szCs w:val="18"/>
              </w:rPr>
              <w:lastRenderedPageBreak/>
              <w:t xml:space="preserve">Arrangements where the taxpayer is not subject to significant risks when the tax benefit is </w:t>
            </w:r>
            <w:proofErr w:type="gramStart"/>
            <w:r w:rsidRPr="00DB6440">
              <w:rPr>
                <w:rFonts w:cstheme="minorHAnsi"/>
                <w:b w:val="0"/>
                <w:bCs w:val="0"/>
                <w:szCs w:val="18"/>
              </w:rPr>
              <w:t>taken into account</w:t>
            </w:r>
            <w:proofErr w:type="gramEnd"/>
            <w:r w:rsidRPr="00DB6440">
              <w:rPr>
                <w:rFonts w:cstheme="minorHAnsi"/>
                <w:b w:val="0"/>
                <w:bCs w:val="0"/>
                <w:szCs w:val="18"/>
              </w:rPr>
              <w:t xml:space="preserve"> because of the existence, for example, of a ‘put’ options</w:t>
            </w:r>
          </w:p>
        </w:tc>
        <w:tc>
          <w:tcPr>
            <w:tcW w:w="353" w:type="pct"/>
          </w:tcPr>
          <w:p w14:paraId="7C2ACEC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114C0C1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D7815F0" w14:textId="77777777" w:rsidR="00E72752" w:rsidRPr="00DB6440" w:rsidRDefault="00E72752" w:rsidP="00DB6440">
            <w:pPr>
              <w:rPr>
                <w:rFonts w:cstheme="minorHAnsi"/>
                <w:b w:val="0"/>
                <w:bCs w:val="0"/>
                <w:i/>
                <w:szCs w:val="18"/>
              </w:rPr>
            </w:pPr>
          </w:p>
        </w:tc>
      </w:tr>
      <w:tr w:rsidR="00D00F3F" w:rsidRPr="00DB6440" w14:paraId="645137D4"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3C241B8F" w14:textId="77777777" w:rsidR="00E72752" w:rsidRPr="00DB6440" w:rsidRDefault="00E72752" w:rsidP="00DB6440">
            <w:pPr>
              <w:rPr>
                <w:rFonts w:cstheme="minorHAnsi"/>
                <w:b w:val="0"/>
                <w:bCs w:val="0"/>
                <w:i/>
                <w:szCs w:val="18"/>
              </w:rPr>
            </w:pPr>
            <w:r w:rsidRPr="00DB6440">
              <w:rPr>
                <w:rFonts w:cstheme="minorHAnsi"/>
                <w:b w:val="0"/>
                <w:bCs w:val="0"/>
                <w:szCs w:val="18"/>
              </w:rPr>
              <w:t>Little cash outlay associated with borrowing of funds under a capitalising debt facility.</w:t>
            </w:r>
          </w:p>
        </w:tc>
        <w:tc>
          <w:tcPr>
            <w:tcW w:w="353" w:type="pct"/>
          </w:tcPr>
          <w:p w14:paraId="504208D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105A6D1D"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818A3CF" w14:textId="77777777" w:rsidR="00E72752" w:rsidRPr="00DB6440" w:rsidRDefault="00E72752" w:rsidP="00DB6440">
            <w:pPr>
              <w:rPr>
                <w:rFonts w:cstheme="minorHAnsi"/>
                <w:b w:val="0"/>
                <w:bCs w:val="0"/>
                <w:i/>
                <w:szCs w:val="18"/>
              </w:rPr>
            </w:pPr>
          </w:p>
        </w:tc>
      </w:tr>
      <w:tr w:rsidR="00DB6440" w:rsidRPr="00DB6440" w14:paraId="66D241CE"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1AD7B522" w14:textId="77777777" w:rsidR="00E72752" w:rsidRPr="00DB6440" w:rsidRDefault="00E72752" w:rsidP="00DB6440">
            <w:pPr>
              <w:rPr>
                <w:rFonts w:cstheme="minorHAnsi"/>
                <w:b w:val="0"/>
                <w:bCs w:val="0"/>
                <w:i/>
                <w:szCs w:val="18"/>
              </w:rPr>
            </w:pPr>
            <w:r w:rsidRPr="00DB6440">
              <w:rPr>
                <w:rFonts w:cstheme="minorHAnsi"/>
                <w:b w:val="0"/>
                <w:bCs w:val="0"/>
                <w:szCs w:val="18"/>
              </w:rPr>
              <w:t>Mechanisms for winding up or exiting an arrangement before net income is generated for an investor.</w:t>
            </w:r>
          </w:p>
        </w:tc>
        <w:tc>
          <w:tcPr>
            <w:tcW w:w="353" w:type="pct"/>
          </w:tcPr>
          <w:p w14:paraId="604C892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3369906"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0995EB0" w14:textId="77777777" w:rsidR="00E72752" w:rsidRPr="00DB6440" w:rsidRDefault="00E72752" w:rsidP="00DB6440">
            <w:pPr>
              <w:rPr>
                <w:rFonts w:cstheme="minorHAnsi"/>
                <w:b w:val="0"/>
                <w:bCs w:val="0"/>
                <w:i/>
                <w:szCs w:val="18"/>
              </w:rPr>
            </w:pPr>
          </w:p>
        </w:tc>
      </w:tr>
      <w:tr w:rsidR="00D00F3F" w:rsidRPr="00DB6440" w14:paraId="0CEE39AA"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B335AB2" w14:textId="06C2F239" w:rsidR="00E72752" w:rsidRPr="00DB6440" w:rsidRDefault="00E72752" w:rsidP="00DB6440">
            <w:pPr>
              <w:rPr>
                <w:rFonts w:cstheme="minorHAnsi"/>
                <w:b w:val="0"/>
                <w:bCs w:val="0"/>
                <w:i/>
                <w:szCs w:val="18"/>
              </w:rPr>
            </w:pPr>
            <w:r w:rsidRPr="00DB6440">
              <w:rPr>
                <w:rFonts w:cstheme="minorHAnsi"/>
                <w:b w:val="0"/>
                <w:bCs w:val="0"/>
                <w:szCs w:val="18"/>
              </w:rPr>
              <w:t>Use of tax-exempt entities, especially charities, to wash income</w:t>
            </w:r>
            <w:r w:rsidR="00CC3BC3">
              <w:rPr>
                <w:rFonts w:cstheme="minorHAnsi"/>
                <w:b w:val="0"/>
                <w:bCs w:val="0"/>
                <w:szCs w:val="18"/>
              </w:rPr>
              <w:t xml:space="preserve"> (Taxpayer Alert TA 2016/5)</w:t>
            </w:r>
            <w:r w:rsidRPr="00DB6440">
              <w:rPr>
                <w:rFonts w:cstheme="minorHAnsi"/>
                <w:b w:val="0"/>
                <w:bCs w:val="0"/>
                <w:szCs w:val="18"/>
              </w:rPr>
              <w:t>.</w:t>
            </w:r>
          </w:p>
        </w:tc>
        <w:tc>
          <w:tcPr>
            <w:tcW w:w="353" w:type="pct"/>
          </w:tcPr>
          <w:p w14:paraId="6C2B36D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0E44161"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FAD0D90" w14:textId="77777777" w:rsidR="00E72752" w:rsidRPr="00DB6440" w:rsidRDefault="00E72752" w:rsidP="00DB6440">
            <w:pPr>
              <w:rPr>
                <w:rFonts w:cstheme="minorHAnsi"/>
                <w:b w:val="0"/>
                <w:bCs w:val="0"/>
                <w:i/>
                <w:szCs w:val="18"/>
              </w:rPr>
            </w:pPr>
          </w:p>
        </w:tc>
      </w:tr>
      <w:tr w:rsidR="00DB6440" w:rsidRPr="00DB6440" w14:paraId="18C36627"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2A26D4E6" w14:textId="77777777" w:rsidR="00E72752" w:rsidRPr="00DB6440" w:rsidRDefault="00E72752" w:rsidP="00DB6440">
            <w:pPr>
              <w:rPr>
                <w:rFonts w:cstheme="minorHAnsi"/>
                <w:b w:val="0"/>
                <w:bCs w:val="0"/>
                <w:i/>
                <w:szCs w:val="18"/>
              </w:rPr>
            </w:pPr>
            <w:r w:rsidRPr="00DB6440">
              <w:rPr>
                <w:rFonts w:cstheme="minorHAnsi"/>
                <w:b w:val="0"/>
                <w:bCs w:val="0"/>
                <w:szCs w:val="18"/>
              </w:rPr>
              <w:t>Transactions involving tax havens and preferential tax regimes.</w:t>
            </w:r>
          </w:p>
        </w:tc>
        <w:tc>
          <w:tcPr>
            <w:tcW w:w="353" w:type="pct"/>
          </w:tcPr>
          <w:p w14:paraId="2EC2407D"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6D30D971"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612C2AF" w14:textId="77777777" w:rsidR="00E72752" w:rsidRPr="00DB6440" w:rsidRDefault="00E72752" w:rsidP="00DB6440">
            <w:pPr>
              <w:rPr>
                <w:rFonts w:cstheme="minorHAnsi"/>
                <w:b w:val="0"/>
                <w:bCs w:val="0"/>
                <w:i/>
                <w:szCs w:val="18"/>
              </w:rPr>
            </w:pPr>
          </w:p>
        </w:tc>
      </w:tr>
      <w:tr w:rsidR="00D00F3F" w:rsidRPr="00DB6440" w14:paraId="64D26043"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EDD1EF4"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Financial arrangements made on unusual terms </w:t>
            </w:r>
            <w:proofErr w:type="gramStart"/>
            <w:r w:rsidRPr="00DB6440">
              <w:rPr>
                <w:rFonts w:cstheme="minorHAnsi"/>
                <w:b w:val="0"/>
                <w:bCs w:val="0"/>
                <w:szCs w:val="18"/>
              </w:rPr>
              <w:t>e.g.</w:t>
            </w:r>
            <w:proofErr w:type="gramEnd"/>
            <w:r w:rsidRPr="00DB6440">
              <w:rPr>
                <w:rFonts w:cstheme="minorHAnsi"/>
                <w:b w:val="0"/>
                <w:bCs w:val="0"/>
                <w:szCs w:val="18"/>
              </w:rPr>
              <w:t xml:space="preserve"> interest rates above or below market rates, security for loans of little value in comparison to the principal amount, repayment of loan substantially deferred until the end of a length repayment period.</w:t>
            </w:r>
          </w:p>
        </w:tc>
        <w:tc>
          <w:tcPr>
            <w:tcW w:w="353" w:type="pct"/>
          </w:tcPr>
          <w:p w14:paraId="03F985D5"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168FF45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B9DEE79" w14:textId="77777777" w:rsidR="00E72752" w:rsidRPr="00DB6440" w:rsidRDefault="00E72752" w:rsidP="00DB6440">
            <w:pPr>
              <w:rPr>
                <w:rFonts w:cstheme="minorHAnsi"/>
                <w:b w:val="0"/>
                <w:bCs w:val="0"/>
                <w:i/>
                <w:szCs w:val="18"/>
              </w:rPr>
            </w:pPr>
          </w:p>
        </w:tc>
      </w:tr>
      <w:tr w:rsidR="00DB6440" w:rsidRPr="00DB6440" w14:paraId="25394085"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5C3CF0A" w14:textId="200A1094" w:rsidR="00E72752" w:rsidRPr="00DB6440" w:rsidRDefault="00E72752" w:rsidP="00DB6440">
            <w:pPr>
              <w:rPr>
                <w:rFonts w:cstheme="minorHAnsi"/>
                <w:b w:val="0"/>
                <w:bCs w:val="0"/>
                <w:i/>
                <w:szCs w:val="18"/>
              </w:rPr>
            </w:pPr>
            <w:r w:rsidRPr="00DB6440">
              <w:rPr>
                <w:rFonts w:cstheme="minorHAnsi"/>
                <w:b w:val="0"/>
                <w:bCs w:val="0"/>
                <w:szCs w:val="18"/>
              </w:rPr>
              <w:t xml:space="preserve">Arrangements where the transaction or series of transactions produce no economic gain or loss </w:t>
            </w:r>
            <w:proofErr w:type="gramStart"/>
            <w:r w:rsidRPr="00DB6440">
              <w:rPr>
                <w:rFonts w:cstheme="minorHAnsi"/>
                <w:b w:val="0"/>
                <w:bCs w:val="0"/>
                <w:szCs w:val="18"/>
              </w:rPr>
              <w:t>e.g.</w:t>
            </w:r>
            <w:proofErr w:type="gramEnd"/>
            <w:r w:rsidRPr="00DB6440">
              <w:rPr>
                <w:rFonts w:cstheme="minorHAnsi"/>
                <w:b w:val="0"/>
                <w:bCs w:val="0"/>
                <w:szCs w:val="18"/>
              </w:rPr>
              <w:t xml:space="preserve"> where the whole scheme is self-cancelling.</w:t>
            </w:r>
          </w:p>
        </w:tc>
        <w:tc>
          <w:tcPr>
            <w:tcW w:w="353" w:type="pct"/>
          </w:tcPr>
          <w:p w14:paraId="73EAB7A1"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0E93853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C6A4DD8" w14:textId="77777777" w:rsidR="00E72752" w:rsidRPr="00DB6440" w:rsidRDefault="00E72752" w:rsidP="00DB6440">
            <w:pPr>
              <w:rPr>
                <w:rFonts w:cstheme="minorHAnsi"/>
                <w:b w:val="0"/>
                <w:bCs w:val="0"/>
                <w:i/>
                <w:szCs w:val="18"/>
              </w:rPr>
            </w:pPr>
          </w:p>
        </w:tc>
      </w:tr>
      <w:tr w:rsidR="00D00F3F" w:rsidRPr="00DB6440" w14:paraId="4F4DAD26"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206CFB1F" w14:textId="027BEF61" w:rsidR="00E72752" w:rsidRPr="00DB6440" w:rsidRDefault="00E72752" w:rsidP="00DB6440">
            <w:pPr>
              <w:rPr>
                <w:rFonts w:cstheme="minorHAnsi"/>
                <w:b w:val="0"/>
                <w:bCs w:val="0"/>
                <w:i/>
                <w:szCs w:val="18"/>
              </w:rPr>
            </w:pPr>
            <w:r w:rsidRPr="00DB6440">
              <w:rPr>
                <w:rFonts w:cstheme="minorHAnsi"/>
                <w:b w:val="0"/>
                <w:bCs w:val="0"/>
                <w:szCs w:val="18"/>
              </w:rPr>
              <w:t xml:space="preserve">Arrangements which lack economic substance and are not rationally related to any useful non-tax purposes </w:t>
            </w:r>
            <w:proofErr w:type="gramStart"/>
            <w:r w:rsidRPr="00DB6440">
              <w:rPr>
                <w:rFonts w:cstheme="minorHAnsi"/>
                <w:b w:val="0"/>
                <w:bCs w:val="0"/>
                <w:szCs w:val="18"/>
              </w:rPr>
              <w:t>e.g.</w:t>
            </w:r>
            <w:proofErr w:type="gramEnd"/>
            <w:r w:rsidRPr="00DB6440">
              <w:rPr>
                <w:rFonts w:cstheme="minorHAnsi"/>
                <w:b w:val="0"/>
                <w:bCs w:val="0"/>
                <w:szCs w:val="18"/>
              </w:rPr>
              <w:t xml:space="preserve"> inter-group or related party.</w:t>
            </w:r>
          </w:p>
        </w:tc>
        <w:tc>
          <w:tcPr>
            <w:tcW w:w="353" w:type="pct"/>
          </w:tcPr>
          <w:p w14:paraId="0FEA8EB6"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3471834E"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1C7211B" w14:textId="77777777" w:rsidR="00E72752" w:rsidRPr="00DB6440" w:rsidRDefault="00E72752" w:rsidP="00DB6440">
            <w:pPr>
              <w:rPr>
                <w:rFonts w:cstheme="minorHAnsi"/>
                <w:b w:val="0"/>
                <w:bCs w:val="0"/>
                <w:i/>
                <w:szCs w:val="18"/>
              </w:rPr>
            </w:pPr>
          </w:p>
        </w:tc>
      </w:tr>
      <w:tr w:rsidR="00DB6440" w:rsidRPr="00DB6440" w14:paraId="11971785"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71F86851" w14:textId="77777777" w:rsidR="00E72752" w:rsidRPr="00DB6440" w:rsidRDefault="00E72752" w:rsidP="00DB6440">
            <w:pPr>
              <w:rPr>
                <w:rFonts w:cstheme="minorHAnsi"/>
                <w:b w:val="0"/>
                <w:bCs w:val="0"/>
                <w:i/>
                <w:szCs w:val="18"/>
              </w:rPr>
            </w:pPr>
            <w:r w:rsidRPr="00DB6440">
              <w:rPr>
                <w:rFonts w:cstheme="minorHAnsi"/>
                <w:b w:val="0"/>
                <w:bCs w:val="0"/>
                <w:szCs w:val="18"/>
              </w:rPr>
              <w:t>Arrangements to shift foreign losses into Australian branches or resident entities and greater deductions for losses are sought in Australia by the Australian resident entity.</w:t>
            </w:r>
          </w:p>
        </w:tc>
        <w:tc>
          <w:tcPr>
            <w:tcW w:w="353" w:type="pct"/>
          </w:tcPr>
          <w:p w14:paraId="61C6D047"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23312084"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EB930EF" w14:textId="77777777" w:rsidR="00E72752" w:rsidRPr="00DB6440" w:rsidRDefault="00E72752" w:rsidP="00DB6440">
            <w:pPr>
              <w:rPr>
                <w:rFonts w:cstheme="minorHAnsi"/>
                <w:b w:val="0"/>
                <w:bCs w:val="0"/>
                <w:i/>
                <w:szCs w:val="18"/>
              </w:rPr>
            </w:pPr>
          </w:p>
        </w:tc>
      </w:tr>
      <w:tr w:rsidR="00D00F3F" w:rsidRPr="00DB6440" w14:paraId="74DFEC34"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6C6E02DC" w14:textId="77777777" w:rsidR="00E72752" w:rsidRPr="00DB6440" w:rsidRDefault="00E72752" w:rsidP="00DB6440">
            <w:pPr>
              <w:rPr>
                <w:rFonts w:cstheme="minorHAnsi"/>
                <w:b w:val="0"/>
                <w:bCs w:val="0"/>
                <w:i/>
                <w:szCs w:val="18"/>
              </w:rPr>
            </w:pPr>
            <w:r w:rsidRPr="00DB6440">
              <w:rPr>
                <w:rFonts w:cstheme="minorHAnsi"/>
                <w:b w:val="0"/>
                <w:bCs w:val="0"/>
                <w:szCs w:val="18"/>
              </w:rPr>
              <w:t>Arrangements whereby a shareholder claims to make a repayment of a shareholder loan from a private company via a round robin of endorsed cheques to avoid the operation of Division 7A of the ITAA 1936.</w:t>
            </w:r>
          </w:p>
        </w:tc>
        <w:tc>
          <w:tcPr>
            <w:tcW w:w="353" w:type="pct"/>
          </w:tcPr>
          <w:p w14:paraId="53709EF1"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28E687B"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C4B03DC" w14:textId="77777777" w:rsidR="00E72752" w:rsidRPr="00DB6440" w:rsidRDefault="00E72752" w:rsidP="00DB6440">
            <w:pPr>
              <w:rPr>
                <w:rFonts w:cstheme="minorHAnsi"/>
                <w:b w:val="0"/>
                <w:bCs w:val="0"/>
                <w:i/>
                <w:szCs w:val="18"/>
              </w:rPr>
            </w:pPr>
          </w:p>
        </w:tc>
      </w:tr>
      <w:tr w:rsidR="00DB6440" w:rsidRPr="00DB6440" w14:paraId="397FAB3B"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D758C90" w14:textId="5683350F" w:rsidR="00E72752" w:rsidRPr="00DB6440" w:rsidRDefault="00E72752" w:rsidP="00DB6440">
            <w:pPr>
              <w:rPr>
                <w:rFonts w:cstheme="minorHAnsi"/>
                <w:b w:val="0"/>
                <w:bCs w:val="0"/>
                <w:i/>
                <w:szCs w:val="18"/>
              </w:rPr>
            </w:pPr>
            <w:r w:rsidRPr="00DB6440">
              <w:rPr>
                <w:rFonts w:cstheme="minorHAnsi"/>
                <w:b w:val="0"/>
                <w:bCs w:val="0"/>
                <w:szCs w:val="18"/>
              </w:rPr>
              <w:t>Dividend stripping arrangements involving the transfer of private company shares to a self-managed superannuation fund. (Taxpayer Alert TA 2015/1 and related addendum TA 2015/1A)</w:t>
            </w:r>
          </w:p>
        </w:tc>
        <w:tc>
          <w:tcPr>
            <w:tcW w:w="353" w:type="pct"/>
          </w:tcPr>
          <w:p w14:paraId="319E4BF3"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20D488BD"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48E7DE0" w14:textId="77777777" w:rsidR="00E72752" w:rsidRPr="00DB6440" w:rsidRDefault="00E72752" w:rsidP="00DB6440">
            <w:pPr>
              <w:rPr>
                <w:rFonts w:cstheme="minorHAnsi"/>
                <w:b w:val="0"/>
                <w:bCs w:val="0"/>
                <w:i/>
                <w:szCs w:val="18"/>
              </w:rPr>
            </w:pPr>
          </w:p>
        </w:tc>
      </w:tr>
      <w:tr w:rsidR="00D00F3F" w:rsidRPr="00DB6440" w14:paraId="56F9ADE1"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71D8BA64" w14:textId="0BD6D79C" w:rsidR="00E72752" w:rsidRPr="00DB6440" w:rsidRDefault="00E72752" w:rsidP="00DB6440">
            <w:pPr>
              <w:rPr>
                <w:rFonts w:cstheme="minorHAnsi"/>
                <w:b w:val="0"/>
                <w:bCs w:val="0"/>
                <w:i/>
                <w:szCs w:val="18"/>
              </w:rPr>
            </w:pPr>
            <w:r w:rsidRPr="00DB6440">
              <w:rPr>
                <w:rFonts w:cstheme="minorHAnsi"/>
                <w:b w:val="0"/>
                <w:bCs w:val="0"/>
                <w:szCs w:val="18"/>
              </w:rPr>
              <w:t>Franked distributions funded by raising capital to release franking credits to shareholders. (Taxpayer Alert TA 2015/2</w:t>
            </w:r>
            <w:r w:rsidR="00853F3C">
              <w:rPr>
                <w:rFonts w:cstheme="minorHAnsi"/>
                <w:b w:val="0"/>
                <w:bCs w:val="0"/>
                <w:szCs w:val="18"/>
              </w:rPr>
              <w:t xml:space="preserve"> and </w:t>
            </w:r>
            <w:r w:rsidR="002C5D7D">
              <w:rPr>
                <w:rFonts w:cstheme="minorHAnsi"/>
                <w:b w:val="0"/>
                <w:bCs w:val="0"/>
                <w:szCs w:val="18"/>
              </w:rPr>
              <w:t>section 207-159 of the ITAA 1997</w:t>
            </w:r>
            <w:r w:rsidRPr="00DB6440">
              <w:rPr>
                <w:rFonts w:cstheme="minorHAnsi"/>
                <w:b w:val="0"/>
                <w:bCs w:val="0"/>
                <w:szCs w:val="18"/>
              </w:rPr>
              <w:t>)</w:t>
            </w:r>
          </w:p>
        </w:tc>
        <w:tc>
          <w:tcPr>
            <w:tcW w:w="353" w:type="pct"/>
          </w:tcPr>
          <w:p w14:paraId="227384DE"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44BCF9E9"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0CC4181" w14:textId="77777777" w:rsidR="00E72752" w:rsidRPr="00DB6440" w:rsidRDefault="00E72752" w:rsidP="00DB6440">
            <w:pPr>
              <w:rPr>
                <w:rFonts w:cstheme="minorHAnsi"/>
                <w:b w:val="0"/>
                <w:bCs w:val="0"/>
                <w:i/>
                <w:szCs w:val="18"/>
              </w:rPr>
            </w:pPr>
          </w:p>
        </w:tc>
      </w:tr>
      <w:tr w:rsidR="00DB6440" w:rsidRPr="00DB6440" w14:paraId="6D91B5E1"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43907D89"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Trusts mischaracterising profits on certain property developments as being capital gains rather than as income on revenue account. (Taxpayer Alert TA 2014/1)  </w:t>
            </w:r>
          </w:p>
        </w:tc>
        <w:tc>
          <w:tcPr>
            <w:tcW w:w="353" w:type="pct"/>
          </w:tcPr>
          <w:p w14:paraId="192CC0B9"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64EA256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5AA33CB" w14:textId="77777777" w:rsidR="00E72752" w:rsidRPr="00DB6440" w:rsidRDefault="00E72752" w:rsidP="00DB6440">
            <w:pPr>
              <w:rPr>
                <w:rFonts w:cstheme="minorHAnsi"/>
                <w:b w:val="0"/>
                <w:bCs w:val="0"/>
                <w:i/>
                <w:szCs w:val="18"/>
              </w:rPr>
            </w:pPr>
          </w:p>
        </w:tc>
      </w:tr>
      <w:tr w:rsidR="00D00F3F" w:rsidRPr="00DB6440" w14:paraId="55CBA36C"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09FB6F5A"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Accessing business profits through an interposed partnership with a private company partner where most of the net income is taxed to a private company partner at the company tax rate but such profits are accessed by individuals without paying any additional top-up tax. (Taxpayer Alert TA 2015/4)  </w:t>
            </w:r>
          </w:p>
        </w:tc>
        <w:tc>
          <w:tcPr>
            <w:tcW w:w="353" w:type="pct"/>
          </w:tcPr>
          <w:p w14:paraId="0DEB97DB"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22D5CF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4154303E" w14:textId="77777777" w:rsidR="00E72752" w:rsidRPr="00DB6440" w:rsidRDefault="00E72752" w:rsidP="00DB6440">
            <w:pPr>
              <w:rPr>
                <w:rFonts w:cstheme="minorHAnsi"/>
                <w:b w:val="0"/>
                <w:bCs w:val="0"/>
                <w:i/>
                <w:szCs w:val="18"/>
              </w:rPr>
            </w:pPr>
          </w:p>
        </w:tc>
      </w:tr>
      <w:tr w:rsidR="00DB6440" w:rsidRPr="00DB6440" w14:paraId="1A705285"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00494B77" w14:textId="77777777" w:rsidR="00E72752" w:rsidRPr="00DB6440" w:rsidRDefault="00E72752" w:rsidP="00DB6440">
            <w:pPr>
              <w:rPr>
                <w:rFonts w:cstheme="minorHAnsi"/>
                <w:b w:val="0"/>
                <w:bCs w:val="0"/>
                <w:i/>
                <w:szCs w:val="18"/>
              </w:rPr>
            </w:pPr>
            <w:r w:rsidRPr="00DB6440">
              <w:rPr>
                <w:rFonts w:cstheme="minorHAnsi"/>
                <w:b w:val="0"/>
                <w:bCs w:val="0"/>
                <w:szCs w:val="18"/>
              </w:rPr>
              <w:t>Diverting personal services income to self-managed superannuation funds. (Taxpayer Alert TA 2016/6)</w:t>
            </w:r>
          </w:p>
        </w:tc>
        <w:tc>
          <w:tcPr>
            <w:tcW w:w="353" w:type="pct"/>
          </w:tcPr>
          <w:p w14:paraId="16E0D6EB"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4AA1C22C"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AA30129" w14:textId="77777777" w:rsidR="00E72752" w:rsidRPr="00DB6440" w:rsidRDefault="00E72752" w:rsidP="00DB6440">
            <w:pPr>
              <w:rPr>
                <w:rFonts w:cstheme="minorHAnsi"/>
                <w:b w:val="0"/>
                <w:bCs w:val="0"/>
                <w:i/>
                <w:szCs w:val="18"/>
              </w:rPr>
            </w:pPr>
          </w:p>
        </w:tc>
      </w:tr>
      <w:tr w:rsidR="00D00F3F" w:rsidRPr="00DB6440" w14:paraId="2764CC90"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621A7CE0"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Exploiting the proportionate approach to trust taxation which results in the economic benefits associated with the net income being retained by the trustee or passed on to a different beneficiary in a purportedly tax-free form. (Taxpayer Alert TA 2016/12) </w:t>
            </w:r>
          </w:p>
        </w:tc>
        <w:tc>
          <w:tcPr>
            <w:tcW w:w="353" w:type="pct"/>
          </w:tcPr>
          <w:p w14:paraId="2D357EEF"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78535D54"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31305CCC" w14:textId="77777777" w:rsidR="00E72752" w:rsidRPr="00DB6440" w:rsidRDefault="00E72752" w:rsidP="00DB6440">
            <w:pPr>
              <w:rPr>
                <w:rFonts w:cstheme="minorHAnsi"/>
                <w:b w:val="0"/>
                <w:bCs w:val="0"/>
                <w:i/>
                <w:szCs w:val="18"/>
              </w:rPr>
            </w:pPr>
          </w:p>
        </w:tc>
      </w:tr>
      <w:tr w:rsidR="00DB6440" w:rsidRPr="00DB6440" w14:paraId="61C09B30"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61086A9B" w14:textId="77777777" w:rsidR="00E72752" w:rsidRPr="00DB6440" w:rsidRDefault="00E72752" w:rsidP="00DB6440">
            <w:pPr>
              <w:rPr>
                <w:rFonts w:cstheme="minorHAnsi"/>
                <w:b w:val="0"/>
                <w:bCs w:val="0"/>
                <w:i/>
                <w:szCs w:val="18"/>
              </w:rPr>
            </w:pPr>
            <w:r w:rsidRPr="00DB6440">
              <w:rPr>
                <w:rFonts w:cstheme="minorHAnsi"/>
                <w:b w:val="0"/>
                <w:bCs w:val="0"/>
                <w:szCs w:val="18"/>
              </w:rPr>
              <w:t>Reviewing arrangements which attempt to re-characterise trading income into more favourably taxed passive income. (Taxpayer Alert TA 2017/1)</w:t>
            </w:r>
          </w:p>
        </w:tc>
        <w:tc>
          <w:tcPr>
            <w:tcW w:w="353" w:type="pct"/>
          </w:tcPr>
          <w:p w14:paraId="1AEEA24A"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4FD4AC86"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2CEB8100" w14:textId="77777777" w:rsidR="00E72752" w:rsidRPr="00DB6440" w:rsidRDefault="00E72752" w:rsidP="00DB6440">
            <w:pPr>
              <w:rPr>
                <w:rFonts w:cstheme="minorHAnsi"/>
                <w:b w:val="0"/>
                <w:bCs w:val="0"/>
                <w:i/>
                <w:szCs w:val="18"/>
              </w:rPr>
            </w:pPr>
          </w:p>
        </w:tc>
      </w:tr>
      <w:tr w:rsidR="00D00F3F" w:rsidRPr="00DB6440" w14:paraId="64C6AD92"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350E7780" w14:textId="77777777" w:rsidR="00E72752" w:rsidRPr="00DB6440" w:rsidRDefault="00E72752" w:rsidP="00DB6440">
            <w:pPr>
              <w:rPr>
                <w:rFonts w:cstheme="minorHAnsi"/>
                <w:b w:val="0"/>
                <w:bCs w:val="0"/>
                <w:i/>
                <w:szCs w:val="18"/>
              </w:rPr>
            </w:pPr>
            <w:r w:rsidRPr="00DB6440">
              <w:rPr>
                <w:rFonts w:cstheme="minorHAnsi"/>
                <w:b w:val="0"/>
                <w:bCs w:val="0"/>
                <w:szCs w:val="18"/>
              </w:rPr>
              <w:lastRenderedPageBreak/>
              <w:t xml:space="preserve">Claiming the Research and Development Tax Incentive in respect of construction activities, ordinary business activities, agricultural activities and software development activities which may not be regarded as being eligible R&amp;D activities for the purposes of the incentive. (Taxpayer Alerts TA 2017/2, TA 2017/3, TA 2017/4, TA </w:t>
            </w:r>
            <w:proofErr w:type="gramStart"/>
            <w:r w:rsidRPr="00DB6440">
              <w:rPr>
                <w:rFonts w:cstheme="minorHAnsi"/>
                <w:b w:val="0"/>
                <w:bCs w:val="0"/>
                <w:szCs w:val="18"/>
              </w:rPr>
              <w:t>2017/5</w:t>
            </w:r>
            <w:proofErr w:type="gramEnd"/>
            <w:r w:rsidRPr="00DB6440">
              <w:rPr>
                <w:rFonts w:cstheme="minorHAnsi"/>
                <w:b w:val="0"/>
                <w:bCs w:val="0"/>
                <w:szCs w:val="18"/>
              </w:rPr>
              <w:t xml:space="preserve"> and TA 2017/5A) </w:t>
            </w:r>
          </w:p>
        </w:tc>
        <w:tc>
          <w:tcPr>
            <w:tcW w:w="353" w:type="pct"/>
          </w:tcPr>
          <w:p w14:paraId="070B3508"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53FE2AFA"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8C3A611" w14:textId="77777777" w:rsidR="00E72752" w:rsidRPr="00DB6440" w:rsidRDefault="00E72752" w:rsidP="00DB6440">
            <w:pPr>
              <w:rPr>
                <w:rFonts w:cstheme="minorHAnsi"/>
                <w:b w:val="0"/>
                <w:bCs w:val="0"/>
                <w:i/>
                <w:szCs w:val="18"/>
              </w:rPr>
            </w:pPr>
          </w:p>
        </w:tc>
      </w:tr>
      <w:tr w:rsidR="00DB6440" w:rsidRPr="00DB6440" w14:paraId="21E12078"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34FD9A3F" w14:textId="77777777" w:rsidR="00E72752" w:rsidRPr="00DB6440" w:rsidRDefault="00E72752" w:rsidP="00DB6440">
            <w:pPr>
              <w:rPr>
                <w:rFonts w:cstheme="minorHAnsi"/>
                <w:b w:val="0"/>
                <w:bCs w:val="0"/>
                <w:i/>
                <w:szCs w:val="18"/>
              </w:rPr>
            </w:pPr>
            <w:r w:rsidRPr="00DB6440">
              <w:rPr>
                <w:rFonts w:cstheme="minorHAnsi"/>
                <w:b w:val="0"/>
                <w:bCs w:val="0"/>
                <w:szCs w:val="18"/>
              </w:rPr>
              <w:t>Structured arrangements that provide imputation benefits on shares acquired on a limited risk basis around ex-dividend dates (Taxpayer Alert TA 2018/1)</w:t>
            </w:r>
          </w:p>
        </w:tc>
        <w:tc>
          <w:tcPr>
            <w:tcW w:w="353" w:type="pct"/>
          </w:tcPr>
          <w:p w14:paraId="0013456C"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7E5AEE3D"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0172883C" w14:textId="77777777" w:rsidR="00E72752" w:rsidRPr="00DB6440" w:rsidRDefault="00E72752" w:rsidP="00DB6440">
            <w:pPr>
              <w:rPr>
                <w:rFonts w:cstheme="minorHAnsi"/>
                <w:b w:val="0"/>
                <w:bCs w:val="0"/>
                <w:i/>
                <w:szCs w:val="18"/>
              </w:rPr>
            </w:pPr>
          </w:p>
        </w:tc>
      </w:tr>
      <w:tr w:rsidR="00D00F3F" w:rsidRPr="00DB6440" w14:paraId="14A225E7" w14:textId="77777777" w:rsidTr="00D00F3F">
        <w:tc>
          <w:tcPr>
            <w:cnfStyle w:val="001000000000" w:firstRow="0" w:lastRow="0" w:firstColumn="1" w:lastColumn="0" w:oddVBand="0" w:evenVBand="0" w:oddHBand="0" w:evenHBand="0" w:firstRowFirstColumn="0" w:firstRowLastColumn="0" w:lastRowFirstColumn="0" w:lastRowLastColumn="0"/>
            <w:tcW w:w="4015" w:type="pct"/>
            <w:hideMark/>
          </w:tcPr>
          <w:p w14:paraId="54A757B0" w14:textId="77777777" w:rsidR="00E72752" w:rsidRPr="00DB6440" w:rsidRDefault="00E72752" w:rsidP="00DB6440">
            <w:pPr>
              <w:rPr>
                <w:rFonts w:cstheme="minorHAnsi"/>
                <w:b w:val="0"/>
                <w:bCs w:val="0"/>
                <w:i/>
                <w:szCs w:val="18"/>
              </w:rPr>
            </w:pPr>
            <w:r w:rsidRPr="00DB6440">
              <w:rPr>
                <w:rFonts w:cstheme="minorHAnsi"/>
                <w:b w:val="0"/>
                <w:bCs w:val="0"/>
                <w:szCs w:val="18"/>
              </w:rPr>
              <w:t xml:space="preserve">Non-arm’s length arrangements and schemes connected with the development, enhancement, maintenance, </w:t>
            </w:r>
            <w:proofErr w:type="gramStart"/>
            <w:r w:rsidRPr="00DB6440">
              <w:rPr>
                <w:rFonts w:cstheme="minorHAnsi"/>
                <w:b w:val="0"/>
                <w:bCs w:val="0"/>
                <w:szCs w:val="18"/>
              </w:rPr>
              <w:t>protection</w:t>
            </w:r>
            <w:proofErr w:type="gramEnd"/>
            <w:r w:rsidRPr="00DB6440">
              <w:rPr>
                <w:rFonts w:cstheme="minorHAnsi"/>
                <w:b w:val="0"/>
                <w:bCs w:val="0"/>
                <w:szCs w:val="18"/>
              </w:rPr>
              <w:t xml:space="preserve"> and exploitation of intangible assets. (Taxpayer Alert TA 2020/1)</w:t>
            </w:r>
          </w:p>
        </w:tc>
        <w:tc>
          <w:tcPr>
            <w:tcW w:w="353" w:type="pct"/>
          </w:tcPr>
          <w:p w14:paraId="32DBD3D7"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365AB99F" w14:textId="77777777" w:rsidR="00E72752" w:rsidRPr="00DB6440" w:rsidRDefault="00E7275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18FCC6C" w14:textId="77777777" w:rsidR="00E72752" w:rsidRPr="00DB6440" w:rsidRDefault="00E72752" w:rsidP="00DB6440">
            <w:pPr>
              <w:rPr>
                <w:rFonts w:cstheme="minorHAnsi"/>
                <w:b w:val="0"/>
                <w:bCs w:val="0"/>
                <w:i/>
                <w:szCs w:val="18"/>
              </w:rPr>
            </w:pPr>
          </w:p>
        </w:tc>
      </w:tr>
      <w:tr w:rsidR="00DB6440" w:rsidRPr="00DB6440" w14:paraId="2D011B91" w14:textId="77777777" w:rsidTr="00D0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hideMark/>
          </w:tcPr>
          <w:p w14:paraId="2B94BA27" w14:textId="77777777" w:rsidR="00E72752" w:rsidRPr="00DB6440" w:rsidRDefault="00E72752" w:rsidP="00DB6440">
            <w:pPr>
              <w:rPr>
                <w:rFonts w:cstheme="minorHAnsi"/>
                <w:b w:val="0"/>
                <w:bCs w:val="0"/>
                <w:i/>
                <w:szCs w:val="18"/>
              </w:rPr>
            </w:pPr>
            <w:r w:rsidRPr="00DB6440">
              <w:rPr>
                <w:rFonts w:cstheme="minorHAnsi"/>
                <w:b w:val="0"/>
                <w:bCs w:val="0"/>
                <w:szCs w:val="18"/>
              </w:rPr>
              <w:t>The estimates regime and director penalty provisions have been extended to GST, luxury car tax and wine equalisation tax. (PCG 2020/2)</w:t>
            </w:r>
          </w:p>
        </w:tc>
        <w:tc>
          <w:tcPr>
            <w:tcW w:w="353" w:type="pct"/>
          </w:tcPr>
          <w:p w14:paraId="03B63C98"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tcW w:w="283" w:type="pct"/>
          </w:tcPr>
          <w:p w14:paraId="013F3F35" w14:textId="77777777" w:rsidR="00E72752" w:rsidRPr="00DB6440" w:rsidRDefault="00E72752" w:rsidP="00DB6440">
            <w:pPr>
              <w:cnfStyle w:val="000000100000" w:firstRow="0" w:lastRow="0" w:firstColumn="0" w:lastColumn="0" w:oddVBand="0" w:evenVBand="0" w:oddHBand="1"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72687944" w14:textId="77777777" w:rsidR="00E72752" w:rsidRPr="00DB6440" w:rsidRDefault="00E72752" w:rsidP="00DB6440">
            <w:pPr>
              <w:rPr>
                <w:rFonts w:cstheme="minorHAnsi"/>
                <w:b w:val="0"/>
                <w:bCs w:val="0"/>
                <w:i/>
                <w:szCs w:val="18"/>
              </w:rPr>
            </w:pPr>
          </w:p>
        </w:tc>
      </w:tr>
      <w:tr w:rsidR="00C81CA2" w:rsidRPr="00DB6440" w14:paraId="1DD35746" w14:textId="77777777" w:rsidTr="00D00F3F">
        <w:tc>
          <w:tcPr>
            <w:cnfStyle w:val="001000000000" w:firstRow="0" w:lastRow="0" w:firstColumn="1" w:lastColumn="0" w:oddVBand="0" w:evenVBand="0" w:oddHBand="0" w:evenHBand="0" w:firstRowFirstColumn="0" w:firstRowLastColumn="0" w:lastRowFirstColumn="0" w:lastRowLastColumn="0"/>
            <w:tcW w:w="4015" w:type="pct"/>
          </w:tcPr>
          <w:p w14:paraId="7E51BD90" w14:textId="2A5C8DA5" w:rsidR="00C81CA2" w:rsidRPr="00A75412" w:rsidRDefault="00C81CA2" w:rsidP="00DB6440">
            <w:pPr>
              <w:rPr>
                <w:rFonts w:cstheme="minorHAnsi"/>
                <w:b w:val="0"/>
                <w:bCs w:val="0"/>
                <w:szCs w:val="18"/>
              </w:rPr>
            </w:pPr>
            <w:r w:rsidRPr="00383AC5">
              <w:rPr>
                <w:rFonts w:cstheme="minorHAnsi"/>
                <w:b w:val="0"/>
                <w:bCs w:val="0"/>
                <w:szCs w:val="18"/>
              </w:rPr>
              <w:t>Interpo</w:t>
            </w:r>
            <w:r w:rsidRPr="002422FD">
              <w:rPr>
                <w:rFonts w:cstheme="minorHAnsi"/>
                <w:b w:val="0"/>
                <w:bCs w:val="0"/>
                <w:szCs w:val="18"/>
              </w:rPr>
              <w:t>s</w:t>
            </w:r>
            <w:r w:rsidRPr="00DB5420">
              <w:rPr>
                <w:rFonts w:cstheme="minorHAnsi"/>
                <w:b w:val="0"/>
                <w:bCs w:val="0"/>
                <w:szCs w:val="18"/>
              </w:rPr>
              <w:t>ition</w:t>
            </w:r>
            <w:r>
              <w:rPr>
                <w:rFonts w:cstheme="minorHAnsi"/>
                <w:b w:val="0"/>
                <w:bCs w:val="0"/>
                <w:szCs w:val="18"/>
              </w:rPr>
              <w:t xml:space="preserve"> of a holding company to access company profits tax-free (Taxpayer Alert TA 2023/1).</w:t>
            </w:r>
          </w:p>
        </w:tc>
        <w:tc>
          <w:tcPr>
            <w:tcW w:w="353" w:type="pct"/>
          </w:tcPr>
          <w:p w14:paraId="20E23A98" w14:textId="77777777" w:rsidR="00C81CA2" w:rsidRPr="00DB6440" w:rsidRDefault="00C81CA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tcW w:w="283" w:type="pct"/>
          </w:tcPr>
          <w:p w14:paraId="21EEA7AC" w14:textId="77777777" w:rsidR="00C81CA2" w:rsidRPr="00DB6440" w:rsidRDefault="00C81CA2" w:rsidP="00DB6440">
            <w:pPr>
              <w:cnfStyle w:val="000000000000" w:firstRow="0" w:lastRow="0"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5BA32BC7" w14:textId="77777777" w:rsidR="00C81CA2" w:rsidRPr="00DB6440" w:rsidRDefault="00C81CA2" w:rsidP="00DB6440">
            <w:pPr>
              <w:rPr>
                <w:rFonts w:cstheme="minorHAnsi"/>
                <w:b w:val="0"/>
                <w:bCs w:val="0"/>
                <w:i/>
                <w:szCs w:val="18"/>
              </w:rPr>
            </w:pPr>
          </w:p>
        </w:tc>
      </w:tr>
      <w:tr w:rsidR="00FB3A70" w:rsidRPr="00DB6440" w14:paraId="2837551E" w14:textId="77777777" w:rsidTr="00D00F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tcPr>
          <w:p w14:paraId="4E5CDA59" w14:textId="1A2B1D4B" w:rsidR="00FB3A70" w:rsidRPr="00FB3A70" w:rsidRDefault="00E54BEB" w:rsidP="00DB6440">
            <w:pPr>
              <w:rPr>
                <w:rFonts w:cstheme="minorHAnsi"/>
                <w:b w:val="0"/>
                <w:szCs w:val="18"/>
              </w:rPr>
            </w:pPr>
            <w:r>
              <w:rPr>
                <w:rFonts w:cstheme="minorHAnsi"/>
                <w:b w:val="0"/>
                <w:szCs w:val="18"/>
              </w:rPr>
              <w:t>Diverting profits of a property development project to a self-managed superannuation fund, through use of a special purpose vehicle, involving non-arm’s length arrangements (Taxpayer Alert TA 2023/2).</w:t>
            </w:r>
          </w:p>
        </w:tc>
        <w:tc>
          <w:tcPr>
            <w:tcW w:w="353" w:type="pct"/>
          </w:tcPr>
          <w:p w14:paraId="5B317953" w14:textId="77777777" w:rsidR="00FB3A70" w:rsidRPr="00DB6440" w:rsidRDefault="00FB3A70" w:rsidP="00DB6440">
            <w:pPr>
              <w:cnfStyle w:val="010000000000" w:firstRow="0" w:lastRow="1" w:firstColumn="0" w:lastColumn="0" w:oddVBand="0" w:evenVBand="0" w:oddHBand="0" w:evenHBand="0" w:firstRowFirstColumn="0" w:firstRowLastColumn="0" w:lastRowFirstColumn="0" w:lastRowLastColumn="0"/>
              <w:rPr>
                <w:rFonts w:cstheme="minorHAnsi"/>
                <w:i/>
                <w:szCs w:val="18"/>
              </w:rPr>
            </w:pPr>
          </w:p>
        </w:tc>
        <w:tc>
          <w:tcPr>
            <w:tcW w:w="283" w:type="pct"/>
          </w:tcPr>
          <w:p w14:paraId="14083BB3" w14:textId="77777777" w:rsidR="00FB3A70" w:rsidRPr="00DB6440" w:rsidRDefault="00FB3A70" w:rsidP="00DB6440">
            <w:pPr>
              <w:cnfStyle w:val="010000000000" w:firstRow="0" w:lastRow="1" w:firstColumn="0" w:lastColumn="0" w:oddVBand="0" w:evenVBand="0" w:oddHBand="0" w:evenHBand="0" w:firstRowFirstColumn="0" w:firstRowLastColumn="0" w:lastRowFirstColumn="0" w:lastRowLastColumn="0"/>
              <w:rPr>
                <w:rFonts w:cstheme="minorHAnsi"/>
                <w:i/>
                <w:szCs w:val="18"/>
              </w:rPr>
            </w:pPr>
          </w:p>
        </w:tc>
        <w:tc>
          <w:tcPr>
            <w:cnfStyle w:val="000100000000" w:firstRow="0" w:lastRow="0" w:firstColumn="0" w:lastColumn="1" w:oddVBand="0" w:evenVBand="0" w:oddHBand="0" w:evenHBand="0" w:firstRowFirstColumn="0" w:firstRowLastColumn="0" w:lastRowFirstColumn="0" w:lastRowLastColumn="0"/>
            <w:tcW w:w="349" w:type="pct"/>
          </w:tcPr>
          <w:p w14:paraId="1AE6EDA3" w14:textId="77777777" w:rsidR="00FB3A70" w:rsidRPr="00DB6440" w:rsidRDefault="00FB3A70" w:rsidP="00DB6440">
            <w:pPr>
              <w:rPr>
                <w:rFonts w:cstheme="minorHAnsi"/>
                <w:b w:val="0"/>
                <w:bCs w:val="0"/>
                <w:i/>
                <w:szCs w:val="18"/>
              </w:rPr>
            </w:pPr>
          </w:p>
        </w:tc>
      </w:tr>
    </w:tbl>
    <w:p w14:paraId="2C4F39F6" w14:textId="77777777" w:rsidR="002D10A8" w:rsidRDefault="002D10A8" w:rsidP="00E72752"/>
    <w:p w14:paraId="2A4F4DAC" w14:textId="77777777" w:rsidR="002D10A8" w:rsidRDefault="002D10A8">
      <w:r>
        <w:br w:type="page"/>
      </w:r>
    </w:p>
    <w:p w14:paraId="5BE57719" w14:textId="766F63A9" w:rsidR="00E72752" w:rsidRDefault="00E72752" w:rsidP="00E72752">
      <w:pPr>
        <w:rPr>
          <w:sz w:val="24"/>
        </w:rPr>
      </w:pPr>
      <w:r>
        <w:lastRenderedPageBreak/>
        <w:t>Year ended 30 June 202</w:t>
      </w:r>
      <w:r w:rsidR="00834CE2">
        <w:t>4</w:t>
      </w:r>
    </w:p>
    <w:p w14:paraId="1A7569C0" w14:textId="77777777" w:rsidR="00C03724" w:rsidRPr="00C03724" w:rsidRDefault="00C03724" w:rsidP="00E72752">
      <w:pPr>
        <w:rPr>
          <w:sz w:val="24"/>
        </w:rPr>
      </w:pPr>
    </w:p>
    <w:tbl>
      <w:tblPr>
        <w:tblStyle w:val="RACVTable"/>
        <w:tblW w:w="10305" w:type="dxa"/>
        <w:tblLayout w:type="fixed"/>
        <w:tblLook w:val="01E0" w:firstRow="1" w:lastRow="1" w:firstColumn="1" w:lastColumn="1" w:noHBand="0" w:noVBand="0"/>
      </w:tblPr>
      <w:tblGrid>
        <w:gridCol w:w="881"/>
        <w:gridCol w:w="4474"/>
        <w:gridCol w:w="1163"/>
        <w:gridCol w:w="2269"/>
        <w:gridCol w:w="1518"/>
      </w:tblGrid>
      <w:tr w:rsidR="00E72752" w:rsidRPr="00C03724" w14:paraId="4205FCCD" w14:textId="77777777" w:rsidTr="00C03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5" w:type="dxa"/>
            <w:gridSpan w:val="5"/>
            <w:hideMark/>
          </w:tcPr>
          <w:p w14:paraId="0D16E2C3" w14:textId="77777777" w:rsidR="00E72752" w:rsidRPr="00C03724" w:rsidRDefault="00E72752" w:rsidP="00C03724">
            <w:pPr>
              <w:pStyle w:val="Table"/>
              <w:spacing w:before="100" w:after="100"/>
              <w:rPr>
                <w:bCs w:val="0"/>
                <w:color w:val="090D46" w:themeColor="text1"/>
                <w:sz w:val="18"/>
                <w:szCs w:val="18"/>
              </w:rPr>
            </w:pPr>
            <w:r w:rsidRPr="00C03724">
              <w:rPr>
                <w:bCs w:val="0"/>
                <w:color w:val="090D46" w:themeColor="text1"/>
                <w:sz w:val="18"/>
                <w:szCs w:val="18"/>
              </w:rPr>
              <w:t>CARRY FORWARD ACTION SHEET</w:t>
            </w:r>
          </w:p>
        </w:tc>
      </w:tr>
      <w:tr w:rsidR="00E72752" w14:paraId="4EEDC2F2"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hideMark/>
          </w:tcPr>
          <w:p w14:paraId="7AC01385"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DATE</w:t>
            </w:r>
          </w:p>
        </w:tc>
        <w:tc>
          <w:tcPr>
            <w:tcW w:w="4474" w:type="dxa"/>
            <w:hideMark/>
          </w:tcPr>
          <w:p w14:paraId="35B9C75C" w14:textId="77777777" w:rsidR="00E72752" w:rsidRPr="00C03724" w:rsidRDefault="00E72752" w:rsidP="009C7A83">
            <w:pPr>
              <w:pStyle w:val="Tableheading"/>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ITEM CARRIED FORWARD</w:t>
            </w:r>
          </w:p>
        </w:tc>
        <w:tc>
          <w:tcPr>
            <w:tcW w:w="1163" w:type="dxa"/>
            <w:hideMark/>
          </w:tcPr>
          <w:p w14:paraId="3321D995" w14:textId="77777777" w:rsidR="00E72752" w:rsidRPr="00C03724" w:rsidRDefault="00E72752" w:rsidP="009C7A83">
            <w:pPr>
              <w:pStyle w:val="Tableheading"/>
              <w:jc w:val="center"/>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w:t>
            </w:r>
          </w:p>
        </w:tc>
        <w:tc>
          <w:tcPr>
            <w:tcW w:w="2269" w:type="dxa"/>
            <w:hideMark/>
          </w:tcPr>
          <w:p w14:paraId="34A4F5B5" w14:textId="77777777" w:rsidR="00E72752" w:rsidRPr="00C03724" w:rsidRDefault="00E72752" w:rsidP="009C7A83">
            <w:pPr>
              <w:pStyle w:val="Tableheading"/>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WORKING PAPER REF</w:t>
            </w:r>
          </w:p>
        </w:tc>
        <w:tc>
          <w:tcPr>
            <w:cnfStyle w:val="000100000000" w:firstRow="0" w:lastRow="0" w:firstColumn="0" w:lastColumn="1" w:oddVBand="0" w:evenVBand="0" w:oddHBand="0" w:evenHBand="0" w:firstRowFirstColumn="0" w:firstRowLastColumn="0" w:lastRowFirstColumn="0" w:lastRowLastColumn="0"/>
            <w:tcW w:w="1518" w:type="dxa"/>
            <w:hideMark/>
          </w:tcPr>
          <w:p w14:paraId="3772ECA8"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CHECKED BY</w:t>
            </w:r>
          </w:p>
        </w:tc>
      </w:tr>
      <w:tr w:rsidR="00E72752" w14:paraId="7C500040"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125C968F" w14:textId="77777777" w:rsidR="00E72752" w:rsidRDefault="00E72752" w:rsidP="009C7A83">
            <w:pPr>
              <w:pStyle w:val="Table"/>
              <w:spacing w:before="100" w:after="100"/>
              <w:rPr>
                <w:sz w:val="18"/>
                <w:szCs w:val="18"/>
              </w:rPr>
            </w:pPr>
          </w:p>
        </w:tc>
        <w:tc>
          <w:tcPr>
            <w:tcW w:w="4474" w:type="dxa"/>
          </w:tcPr>
          <w:p w14:paraId="05089ADC"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36299229"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73D8F71F"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58D645C" w14:textId="77777777" w:rsidR="00E72752" w:rsidRDefault="00E72752" w:rsidP="009C7A83">
            <w:pPr>
              <w:pStyle w:val="Table"/>
              <w:spacing w:before="100" w:after="100"/>
              <w:rPr>
                <w:sz w:val="18"/>
                <w:szCs w:val="18"/>
              </w:rPr>
            </w:pPr>
          </w:p>
        </w:tc>
      </w:tr>
      <w:tr w:rsidR="00E72752" w14:paraId="3DE032D8"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2426877F" w14:textId="77777777" w:rsidR="00E72752" w:rsidRDefault="00E72752" w:rsidP="009C7A83">
            <w:pPr>
              <w:pStyle w:val="Table"/>
              <w:spacing w:before="100" w:after="100"/>
              <w:rPr>
                <w:sz w:val="18"/>
                <w:szCs w:val="18"/>
              </w:rPr>
            </w:pPr>
          </w:p>
        </w:tc>
        <w:tc>
          <w:tcPr>
            <w:tcW w:w="4474" w:type="dxa"/>
          </w:tcPr>
          <w:p w14:paraId="7528CA81"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38EDBFFC"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13EAE99C"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3610CEF4" w14:textId="77777777" w:rsidR="00E72752" w:rsidRDefault="00E72752" w:rsidP="009C7A83">
            <w:pPr>
              <w:pStyle w:val="Table"/>
              <w:spacing w:before="100" w:after="100"/>
              <w:rPr>
                <w:sz w:val="18"/>
                <w:szCs w:val="18"/>
              </w:rPr>
            </w:pPr>
          </w:p>
        </w:tc>
      </w:tr>
      <w:tr w:rsidR="00E72752" w14:paraId="6E43A825"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5D0B57E4" w14:textId="77777777" w:rsidR="00E72752" w:rsidRDefault="00E72752" w:rsidP="009C7A83">
            <w:pPr>
              <w:pStyle w:val="Table"/>
              <w:spacing w:before="100" w:after="100"/>
              <w:rPr>
                <w:sz w:val="18"/>
                <w:szCs w:val="18"/>
              </w:rPr>
            </w:pPr>
          </w:p>
        </w:tc>
        <w:tc>
          <w:tcPr>
            <w:tcW w:w="4474" w:type="dxa"/>
          </w:tcPr>
          <w:p w14:paraId="1737B45A"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4F0E9119"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7CE152F5"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B3869E7" w14:textId="77777777" w:rsidR="00E72752" w:rsidRDefault="00E72752" w:rsidP="009C7A83">
            <w:pPr>
              <w:pStyle w:val="Table"/>
              <w:spacing w:before="100" w:after="100"/>
              <w:rPr>
                <w:sz w:val="18"/>
                <w:szCs w:val="18"/>
              </w:rPr>
            </w:pPr>
          </w:p>
        </w:tc>
      </w:tr>
      <w:tr w:rsidR="00E72752" w14:paraId="4BF108D0"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34967C91" w14:textId="77777777" w:rsidR="00E72752" w:rsidRDefault="00E72752" w:rsidP="009C7A83">
            <w:pPr>
              <w:pStyle w:val="Table"/>
              <w:spacing w:before="100" w:after="100"/>
              <w:rPr>
                <w:sz w:val="18"/>
                <w:szCs w:val="18"/>
              </w:rPr>
            </w:pPr>
          </w:p>
        </w:tc>
        <w:tc>
          <w:tcPr>
            <w:tcW w:w="4474" w:type="dxa"/>
          </w:tcPr>
          <w:p w14:paraId="0C359A86"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7F75C3F8"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63EBF142"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D936E08" w14:textId="77777777" w:rsidR="00E72752" w:rsidRDefault="00E72752" w:rsidP="009C7A83">
            <w:pPr>
              <w:pStyle w:val="Table"/>
              <w:spacing w:before="100" w:after="100"/>
              <w:rPr>
                <w:sz w:val="18"/>
                <w:szCs w:val="18"/>
              </w:rPr>
            </w:pPr>
          </w:p>
        </w:tc>
      </w:tr>
      <w:tr w:rsidR="00E72752" w14:paraId="01FBE9D2"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78EC0094" w14:textId="77777777" w:rsidR="00E72752" w:rsidRDefault="00E72752" w:rsidP="009C7A83">
            <w:pPr>
              <w:pStyle w:val="Table"/>
              <w:spacing w:before="100" w:after="100"/>
              <w:rPr>
                <w:sz w:val="18"/>
                <w:szCs w:val="18"/>
              </w:rPr>
            </w:pPr>
          </w:p>
        </w:tc>
        <w:tc>
          <w:tcPr>
            <w:tcW w:w="4474" w:type="dxa"/>
          </w:tcPr>
          <w:p w14:paraId="10DF38FC"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5E99E1E7"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507C4A43"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4B39C308" w14:textId="77777777" w:rsidR="00E72752" w:rsidRDefault="00E72752" w:rsidP="009C7A83">
            <w:pPr>
              <w:pStyle w:val="Table"/>
              <w:spacing w:before="100" w:after="100"/>
              <w:rPr>
                <w:sz w:val="18"/>
                <w:szCs w:val="18"/>
              </w:rPr>
            </w:pPr>
          </w:p>
        </w:tc>
      </w:tr>
      <w:tr w:rsidR="00E72752" w14:paraId="72C770CE"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3845BD95" w14:textId="77777777" w:rsidR="00E72752" w:rsidRDefault="00E72752" w:rsidP="009C7A83">
            <w:pPr>
              <w:pStyle w:val="Table"/>
              <w:spacing w:before="100" w:after="100"/>
              <w:rPr>
                <w:sz w:val="18"/>
                <w:szCs w:val="18"/>
              </w:rPr>
            </w:pPr>
          </w:p>
        </w:tc>
        <w:tc>
          <w:tcPr>
            <w:tcW w:w="4474" w:type="dxa"/>
          </w:tcPr>
          <w:p w14:paraId="6686E1FC"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5F985DC2"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7351B3D0"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206C38B0" w14:textId="77777777" w:rsidR="00E72752" w:rsidRDefault="00E72752" w:rsidP="009C7A83">
            <w:pPr>
              <w:pStyle w:val="Table"/>
              <w:spacing w:before="100" w:after="100"/>
              <w:rPr>
                <w:sz w:val="18"/>
                <w:szCs w:val="18"/>
              </w:rPr>
            </w:pPr>
          </w:p>
        </w:tc>
      </w:tr>
      <w:tr w:rsidR="00E72752" w14:paraId="59BC5F74" w14:textId="77777777" w:rsidTr="00C03724">
        <w:tc>
          <w:tcPr>
            <w:cnfStyle w:val="001000000000" w:firstRow="0" w:lastRow="0" w:firstColumn="1" w:lastColumn="0" w:oddVBand="0" w:evenVBand="0" w:oddHBand="0" w:evenHBand="0" w:firstRowFirstColumn="0" w:firstRowLastColumn="0" w:lastRowFirstColumn="0" w:lastRowLastColumn="0"/>
            <w:tcW w:w="881" w:type="dxa"/>
          </w:tcPr>
          <w:p w14:paraId="683F89DE" w14:textId="77777777" w:rsidR="00E72752" w:rsidRDefault="00E72752" w:rsidP="009C7A83">
            <w:pPr>
              <w:pStyle w:val="Table"/>
              <w:spacing w:before="100" w:after="100"/>
              <w:rPr>
                <w:sz w:val="18"/>
                <w:szCs w:val="18"/>
              </w:rPr>
            </w:pPr>
          </w:p>
        </w:tc>
        <w:tc>
          <w:tcPr>
            <w:tcW w:w="4474" w:type="dxa"/>
          </w:tcPr>
          <w:p w14:paraId="6898ED60"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163" w:type="dxa"/>
          </w:tcPr>
          <w:p w14:paraId="4DD77303"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269" w:type="dxa"/>
          </w:tcPr>
          <w:p w14:paraId="5D640C96"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6243AFCE" w14:textId="77777777" w:rsidR="00E72752" w:rsidRDefault="00E72752" w:rsidP="009C7A83">
            <w:pPr>
              <w:pStyle w:val="Table"/>
              <w:spacing w:before="100" w:after="100"/>
              <w:rPr>
                <w:sz w:val="18"/>
                <w:szCs w:val="18"/>
              </w:rPr>
            </w:pPr>
          </w:p>
        </w:tc>
      </w:tr>
      <w:tr w:rsidR="00E72752" w14:paraId="06FA2512"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2AA6DB61" w14:textId="77777777" w:rsidR="00E72752" w:rsidRDefault="00E72752" w:rsidP="009C7A83">
            <w:pPr>
              <w:pStyle w:val="Table"/>
              <w:spacing w:before="100" w:after="100"/>
              <w:rPr>
                <w:sz w:val="18"/>
                <w:szCs w:val="18"/>
              </w:rPr>
            </w:pPr>
          </w:p>
        </w:tc>
        <w:tc>
          <w:tcPr>
            <w:tcW w:w="4474" w:type="dxa"/>
          </w:tcPr>
          <w:p w14:paraId="5E3AE3D7"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1163" w:type="dxa"/>
          </w:tcPr>
          <w:p w14:paraId="14439383"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269" w:type="dxa"/>
          </w:tcPr>
          <w:p w14:paraId="7F7ECB59"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3E4C0F77" w14:textId="77777777" w:rsidR="00E72752" w:rsidRDefault="00E72752" w:rsidP="009C7A83">
            <w:pPr>
              <w:pStyle w:val="Table"/>
              <w:spacing w:before="100" w:after="100"/>
              <w:rPr>
                <w:sz w:val="18"/>
                <w:szCs w:val="18"/>
              </w:rPr>
            </w:pPr>
          </w:p>
        </w:tc>
      </w:tr>
      <w:tr w:rsidR="00E72752" w14:paraId="4B34B600" w14:textId="77777777" w:rsidTr="00C03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416DEA50" w14:textId="77777777" w:rsidR="00E72752" w:rsidRDefault="00E72752" w:rsidP="009C7A83">
            <w:pPr>
              <w:pStyle w:val="Table"/>
              <w:spacing w:before="100" w:after="100"/>
              <w:rPr>
                <w:sz w:val="18"/>
                <w:szCs w:val="18"/>
              </w:rPr>
            </w:pPr>
          </w:p>
        </w:tc>
        <w:tc>
          <w:tcPr>
            <w:tcW w:w="4474" w:type="dxa"/>
          </w:tcPr>
          <w:p w14:paraId="30C2DC80"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1163" w:type="dxa"/>
          </w:tcPr>
          <w:p w14:paraId="3E91E162"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269" w:type="dxa"/>
          </w:tcPr>
          <w:p w14:paraId="7D803FFE"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518" w:type="dxa"/>
          </w:tcPr>
          <w:p w14:paraId="3C23F9D8" w14:textId="77777777" w:rsidR="00E72752" w:rsidRDefault="00E72752" w:rsidP="009C7A83">
            <w:pPr>
              <w:pStyle w:val="Table"/>
              <w:spacing w:before="100" w:after="100"/>
              <w:rPr>
                <w:sz w:val="18"/>
                <w:szCs w:val="18"/>
              </w:rPr>
            </w:pPr>
          </w:p>
        </w:tc>
      </w:tr>
    </w:tbl>
    <w:p w14:paraId="4036F25F" w14:textId="77777777" w:rsidR="00E72752" w:rsidRDefault="00E72752" w:rsidP="00C03724">
      <w:pPr>
        <w:pStyle w:val="Body"/>
        <w:ind w:left="0"/>
        <w:rPr>
          <w:sz w:val="23"/>
        </w:rPr>
      </w:pPr>
    </w:p>
    <w:tbl>
      <w:tblPr>
        <w:tblStyle w:val="RACVTable"/>
        <w:tblW w:w="10301" w:type="dxa"/>
        <w:tblLayout w:type="fixed"/>
        <w:tblLook w:val="01E0" w:firstRow="1" w:lastRow="1" w:firstColumn="1" w:lastColumn="1" w:noHBand="0" w:noVBand="0"/>
      </w:tblPr>
      <w:tblGrid>
        <w:gridCol w:w="882"/>
        <w:gridCol w:w="7676"/>
        <w:gridCol w:w="1743"/>
      </w:tblGrid>
      <w:tr w:rsidR="00E72752" w:rsidRPr="00C03724" w14:paraId="004BADAB" w14:textId="77777777" w:rsidTr="00C03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1" w:type="dxa"/>
            <w:gridSpan w:val="3"/>
            <w:hideMark/>
          </w:tcPr>
          <w:p w14:paraId="16FCEE39" w14:textId="77777777" w:rsidR="00E72752" w:rsidRPr="00C03724" w:rsidRDefault="00E72752" w:rsidP="00C03724">
            <w:pPr>
              <w:pStyle w:val="Table"/>
              <w:spacing w:before="100" w:after="100"/>
              <w:rPr>
                <w:bCs w:val="0"/>
                <w:color w:val="090D46" w:themeColor="text1"/>
                <w:sz w:val="18"/>
                <w:szCs w:val="18"/>
              </w:rPr>
            </w:pPr>
            <w:r w:rsidRPr="00C03724">
              <w:rPr>
                <w:bCs w:val="0"/>
                <w:color w:val="090D46" w:themeColor="text1"/>
                <w:sz w:val="18"/>
                <w:szCs w:val="18"/>
              </w:rPr>
              <w:t>POINTS FOR PARTNER REVIEW</w:t>
            </w:r>
          </w:p>
        </w:tc>
      </w:tr>
      <w:tr w:rsidR="00E72752" w14:paraId="1A800823"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hideMark/>
          </w:tcPr>
          <w:p w14:paraId="72522BFF"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DATE</w:t>
            </w:r>
          </w:p>
        </w:tc>
        <w:tc>
          <w:tcPr>
            <w:tcW w:w="7676" w:type="dxa"/>
            <w:hideMark/>
          </w:tcPr>
          <w:p w14:paraId="556EBC4A" w14:textId="77777777" w:rsidR="00E72752" w:rsidRPr="00C03724" w:rsidRDefault="00E72752" w:rsidP="009C7A83">
            <w:pPr>
              <w:pStyle w:val="Tableheading"/>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r w:rsidRPr="00C03724">
              <w:rPr>
                <w:color w:val="090D46" w:themeColor="text1"/>
                <w:sz w:val="18"/>
                <w:szCs w:val="18"/>
              </w:rPr>
              <w:t>REVIEW POINT</w:t>
            </w:r>
          </w:p>
        </w:tc>
        <w:tc>
          <w:tcPr>
            <w:cnfStyle w:val="000100000000" w:firstRow="0" w:lastRow="0" w:firstColumn="0" w:lastColumn="1" w:oddVBand="0" w:evenVBand="0" w:oddHBand="0" w:evenHBand="0" w:firstRowFirstColumn="0" w:firstRowLastColumn="0" w:lastRowFirstColumn="0" w:lastRowLastColumn="0"/>
            <w:tcW w:w="1743" w:type="dxa"/>
            <w:hideMark/>
          </w:tcPr>
          <w:p w14:paraId="143A4544" w14:textId="77777777" w:rsidR="00E72752" w:rsidRPr="00C03724" w:rsidRDefault="00E72752" w:rsidP="009C7A83">
            <w:pPr>
              <w:pStyle w:val="Tableheading"/>
              <w:rPr>
                <w:b/>
                <w:bCs w:val="0"/>
                <w:color w:val="090D46" w:themeColor="text1"/>
                <w:sz w:val="18"/>
                <w:szCs w:val="18"/>
              </w:rPr>
            </w:pPr>
            <w:r w:rsidRPr="00C03724">
              <w:rPr>
                <w:b/>
                <w:bCs w:val="0"/>
                <w:color w:val="090D46" w:themeColor="text1"/>
                <w:sz w:val="18"/>
                <w:szCs w:val="18"/>
              </w:rPr>
              <w:t>CHECKED BY</w:t>
            </w:r>
          </w:p>
        </w:tc>
      </w:tr>
      <w:tr w:rsidR="00E72752" w14:paraId="5825D3AF" w14:textId="77777777" w:rsidTr="00C03724">
        <w:tc>
          <w:tcPr>
            <w:cnfStyle w:val="001000000000" w:firstRow="0" w:lastRow="0" w:firstColumn="1" w:lastColumn="0" w:oddVBand="0" w:evenVBand="0" w:oddHBand="0" w:evenHBand="0" w:firstRowFirstColumn="0" w:firstRowLastColumn="0" w:lastRowFirstColumn="0" w:lastRowLastColumn="0"/>
            <w:tcW w:w="882" w:type="dxa"/>
          </w:tcPr>
          <w:p w14:paraId="3CC4F6AA" w14:textId="77777777" w:rsidR="00E72752" w:rsidRDefault="00E72752" w:rsidP="009C7A83">
            <w:pPr>
              <w:pStyle w:val="Table"/>
              <w:spacing w:before="100" w:after="100"/>
              <w:rPr>
                <w:sz w:val="18"/>
                <w:szCs w:val="18"/>
              </w:rPr>
            </w:pPr>
          </w:p>
        </w:tc>
        <w:tc>
          <w:tcPr>
            <w:tcW w:w="7676" w:type="dxa"/>
          </w:tcPr>
          <w:p w14:paraId="6B37AA54"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518E38CC" w14:textId="77777777" w:rsidR="00E72752" w:rsidRDefault="00E72752" w:rsidP="009C7A83">
            <w:pPr>
              <w:pStyle w:val="Table"/>
              <w:spacing w:before="100" w:after="100"/>
              <w:rPr>
                <w:sz w:val="18"/>
                <w:szCs w:val="18"/>
              </w:rPr>
            </w:pPr>
          </w:p>
        </w:tc>
      </w:tr>
      <w:tr w:rsidR="00E72752" w14:paraId="78D0B892"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3E36B7CB" w14:textId="77777777" w:rsidR="00E72752" w:rsidRDefault="00E72752" w:rsidP="009C7A83">
            <w:pPr>
              <w:pStyle w:val="Table"/>
              <w:spacing w:before="100" w:after="100"/>
              <w:rPr>
                <w:sz w:val="18"/>
                <w:szCs w:val="18"/>
              </w:rPr>
            </w:pPr>
          </w:p>
        </w:tc>
        <w:tc>
          <w:tcPr>
            <w:tcW w:w="7676" w:type="dxa"/>
          </w:tcPr>
          <w:p w14:paraId="5435AAB5"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29E2B1EE" w14:textId="77777777" w:rsidR="00E72752" w:rsidRDefault="00E72752" w:rsidP="009C7A83">
            <w:pPr>
              <w:pStyle w:val="Table"/>
              <w:spacing w:before="100" w:after="100"/>
              <w:rPr>
                <w:sz w:val="18"/>
                <w:szCs w:val="18"/>
              </w:rPr>
            </w:pPr>
          </w:p>
        </w:tc>
      </w:tr>
      <w:tr w:rsidR="00E72752" w14:paraId="43D269AA" w14:textId="77777777" w:rsidTr="00C03724">
        <w:tc>
          <w:tcPr>
            <w:cnfStyle w:val="001000000000" w:firstRow="0" w:lastRow="0" w:firstColumn="1" w:lastColumn="0" w:oddVBand="0" w:evenVBand="0" w:oddHBand="0" w:evenHBand="0" w:firstRowFirstColumn="0" w:firstRowLastColumn="0" w:lastRowFirstColumn="0" w:lastRowLastColumn="0"/>
            <w:tcW w:w="882" w:type="dxa"/>
          </w:tcPr>
          <w:p w14:paraId="7A45B352" w14:textId="77777777" w:rsidR="00E72752" w:rsidRDefault="00E72752" w:rsidP="009C7A83">
            <w:pPr>
              <w:pStyle w:val="Table"/>
              <w:spacing w:before="100" w:after="100"/>
              <w:rPr>
                <w:sz w:val="18"/>
                <w:szCs w:val="18"/>
              </w:rPr>
            </w:pPr>
          </w:p>
        </w:tc>
        <w:tc>
          <w:tcPr>
            <w:tcW w:w="7676" w:type="dxa"/>
          </w:tcPr>
          <w:p w14:paraId="5EFD3B69"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33DD1744" w14:textId="77777777" w:rsidR="00E72752" w:rsidRDefault="00E72752" w:rsidP="009C7A83">
            <w:pPr>
              <w:pStyle w:val="Table"/>
              <w:spacing w:before="100" w:after="100"/>
              <w:rPr>
                <w:sz w:val="18"/>
                <w:szCs w:val="18"/>
              </w:rPr>
            </w:pPr>
          </w:p>
        </w:tc>
      </w:tr>
      <w:tr w:rsidR="00E72752" w14:paraId="1162677A"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A2C700D" w14:textId="77777777" w:rsidR="00E72752" w:rsidRDefault="00E72752" w:rsidP="009C7A83">
            <w:pPr>
              <w:pStyle w:val="Table"/>
              <w:spacing w:before="100" w:after="100"/>
              <w:rPr>
                <w:sz w:val="18"/>
                <w:szCs w:val="18"/>
              </w:rPr>
            </w:pPr>
          </w:p>
        </w:tc>
        <w:tc>
          <w:tcPr>
            <w:tcW w:w="7676" w:type="dxa"/>
          </w:tcPr>
          <w:p w14:paraId="15D3A600"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73940A77" w14:textId="77777777" w:rsidR="00E72752" w:rsidRDefault="00E72752" w:rsidP="009C7A83">
            <w:pPr>
              <w:pStyle w:val="Table"/>
              <w:spacing w:before="100" w:after="100"/>
              <w:rPr>
                <w:sz w:val="18"/>
                <w:szCs w:val="18"/>
              </w:rPr>
            </w:pPr>
          </w:p>
        </w:tc>
      </w:tr>
      <w:tr w:rsidR="00E72752" w14:paraId="7FEAE820" w14:textId="77777777" w:rsidTr="00C03724">
        <w:tc>
          <w:tcPr>
            <w:cnfStyle w:val="001000000000" w:firstRow="0" w:lastRow="0" w:firstColumn="1" w:lastColumn="0" w:oddVBand="0" w:evenVBand="0" w:oddHBand="0" w:evenHBand="0" w:firstRowFirstColumn="0" w:firstRowLastColumn="0" w:lastRowFirstColumn="0" w:lastRowLastColumn="0"/>
            <w:tcW w:w="882" w:type="dxa"/>
          </w:tcPr>
          <w:p w14:paraId="07286AB2" w14:textId="77777777" w:rsidR="00E72752" w:rsidRDefault="00E72752" w:rsidP="009C7A83">
            <w:pPr>
              <w:pStyle w:val="Table"/>
              <w:spacing w:before="100" w:after="100"/>
              <w:rPr>
                <w:sz w:val="18"/>
                <w:szCs w:val="18"/>
              </w:rPr>
            </w:pPr>
          </w:p>
        </w:tc>
        <w:tc>
          <w:tcPr>
            <w:tcW w:w="7676" w:type="dxa"/>
          </w:tcPr>
          <w:p w14:paraId="3491EB0F" w14:textId="77777777" w:rsidR="00E72752" w:rsidRDefault="00E72752" w:rsidP="009C7A8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5CF3615C" w14:textId="77777777" w:rsidR="00E72752" w:rsidRDefault="00E72752" w:rsidP="009C7A83">
            <w:pPr>
              <w:pStyle w:val="Table"/>
              <w:spacing w:before="100" w:after="100"/>
              <w:rPr>
                <w:sz w:val="18"/>
                <w:szCs w:val="18"/>
              </w:rPr>
            </w:pPr>
          </w:p>
        </w:tc>
      </w:tr>
      <w:tr w:rsidR="00E72752" w14:paraId="2771F9E8" w14:textId="77777777" w:rsidTr="00C03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1D80E6E" w14:textId="77777777" w:rsidR="00E72752" w:rsidRDefault="00E72752" w:rsidP="009C7A83">
            <w:pPr>
              <w:pStyle w:val="Table"/>
              <w:spacing w:before="100" w:after="100"/>
              <w:rPr>
                <w:sz w:val="18"/>
                <w:szCs w:val="18"/>
              </w:rPr>
            </w:pPr>
          </w:p>
        </w:tc>
        <w:tc>
          <w:tcPr>
            <w:tcW w:w="7676" w:type="dxa"/>
          </w:tcPr>
          <w:p w14:paraId="08AE8714" w14:textId="77777777" w:rsidR="00E72752" w:rsidRDefault="00E72752" w:rsidP="009C7A8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2A80BA25" w14:textId="77777777" w:rsidR="00E72752" w:rsidRDefault="00E72752" w:rsidP="009C7A83">
            <w:pPr>
              <w:pStyle w:val="Table"/>
              <w:spacing w:before="100" w:after="100"/>
              <w:rPr>
                <w:sz w:val="18"/>
                <w:szCs w:val="18"/>
              </w:rPr>
            </w:pPr>
          </w:p>
        </w:tc>
      </w:tr>
      <w:tr w:rsidR="00E72752" w14:paraId="70B84AFF" w14:textId="77777777" w:rsidTr="00C037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5464C842" w14:textId="77777777" w:rsidR="00E72752" w:rsidRDefault="00E72752" w:rsidP="009C7A83">
            <w:pPr>
              <w:pStyle w:val="Table"/>
              <w:spacing w:before="100" w:after="100"/>
              <w:rPr>
                <w:sz w:val="18"/>
                <w:szCs w:val="18"/>
              </w:rPr>
            </w:pPr>
          </w:p>
        </w:tc>
        <w:tc>
          <w:tcPr>
            <w:tcW w:w="7676" w:type="dxa"/>
          </w:tcPr>
          <w:p w14:paraId="39635D93" w14:textId="77777777" w:rsidR="00E72752" w:rsidRDefault="00E72752" w:rsidP="009C7A8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1743" w:type="dxa"/>
          </w:tcPr>
          <w:p w14:paraId="3409A2D3" w14:textId="77777777" w:rsidR="00E72752" w:rsidRDefault="00E72752" w:rsidP="009C7A83">
            <w:pPr>
              <w:pStyle w:val="Table"/>
              <w:spacing w:before="100" w:after="100"/>
              <w:rPr>
                <w:sz w:val="18"/>
                <w:szCs w:val="18"/>
              </w:rPr>
            </w:pPr>
          </w:p>
        </w:tc>
      </w:tr>
    </w:tbl>
    <w:p w14:paraId="2CA8A4EE" w14:textId="77777777" w:rsidR="00E72752" w:rsidRDefault="00E72752" w:rsidP="00387DEF"/>
    <w:sectPr w:rsidR="00E72752" w:rsidSect="00D7444D">
      <w:headerReference w:type="default" r:id="rId22"/>
      <w:footerReference w:type="default" r:id="rId2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7F6F" w14:textId="77777777" w:rsidR="00AF36EA" w:rsidRDefault="00AF36EA" w:rsidP="001D0AFC">
      <w:r>
        <w:separator/>
      </w:r>
    </w:p>
    <w:p w14:paraId="313A8D69" w14:textId="77777777" w:rsidR="00AF36EA" w:rsidRDefault="00AF36EA"/>
    <w:p w14:paraId="2E4FB596" w14:textId="77777777" w:rsidR="00AF36EA" w:rsidRDefault="00AF36EA"/>
  </w:endnote>
  <w:endnote w:type="continuationSeparator" w:id="0">
    <w:p w14:paraId="7113E3CC" w14:textId="77777777" w:rsidR="00AF36EA" w:rsidRDefault="00AF36EA" w:rsidP="001D0AFC">
      <w:r>
        <w:continuationSeparator/>
      </w:r>
    </w:p>
    <w:p w14:paraId="2316F1C9" w14:textId="77777777" w:rsidR="00AF36EA" w:rsidRDefault="00AF36EA"/>
    <w:p w14:paraId="42467C6B" w14:textId="77777777" w:rsidR="00AF36EA" w:rsidRDefault="00AF36EA"/>
  </w:endnote>
  <w:endnote w:type="continuationNotice" w:id="1">
    <w:p w14:paraId="5482F462" w14:textId="77777777" w:rsidR="00AF36EA" w:rsidRDefault="00AF36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BD3E" w14:textId="77777777" w:rsidR="00AF36EA" w:rsidRDefault="00AF36EA" w:rsidP="001D0AFC"/>
  </w:footnote>
  <w:footnote w:type="continuationSeparator" w:id="0">
    <w:p w14:paraId="514379BD" w14:textId="77777777" w:rsidR="00AF36EA" w:rsidRDefault="00AF36EA" w:rsidP="001D0AFC"/>
  </w:footnote>
  <w:footnote w:type="continuationNotice" w:id="1">
    <w:p w14:paraId="79D529B7" w14:textId="77777777" w:rsidR="00AF36EA" w:rsidRDefault="00AF36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46A20FB5" w:rsidR="003B7348" w:rsidRPr="00693244" w:rsidRDefault="00D12A5E" w:rsidP="00693244">
    <w:pPr>
      <w:pStyle w:val="Header"/>
    </w:pPr>
    <w:fldSimple w:instr="STYLEREF  Title  \* MERGEFORMAT">
      <w:r w:rsidR="00C61239">
        <w:rPr>
          <w:noProof/>
        </w:rPr>
        <w:t>Tax Preparation Checklist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8856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8EE63B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A6CBC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14C9E"/>
    <w:multiLevelType w:val="hybridMultilevel"/>
    <w:tmpl w:val="FE8E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F4B58"/>
    <w:multiLevelType w:val="hybridMultilevel"/>
    <w:tmpl w:val="6B28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10136"/>
    <w:multiLevelType w:val="hybridMultilevel"/>
    <w:tmpl w:val="5E08F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C5214"/>
    <w:multiLevelType w:val="hybridMultilevel"/>
    <w:tmpl w:val="0EE2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B51E15"/>
    <w:multiLevelType w:val="hybridMultilevel"/>
    <w:tmpl w:val="3EE2CD9A"/>
    <w:lvl w:ilvl="0" w:tplc="3ACE54A2">
      <w:start w:val="1"/>
      <w:numFmt w:val="decimal"/>
      <w:lvlText w:val="%1."/>
      <w:lvlJc w:val="left"/>
      <w:pPr>
        <w:ind w:left="357" w:hanging="244"/>
      </w:pPr>
      <w:rPr>
        <w:b w:val="0"/>
        <w:bC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BD63720"/>
    <w:multiLevelType w:val="hybridMultilevel"/>
    <w:tmpl w:val="B9A6CBCE"/>
    <w:lvl w:ilvl="0" w:tplc="641AA79C">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E587136"/>
    <w:multiLevelType w:val="hybridMultilevel"/>
    <w:tmpl w:val="EE109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3A1054"/>
    <w:multiLevelType w:val="multilevel"/>
    <w:tmpl w:val="4DD2D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2" w15:restartNumberingAfterBreak="0">
    <w:nsid w:val="18FA755A"/>
    <w:multiLevelType w:val="hybridMultilevel"/>
    <w:tmpl w:val="BD98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F37577"/>
    <w:multiLevelType w:val="hybridMultilevel"/>
    <w:tmpl w:val="655E3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5" w15:restartNumberingAfterBreak="0">
    <w:nsid w:val="27757F10"/>
    <w:multiLevelType w:val="hybridMultilevel"/>
    <w:tmpl w:val="A5CE4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BF1372"/>
    <w:multiLevelType w:val="hybridMultilevel"/>
    <w:tmpl w:val="7768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03CC5"/>
    <w:multiLevelType w:val="hybridMultilevel"/>
    <w:tmpl w:val="FE30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44679F"/>
    <w:multiLevelType w:val="multilevel"/>
    <w:tmpl w:val="9536BC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37CF38E1"/>
    <w:multiLevelType w:val="hybridMultilevel"/>
    <w:tmpl w:val="9AF08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A6E96"/>
    <w:multiLevelType w:val="hybridMultilevel"/>
    <w:tmpl w:val="8B2EE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60F75"/>
    <w:multiLevelType w:val="hybridMultilevel"/>
    <w:tmpl w:val="FCB66E74"/>
    <w:lvl w:ilvl="0" w:tplc="C03C4958">
      <w:start w:val="1"/>
      <w:numFmt w:val="decimal"/>
      <w:lvlText w:val="%1."/>
      <w:lvlJc w:val="left"/>
      <w:pPr>
        <w:ind w:left="357" w:hanging="244"/>
      </w:pPr>
      <w:rPr>
        <w:b w:val="0"/>
        <w:bC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AB60731"/>
    <w:multiLevelType w:val="hybridMultilevel"/>
    <w:tmpl w:val="32403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2E18A2"/>
    <w:multiLevelType w:val="hybridMultilevel"/>
    <w:tmpl w:val="668A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680D05"/>
    <w:multiLevelType w:val="hybridMultilevel"/>
    <w:tmpl w:val="64E8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05CE2"/>
    <w:multiLevelType w:val="hybridMultilevel"/>
    <w:tmpl w:val="23223AE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459D4990"/>
    <w:multiLevelType w:val="hybridMultilevel"/>
    <w:tmpl w:val="B00C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56BAE"/>
    <w:multiLevelType w:val="hybridMultilevel"/>
    <w:tmpl w:val="A15E1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826294"/>
    <w:multiLevelType w:val="hybridMultilevel"/>
    <w:tmpl w:val="87B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3E57DC"/>
    <w:multiLevelType w:val="hybridMultilevel"/>
    <w:tmpl w:val="B1A8F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F7500"/>
    <w:multiLevelType w:val="hybridMultilevel"/>
    <w:tmpl w:val="8AE637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8D64770"/>
    <w:multiLevelType w:val="hybridMultilevel"/>
    <w:tmpl w:val="97867898"/>
    <w:lvl w:ilvl="0" w:tplc="DF2E76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B147EB"/>
    <w:multiLevelType w:val="hybridMultilevel"/>
    <w:tmpl w:val="96244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65470A"/>
    <w:multiLevelType w:val="hybridMultilevel"/>
    <w:tmpl w:val="FF46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AC56B4"/>
    <w:multiLevelType w:val="hybridMultilevel"/>
    <w:tmpl w:val="238A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1546A7"/>
    <w:multiLevelType w:val="multilevel"/>
    <w:tmpl w:val="5B66B1A6"/>
    <w:lvl w:ilvl="0">
      <w:start w:val="1"/>
      <w:numFmt w:val="decimal"/>
      <w:lvlText w:val="%1."/>
      <w:lvlJc w:val="left"/>
      <w:pPr>
        <w:ind w:left="360" w:hanging="360"/>
      </w:pPr>
      <w:rPr>
        <w:rFonts w:hint="default"/>
        <w:b/>
        <w:bCs/>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862700"/>
    <w:multiLevelType w:val="hybridMultilevel"/>
    <w:tmpl w:val="C77EE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5A2FB5"/>
    <w:multiLevelType w:val="hybridMultilevel"/>
    <w:tmpl w:val="F4C8305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874F2C"/>
    <w:multiLevelType w:val="hybridMultilevel"/>
    <w:tmpl w:val="632E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505229"/>
    <w:multiLevelType w:val="hybridMultilevel"/>
    <w:tmpl w:val="828CA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91CBA"/>
    <w:multiLevelType w:val="hybridMultilevel"/>
    <w:tmpl w:val="A2BEC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CE29B4"/>
    <w:multiLevelType w:val="hybridMultilevel"/>
    <w:tmpl w:val="35D0E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7E4D88"/>
    <w:multiLevelType w:val="multilevel"/>
    <w:tmpl w:val="0D3289CC"/>
    <w:lvl w:ilvl="0">
      <w:start w:val="1"/>
      <w:numFmt w:val="bullet"/>
      <w:lvlText w:val=""/>
      <w:lvlJc w:val="left"/>
      <w:pPr>
        <w:ind w:left="360" w:hanging="360"/>
      </w:pPr>
      <w:rPr>
        <w:rFonts w:ascii="Symbol" w:hAnsi="Symbol" w:hint="default"/>
        <w:color w:val="090D46" w:themeColor="text1"/>
      </w:rPr>
    </w:lvl>
    <w:lvl w:ilvl="1">
      <w:start w:val="1"/>
      <w:numFmt w:val="bullet"/>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5" w15:restartNumberingAfterBreak="0">
    <w:nsid w:val="7A0018A5"/>
    <w:multiLevelType w:val="multilevel"/>
    <w:tmpl w:val="78AA8880"/>
    <w:lvl w:ilvl="0">
      <w:start w:val="1"/>
      <w:numFmt w:val="bullet"/>
      <w:lvlText w:val=""/>
      <w:lvlJc w:val="left"/>
      <w:pPr>
        <w:ind w:left="360" w:hanging="360"/>
      </w:pPr>
      <w:rPr>
        <w:rFonts w:ascii="Symbol" w:hAnsi="Symbol" w:hint="default"/>
        <w:color w:val="090D46" w:themeColor="tex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6" w15:restartNumberingAfterBreak="0">
    <w:nsid w:val="7C577708"/>
    <w:multiLevelType w:val="hybridMultilevel"/>
    <w:tmpl w:val="DACE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BC41C0"/>
    <w:multiLevelType w:val="hybridMultilevel"/>
    <w:tmpl w:val="2D28D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2778329">
    <w:abstractNumId w:val="37"/>
  </w:num>
  <w:num w:numId="2" w16cid:durableId="696084127">
    <w:abstractNumId w:val="14"/>
  </w:num>
  <w:num w:numId="3" w16cid:durableId="514882885">
    <w:abstractNumId w:val="44"/>
  </w:num>
  <w:num w:numId="4" w16cid:durableId="2041854685">
    <w:abstractNumId w:val="11"/>
  </w:num>
  <w:num w:numId="5" w16cid:durableId="193269211">
    <w:abstractNumId w:val="29"/>
  </w:num>
  <w:num w:numId="6" w16cid:durableId="1926069441">
    <w:abstractNumId w:val="24"/>
  </w:num>
  <w:num w:numId="7" w16cid:durableId="1910574081">
    <w:abstractNumId w:val="8"/>
  </w:num>
  <w:num w:numId="8" w16cid:durableId="1870604481">
    <w:abstractNumId w:val="7"/>
    <w:lvlOverride w:ilvl="0">
      <w:startOverride w:val="1"/>
    </w:lvlOverride>
    <w:lvlOverride w:ilvl="1"/>
    <w:lvlOverride w:ilvl="2"/>
    <w:lvlOverride w:ilvl="3"/>
    <w:lvlOverride w:ilvl="4"/>
    <w:lvlOverride w:ilvl="5"/>
    <w:lvlOverride w:ilvl="6"/>
    <w:lvlOverride w:ilvl="7"/>
    <w:lvlOverride w:ilvl="8"/>
  </w:num>
  <w:num w:numId="9" w16cid:durableId="1054818714">
    <w:abstractNumId w:val="21"/>
    <w:lvlOverride w:ilvl="0">
      <w:startOverride w:val="1"/>
    </w:lvlOverride>
    <w:lvlOverride w:ilvl="1"/>
    <w:lvlOverride w:ilvl="2"/>
    <w:lvlOverride w:ilvl="3"/>
    <w:lvlOverride w:ilvl="4"/>
    <w:lvlOverride w:ilvl="5"/>
    <w:lvlOverride w:ilvl="6"/>
    <w:lvlOverride w:ilvl="7"/>
    <w:lvlOverride w:ilvl="8"/>
  </w:num>
  <w:num w:numId="10" w16cid:durableId="520823743">
    <w:abstractNumId w:val="2"/>
  </w:num>
  <w:num w:numId="11" w16cid:durableId="1996030549">
    <w:abstractNumId w:val="2"/>
  </w:num>
  <w:num w:numId="12" w16cid:durableId="251358273">
    <w:abstractNumId w:val="2"/>
  </w:num>
  <w:num w:numId="13" w16cid:durableId="1160805350">
    <w:abstractNumId w:val="2"/>
  </w:num>
  <w:num w:numId="14" w16cid:durableId="981890005">
    <w:abstractNumId w:val="2"/>
  </w:num>
  <w:num w:numId="15" w16cid:durableId="76295546">
    <w:abstractNumId w:val="2"/>
  </w:num>
  <w:num w:numId="16" w16cid:durableId="2023315155">
    <w:abstractNumId w:val="2"/>
  </w:num>
  <w:num w:numId="17" w16cid:durableId="2075354505">
    <w:abstractNumId w:val="2"/>
  </w:num>
  <w:num w:numId="18" w16cid:durableId="1419668572">
    <w:abstractNumId w:val="2"/>
  </w:num>
  <w:num w:numId="19" w16cid:durableId="1796866822">
    <w:abstractNumId w:val="7"/>
  </w:num>
  <w:num w:numId="20" w16cid:durableId="67314936">
    <w:abstractNumId w:val="42"/>
  </w:num>
  <w:num w:numId="21" w16cid:durableId="495609518">
    <w:abstractNumId w:val="2"/>
  </w:num>
  <w:num w:numId="22" w16cid:durableId="1888645457">
    <w:abstractNumId w:val="3"/>
  </w:num>
  <w:num w:numId="23" w16cid:durableId="2029092853">
    <w:abstractNumId w:val="23"/>
  </w:num>
  <w:num w:numId="24" w16cid:durableId="1639918221">
    <w:abstractNumId w:val="2"/>
  </w:num>
  <w:num w:numId="25" w16cid:durableId="259457283">
    <w:abstractNumId w:val="2"/>
  </w:num>
  <w:num w:numId="26" w16cid:durableId="807287526">
    <w:abstractNumId w:val="2"/>
  </w:num>
  <w:num w:numId="27" w16cid:durableId="766390951">
    <w:abstractNumId w:val="2"/>
  </w:num>
  <w:num w:numId="28" w16cid:durableId="181551978">
    <w:abstractNumId w:val="2"/>
  </w:num>
  <w:num w:numId="29" w16cid:durableId="1616987631">
    <w:abstractNumId w:val="2"/>
  </w:num>
  <w:num w:numId="30" w16cid:durableId="1342463288">
    <w:abstractNumId w:val="2"/>
  </w:num>
  <w:num w:numId="31" w16cid:durableId="621425183">
    <w:abstractNumId w:val="4"/>
  </w:num>
  <w:num w:numId="32" w16cid:durableId="254947716">
    <w:abstractNumId w:val="31"/>
  </w:num>
  <w:num w:numId="33" w16cid:durableId="455293195">
    <w:abstractNumId w:val="9"/>
  </w:num>
  <w:num w:numId="34" w16cid:durableId="541408210">
    <w:abstractNumId w:val="2"/>
  </w:num>
  <w:num w:numId="35" w16cid:durableId="1907565659">
    <w:abstractNumId w:val="2"/>
  </w:num>
  <w:num w:numId="36" w16cid:durableId="13575298">
    <w:abstractNumId w:val="10"/>
  </w:num>
  <w:num w:numId="37" w16cid:durableId="1848127891">
    <w:abstractNumId w:val="12"/>
  </w:num>
  <w:num w:numId="38" w16cid:durableId="942570068">
    <w:abstractNumId w:val="44"/>
  </w:num>
  <w:num w:numId="39" w16cid:durableId="1546485514">
    <w:abstractNumId w:val="39"/>
  </w:num>
  <w:num w:numId="40" w16cid:durableId="1431509281">
    <w:abstractNumId w:val="32"/>
  </w:num>
  <w:num w:numId="41" w16cid:durableId="545335057">
    <w:abstractNumId w:val="44"/>
  </w:num>
  <w:num w:numId="42" w16cid:durableId="906643864">
    <w:abstractNumId w:val="44"/>
  </w:num>
  <w:num w:numId="43" w16cid:durableId="966862121">
    <w:abstractNumId w:val="45"/>
  </w:num>
  <w:num w:numId="44" w16cid:durableId="273682052">
    <w:abstractNumId w:val="1"/>
  </w:num>
  <w:num w:numId="45" w16cid:durableId="1021542078">
    <w:abstractNumId w:val="0"/>
  </w:num>
  <w:num w:numId="46" w16cid:durableId="1131048366">
    <w:abstractNumId w:val="47"/>
  </w:num>
  <w:num w:numId="47" w16cid:durableId="1197548364">
    <w:abstractNumId w:val="25"/>
  </w:num>
  <w:num w:numId="48" w16cid:durableId="1938324541">
    <w:abstractNumId w:val="46"/>
  </w:num>
  <w:num w:numId="49" w16cid:durableId="1370301518">
    <w:abstractNumId w:val="40"/>
  </w:num>
  <w:num w:numId="50" w16cid:durableId="381439189">
    <w:abstractNumId w:val="29"/>
  </w:num>
  <w:num w:numId="51" w16cid:durableId="842008813">
    <w:abstractNumId w:val="29"/>
  </w:num>
  <w:num w:numId="52" w16cid:durableId="699864582">
    <w:abstractNumId w:val="29"/>
  </w:num>
  <w:num w:numId="53" w16cid:durableId="1427769484">
    <w:abstractNumId w:val="5"/>
  </w:num>
  <w:num w:numId="54" w16cid:durableId="1527909326">
    <w:abstractNumId w:val="29"/>
  </w:num>
  <w:num w:numId="55" w16cid:durableId="1172722681">
    <w:abstractNumId w:val="28"/>
  </w:num>
  <w:num w:numId="56" w16cid:durableId="1603341511">
    <w:abstractNumId w:val="33"/>
  </w:num>
  <w:num w:numId="57" w16cid:durableId="795371895">
    <w:abstractNumId w:val="20"/>
  </w:num>
  <w:num w:numId="58" w16cid:durableId="1619221601">
    <w:abstractNumId w:val="1"/>
  </w:num>
  <w:num w:numId="59" w16cid:durableId="952324959">
    <w:abstractNumId w:val="22"/>
  </w:num>
  <w:num w:numId="60" w16cid:durableId="1453748879">
    <w:abstractNumId w:val="1"/>
  </w:num>
  <w:num w:numId="61" w16cid:durableId="1797984247">
    <w:abstractNumId w:val="1"/>
  </w:num>
  <w:num w:numId="62" w16cid:durableId="1596669750">
    <w:abstractNumId w:val="1"/>
  </w:num>
  <w:num w:numId="63" w16cid:durableId="1922595984">
    <w:abstractNumId w:val="1"/>
  </w:num>
  <w:num w:numId="64" w16cid:durableId="206141319">
    <w:abstractNumId w:val="1"/>
  </w:num>
  <w:num w:numId="65" w16cid:durableId="2097876">
    <w:abstractNumId w:val="1"/>
  </w:num>
  <w:num w:numId="66" w16cid:durableId="199317114">
    <w:abstractNumId w:val="1"/>
  </w:num>
  <w:num w:numId="67" w16cid:durableId="1382483554">
    <w:abstractNumId w:val="6"/>
  </w:num>
  <w:num w:numId="68" w16cid:durableId="1774326682">
    <w:abstractNumId w:val="13"/>
  </w:num>
  <w:num w:numId="69" w16cid:durableId="1657951486">
    <w:abstractNumId w:val="35"/>
  </w:num>
  <w:num w:numId="70" w16cid:durableId="355740302">
    <w:abstractNumId w:val="30"/>
  </w:num>
  <w:num w:numId="71" w16cid:durableId="1324312583">
    <w:abstractNumId w:val="17"/>
  </w:num>
  <w:num w:numId="72" w16cid:durableId="1807119359">
    <w:abstractNumId w:val="27"/>
  </w:num>
  <w:num w:numId="73" w16cid:durableId="53967651">
    <w:abstractNumId w:val="26"/>
  </w:num>
  <w:num w:numId="74" w16cid:durableId="1515340117">
    <w:abstractNumId w:val="16"/>
  </w:num>
  <w:num w:numId="75" w16cid:durableId="396826609">
    <w:abstractNumId w:val="19"/>
  </w:num>
  <w:num w:numId="76" w16cid:durableId="925112410">
    <w:abstractNumId w:val="41"/>
  </w:num>
  <w:num w:numId="77" w16cid:durableId="646202498">
    <w:abstractNumId w:val="38"/>
  </w:num>
  <w:num w:numId="78" w16cid:durableId="1385526825">
    <w:abstractNumId w:val="34"/>
  </w:num>
  <w:num w:numId="79" w16cid:durableId="628586818">
    <w:abstractNumId w:val="15"/>
  </w:num>
  <w:num w:numId="80" w16cid:durableId="1162113884">
    <w:abstractNumId w:val="36"/>
  </w:num>
  <w:num w:numId="81" w16cid:durableId="969895515">
    <w:abstractNumId w:val="43"/>
  </w:num>
  <w:num w:numId="82" w16cid:durableId="1470391374">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0C7"/>
    <w:rsid w:val="00004CCA"/>
    <w:rsid w:val="00005366"/>
    <w:rsid w:val="00005ADF"/>
    <w:rsid w:val="00006004"/>
    <w:rsid w:val="000072B0"/>
    <w:rsid w:val="00011D2B"/>
    <w:rsid w:val="00012305"/>
    <w:rsid w:val="000136A5"/>
    <w:rsid w:val="00013E33"/>
    <w:rsid w:val="000141F1"/>
    <w:rsid w:val="00015555"/>
    <w:rsid w:val="00015E85"/>
    <w:rsid w:val="00016E6F"/>
    <w:rsid w:val="00017D6E"/>
    <w:rsid w:val="000203CE"/>
    <w:rsid w:val="000220DC"/>
    <w:rsid w:val="0002234B"/>
    <w:rsid w:val="00023CE0"/>
    <w:rsid w:val="00024813"/>
    <w:rsid w:val="00025C71"/>
    <w:rsid w:val="00026686"/>
    <w:rsid w:val="00027AE2"/>
    <w:rsid w:val="00036142"/>
    <w:rsid w:val="000369EA"/>
    <w:rsid w:val="00036FE5"/>
    <w:rsid w:val="00037DE5"/>
    <w:rsid w:val="00041055"/>
    <w:rsid w:val="000417D8"/>
    <w:rsid w:val="00042DA2"/>
    <w:rsid w:val="00045AB6"/>
    <w:rsid w:val="0004726B"/>
    <w:rsid w:val="00047E5A"/>
    <w:rsid w:val="00053EBC"/>
    <w:rsid w:val="00054781"/>
    <w:rsid w:val="00055CDB"/>
    <w:rsid w:val="00056BC0"/>
    <w:rsid w:val="000573A7"/>
    <w:rsid w:val="00057877"/>
    <w:rsid w:val="00061B61"/>
    <w:rsid w:val="00061F91"/>
    <w:rsid w:val="000623F3"/>
    <w:rsid w:val="00062E4C"/>
    <w:rsid w:val="000635BC"/>
    <w:rsid w:val="00065597"/>
    <w:rsid w:val="000671C4"/>
    <w:rsid w:val="00072016"/>
    <w:rsid w:val="00074231"/>
    <w:rsid w:val="00075365"/>
    <w:rsid w:val="00075F55"/>
    <w:rsid w:val="000760F4"/>
    <w:rsid w:val="0007679E"/>
    <w:rsid w:val="0007696A"/>
    <w:rsid w:val="00077117"/>
    <w:rsid w:val="00077302"/>
    <w:rsid w:val="00082193"/>
    <w:rsid w:val="00083C88"/>
    <w:rsid w:val="000848A8"/>
    <w:rsid w:val="00084C61"/>
    <w:rsid w:val="000861C4"/>
    <w:rsid w:val="00086BC4"/>
    <w:rsid w:val="00091423"/>
    <w:rsid w:val="00093DA6"/>
    <w:rsid w:val="000949C8"/>
    <w:rsid w:val="0009519E"/>
    <w:rsid w:val="000971D7"/>
    <w:rsid w:val="00097DE4"/>
    <w:rsid w:val="000A1EF9"/>
    <w:rsid w:val="000A2A29"/>
    <w:rsid w:val="000A2A4C"/>
    <w:rsid w:val="000A2E7B"/>
    <w:rsid w:val="000A603B"/>
    <w:rsid w:val="000A60CB"/>
    <w:rsid w:val="000A72A7"/>
    <w:rsid w:val="000B2393"/>
    <w:rsid w:val="000B3920"/>
    <w:rsid w:val="000B4FCA"/>
    <w:rsid w:val="000B5598"/>
    <w:rsid w:val="000B5729"/>
    <w:rsid w:val="000B579F"/>
    <w:rsid w:val="000B6EB1"/>
    <w:rsid w:val="000C088B"/>
    <w:rsid w:val="000C0C00"/>
    <w:rsid w:val="000C21D9"/>
    <w:rsid w:val="000C5A54"/>
    <w:rsid w:val="000C5A66"/>
    <w:rsid w:val="000C7AB0"/>
    <w:rsid w:val="000D0492"/>
    <w:rsid w:val="000D06A8"/>
    <w:rsid w:val="000D1268"/>
    <w:rsid w:val="000D137E"/>
    <w:rsid w:val="000D282E"/>
    <w:rsid w:val="000D35C6"/>
    <w:rsid w:val="000D43A9"/>
    <w:rsid w:val="000D5770"/>
    <w:rsid w:val="000D6FB7"/>
    <w:rsid w:val="000D71C3"/>
    <w:rsid w:val="000D7989"/>
    <w:rsid w:val="000D7D92"/>
    <w:rsid w:val="000E2A0D"/>
    <w:rsid w:val="000E2CC6"/>
    <w:rsid w:val="000E4679"/>
    <w:rsid w:val="000E4E04"/>
    <w:rsid w:val="000E7E03"/>
    <w:rsid w:val="000F2EDC"/>
    <w:rsid w:val="000F3EF5"/>
    <w:rsid w:val="000F4063"/>
    <w:rsid w:val="000F473B"/>
    <w:rsid w:val="000F6579"/>
    <w:rsid w:val="000F6589"/>
    <w:rsid w:val="000F7FD6"/>
    <w:rsid w:val="00100A2F"/>
    <w:rsid w:val="0010252D"/>
    <w:rsid w:val="001049F6"/>
    <w:rsid w:val="00104CC6"/>
    <w:rsid w:val="00106F60"/>
    <w:rsid w:val="00110D5F"/>
    <w:rsid w:val="00112F3D"/>
    <w:rsid w:val="001141D0"/>
    <w:rsid w:val="00114D62"/>
    <w:rsid w:val="00115D53"/>
    <w:rsid w:val="00117894"/>
    <w:rsid w:val="0012062F"/>
    <w:rsid w:val="00123076"/>
    <w:rsid w:val="00123287"/>
    <w:rsid w:val="00127ADC"/>
    <w:rsid w:val="00132167"/>
    <w:rsid w:val="001321F7"/>
    <w:rsid w:val="00133C60"/>
    <w:rsid w:val="001355B8"/>
    <w:rsid w:val="00136B50"/>
    <w:rsid w:val="00137C67"/>
    <w:rsid w:val="00137DB8"/>
    <w:rsid w:val="00137E31"/>
    <w:rsid w:val="00141033"/>
    <w:rsid w:val="001425A7"/>
    <w:rsid w:val="00143D18"/>
    <w:rsid w:val="00143DC7"/>
    <w:rsid w:val="001454BA"/>
    <w:rsid w:val="00147784"/>
    <w:rsid w:val="00150AC2"/>
    <w:rsid w:val="00151CC0"/>
    <w:rsid w:val="0015222F"/>
    <w:rsid w:val="00152AC1"/>
    <w:rsid w:val="00153AEF"/>
    <w:rsid w:val="0015409F"/>
    <w:rsid w:val="001542CF"/>
    <w:rsid w:val="00154C1A"/>
    <w:rsid w:val="0015547F"/>
    <w:rsid w:val="00156042"/>
    <w:rsid w:val="00157146"/>
    <w:rsid w:val="00157CE7"/>
    <w:rsid w:val="0016167B"/>
    <w:rsid w:val="001623F4"/>
    <w:rsid w:val="00163450"/>
    <w:rsid w:val="001678D7"/>
    <w:rsid w:val="00172057"/>
    <w:rsid w:val="00172C69"/>
    <w:rsid w:val="00176A5E"/>
    <w:rsid w:val="00182EB2"/>
    <w:rsid w:val="0018505E"/>
    <w:rsid w:val="00187C60"/>
    <w:rsid w:val="00190D09"/>
    <w:rsid w:val="00191178"/>
    <w:rsid w:val="00192329"/>
    <w:rsid w:val="00192CF7"/>
    <w:rsid w:val="00192D25"/>
    <w:rsid w:val="00193699"/>
    <w:rsid w:val="00193C54"/>
    <w:rsid w:val="00194688"/>
    <w:rsid w:val="001955E5"/>
    <w:rsid w:val="00197E66"/>
    <w:rsid w:val="001A03FE"/>
    <w:rsid w:val="001A1669"/>
    <w:rsid w:val="001A7934"/>
    <w:rsid w:val="001B026B"/>
    <w:rsid w:val="001B14AF"/>
    <w:rsid w:val="001B17C4"/>
    <w:rsid w:val="001B3928"/>
    <w:rsid w:val="001B693C"/>
    <w:rsid w:val="001B7FA1"/>
    <w:rsid w:val="001C48D8"/>
    <w:rsid w:val="001C5149"/>
    <w:rsid w:val="001C52C2"/>
    <w:rsid w:val="001C757C"/>
    <w:rsid w:val="001D0AFC"/>
    <w:rsid w:val="001D142D"/>
    <w:rsid w:val="001D1A85"/>
    <w:rsid w:val="001D6F21"/>
    <w:rsid w:val="001E0ADE"/>
    <w:rsid w:val="001E2C06"/>
    <w:rsid w:val="001E3A54"/>
    <w:rsid w:val="001E49C9"/>
    <w:rsid w:val="001E563E"/>
    <w:rsid w:val="001E5ECD"/>
    <w:rsid w:val="001E5F8E"/>
    <w:rsid w:val="001F114A"/>
    <w:rsid w:val="001F373A"/>
    <w:rsid w:val="001F5A15"/>
    <w:rsid w:val="001F61F8"/>
    <w:rsid w:val="001F62C8"/>
    <w:rsid w:val="001F6B02"/>
    <w:rsid w:val="001F7AF2"/>
    <w:rsid w:val="00202720"/>
    <w:rsid w:val="00202C71"/>
    <w:rsid w:val="002046E6"/>
    <w:rsid w:val="00204CCC"/>
    <w:rsid w:val="002072F4"/>
    <w:rsid w:val="00210409"/>
    <w:rsid w:val="00211159"/>
    <w:rsid w:val="0021227F"/>
    <w:rsid w:val="002157AA"/>
    <w:rsid w:val="002173FA"/>
    <w:rsid w:val="00217E93"/>
    <w:rsid w:val="0022078E"/>
    <w:rsid w:val="00220BB7"/>
    <w:rsid w:val="00224AF8"/>
    <w:rsid w:val="00226249"/>
    <w:rsid w:val="00227233"/>
    <w:rsid w:val="00227BE8"/>
    <w:rsid w:val="002320CE"/>
    <w:rsid w:val="00232532"/>
    <w:rsid w:val="00233385"/>
    <w:rsid w:val="00233EFA"/>
    <w:rsid w:val="00233F1B"/>
    <w:rsid w:val="0023575A"/>
    <w:rsid w:val="00235A7D"/>
    <w:rsid w:val="002368F8"/>
    <w:rsid w:val="00237144"/>
    <w:rsid w:val="00240A36"/>
    <w:rsid w:val="00240A80"/>
    <w:rsid w:val="00242034"/>
    <w:rsid w:val="002422FD"/>
    <w:rsid w:val="00244DC1"/>
    <w:rsid w:val="0024686D"/>
    <w:rsid w:val="00246FBF"/>
    <w:rsid w:val="0024780B"/>
    <w:rsid w:val="00250A79"/>
    <w:rsid w:val="0025134E"/>
    <w:rsid w:val="00253469"/>
    <w:rsid w:val="00254269"/>
    <w:rsid w:val="00255128"/>
    <w:rsid w:val="00255330"/>
    <w:rsid w:val="00256403"/>
    <w:rsid w:val="0025657A"/>
    <w:rsid w:val="002615A4"/>
    <w:rsid w:val="00262769"/>
    <w:rsid w:val="00263288"/>
    <w:rsid w:val="002632B7"/>
    <w:rsid w:val="00270E08"/>
    <w:rsid w:val="00272AAC"/>
    <w:rsid w:val="00273792"/>
    <w:rsid w:val="00274FFF"/>
    <w:rsid w:val="00276679"/>
    <w:rsid w:val="0027676F"/>
    <w:rsid w:val="002822BA"/>
    <w:rsid w:val="00283EEE"/>
    <w:rsid w:val="0028544B"/>
    <w:rsid w:val="002863EE"/>
    <w:rsid w:val="002876A9"/>
    <w:rsid w:val="00287ECF"/>
    <w:rsid w:val="002901AF"/>
    <w:rsid w:val="00290DB3"/>
    <w:rsid w:val="00291082"/>
    <w:rsid w:val="0029229B"/>
    <w:rsid w:val="00292360"/>
    <w:rsid w:val="00292595"/>
    <w:rsid w:val="002958CD"/>
    <w:rsid w:val="00295987"/>
    <w:rsid w:val="00295B6A"/>
    <w:rsid w:val="00295CB2"/>
    <w:rsid w:val="00296ADC"/>
    <w:rsid w:val="00297CB5"/>
    <w:rsid w:val="002A03DF"/>
    <w:rsid w:val="002A04D8"/>
    <w:rsid w:val="002A1211"/>
    <w:rsid w:val="002A12DA"/>
    <w:rsid w:val="002A1929"/>
    <w:rsid w:val="002A24E1"/>
    <w:rsid w:val="002A4903"/>
    <w:rsid w:val="002A4C97"/>
    <w:rsid w:val="002B16A7"/>
    <w:rsid w:val="002B2701"/>
    <w:rsid w:val="002B42F7"/>
    <w:rsid w:val="002C07D9"/>
    <w:rsid w:val="002C2485"/>
    <w:rsid w:val="002C2769"/>
    <w:rsid w:val="002C2E1B"/>
    <w:rsid w:val="002C3A95"/>
    <w:rsid w:val="002C3DA6"/>
    <w:rsid w:val="002C408D"/>
    <w:rsid w:val="002C4E47"/>
    <w:rsid w:val="002C5D7D"/>
    <w:rsid w:val="002D10A8"/>
    <w:rsid w:val="002D62CE"/>
    <w:rsid w:val="002D7462"/>
    <w:rsid w:val="002D7D14"/>
    <w:rsid w:val="002E038B"/>
    <w:rsid w:val="002E1001"/>
    <w:rsid w:val="002E1998"/>
    <w:rsid w:val="002E2E41"/>
    <w:rsid w:val="002E41A9"/>
    <w:rsid w:val="002E76B8"/>
    <w:rsid w:val="002E7DDC"/>
    <w:rsid w:val="002F2993"/>
    <w:rsid w:val="002F3404"/>
    <w:rsid w:val="002F6357"/>
    <w:rsid w:val="002F6F32"/>
    <w:rsid w:val="002F7B2D"/>
    <w:rsid w:val="003004FA"/>
    <w:rsid w:val="0030159E"/>
    <w:rsid w:val="00303D1B"/>
    <w:rsid w:val="003040C1"/>
    <w:rsid w:val="003040E7"/>
    <w:rsid w:val="00304639"/>
    <w:rsid w:val="00304D4C"/>
    <w:rsid w:val="00306858"/>
    <w:rsid w:val="003106A6"/>
    <w:rsid w:val="003123DE"/>
    <w:rsid w:val="0032055E"/>
    <w:rsid w:val="00320D27"/>
    <w:rsid w:val="003220D1"/>
    <w:rsid w:val="003233EA"/>
    <w:rsid w:val="00323D28"/>
    <w:rsid w:val="00325C45"/>
    <w:rsid w:val="00327D69"/>
    <w:rsid w:val="00327E85"/>
    <w:rsid w:val="003300BD"/>
    <w:rsid w:val="00332AAE"/>
    <w:rsid w:val="00333AD3"/>
    <w:rsid w:val="003359AD"/>
    <w:rsid w:val="003368B4"/>
    <w:rsid w:val="00336FF5"/>
    <w:rsid w:val="00337255"/>
    <w:rsid w:val="003372C0"/>
    <w:rsid w:val="00337769"/>
    <w:rsid w:val="003378FC"/>
    <w:rsid w:val="003434ED"/>
    <w:rsid w:val="003450AC"/>
    <w:rsid w:val="003454FB"/>
    <w:rsid w:val="00350D15"/>
    <w:rsid w:val="00350D2A"/>
    <w:rsid w:val="003519ED"/>
    <w:rsid w:val="003528E2"/>
    <w:rsid w:val="00353A00"/>
    <w:rsid w:val="003577C5"/>
    <w:rsid w:val="003605E3"/>
    <w:rsid w:val="003612B0"/>
    <w:rsid w:val="00363408"/>
    <w:rsid w:val="0036434E"/>
    <w:rsid w:val="00365605"/>
    <w:rsid w:val="00365ED1"/>
    <w:rsid w:val="00370A5D"/>
    <w:rsid w:val="00370F48"/>
    <w:rsid w:val="0037129E"/>
    <w:rsid w:val="00371F4C"/>
    <w:rsid w:val="00372BEE"/>
    <w:rsid w:val="00373B2B"/>
    <w:rsid w:val="00373D46"/>
    <w:rsid w:val="00376A66"/>
    <w:rsid w:val="00376FD2"/>
    <w:rsid w:val="003777FB"/>
    <w:rsid w:val="00380050"/>
    <w:rsid w:val="00381971"/>
    <w:rsid w:val="003833F9"/>
    <w:rsid w:val="00383AC5"/>
    <w:rsid w:val="003847C4"/>
    <w:rsid w:val="00387DEF"/>
    <w:rsid w:val="00390EA0"/>
    <w:rsid w:val="00393930"/>
    <w:rsid w:val="00394F6C"/>
    <w:rsid w:val="00395812"/>
    <w:rsid w:val="003968FC"/>
    <w:rsid w:val="003975DB"/>
    <w:rsid w:val="003A0ACF"/>
    <w:rsid w:val="003A1475"/>
    <w:rsid w:val="003A2715"/>
    <w:rsid w:val="003A42EA"/>
    <w:rsid w:val="003A4743"/>
    <w:rsid w:val="003A6251"/>
    <w:rsid w:val="003A68CB"/>
    <w:rsid w:val="003A7F78"/>
    <w:rsid w:val="003B0101"/>
    <w:rsid w:val="003B075A"/>
    <w:rsid w:val="003B1DE1"/>
    <w:rsid w:val="003B33B9"/>
    <w:rsid w:val="003B551F"/>
    <w:rsid w:val="003B5FE6"/>
    <w:rsid w:val="003B68E8"/>
    <w:rsid w:val="003B7348"/>
    <w:rsid w:val="003C12AA"/>
    <w:rsid w:val="003C1EE3"/>
    <w:rsid w:val="003C3B7B"/>
    <w:rsid w:val="003C4720"/>
    <w:rsid w:val="003C59E5"/>
    <w:rsid w:val="003C5B27"/>
    <w:rsid w:val="003C6BF1"/>
    <w:rsid w:val="003C7C14"/>
    <w:rsid w:val="003D2EDE"/>
    <w:rsid w:val="003D32BD"/>
    <w:rsid w:val="003D5D9E"/>
    <w:rsid w:val="003D7B27"/>
    <w:rsid w:val="003E1AC6"/>
    <w:rsid w:val="003E2209"/>
    <w:rsid w:val="003E4193"/>
    <w:rsid w:val="003E439B"/>
    <w:rsid w:val="003E4D00"/>
    <w:rsid w:val="003E5CBA"/>
    <w:rsid w:val="003F0562"/>
    <w:rsid w:val="003F076F"/>
    <w:rsid w:val="003F196C"/>
    <w:rsid w:val="003F32CA"/>
    <w:rsid w:val="003F34DA"/>
    <w:rsid w:val="003F4678"/>
    <w:rsid w:val="003F4A28"/>
    <w:rsid w:val="003F4A7B"/>
    <w:rsid w:val="003F4CAD"/>
    <w:rsid w:val="003F6533"/>
    <w:rsid w:val="004003DB"/>
    <w:rsid w:val="00400580"/>
    <w:rsid w:val="00401021"/>
    <w:rsid w:val="00401788"/>
    <w:rsid w:val="00404F23"/>
    <w:rsid w:val="00405F0E"/>
    <w:rsid w:val="00406FCA"/>
    <w:rsid w:val="0040735C"/>
    <w:rsid w:val="00407842"/>
    <w:rsid w:val="00411636"/>
    <w:rsid w:val="00412D05"/>
    <w:rsid w:val="0041564C"/>
    <w:rsid w:val="00416267"/>
    <w:rsid w:val="004171C6"/>
    <w:rsid w:val="00420AB3"/>
    <w:rsid w:val="004218E2"/>
    <w:rsid w:val="0042224A"/>
    <w:rsid w:val="0042436E"/>
    <w:rsid w:val="00424589"/>
    <w:rsid w:val="004257E7"/>
    <w:rsid w:val="00425CCF"/>
    <w:rsid w:val="00425D74"/>
    <w:rsid w:val="004265BE"/>
    <w:rsid w:val="00431975"/>
    <w:rsid w:val="004320E7"/>
    <w:rsid w:val="00433151"/>
    <w:rsid w:val="004332DC"/>
    <w:rsid w:val="004333C9"/>
    <w:rsid w:val="00434527"/>
    <w:rsid w:val="00437916"/>
    <w:rsid w:val="0044217F"/>
    <w:rsid w:val="00442A73"/>
    <w:rsid w:val="00445956"/>
    <w:rsid w:val="0044599D"/>
    <w:rsid w:val="00447865"/>
    <w:rsid w:val="004503A7"/>
    <w:rsid w:val="00451951"/>
    <w:rsid w:val="00452776"/>
    <w:rsid w:val="00456AC1"/>
    <w:rsid w:val="0046083D"/>
    <w:rsid w:val="004624F7"/>
    <w:rsid w:val="004631A2"/>
    <w:rsid w:val="004636D5"/>
    <w:rsid w:val="004642D9"/>
    <w:rsid w:val="00464904"/>
    <w:rsid w:val="004650CA"/>
    <w:rsid w:val="00466FF8"/>
    <w:rsid w:val="00467A57"/>
    <w:rsid w:val="00467CE7"/>
    <w:rsid w:val="004720A8"/>
    <w:rsid w:val="00472298"/>
    <w:rsid w:val="00472778"/>
    <w:rsid w:val="00474475"/>
    <w:rsid w:val="0047501F"/>
    <w:rsid w:val="004816CC"/>
    <w:rsid w:val="00481D62"/>
    <w:rsid w:val="00484179"/>
    <w:rsid w:val="004844F3"/>
    <w:rsid w:val="00484621"/>
    <w:rsid w:val="004855B2"/>
    <w:rsid w:val="00491984"/>
    <w:rsid w:val="00492A66"/>
    <w:rsid w:val="00493C7F"/>
    <w:rsid w:val="0049618F"/>
    <w:rsid w:val="00497405"/>
    <w:rsid w:val="00497959"/>
    <w:rsid w:val="00497DEC"/>
    <w:rsid w:val="004A0591"/>
    <w:rsid w:val="004A0ED4"/>
    <w:rsid w:val="004A2F0C"/>
    <w:rsid w:val="004A3E7F"/>
    <w:rsid w:val="004A4622"/>
    <w:rsid w:val="004A58E5"/>
    <w:rsid w:val="004A6578"/>
    <w:rsid w:val="004A6A7C"/>
    <w:rsid w:val="004A7616"/>
    <w:rsid w:val="004B380B"/>
    <w:rsid w:val="004B5BB5"/>
    <w:rsid w:val="004C2306"/>
    <w:rsid w:val="004C6084"/>
    <w:rsid w:val="004C6FB7"/>
    <w:rsid w:val="004C768A"/>
    <w:rsid w:val="004D1F9E"/>
    <w:rsid w:val="004D52FC"/>
    <w:rsid w:val="004D5716"/>
    <w:rsid w:val="004E0F55"/>
    <w:rsid w:val="004E1DA0"/>
    <w:rsid w:val="004E5568"/>
    <w:rsid w:val="004E691F"/>
    <w:rsid w:val="004E72AF"/>
    <w:rsid w:val="004F16FA"/>
    <w:rsid w:val="004F3372"/>
    <w:rsid w:val="004F3D08"/>
    <w:rsid w:val="004F6A04"/>
    <w:rsid w:val="005000F8"/>
    <w:rsid w:val="00500A1E"/>
    <w:rsid w:val="00500C9E"/>
    <w:rsid w:val="0050226F"/>
    <w:rsid w:val="005025B6"/>
    <w:rsid w:val="00502BBA"/>
    <w:rsid w:val="00503B65"/>
    <w:rsid w:val="00503CBA"/>
    <w:rsid w:val="005045E7"/>
    <w:rsid w:val="005046EE"/>
    <w:rsid w:val="005060FF"/>
    <w:rsid w:val="00507DED"/>
    <w:rsid w:val="00510924"/>
    <w:rsid w:val="005126C3"/>
    <w:rsid w:val="00512BE7"/>
    <w:rsid w:val="005138A5"/>
    <w:rsid w:val="00514472"/>
    <w:rsid w:val="005146E2"/>
    <w:rsid w:val="00516AA3"/>
    <w:rsid w:val="0051779A"/>
    <w:rsid w:val="00517D2C"/>
    <w:rsid w:val="00524C73"/>
    <w:rsid w:val="00525EC7"/>
    <w:rsid w:val="00525F1E"/>
    <w:rsid w:val="00526901"/>
    <w:rsid w:val="00527324"/>
    <w:rsid w:val="00530803"/>
    <w:rsid w:val="00530AB2"/>
    <w:rsid w:val="005316C5"/>
    <w:rsid w:val="005318FD"/>
    <w:rsid w:val="00531DB6"/>
    <w:rsid w:val="00532BCB"/>
    <w:rsid w:val="00532C52"/>
    <w:rsid w:val="005336E1"/>
    <w:rsid w:val="00533D10"/>
    <w:rsid w:val="00537255"/>
    <w:rsid w:val="00540E51"/>
    <w:rsid w:val="005410C1"/>
    <w:rsid w:val="005446A8"/>
    <w:rsid w:val="005446F4"/>
    <w:rsid w:val="005447DF"/>
    <w:rsid w:val="00545BAD"/>
    <w:rsid w:val="00546C82"/>
    <w:rsid w:val="005475B8"/>
    <w:rsid w:val="005504AA"/>
    <w:rsid w:val="005527F9"/>
    <w:rsid w:val="005530BB"/>
    <w:rsid w:val="0055399B"/>
    <w:rsid w:val="005559C1"/>
    <w:rsid w:val="00557BFE"/>
    <w:rsid w:val="00560991"/>
    <w:rsid w:val="00561ED9"/>
    <w:rsid w:val="00563F31"/>
    <w:rsid w:val="005644B6"/>
    <w:rsid w:val="0056463F"/>
    <w:rsid w:val="005646CD"/>
    <w:rsid w:val="0056489B"/>
    <w:rsid w:val="00564955"/>
    <w:rsid w:val="005652A5"/>
    <w:rsid w:val="00570FDE"/>
    <w:rsid w:val="005734A5"/>
    <w:rsid w:val="00574287"/>
    <w:rsid w:val="00574A9E"/>
    <w:rsid w:val="0057548D"/>
    <w:rsid w:val="00575564"/>
    <w:rsid w:val="00576DFF"/>
    <w:rsid w:val="00577E9A"/>
    <w:rsid w:val="0058183C"/>
    <w:rsid w:val="00582037"/>
    <w:rsid w:val="00583CE2"/>
    <w:rsid w:val="00584116"/>
    <w:rsid w:val="00584EA0"/>
    <w:rsid w:val="005854DC"/>
    <w:rsid w:val="00586756"/>
    <w:rsid w:val="005867AC"/>
    <w:rsid w:val="0058773B"/>
    <w:rsid w:val="00587812"/>
    <w:rsid w:val="0059271E"/>
    <w:rsid w:val="00593C4E"/>
    <w:rsid w:val="00594996"/>
    <w:rsid w:val="00595427"/>
    <w:rsid w:val="00595909"/>
    <w:rsid w:val="00596C99"/>
    <w:rsid w:val="00596E3F"/>
    <w:rsid w:val="005A0C4C"/>
    <w:rsid w:val="005A15AC"/>
    <w:rsid w:val="005A22A5"/>
    <w:rsid w:val="005A5363"/>
    <w:rsid w:val="005A60E3"/>
    <w:rsid w:val="005A647D"/>
    <w:rsid w:val="005A6E5B"/>
    <w:rsid w:val="005A724C"/>
    <w:rsid w:val="005B0C70"/>
    <w:rsid w:val="005B158F"/>
    <w:rsid w:val="005B17D7"/>
    <w:rsid w:val="005B1BD1"/>
    <w:rsid w:val="005B1EAF"/>
    <w:rsid w:val="005B38CE"/>
    <w:rsid w:val="005B3A1A"/>
    <w:rsid w:val="005B3A42"/>
    <w:rsid w:val="005B5231"/>
    <w:rsid w:val="005B69BB"/>
    <w:rsid w:val="005B7F3C"/>
    <w:rsid w:val="005C1068"/>
    <w:rsid w:val="005C2C8D"/>
    <w:rsid w:val="005C317B"/>
    <w:rsid w:val="005C3C53"/>
    <w:rsid w:val="005C3D26"/>
    <w:rsid w:val="005C76E3"/>
    <w:rsid w:val="005C7C36"/>
    <w:rsid w:val="005D02BC"/>
    <w:rsid w:val="005D1333"/>
    <w:rsid w:val="005D15DA"/>
    <w:rsid w:val="005D263E"/>
    <w:rsid w:val="005D3149"/>
    <w:rsid w:val="005D6E79"/>
    <w:rsid w:val="005D79AC"/>
    <w:rsid w:val="005E1034"/>
    <w:rsid w:val="005E108B"/>
    <w:rsid w:val="005E1489"/>
    <w:rsid w:val="005E4846"/>
    <w:rsid w:val="005E4D43"/>
    <w:rsid w:val="005E572E"/>
    <w:rsid w:val="005F1B95"/>
    <w:rsid w:val="005F43A1"/>
    <w:rsid w:val="005F4740"/>
    <w:rsid w:val="005F59AA"/>
    <w:rsid w:val="005F6514"/>
    <w:rsid w:val="00600550"/>
    <w:rsid w:val="00601249"/>
    <w:rsid w:val="0060327D"/>
    <w:rsid w:val="0060453C"/>
    <w:rsid w:val="00604BC4"/>
    <w:rsid w:val="00605A91"/>
    <w:rsid w:val="006063B7"/>
    <w:rsid w:val="00606A53"/>
    <w:rsid w:val="0060777F"/>
    <w:rsid w:val="00607D8E"/>
    <w:rsid w:val="00607EC1"/>
    <w:rsid w:val="00610149"/>
    <w:rsid w:val="00610A1D"/>
    <w:rsid w:val="00611D84"/>
    <w:rsid w:val="0061259E"/>
    <w:rsid w:val="006126B2"/>
    <w:rsid w:val="006147E1"/>
    <w:rsid w:val="006169C7"/>
    <w:rsid w:val="0062317F"/>
    <w:rsid w:val="0062348C"/>
    <w:rsid w:val="00626F67"/>
    <w:rsid w:val="006271EB"/>
    <w:rsid w:val="00632601"/>
    <w:rsid w:val="006329C8"/>
    <w:rsid w:val="00633E62"/>
    <w:rsid w:val="006367D6"/>
    <w:rsid w:val="006374F9"/>
    <w:rsid w:val="00637D63"/>
    <w:rsid w:val="00640006"/>
    <w:rsid w:val="0064041E"/>
    <w:rsid w:val="00640935"/>
    <w:rsid w:val="00640B02"/>
    <w:rsid w:val="00641B9F"/>
    <w:rsid w:val="0064638E"/>
    <w:rsid w:val="00647B47"/>
    <w:rsid w:val="00650BAC"/>
    <w:rsid w:val="0065754D"/>
    <w:rsid w:val="00661FD6"/>
    <w:rsid w:val="00662086"/>
    <w:rsid w:val="006642DE"/>
    <w:rsid w:val="006645F9"/>
    <w:rsid w:val="00664625"/>
    <w:rsid w:val="0066638B"/>
    <w:rsid w:val="00666F37"/>
    <w:rsid w:val="0067244E"/>
    <w:rsid w:val="0067422A"/>
    <w:rsid w:val="0067496A"/>
    <w:rsid w:val="006759AD"/>
    <w:rsid w:val="006759D3"/>
    <w:rsid w:val="00680827"/>
    <w:rsid w:val="00680EA4"/>
    <w:rsid w:val="00680FBD"/>
    <w:rsid w:val="006818CB"/>
    <w:rsid w:val="00682628"/>
    <w:rsid w:val="00682C08"/>
    <w:rsid w:val="006830A3"/>
    <w:rsid w:val="00684D53"/>
    <w:rsid w:val="00685516"/>
    <w:rsid w:val="00687FC3"/>
    <w:rsid w:val="006909B3"/>
    <w:rsid w:val="00691B1E"/>
    <w:rsid w:val="00693244"/>
    <w:rsid w:val="00693793"/>
    <w:rsid w:val="00693A71"/>
    <w:rsid w:val="00694350"/>
    <w:rsid w:val="00695D37"/>
    <w:rsid w:val="00696B1B"/>
    <w:rsid w:val="00696DD9"/>
    <w:rsid w:val="006A0D70"/>
    <w:rsid w:val="006A0F83"/>
    <w:rsid w:val="006A2387"/>
    <w:rsid w:val="006A3CDA"/>
    <w:rsid w:val="006A41C4"/>
    <w:rsid w:val="006A437E"/>
    <w:rsid w:val="006A6E27"/>
    <w:rsid w:val="006A6EF7"/>
    <w:rsid w:val="006B0C33"/>
    <w:rsid w:val="006B320A"/>
    <w:rsid w:val="006C2EEC"/>
    <w:rsid w:val="006C3AB4"/>
    <w:rsid w:val="006C3EE5"/>
    <w:rsid w:val="006C43F3"/>
    <w:rsid w:val="006C4497"/>
    <w:rsid w:val="006C5BC4"/>
    <w:rsid w:val="006C643E"/>
    <w:rsid w:val="006C66ED"/>
    <w:rsid w:val="006D0577"/>
    <w:rsid w:val="006D118B"/>
    <w:rsid w:val="006D2526"/>
    <w:rsid w:val="006D328C"/>
    <w:rsid w:val="006D5133"/>
    <w:rsid w:val="006D6392"/>
    <w:rsid w:val="006D7D23"/>
    <w:rsid w:val="006E04D7"/>
    <w:rsid w:val="006E1945"/>
    <w:rsid w:val="006E2C28"/>
    <w:rsid w:val="006E4968"/>
    <w:rsid w:val="006E4A16"/>
    <w:rsid w:val="006E4D25"/>
    <w:rsid w:val="006E546F"/>
    <w:rsid w:val="006E5981"/>
    <w:rsid w:val="006E5DE8"/>
    <w:rsid w:val="006E757F"/>
    <w:rsid w:val="006E765E"/>
    <w:rsid w:val="006F0D69"/>
    <w:rsid w:val="006F109D"/>
    <w:rsid w:val="006F1EEA"/>
    <w:rsid w:val="006F207C"/>
    <w:rsid w:val="006F39AB"/>
    <w:rsid w:val="006F40AA"/>
    <w:rsid w:val="006F6ED2"/>
    <w:rsid w:val="006F7CB3"/>
    <w:rsid w:val="007023B2"/>
    <w:rsid w:val="007039A8"/>
    <w:rsid w:val="00704316"/>
    <w:rsid w:val="00707645"/>
    <w:rsid w:val="0070784B"/>
    <w:rsid w:val="00710947"/>
    <w:rsid w:val="00711370"/>
    <w:rsid w:val="007169BC"/>
    <w:rsid w:val="00717270"/>
    <w:rsid w:val="0071744F"/>
    <w:rsid w:val="007261CB"/>
    <w:rsid w:val="00732F33"/>
    <w:rsid w:val="00733215"/>
    <w:rsid w:val="00733568"/>
    <w:rsid w:val="00734B65"/>
    <w:rsid w:val="00734FB8"/>
    <w:rsid w:val="00735B82"/>
    <w:rsid w:val="00741AB8"/>
    <w:rsid w:val="00742052"/>
    <w:rsid w:val="007460D9"/>
    <w:rsid w:val="007531C4"/>
    <w:rsid w:val="00754084"/>
    <w:rsid w:val="00754326"/>
    <w:rsid w:val="00754918"/>
    <w:rsid w:val="00754945"/>
    <w:rsid w:val="00757346"/>
    <w:rsid w:val="007577DB"/>
    <w:rsid w:val="0075789E"/>
    <w:rsid w:val="00760E66"/>
    <w:rsid w:val="00761C73"/>
    <w:rsid w:val="00762A6E"/>
    <w:rsid w:val="007648C6"/>
    <w:rsid w:val="00764D07"/>
    <w:rsid w:val="00764ED0"/>
    <w:rsid w:val="007650AF"/>
    <w:rsid w:val="00766841"/>
    <w:rsid w:val="00766E54"/>
    <w:rsid w:val="0076740F"/>
    <w:rsid w:val="00767F87"/>
    <w:rsid w:val="007723CD"/>
    <w:rsid w:val="00773A82"/>
    <w:rsid w:val="00773AE8"/>
    <w:rsid w:val="0077668B"/>
    <w:rsid w:val="007776CE"/>
    <w:rsid w:val="00780046"/>
    <w:rsid w:val="00780354"/>
    <w:rsid w:val="007819DD"/>
    <w:rsid w:val="00783B88"/>
    <w:rsid w:val="007849F4"/>
    <w:rsid w:val="007879D8"/>
    <w:rsid w:val="00787FD0"/>
    <w:rsid w:val="007902F0"/>
    <w:rsid w:val="00791108"/>
    <w:rsid w:val="0079323F"/>
    <w:rsid w:val="0079344D"/>
    <w:rsid w:val="007A1619"/>
    <w:rsid w:val="007A2DEB"/>
    <w:rsid w:val="007A4A88"/>
    <w:rsid w:val="007A4AB4"/>
    <w:rsid w:val="007A63DD"/>
    <w:rsid w:val="007A64A3"/>
    <w:rsid w:val="007B1D78"/>
    <w:rsid w:val="007B27C6"/>
    <w:rsid w:val="007B5FB6"/>
    <w:rsid w:val="007B730B"/>
    <w:rsid w:val="007B7BCC"/>
    <w:rsid w:val="007C63DB"/>
    <w:rsid w:val="007C68A4"/>
    <w:rsid w:val="007D0908"/>
    <w:rsid w:val="007D1CC1"/>
    <w:rsid w:val="007D2303"/>
    <w:rsid w:val="007D287B"/>
    <w:rsid w:val="007D330B"/>
    <w:rsid w:val="007D3DDA"/>
    <w:rsid w:val="007D4414"/>
    <w:rsid w:val="007D4FB3"/>
    <w:rsid w:val="007D7746"/>
    <w:rsid w:val="007D79C3"/>
    <w:rsid w:val="007E132D"/>
    <w:rsid w:val="007E3009"/>
    <w:rsid w:val="007E5E09"/>
    <w:rsid w:val="007F0197"/>
    <w:rsid w:val="007F11CC"/>
    <w:rsid w:val="007F1387"/>
    <w:rsid w:val="007F7872"/>
    <w:rsid w:val="008013BD"/>
    <w:rsid w:val="0080161C"/>
    <w:rsid w:val="0080192A"/>
    <w:rsid w:val="00802268"/>
    <w:rsid w:val="00803042"/>
    <w:rsid w:val="008038AA"/>
    <w:rsid w:val="00803C5F"/>
    <w:rsid w:val="00805838"/>
    <w:rsid w:val="008067CF"/>
    <w:rsid w:val="00806A1D"/>
    <w:rsid w:val="00807B6B"/>
    <w:rsid w:val="00811236"/>
    <w:rsid w:val="00813D71"/>
    <w:rsid w:val="0081438E"/>
    <w:rsid w:val="00814EB6"/>
    <w:rsid w:val="00814EEE"/>
    <w:rsid w:val="00816F2D"/>
    <w:rsid w:val="008172C5"/>
    <w:rsid w:val="008223EF"/>
    <w:rsid w:val="00822E32"/>
    <w:rsid w:val="0082351F"/>
    <w:rsid w:val="00823B41"/>
    <w:rsid w:val="00824C10"/>
    <w:rsid w:val="008253CB"/>
    <w:rsid w:val="00826CF6"/>
    <w:rsid w:val="00826D89"/>
    <w:rsid w:val="0083418F"/>
    <w:rsid w:val="00834459"/>
    <w:rsid w:val="00834B0C"/>
    <w:rsid w:val="00834CE2"/>
    <w:rsid w:val="00835619"/>
    <w:rsid w:val="00835736"/>
    <w:rsid w:val="00835B4C"/>
    <w:rsid w:val="00835D56"/>
    <w:rsid w:val="0083698F"/>
    <w:rsid w:val="0083702A"/>
    <w:rsid w:val="00840424"/>
    <w:rsid w:val="00841CAA"/>
    <w:rsid w:val="008425B0"/>
    <w:rsid w:val="00842C0E"/>
    <w:rsid w:val="00845719"/>
    <w:rsid w:val="00845F9A"/>
    <w:rsid w:val="00846AF9"/>
    <w:rsid w:val="00850739"/>
    <w:rsid w:val="00850FF3"/>
    <w:rsid w:val="00851CF5"/>
    <w:rsid w:val="008520E2"/>
    <w:rsid w:val="00853537"/>
    <w:rsid w:val="00853F3C"/>
    <w:rsid w:val="00854B49"/>
    <w:rsid w:val="008563A2"/>
    <w:rsid w:val="00856766"/>
    <w:rsid w:val="008603FF"/>
    <w:rsid w:val="008609BF"/>
    <w:rsid w:val="008624E5"/>
    <w:rsid w:val="008629B7"/>
    <w:rsid w:val="00862D9B"/>
    <w:rsid w:val="00862DF9"/>
    <w:rsid w:val="00863460"/>
    <w:rsid w:val="00865E82"/>
    <w:rsid w:val="0086693C"/>
    <w:rsid w:val="00867D80"/>
    <w:rsid w:val="00867F8C"/>
    <w:rsid w:val="0087018E"/>
    <w:rsid w:val="00870AD7"/>
    <w:rsid w:val="00872A18"/>
    <w:rsid w:val="00873A20"/>
    <w:rsid w:val="0087511A"/>
    <w:rsid w:val="00875F07"/>
    <w:rsid w:val="008774D3"/>
    <w:rsid w:val="008806CE"/>
    <w:rsid w:val="0088797B"/>
    <w:rsid w:val="0089181E"/>
    <w:rsid w:val="00891EBC"/>
    <w:rsid w:val="00896BF3"/>
    <w:rsid w:val="00896BFF"/>
    <w:rsid w:val="00896DBB"/>
    <w:rsid w:val="0089772F"/>
    <w:rsid w:val="008A16DB"/>
    <w:rsid w:val="008A1ADA"/>
    <w:rsid w:val="008A1F47"/>
    <w:rsid w:val="008A2EA0"/>
    <w:rsid w:val="008A37B0"/>
    <w:rsid w:val="008A4A63"/>
    <w:rsid w:val="008A5777"/>
    <w:rsid w:val="008A6488"/>
    <w:rsid w:val="008B271B"/>
    <w:rsid w:val="008C20AC"/>
    <w:rsid w:val="008C21A4"/>
    <w:rsid w:val="008C2225"/>
    <w:rsid w:val="008C2247"/>
    <w:rsid w:val="008C3EF5"/>
    <w:rsid w:val="008C3FBB"/>
    <w:rsid w:val="008C7BA1"/>
    <w:rsid w:val="008D1C45"/>
    <w:rsid w:val="008D42B2"/>
    <w:rsid w:val="008D4421"/>
    <w:rsid w:val="008D67D5"/>
    <w:rsid w:val="008D7966"/>
    <w:rsid w:val="008E0514"/>
    <w:rsid w:val="008E0A4C"/>
    <w:rsid w:val="008E0BDC"/>
    <w:rsid w:val="008E2748"/>
    <w:rsid w:val="008E6BAA"/>
    <w:rsid w:val="008E7356"/>
    <w:rsid w:val="008E7FBD"/>
    <w:rsid w:val="008F153D"/>
    <w:rsid w:val="008F1B26"/>
    <w:rsid w:val="008F1C8C"/>
    <w:rsid w:val="008F29F9"/>
    <w:rsid w:val="008F4942"/>
    <w:rsid w:val="008F52B1"/>
    <w:rsid w:val="008F5782"/>
    <w:rsid w:val="008F5BEA"/>
    <w:rsid w:val="00903C50"/>
    <w:rsid w:val="009042B2"/>
    <w:rsid w:val="00904A40"/>
    <w:rsid w:val="009056A8"/>
    <w:rsid w:val="00907227"/>
    <w:rsid w:val="0091038C"/>
    <w:rsid w:val="009106AE"/>
    <w:rsid w:val="009109B7"/>
    <w:rsid w:val="009138C3"/>
    <w:rsid w:val="00914474"/>
    <w:rsid w:val="00916556"/>
    <w:rsid w:val="009173AC"/>
    <w:rsid w:val="009227BC"/>
    <w:rsid w:val="0092422B"/>
    <w:rsid w:val="009322DD"/>
    <w:rsid w:val="00932857"/>
    <w:rsid w:val="00933990"/>
    <w:rsid w:val="00933FB4"/>
    <w:rsid w:val="00935F28"/>
    <w:rsid w:val="0093688A"/>
    <w:rsid w:val="00937F4F"/>
    <w:rsid w:val="00940D3D"/>
    <w:rsid w:val="00942EB1"/>
    <w:rsid w:val="009446A2"/>
    <w:rsid w:val="00945049"/>
    <w:rsid w:val="00945701"/>
    <w:rsid w:val="00945BD9"/>
    <w:rsid w:val="0094614E"/>
    <w:rsid w:val="009500D9"/>
    <w:rsid w:val="00950E8B"/>
    <w:rsid w:val="009525EC"/>
    <w:rsid w:val="0095480D"/>
    <w:rsid w:val="009571C0"/>
    <w:rsid w:val="009602DE"/>
    <w:rsid w:val="00960443"/>
    <w:rsid w:val="00960665"/>
    <w:rsid w:val="0096093E"/>
    <w:rsid w:val="00961C80"/>
    <w:rsid w:val="00963289"/>
    <w:rsid w:val="0096415D"/>
    <w:rsid w:val="0096590F"/>
    <w:rsid w:val="009665A2"/>
    <w:rsid w:val="00966AF2"/>
    <w:rsid w:val="00967A85"/>
    <w:rsid w:val="00970A43"/>
    <w:rsid w:val="00970B9F"/>
    <w:rsid w:val="00971469"/>
    <w:rsid w:val="00971499"/>
    <w:rsid w:val="009728A7"/>
    <w:rsid w:val="0097332B"/>
    <w:rsid w:val="009743B9"/>
    <w:rsid w:val="00975C82"/>
    <w:rsid w:val="009764CF"/>
    <w:rsid w:val="00976619"/>
    <w:rsid w:val="009827AD"/>
    <w:rsid w:val="00982861"/>
    <w:rsid w:val="00982D63"/>
    <w:rsid w:val="00986A9F"/>
    <w:rsid w:val="00987F2B"/>
    <w:rsid w:val="009926D2"/>
    <w:rsid w:val="009939C2"/>
    <w:rsid w:val="009950D2"/>
    <w:rsid w:val="0099615D"/>
    <w:rsid w:val="00996940"/>
    <w:rsid w:val="009A0A7A"/>
    <w:rsid w:val="009A11D4"/>
    <w:rsid w:val="009A313D"/>
    <w:rsid w:val="009A4068"/>
    <w:rsid w:val="009A570A"/>
    <w:rsid w:val="009A7E7C"/>
    <w:rsid w:val="009B01FB"/>
    <w:rsid w:val="009B08C9"/>
    <w:rsid w:val="009B1256"/>
    <w:rsid w:val="009B2798"/>
    <w:rsid w:val="009B4023"/>
    <w:rsid w:val="009B4431"/>
    <w:rsid w:val="009B497C"/>
    <w:rsid w:val="009B4E79"/>
    <w:rsid w:val="009B7B9C"/>
    <w:rsid w:val="009C0AD0"/>
    <w:rsid w:val="009C1276"/>
    <w:rsid w:val="009C69C8"/>
    <w:rsid w:val="009C7A83"/>
    <w:rsid w:val="009D1288"/>
    <w:rsid w:val="009D18FC"/>
    <w:rsid w:val="009D27F9"/>
    <w:rsid w:val="009D34F3"/>
    <w:rsid w:val="009D4732"/>
    <w:rsid w:val="009D6654"/>
    <w:rsid w:val="009D66B3"/>
    <w:rsid w:val="009D66D9"/>
    <w:rsid w:val="009D6BAB"/>
    <w:rsid w:val="009D71E8"/>
    <w:rsid w:val="009D73DA"/>
    <w:rsid w:val="009E0D5D"/>
    <w:rsid w:val="009E22C8"/>
    <w:rsid w:val="009E274A"/>
    <w:rsid w:val="009E3ABE"/>
    <w:rsid w:val="009E54FF"/>
    <w:rsid w:val="009E571B"/>
    <w:rsid w:val="009E7197"/>
    <w:rsid w:val="009E7C15"/>
    <w:rsid w:val="009F1238"/>
    <w:rsid w:val="009F282F"/>
    <w:rsid w:val="009F2874"/>
    <w:rsid w:val="009F4403"/>
    <w:rsid w:val="009F6A17"/>
    <w:rsid w:val="009F7BE8"/>
    <w:rsid w:val="00A002B2"/>
    <w:rsid w:val="00A0037F"/>
    <w:rsid w:val="00A01089"/>
    <w:rsid w:val="00A04E22"/>
    <w:rsid w:val="00A0533D"/>
    <w:rsid w:val="00A05877"/>
    <w:rsid w:val="00A06D5E"/>
    <w:rsid w:val="00A07ABA"/>
    <w:rsid w:val="00A11010"/>
    <w:rsid w:val="00A11263"/>
    <w:rsid w:val="00A1166D"/>
    <w:rsid w:val="00A11FBD"/>
    <w:rsid w:val="00A124BD"/>
    <w:rsid w:val="00A12FB3"/>
    <w:rsid w:val="00A14107"/>
    <w:rsid w:val="00A1461A"/>
    <w:rsid w:val="00A155D5"/>
    <w:rsid w:val="00A16FBB"/>
    <w:rsid w:val="00A2065C"/>
    <w:rsid w:val="00A22375"/>
    <w:rsid w:val="00A237CC"/>
    <w:rsid w:val="00A2396B"/>
    <w:rsid w:val="00A23B4C"/>
    <w:rsid w:val="00A23C89"/>
    <w:rsid w:val="00A2473A"/>
    <w:rsid w:val="00A274A3"/>
    <w:rsid w:val="00A30CA2"/>
    <w:rsid w:val="00A3392E"/>
    <w:rsid w:val="00A377A7"/>
    <w:rsid w:val="00A377EF"/>
    <w:rsid w:val="00A379D0"/>
    <w:rsid w:val="00A40702"/>
    <w:rsid w:val="00A41D2C"/>
    <w:rsid w:val="00A438DA"/>
    <w:rsid w:val="00A43DB7"/>
    <w:rsid w:val="00A45CA9"/>
    <w:rsid w:val="00A474EB"/>
    <w:rsid w:val="00A54627"/>
    <w:rsid w:val="00A554CC"/>
    <w:rsid w:val="00A57A31"/>
    <w:rsid w:val="00A57B05"/>
    <w:rsid w:val="00A60798"/>
    <w:rsid w:val="00A61353"/>
    <w:rsid w:val="00A637AD"/>
    <w:rsid w:val="00A640ED"/>
    <w:rsid w:val="00A672A8"/>
    <w:rsid w:val="00A67320"/>
    <w:rsid w:val="00A72243"/>
    <w:rsid w:val="00A72917"/>
    <w:rsid w:val="00A738DB"/>
    <w:rsid w:val="00A739F1"/>
    <w:rsid w:val="00A73BF0"/>
    <w:rsid w:val="00A73CF8"/>
    <w:rsid w:val="00A74EF6"/>
    <w:rsid w:val="00A75412"/>
    <w:rsid w:val="00A75ADE"/>
    <w:rsid w:val="00A76331"/>
    <w:rsid w:val="00A80725"/>
    <w:rsid w:val="00A80C22"/>
    <w:rsid w:val="00A81E86"/>
    <w:rsid w:val="00A822CB"/>
    <w:rsid w:val="00A83619"/>
    <w:rsid w:val="00A8384F"/>
    <w:rsid w:val="00A852B5"/>
    <w:rsid w:val="00A856E6"/>
    <w:rsid w:val="00A86546"/>
    <w:rsid w:val="00A86F47"/>
    <w:rsid w:val="00A91184"/>
    <w:rsid w:val="00A91389"/>
    <w:rsid w:val="00A91507"/>
    <w:rsid w:val="00A91BB9"/>
    <w:rsid w:val="00A9207C"/>
    <w:rsid w:val="00A92284"/>
    <w:rsid w:val="00A922B9"/>
    <w:rsid w:val="00A92675"/>
    <w:rsid w:val="00A92FDC"/>
    <w:rsid w:val="00A93425"/>
    <w:rsid w:val="00A96346"/>
    <w:rsid w:val="00A96F4F"/>
    <w:rsid w:val="00A97EE7"/>
    <w:rsid w:val="00AA3910"/>
    <w:rsid w:val="00AA4716"/>
    <w:rsid w:val="00AA4979"/>
    <w:rsid w:val="00AA5362"/>
    <w:rsid w:val="00AB0D0F"/>
    <w:rsid w:val="00AB148C"/>
    <w:rsid w:val="00AB2D91"/>
    <w:rsid w:val="00AB2ED6"/>
    <w:rsid w:val="00AB3114"/>
    <w:rsid w:val="00AB3559"/>
    <w:rsid w:val="00AB3E03"/>
    <w:rsid w:val="00AC2041"/>
    <w:rsid w:val="00AC3EDD"/>
    <w:rsid w:val="00AC50DA"/>
    <w:rsid w:val="00AC7086"/>
    <w:rsid w:val="00AD16EE"/>
    <w:rsid w:val="00AD374F"/>
    <w:rsid w:val="00AD6C9B"/>
    <w:rsid w:val="00AE0C14"/>
    <w:rsid w:val="00AE5C84"/>
    <w:rsid w:val="00AE5EDF"/>
    <w:rsid w:val="00AE6670"/>
    <w:rsid w:val="00AF0D1C"/>
    <w:rsid w:val="00AF1734"/>
    <w:rsid w:val="00AF36EA"/>
    <w:rsid w:val="00AF5065"/>
    <w:rsid w:val="00AF556B"/>
    <w:rsid w:val="00AF6C66"/>
    <w:rsid w:val="00AF74B0"/>
    <w:rsid w:val="00B0201E"/>
    <w:rsid w:val="00B03D49"/>
    <w:rsid w:val="00B04DE1"/>
    <w:rsid w:val="00B054B8"/>
    <w:rsid w:val="00B06C77"/>
    <w:rsid w:val="00B0716B"/>
    <w:rsid w:val="00B0751F"/>
    <w:rsid w:val="00B108FA"/>
    <w:rsid w:val="00B11248"/>
    <w:rsid w:val="00B17487"/>
    <w:rsid w:val="00B177FB"/>
    <w:rsid w:val="00B221FC"/>
    <w:rsid w:val="00B23442"/>
    <w:rsid w:val="00B25746"/>
    <w:rsid w:val="00B273B9"/>
    <w:rsid w:val="00B27616"/>
    <w:rsid w:val="00B30E61"/>
    <w:rsid w:val="00B339C1"/>
    <w:rsid w:val="00B34E83"/>
    <w:rsid w:val="00B34E85"/>
    <w:rsid w:val="00B35364"/>
    <w:rsid w:val="00B36484"/>
    <w:rsid w:val="00B36F83"/>
    <w:rsid w:val="00B374CC"/>
    <w:rsid w:val="00B42CD9"/>
    <w:rsid w:val="00B45B14"/>
    <w:rsid w:val="00B4621C"/>
    <w:rsid w:val="00B466A6"/>
    <w:rsid w:val="00B4674C"/>
    <w:rsid w:val="00B47818"/>
    <w:rsid w:val="00B478BE"/>
    <w:rsid w:val="00B47FE3"/>
    <w:rsid w:val="00B50971"/>
    <w:rsid w:val="00B51DAC"/>
    <w:rsid w:val="00B52E44"/>
    <w:rsid w:val="00B5359C"/>
    <w:rsid w:val="00B54B4F"/>
    <w:rsid w:val="00B5536C"/>
    <w:rsid w:val="00B561B6"/>
    <w:rsid w:val="00B6707F"/>
    <w:rsid w:val="00B67DE1"/>
    <w:rsid w:val="00B744FC"/>
    <w:rsid w:val="00B74B45"/>
    <w:rsid w:val="00B74E37"/>
    <w:rsid w:val="00B75A37"/>
    <w:rsid w:val="00B76F8A"/>
    <w:rsid w:val="00B770FE"/>
    <w:rsid w:val="00B81FB3"/>
    <w:rsid w:val="00B8526E"/>
    <w:rsid w:val="00B86C42"/>
    <w:rsid w:val="00B90837"/>
    <w:rsid w:val="00B93D2E"/>
    <w:rsid w:val="00BA1D0B"/>
    <w:rsid w:val="00BA1E11"/>
    <w:rsid w:val="00BA2410"/>
    <w:rsid w:val="00BA26D9"/>
    <w:rsid w:val="00BA50A7"/>
    <w:rsid w:val="00BB10D4"/>
    <w:rsid w:val="00BB163A"/>
    <w:rsid w:val="00BB1DCF"/>
    <w:rsid w:val="00BB24BC"/>
    <w:rsid w:val="00BB3E60"/>
    <w:rsid w:val="00BB4210"/>
    <w:rsid w:val="00BB4BBB"/>
    <w:rsid w:val="00BB5238"/>
    <w:rsid w:val="00BB68F0"/>
    <w:rsid w:val="00BB7373"/>
    <w:rsid w:val="00BC2CDA"/>
    <w:rsid w:val="00BC488E"/>
    <w:rsid w:val="00BC66B5"/>
    <w:rsid w:val="00BC6B3F"/>
    <w:rsid w:val="00BC6F42"/>
    <w:rsid w:val="00BD0C6F"/>
    <w:rsid w:val="00BD10EB"/>
    <w:rsid w:val="00BD5D57"/>
    <w:rsid w:val="00BD748B"/>
    <w:rsid w:val="00BE1F64"/>
    <w:rsid w:val="00BE27D8"/>
    <w:rsid w:val="00BE29D9"/>
    <w:rsid w:val="00BE2DF2"/>
    <w:rsid w:val="00BE2FCC"/>
    <w:rsid w:val="00BE4282"/>
    <w:rsid w:val="00BE525F"/>
    <w:rsid w:val="00BE660D"/>
    <w:rsid w:val="00BE6A53"/>
    <w:rsid w:val="00BE6AD3"/>
    <w:rsid w:val="00BF1815"/>
    <w:rsid w:val="00BF2A1B"/>
    <w:rsid w:val="00BF34A4"/>
    <w:rsid w:val="00BF3D91"/>
    <w:rsid w:val="00BF431A"/>
    <w:rsid w:val="00BF4A9C"/>
    <w:rsid w:val="00BF62EA"/>
    <w:rsid w:val="00BF709C"/>
    <w:rsid w:val="00BF74D2"/>
    <w:rsid w:val="00BF7C85"/>
    <w:rsid w:val="00C001DA"/>
    <w:rsid w:val="00C017F4"/>
    <w:rsid w:val="00C01A2E"/>
    <w:rsid w:val="00C03724"/>
    <w:rsid w:val="00C042AF"/>
    <w:rsid w:val="00C05CC1"/>
    <w:rsid w:val="00C05E68"/>
    <w:rsid w:val="00C102E8"/>
    <w:rsid w:val="00C10A59"/>
    <w:rsid w:val="00C10D9D"/>
    <w:rsid w:val="00C11044"/>
    <w:rsid w:val="00C115C2"/>
    <w:rsid w:val="00C1257C"/>
    <w:rsid w:val="00C12728"/>
    <w:rsid w:val="00C137B3"/>
    <w:rsid w:val="00C13E3F"/>
    <w:rsid w:val="00C1415E"/>
    <w:rsid w:val="00C213C2"/>
    <w:rsid w:val="00C24FE9"/>
    <w:rsid w:val="00C25491"/>
    <w:rsid w:val="00C30331"/>
    <w:rsid w:val="00C308B1"/>
    <w:rsid w:val="00C328CC"/>
    <w:rsid w:val="00C33F20"/>
    <w:rsid w:val="00C35677"/>
    <w:rsid w:val="00C37714"/>
    <w:rsid w:val="00C40893"/>
    <w:rsid w:val="00C409A5"/>
    <w:rsid w:val="00C4177F"/>
    <w:rsid w:val="00C41DD3"/>
    <w:rsid w:val="00C42B5D"/>
    <w:rsid w:val="00C43F16"/>
    <w:rsid w:val="00C45B5E"/>
    <w:rsid w:val="00C46294"/>
    <w:rsid w:val="00C46F97"/>
    <w:rsid w:val="00C50E50"/>
    <w:rsid w:val="00C52D32"/>
    <w:rsid w:val="00C52F89"/>
    <w:rsid w:val="00C53054"/>
    <w:rsid w:val="00C53A60"/>
    <w:rsid w:val="00C563B6"/>
    <w:rsid w:val="00C5647F"/>
    <w:rsid w:val="00C56A46"/>
    <w:rsid w:val="00C56FC9"/>
    <w:rsid w:val="00C57E87"/>
    <w:rsid w:val="00C60955"/>
    <w:rsid w:val="00C61239"/>
    <w:rsid w:val="00C62F5F"/>
    <w:rsid w:val="00C63852"/>
    <w:rsid w:val="00C646A8"/>
    <w:rsid w:val="00C6547C"/>
    <w:rsid w:val="00C65636"/>
    <w:rsid w:val="00C65B29"/>
    <w:rsid w:val="00C677A4"/>
    <w:rsid w:val="00C67940"/>
    <w:rsid w:val="00C71A78"/>
    <w:rsid w:val="00C72366"/>
    <w:rsid w:val="00C725A7"/>
    <w:rsid w:val="00C73C0F"/>
    <w:rsid w:val="00C76B8E"/>
    <w:rsid w:val="00C76EF1"/>
    <w:rsid w:val="00C81423"/>
    <w:rsid w:val="00C81B4A"/>
    <w:rsid w:val="00C81CA2"/>
    <w:rsid w:val="00C8364F"/>
    <w:rsid w:val="00C84E10"/>
    <w:rsid w:val="00C84F8D"/>
    <w:rsid w:val="00C92E87"/>
    <w:rsid w:val="00C96C49"/>
    <w:rsid w:val="00C97939"/>
    <w:rsid w:val="00CA0662"/>
    <w:rsid w:val="00CA0FFC"/>
    <w:rsid w:val="00CA13CF"/>
    <w:rsid w:val="00CA151C"/>
    <w:rsid w:val="00CA2237"/>
    <w:rsid w:val="00CA2E2A"/>
    <w:rsid w:val="00CA41C4"/>
    <w:rsid w:val="00CA4C94"/>
    <w:rsid w:val="00CA613B"/>
    <w:rsid w:val="00CA7572"/>
    <w:rsid w:val="00CA7F74"/>
    <w:rsid w:val="00CB17C1"/>
    <w:rsid w:val="00CB3989"/>
    <w:rsid w:val="00CB3A24"/>
    <w:rsid w:val="00CB470D"/>
    <w:rsid w:val="00CB49E2"/>
    <w:rsid w:val="00CB4DAD"/>
    <w:rsid w:val="00CB6246"/>
    <w:rsid w:val="00CC099E"/>
    <w:rsid w:val="00CC1077"/>
    <w:rsid w:val="00CC3160"/>
    <w:rsid w:val="00CC3BC3"/>
    <w:rsid w:val="00CC722F"/>
    <w:rsid w:val="00CC7C61"/>
    <w:rsid w:val="00CD18E2"/>
    <w:rsid w:val="00CD29C2"/>
    <w:rsid w:val="00CD2D6C"/>
    <w:rsid w:val="00CD503D"/>
    <w:rsid w:val="00CD610E"/>
    <w:rsid w:val="00CD6207"/>
    <w:rsid w:val="00CD7E8F"/>
    <w:rsid w:val="00CE0219"/>
    <w:rsid w:val="00CE025F"/>
    <w:rsid w:val="00CE07D7"/>
    <w:rsid w:val="00CE246C"/>
    <w:rsid w:val="00CE2B41"/>
    <w:rsid w:val="00CE2E2D"/>
    <w:rsid w:val="00CE39B8"/>
    <w:rsid w:val="00CE6229"/>
    <w:rsid w:val="00CF139C"/>
    <w:rsid w:val="00CF13A5"/>
    <w:rsid w:val="00CF20DC"/>
    <w:rsid w:val="00CF231B"/>
    <w:rsid w:val="00CF27C0"/>
    <w:rsid w:val="00CF4344"/>
    <w:rsid w:val="00CF4AF3"/>
    <w:rsid w:val="00CF588E"/>
    <w:rsid w:val="00CF631F"/>
    <w:rsid w:val="00CF72D7"/>
    <w:rsid w:val="00CF790B"/>
    <w:rsid w:val="00D00F3F"/>
    <w:rsid w:val="00D015A4"/>
    <w:rsid w:val="00D02358"/>
    <w:rsid w:val="00D02F59"/>
    <w:rsid w:val="00D04607"/>
    <w:rsid w:val="00D04BBE"/>
    <w:rsid w:val="00D05395"/>
    <w:rsid w:val="00D05EA7"/>
    <w:rsid w:val="00D1092B"/>
    <w:rsid w:val="00D10987"/>
    <w:rsid w:val="00D10AC9"/>
    <w:rsid w:val="00D12073"/>
    <w:rsid w:val="00D124EC"/>
    <w:rsid w:val="00D12870"/>
    <w:rsid w:val="00D12A56"/>
    <w:rsid w:val="00D12A5E"/>
    <w:rsid w:val="00D13A5D"/>
    <w:rsid w:val="00D1423F"/>
    <w:rsid w:val="00D1755F"/>
    <w:rsid w:val="00D177A0"/>
    <w:rsid w:val="00D20092"/>
    <w:rsid w:val="00D22C4C"/>
    <w:rsid w:val="00D22E65"/>
    <w:rsid w:val="00D22EAF"/>
    <w:rsid w:val="00D27929"/>
    <w:rsid w:val="00D3078B"/>
    <w:rsid w:val="00D3118E"/>
    <w:rsid w:val="00D31438"/>
    <w:rsid w:val="00D317C4"/>
    <w:rsid w:val="00D32927"/>
    <w:rsid w:val="00D32A84"/>
    <w:rsid w:val="00D34BC5"/>
    <w:rsid w:val="00D35848"/>
    <w:rsid w:val="00D36BA1"/>
    <w:rsid w:val="00D36BDA"/>
    <w:rsid w:val="00D37F07"/>
    <w:rsid w:val="00D419F0"/>
    <w:rsid w:val="00D41BB8"/>
    <w:rsid w:val="00D42FB6"/>
    <w:rsid w:val="00D458F5"/>
    <w:rsid w:val="00D45EE4"/>
    <w:rsid w:val="00D47EF3"/>
    <w:rsid w:val="00D5574E"/>
    <w:rsid w:val="00D5618C"/>
    <w:rsid w:val="00D56DE4"/>
    <w:rsid w:val="00D57114"/>
    <w:rsid w:val="00D5753F"/>
    <w:rsid w:val="00D6015D"/>
    <w:rsid w:val="00D60424"/>
    <w:rsid w:val="00D61177"/>
    <w:rsid w:val="00D612FD"/>
    <w:rsid w:val="00D62688"/>
    <w:rsid w:val="00D63855"/>
    <w:rsid w:val="00D63DE0"/>
    <w:rsid w:val="00D64065"/>
    <w:rsid w:val="00D6697D"/>
    <w:rsid w:val="00D67892"/>
    <w:rsid w:val="00D7119E"/>
    <w:rsid w:val="00D72EEE"/>
    <w:rsid w:val="00D73093"/>
    <w:rsid w:val="00D7444D"/>
    <w:rsid w:val="00D74856"/>
    <w:rsid w:val="00D75A62"/>
    <w:rsid w:val="00D75F1A"/>
    <w:rsid w:val="00D76340"/>
    <w:rsid w:val="00D76979"/>
    <w:rsid w:val="00D77640"/>
    <w:rsid w:val="00D8293F"/>
    <w:rsid w:val="00D82EAA"/>
    <w:rsid w:val="00D85656"/>
    <w:rsid w:val="00D861F1"/>
    <w:rsid w:val="00D87B2D"/>
    <w:rsid w:val="00D91C01"/>
    <w:rsid w:val="00D94E15"/>
    <w:rsid w:val="00D97F78"/>
    <w:rsid w:val="00DA0378"/>
    <w:rsid w:val="00DA04D2"/>
    <w:rsid w:val="00DA0F30"/>
    <w:rsid w:val="00DA273A"/>
    <w:rsid w:val="00DA33AC"/>
    <w:rsid w:val="00DA47C2"/>
    <w:rsid w:val="00DA4D73"/>
    <w:rsid w:val="00DA4DCC"/>
    <w:rsid w:val="00DA61F9"/>
    <w:rsid w:val="00DA74BB"/>
    <w:rsid w:val="00DB19AF"/>
    <w:rsid w:val="00DB4087"/>
    <w:rsid w:val="00DB5420"/>
    <w:rsid w:val="00DB5F5C"/>
    <w:rsid w:val="00DB62E8"/>
    <w:rsid w:val="00DB6440"/>
    <w:rsid w:val="00DB65A3"/>
    <w:rsid w:val="00DB7612"/>
    <w:rsid w:val="00DB78FC"/>
    <w:rsid w:val="00DB7C8B"/>
    <w:rsid w:val="00DC0701"/>
    <w:rsid w:val="00DC09EF"/>
    <w:rsid w:val="00DC0ACB"/>
    <w:rsid w:val="00DC124F"/>
    <w:rsid w:val="00DC1F6D"/>
    <w:rsid w:val="00DC2BAF"/>
    <w:rsid w:val="00DC473D"/>
    <w:rsid w:val="00DC48F1"/>
    <w:rsid w:val="00DC58F4"/>
    <w:rsid w:val="00DC5BFB"/>
    <w:rsid w:val="00DC677F"/>
    <w:rsid w:val="00DC67F4"/>
    <w:rsid w:val="00DC69C8"/>
    <w:rsid w:val="00DC724E"/>
    <w:rsid w:val="00DC7278"/>
    <w:rsid w:val="00DC7B0C"/>
    <w:rsid w:val="00DD08EE"/>
    <w:rsid w:val="00DD1AC1"/>
    <w:rsid w:val="00DD38D3"/>
    <w:rsid w:val="00DD3EA6"/>
    <w:rsid w:val="00DD3EC7"/>
    <w:rsid w:val="00DE0084"/>
    <w:rsid w:val="00DE01E8"/>
    <w:rsid w:val="00DE14C1"/>
    <w:rsid w:val="00DE1D8B"/>
    <w:rsid w:val="00DE2ECF"/>
    <w:rsid w:val="00DE3A89"/>
    <w:rsid w:val="00DE406C"/>
    <w:rsid w:val="00DE49E1"/>
    <w:rsid w:val="00DE4E20"/>
    <w:rsid w:val="00DE5CD6"/>
    <w:rsid w:val="00DE6306"/>
    <w:rsid w:val="00DE65C3"/>
    <w:rsid w:val="00DF1524"/>
    <w:rsid w:val="00DF172C"/>
    <w:rsid w:val="00DF31A6"/>
    <w:rsid w:val="00DF5286"/>
    <w:rsid w:val="00DF62BB"/>
    <w:rsid w:val="00DF6957"/>
    <w:rsid w:val="00E005CB"/>
    <w:rsid w:val="00E01D1F"/>
    <w:rsid w:val="00E02B1E"/>
    <w:rsid w:val="00E053DF"/>
    <w:rsid w:val="00E058EC"/>
    <w:rsid w:val="00E06A9D"/>
    <w:rsid w:val="00E07146"/>
    <w:rsid w:val="00E0783E"/>
    <w:rsid w:val="00E12971"/>
    <w:rsid w:val="00E13809"/>
    <w:rsid w:val="00E14AA0"/>
    <w:rsid w:val="00E150C3"/>
    <w:rsid w:val="00E154CE"/>
    <w:rsid w:val="00E15F80"/>
    <w:rsid w:val="00E1675D"/>
    <w:rsid w:val="00E2067D"/>
    <w:rsid w:val="00E20A41"/>
    <w:rsid w:val="00E242D8"/>
    <w:rsid w:val="00E2637E"/>
    <w:rsid w:val="00E3079D"/>
    <w:rsid w:val="00E315FC"/>
    <w:rsid w:val="00E3186B"/>
    <w:rsid w:val="00E32DDC"/>
    <w:rsid w:val="00E330C2"/>
    <w:rsid w:val="00E352A5"/>
    <w:rsid w:val="00E3563B"/>
    <w:rsid w:val="00E35CCB"/>
    <w:rsid w:val="00E36B78"/>
    <w:rsid w:val="00E410F8"/>
    <w:rsid w:val="00E43A1F"/>
    <w:rsid w:val="00E43CE2"/>
    <w:rsid w:val="00E4605E"/>
    <w:rsid w:val="00E473E7"/>
    <w:rsid w:val="00E50F62"/>
    <w:rsid w:val="00E5446E"/>
    <w:rsid w:val="00E54BEB"/>
    <w:rsid w:val="00E55482"/>
    <w:rsid w:val="00E578C8"/>
    <w:rsid w:val="00E61FEA"/>
    <w:rsid w:val="00E62A4B"/>
    <w:rsid w:val="00E63092"/>
    <w:rsid w:val="00E63BD8"/>
    <w:rsid w:val="00E65AC2"/>
    <w:rsid w:val="00E65D08"/>
    <w:rsid w:val="00E722EC"/>
    <w:rsid w:val="00E72752"/>
    <w:rsid w:val="00E72913"/>
    <w:rsid w:val="00E74C7B"/>
    <w:rsid w:val="00E753E2"/>
    <w:rsid w:val="00E75C04"/>
    <w:rsid w:val="00E768ED"/>
    <w:rsid w:val="00E773FF"/>
    <w:rsid w:val="00E80627"/>
    <w:rsid w:val="00E81A69"/>
    <w:rsid w:val="00E832CC"/>
    <w:rsid w:val="00E9060C"/>
    <w:rsid w:val="00E913BA"/>
    <w:rsid w:val="00E913E8"/>
    <w:rsid w:val="00E91B7A"/>
    <w:rsid w:val="00E921D4"/>
    <w:rsid w:val="00E93292"/>
    <w:rsid w:val="00E93548"/>
    <w:rsid w:val="00E94C5B"/>
    <w:rsid w:val="00EA0736"/>
    <w:rsid w:val="00EA3A57"/>
    <w:rsid w:val="00EB3F54"/>
    <w:rsid w:val="00EB62F3"/>
    <w:rsid w:val="00EC16FE"/>
    <w:rsid w:val="00EC21BE"/>
    <w:rsid w:val="00EC305E"/>
    <w:rsid w:val="00EC3938"/>
    <w:rsid w:val="00EC4F17"/>
    <w:rsid w:val="00EC643A"/>
    <w:rsid w:val="00ED1D2C"/>
    <w:rsid w:val="00ED3441"/>
    <w:rsid w:val="00ED3A22"/>
    <w:rsid w:val="00ED4643"/>
    <w:rsid w:val="00ED655E"/>
    <w:rsid w:val="00ED7F07"/>
    <w:rsid w:val="00EE0CF0"/>
    <w:rsid w:val="00EE1693"/>
    <w:rsid w:val="00EE36E8"/>
    <w:rsid w:val="00EE4547"/>
    <w:rsid w:val="00EE49E7"/>
    <w:rsid w:val="00EE54B9"/>
    <w:rsid w:val="00EE6E42"/>
    <w:rsid w:val="00EF0D7D"/>
    <w:rsid w:val="00EF276E"/>
    <w:rsid w:val="00EF2B2D"/>
    <w:rsid w:val="00EF4693"/>
    <w:rsid w:val="00EF65E4"/>
    <w:rsid w:val="00F010E3"/>
    <w:rsid w:val="00F01C9D"/>
    <w:rsid w:val="00F0429D"/>
    <w:rsid w:val="00F04456"/>
    <w:rsid w:val="00F07E01"/>
    <w:rsid w:val="00F07EEC"/>
    <w:rsid w:val="00F12B0C"/>
    <w:rsid w:val="00F135E4"/>
    <w:rsid w:val="00F15375"/>
    <w:rsid w:val="00F15CD5"/>
    <w:rsid w:val="00F16393"/>
    <w:rsid w:val="00F20C42"/>
    <w:rsid w:val="00F20FD4"/>
    <w:rsid w:val="00F21764"/>
    <w:rsid w:val="00F223D8"/>
    <w:rsid w:val="00F25CAC"/>
    <w:rsid w:val="00F27A05"/>
    <w:rsid w:val="00F27CAA"/>
    <w:rsid w:val="00F35DC3"/>
    <w:rsid w:val="00F36C18"/>
    <w:rsid w:val="00F36D7A"/>
    <w:rsid w:val="00F40B13"/>
    <w:rsid w:val="00F4199E"/>
    <w:rsid w:val="00F41EF2"/>
    <w:rsid w:val="00F44353"/>
    <w:rsid w:val="00F449CF"/>
    <w:rsid w:val="00F45ABD"/>
    <w:rsid w:val="00F47F82"/>
    <w:rsid w:val="00F47FD6"/>
    <w:rsid w:val="00F50EFF"/>
    <w:rsid w:val="00F51473"/>
    <w:rsid w:val="00F52BFF"/>
    <w:rsid w:val="00F53E64"/>
    <w:rsid w:val="00F54C33"/>
    <w:rsid w:val="00F56218"/>
    <w:rsid w:val="00F56615"/>
    <w:rsid w:val="00F60A30"/>
    <w:rsid w:val="00F61A64"/>
    <w:rsid w:val="00F62823"/>
    <w:rsid w:val="00F63C18"/>
    <w:rsid w:val="00F64EF0"/>
    <w:rsid w:val="00F67881"/>
    <w:rsid w:val="00F70927"/>
    <w:rsid w:val="00F70DB2"/>
    <w:rsid w:val="00F73511"/>
    <w:rsid w:val="00F74999"/>
    <w:rsid w:val="00F76366"/>
    <w:rsid w:val="00F76496"/>
    <w:rsid w:val="00F77CEE"/>
    <w:rsid w:val="00F80438"/>
    <w:rsid w:val="00F82439"/>
    <w:rsid w:val="00F82929"/>
    <w:rsid w:val="00F91310"/>
    <w:rsid w:val="00F9137D"/>
    <w:rsid w:val="00F97B5E"/>
    <w:rsid w:val="00FA0C6F"/>
    <w:rsid w:val="00FA193C"/>
    <w:rsid w:val="00FA1A47"/>
    <w:rsid w:val="00FA1ED8"/>
    <w:rsid w:val="00FA4E0E"/>
    <w:rsid w:val="00FA7C63"/>
    <w:rsid w:val="00FB25FC"/>
    <w:rsid w:val="00FB3A70"/>
    <w:rsid w:val="00FB5BD2"/>
    <w:rsid w:val="00FB67B6"/>
    <w:rsid w:val="00FC0A51"/>
    <w:rsid w:val="00FC1FAE"/>
    <w:rsid w:val="00FC3407"/>
    <w:rsid w:val="00FC3883"/>
    <w:rsid w:val="00FC3899"/>
    <w:rsid w:val="00FC4615"/>
    <w:rsid w:val="00FC6061"/>
    <w:rsid w:val="00FC633D"/>
    <w:rsid w:val="00FD188D"/>
    <w:rsid w:val="00FD288F"/>
    <w:rsid w:val="00FD557D"/>
    <w:rsid w:val="00FE0AA2"/>
    <w:rsid w:val="00FE0D43"/>
    <w:rsid w:val="00FE1E79"/>
    <w:rsid w:val="00FE3B97"/>
    <w:rsid w:val="00FE4493"/>
    <w:rsid w:val="00FE5BA3"/>
    <w:rsid w:val="00FE5BFC"/>
    <w:rsid w:val="00FF46CB"/>
    <w:rsid w:val="00FF4A25"/>
    <w:rsid w:val="00FF4D6B"/>
    <w:rsid w:val="00FF676C"/>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5AD900F9-A027-49F6-95B0-AE65A49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F9"/>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E72752"/>
    <w:pPr>
      <w:spacing w:before="240" w:after="60"/>
      <w:ind w:left="1008" w:hanging="1008"/>
      <w:outlineLvl w:val="4"/>
    </w:pPr>
    <w:rPr>
      <w:rFonts w:ascii="Calibri" w:eastAsia="MS Mincho" w:hAnsi="Calibri"/>
      <w:b/>
      <w:i/>
      <w:color w:val="auto"/>
      <w:sz w:val="26"/>
      <w:szCs w:val="20"/>
    </w:rPr>
  </w:style>
  <w:style w:type="paragraph" w:styleId="Heading6">
    <w:name w:val="heading 6"/>
    <w:basedOn w:val="Normal"/>
    <w:next w:val="Normal"/>
    <w:link w:val="Heading6Char"/>
    <w:semiHidden/>
    <w:unhideWhenUsed/>
    <w:qFormat/>
    <w:rsid w:val="00E72752"/>
    <w:pPr>
      <w:spacing w:before="240" w:after="60"/>
      <w:ind w:left="1152" w:hanging="1152"/>
      <w:outlineLvl w:val="5"/>
    </w:pPr>
    <w:rPr>
      <w:rFonts w:ascii="Calibri" w:eastAsia="MS Mincho" w:hAnsi="Calibri"/>
      <w:b/>
      <w:color w:val="auto"/>
      <w:szCs w:val="20"/>
    </w:rPr>
  </w:style>
  <w:style w:type="paragraph" w:styleId="Heading7">
    <w:name w:val="heading 7"/>
    <w:basedOn w:val="Normal"/>
    <w:next w:val="Normal"/>
    <w:link w:val="Heading7Char"/>
    <w:semiHidden/>
    <w:unhideWhenUsed/>
    <w:qFormat/>
    <w:rsid w:val="00E72752"/>
    <w:pPr>
      <w:spacing w:before="240" w:after="60"/>
      <w:ind w:left="1296" w:hanging="1296"/>
      <w:outlineLvl w:val="6"/>
    </w:pPr>
    <w:rPr>
      <w:rFonts w:ascii="Calibri" w:eastAsia="MS Mincho" w:hAnsi="Calibri"/>
      <w:color w:val="auto"/>
      <w:sz w:val="24"/>
      <w:szCs w:val="20"/>
    </w:rPr>
  </w:style>
  <w:style w:type="paragraph" w:styleId="Heading8">
    <w:name w:val="heading 8"/>
    <w:basedOn w:val="Normal"/>
    <w:next w:val="Normal"/>
    <w:link w:val="Heading8Char"/>
    <w:semiHidden/>
    <w:unhideWhenUsed/>
    <w:qFormat/>
    <w:rsid w:val="00E72752"/>
    <w:pPr>
      <w:spacing w:before="240" w:after="60"/>
      <w:ind w:left="1440" w:hanging="1440"/>
      <w:outlineLvl w:val="7"/>
    </w:pPr>
    <w:rPr>
      <w:rFonts w:ascii="Calibri" w:eastAsia="MS Mincho" w:hAnsi="Calibri"/>
      <w:i/>
      <w:color w:val="auto"/>
      <w:sz w:val="24"/>
      <w:szCs w:val="20"/>
    </w:rPr>
  </w:style>
  <w:style w:type="paragraph" w:styleId="Heading9">
    <w:name w:val="heading 9"/>
    <w:basedOn w:val="Normal"/>
    <w:next w:val="Normal"/>
    <w:link w:val="Heading9Char"/>
    <w:semiHidden/>
    <w:unhideWhenUsed/>
    <w:qFormat/>
    <w:rsid w:val="00E72752"/>
    <w:pPr>
      <w:spacing w:before="240" w:after="60"/>
      <w:ind w:left="1584" w:hanging="1584"/>
      <w:outlineLvl w:val="8"/>
    </w:pPr>
    <w:rPr>
      <w:rFonts w:ascii="Cambria" w:eastAsia="MS Gothic" w:hAnsi="Cambria"/>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CB3A24"/>
    <w:pPr>
      <w:spacing w:before="60" w:after="60"/>
    </w:pPr>
    <w:rPr>
      <w:sz w:val="18"/>
    </w:rPr>
    <w:tblPr>
      <w:tblStyleRowBandSize w:val="1"/>
      <w:tblCellMar>
        <w:top w:w="85" w:type="dxa"/>
        <w:left w:w="113" w:type="dxa"/>
        <w:bottom w:w="85" w:type="dxa"/>
        <w:right w:w="113" w:type="dxa"/>
      </w:tblCellMar>
    </w:tblPr>
    <w:tcPr>
      <w:vAlign w:val="center"/>
    </w:tcPr>
    <w:tblStylePr w:type="firstRow">
      <w:rPr>
        <w:b/>
        <w:bCs/>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Horz">
      <w:tblPr/>
      <w:tcPr>
        <w:shd w:val="clear" w:color="auto" w:fill="FFFFFF" w:themeFill="background1"/>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qFormat/>
    <w:rsid w:val="0022078E"/>
    <w:pPr>
      <w:ind w:left="360" w:hanging="360"/>
    </w:pPr>
    <w:rPr>
      <w:rFonts w:eastAsia="Times New Roman"/>
      <w:lang w:eastAsia="en-AU"/>
    </w:rPr>
  </w:style>
  <w:style w:type="paragraph" w:styleId="ListNumber">
    <w:name w:val="List Number"/>
    <w:basedOn w:val="Normal"/>
    <w:uiPriority w:val="2"/>
    <w:qFormat/>
    <w:rsid w:val="0022078E"/>
    <w:p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spacing w:after="0"/>
      <w:ind w:left="720" w:hanging="36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spacing w:after="0"/>
    </w:pPr>
    <w:rPr>
      <w:rFonts w:eastAsia="Times New Roman"/>
      <w:lang w:eastAsia="en-AU"/>
    </w:rPr>
  </w:style>
  <w:style w:type="paragraph" w:styleId="ListBullet4">
    <w:name w:val="List Bullet 4"/>
    <w:basedOn w:val="Normal"/>
    <w:uiPriority w:val="2"/>
    <w:semiHidden/>
    <w:rsid w:val="00BE6AD3"/>
    <w:pPr>
      <w:numPr>
        <w:ilvl w:val="3"/>
        <w:numId w:val="3"/>
      </w:numPr>
      <w:spacing w:after="0"/>
    </w:pPr>
    <w:rPr>
      <w:rFonts w:eastAsia="Times New Roman"/>
      <w:lang w:eastAsia="en-AU"/>
    </w:rPr>
  </w:style>
  <w:style w:type="paragraph" w:styleId="ListBullet5">
    <w:name w:val="List Bullet 5"/>
    <w:basedOn w:val="Normal"/>
    <w:uiPriority w:val="2"/>
    <w:semiHidden/>
    <w:rsid w:val="00BE6AD3"/>
    <w:pPr>
      <w:numPr>
        <w:ilvl w:val="4"/>
        <w:numId w:val="3"/>
      </w:numPr>
      <w:spacing w:after="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customStyle="1" w:styleId="Heading5Char">
    <w:name w:val="Heading 5 Char"/>
    <w:basedOn w:val="DefaultParagraphFont"/>
    <w:link w:val="Heading5"/>
    <w:semiHidden/>
    <w:rsid w:val="00E72752"/>
    <w:rPr>
      <w:rFonts w:ascii="Calibri" w:eastAsia="MS Mincho" w:hAnsi="Calibri"/>
      <w:b/>
      <w:i/>
      <w:color w:val="auto"/>
      <w:sz w:val="26"/>
      <w:szCs w:val="20"/>
    </w:rPr>
  </w:style>
  <w:style w:type="character" w:customStyle="1" w:styleId="Heading6Char">
    <w:name w:val="Heading 6 Char"/>
    <w:basedOn w:val="DefaultParagraphFont"/>
    <w:link w:val="Heading6"/>
    <w:semiHidden/>
    <w:rsid w:val="00E72752"/>
    <w:rPr>
      <w:rFonts w:ascii="Calibri" w:eastAsia="MS Mincho" w:hAnsi="Calibri"/>
      <w:b/>
      <w:color w:val="auto"/>
      <w:szCs w:val="20"/>
    </w:rPr>
  </w:style>
  <w:style w:type="character" w:customStyle="1" w:styleId="Heading7Char">
    <w:name w:val="Heading 7 Char"/>
    <w:basedOn w:val="DefaultParagraphFont"/>
    <w:link w:val="Heading7"/>
    <w:semiHidden/>
    <w:rsid w:val="00E72752"/>
    <w:rPr>
      <w:rFonts w:ascii="Calibri" w:eastAsia="MS Mincho" w:hAnsi="Calibri"/>
      <w:color w:val="auto"/>
      <w:sz w:val="24"/>
      <w:szCs w:val="20"/>
    </w:rPr>
  </w:style>
  <w:style w:type="character" w:customStyle="1" w:styleId="Heading8Char">
    <w:name w:val="Heading 8 Char"/>
    <w:basedOn w:val="DefaultParagraphFont"/>
    <w:link w:val="Heading8"/>
    <w:semiHidden/>
    <w:rsid w:val="00E72752"/>
    <w:rPr>
      <w:rFonts w:ascii="Calibri" w:eastAsia="MS Mincho" w:hAnsi="Calibri"/>
      <w:i/>
      <w:color w:val="auto"/>
      <w:sz w:val="24"/>
      <w:szCs w:val="20"/>
    </w:rPr>
  </w:style>
  <w:style w:type="character" w:customStyle="1" w:styleId="Heading9Char">
    <w:name w:val="Heading 9 Char"/>
    <w:basedOn w:val="DefaultParagraphFont"/>
    <w:link w:val="Heading9"/>
    <w:semiHidden/>
    <w:rsid w:val="00E72752"/>
    <w:rPr>
      <w:rFonts w:ascii="Cambria" w:eastAsia="MS Gothic" w:hAnsi="Cambria"/>
      <w:color w:val="auto"/>
      <w:szCs w:val="20"/>
    </w:rPr>
  </w:style>
  <w:style w:type="paragraph" w:customStyle="1" w:styleId="Body">
    <w:name w:val="_Body"/>
    <w:basedOn w:val="Normal"/>
    <w:rsid w:val="00E72752"/>
    <w:pPr>
      <w:spacing w:before="80" w:after="40"/>
      <w:ind w:left="-126" w:right="-120"/>
    </w:pPr>
    <w:rPr>
      <w:rFonts w:ascii="Arial" w:eastAsia="MS Gothic" w:hAnsi="Arial"/>
      <w:i/>
      <w:color w:val="000000"/>
      <w:sz w:val="17"/>
      <w:szCs w:val="17"/>
    </w:rPr>
  </w:style>
  <w:style w:type="character" w:styleId="FollowedHyperlink">
    <w:name w:val="FollowedHyperlink"/>
    <w:basedOn w:val="DefaultParagraphFont"/>
    <w:semiHidden/>
    <w:unhideWhenUsed/>
    <w:rsid w:val="00E72752"/>
    <w:rPr>
      <w:color w:val="800080"/>
      <w:u w:val="single"/>
    </w:rPr>
  </w:style>
  <w:style w:type="paragraph" w:customStyle="1" w:styleId="msonormal0">
    <w:name w:val="msonormal"/>
    <w:basedOn w:val="Normal"/>
    <w:rsid w:val="00E72752"/>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E72752"/>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rsid w:val="00E72752"/>
    <w:rPr>
      <w:rFonts w:ascii="Arial" w:eastAsia="MS Gothic" w:hAnsi="Arial"/>
      <w:color w:val="auto"/>
      <w:sz w:val="20"/>
      <w:szCs w:val="20"/>
    </w:rPr>
  </w:style>
  <w:style w:type="character" w:customStyle="1" w:styleId="FooterChar1">
    <w:name w:val="Footer Char1"/>
    <w:aliases w:val="_Footer Char1"/>
    <w:basedOn w:val="DefaultParagraphFont"/>
    <w:semiHidden/>
    <w:rsid w:val="00E72752"/>
    <w:rPr>
      <w:rFonts w:ascii="Arial" w:eastAsia="MS Gothic" w:hAnsi="Arial"/>
      <w:color w:val="auto"/>
      <w:sz w:val="24"/>
      <w:szCs w:val="24"/>
    </w:rPr>
  </w:style>
  <w:style w:type="paragraph" w:styleId="BlockText">
    <w:name w:val="Block Text"/>
    <w:basedOn w:val="Normal"/>
    <w:semiHidden/>
    <w:unhideWhenUsed/>
    <w:rsid w:val="00E72752"/>
    <w:pPr>
      <w:pBdr>
        <w:top w:val="single" w:sz="2" w:space="10" w:color="090D46" w:themeColor="accent1"/>
        <w:left w:val="single" w:sz="2" w:space="10" w:color="090D46" w:themeColor="accent1"/>
        <w:bottom w:val="single" w:sz="2" w:space="10" w:color="090D46" w:themeColor="accent1"/>
        <w:right w:val="single" w:sz="2" w:space="10" w:color="090D46" w:themeColor="accent1"/>
      </w:pBdr>
      <w:spacing w:before="0" w:after="0"/>
      <w:ind w:left="1152" w:right="1152"/>
    </w:pPr>
    <w:rPr>
      <w:rFonts w:eastAsiaTheme="minorEastAsia" w:cstheme="minorBidi"/>
      <w:i/>
      <w:iCs/>
      <w:color w:val="090D46" w:themeColor="accent1"/>
      <w:sz w:val="24"/>
      <w:szCs w:val="24"/>
    </w:rPr>
  </w:style>
  <w:style w:type="paragraph" w:styleId="BodyText">
    <w:name w:val="Body Text"/>
    <w:basedOn w:val="BlockText"/>
    <w:link w:val="BodyTextChar"/>
    <w:semiHidden/>
    <w:unhideWhenUsed/>
    <w:rsid w:val="00E72752"/>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semiHidden/>
    <w:rsid w:val="00E72752"/>
    <w:rPr>
      <w:rFonts w:ascii="Arial" w:eastAsia="Times New Roman" w:hAnsi="Arial"/>
      <w:color w:val="auto"/>
      <w:szCs w:val="20"/>
      <w:lang w:eastAsia="en-AU"/>
    </w:rPr>
  </w:style>
  <w:style w:type="paragraph" w:styleId="CommentSubject">
    <w:name w:val="annotation subject"/>
    <w:basedOn w:val="CommentText"/>
    <w:next w:val="CommentText"/>
    <w:link w:val="CommentSubjectChar"/>
    <w:semiHidden/>
    <w:unhideWhenUsed/>
    <w:rsid w:val="00E72752"/>
    <w:rPr>
      <w:b/>
      <w:bCs/>
    </w:rPr>
  </w:style>
  <w:style w:type="character" w:customStyle="1" w:styleId="CommentSubjectChar">
    <w:name w:val="Comment Subject Char"/>
    <w:basedOn w:val="CommentTextChar"/>
    <w:link w:val="CommentSubject"/>
    <w:semiHidden/>
    <w:rsid w:val="00E72752"/>
    <w:rPr>
      <w:rFonts w:ascii="Arial" w:eastAsia="MS Gothic" w:hAnsi="Arial"/>
      <w:b/>
      <w:bCs/>
      <w:color w:val="auto"/>
      <w:sz w:val="20"/>
      <w:szCs w:val="20"/>
    </w:rPr>
  </w:style>
  <w:style w:type="paragraph" w:styleId="NoSpacing">
    <w:name w:val="No Spacing"/>
    <w:uiPriority w:val="1"/>
    <w:qFormat/>
    <w:rsid w:val="00E72752"/>
    <w:pPr>
      <w:spacing w:before="0" w:after="0"/>
    </w:pPr>
    <w:rPr>
      <w:rFonts w:eastAsiaTheme="minorEastAsia" w:cstheme="minorBidi"/>
      <w:color w:val="auto"/>
      <w:sz w:val="24"/>
    </w:rPr>
  </w:style>
  <w:style w:type="paragraph" w:styleId="Revision">
    <w:name w:val="Revision"/>
    <w:uiPriority w:val="99"/>
    <w:semiHidden/>
    <w:rsid w:val="00E72752"/>
    <w:pPr>
      <w:spacing w:before="0" w:after="0"/>
    </w:pPr>
    <w:rPr>
      <w:rFonts w:ascii="Arial" w:eastAsia="MS Gothic" w:hAnsi="Arial"/>
      <w:color w:val="auto"/>
      <w:sz w:val="24"/>
      <w:szCs w:val="24"/>
    </w:rPr>
  </w:style>
  <w:style w:type="paragraph" w:styleId="ListParagraph">
    <w:name w:val="List Paragraph"/>
    <w:basedOn w:val="Normal"/>
    <w:uiPriority w:val="34"/>
    <w:qFormat/>
    <w:rsid w:val="00E72752"/>
    <w:pPr>
      <w:spacing w:before="0" w:after="0"/>
      <w:ind w:left="720"/>
      <w:contextualSpacing/>
    </w:pPr>
    <w:rPr>
      <w:rFonts w:ascii="Arial" w:eastAsia="Times New Roman" w:hAnsi="Arial"/>
      <w:color w:val="auto"/>
      <w:sz w:val="24"/>
      <w:szCs w:val="20"/>
      <w:lang w:eastAsia="en-AU"/>
    </w:rPr>
  </w:style>
  <w:style w:type="paragraph" w:customStyle="1" w:styleId="TitleHeading">
    <w:name w:val="_TitleHeading"/>
    <w:basedOn w:val="Normal"/>
    <w:rsid w:val="00E72752"/>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E72752"/>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E72752"/>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E72752"/>
    <w:pPr>
      <w:spacing w:before="0"/>
      <w:ind w:right="0"/>
    </w:pPr>
    <w:rPr>
      <w:b w:val="0"/>
      <w:sz w:val="21"/>
    </w:rPr>
  </w:style>
  <w:style w:type="paragraph" w:customStyle="1" w:styleId="BodyHeading">
    <w:name w:val="_BodyHeading"/>
    <w:basedOn w:val="Normal"/>
    <w:next w:val="Body"/>
    <w:rsid w:val="00E72752"/>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E72752"/>
  </w:style>
  <w:style w:type="paragraph" w:customStyle="1" w:styleId="BodyHeading1">
    <w:name w:val="_BodyHeading1"/>
    <w:basedOn w:val="Body"/>
    <w:next w:val="Body"/>
    <w:rsid w:val="00E72752"/>
    <w:pPr>
      <w:pageBreakBefore/>
      <w:spacing w:after="600"/>
    </w:pPr>
    <w:rPr>
      <w:b/>
      <w:color w:val="003591"/>
      <w:sz w:val="60"/>
    </w:rPr>
  </w:style>
  <w:style w:type="paragraph" w:customStyle="1" w:styleId="Bullet1">
    <w:name w:val="_Bullet 1"/>
    <w:basedOn w:val="Body"/>
    <w:rsid w:val="00E72752"/>
    <w:pPr>
      <w:numPr>
        <w:numId w:val="4"/>
      </w:numPr>
      <w:tabs>
        <w:tab w:val="left" w:pos="204"/>
      </w:tabs>
    </w:pPr>
  </w:style>
  <w:style w:type="paragraph" w:customStyle="1" w:styleId="Table">
    <w:name w:val="_Table"/>
    <w:basedOn w:val="Normal"/>
    <w:rsid w:val="00E72752"/>
    <w:pPr>
      <w:spacing w:before="60" w:after="60"/>
    </w:pPr>
    <w:rPr>
      <w:rFonts w:ascii="Arial" w:eastAsia="MS Gothic" w:hAnsi="Arial"/>
      <w:color w:val="auto"/>
      <w:sz w:val="17"/>
      <w:szCs w:val="17"/>
    </w:rPr>
  </w:style>
  <w:style w:type="paragraph" w:customStyle="1" w:styleId="MediumGrid21">
    <w:name w:val="Medium Grid 21"/>
    <w:rsid w:val="00E72752"/>
    <w:pPr>
      <w:spacing w:before="0" w:after="0"/>
    </w:pPr>
    <w:rPr>
      <w:rFonts w:ascii="Arial" w:eastAsia="MS Gothic" w:hAnsi="Arial"/>
      <w:color w:val="auto"/>
      <w:sz w:val="2"/>
      <w:szCs w:val="24"/>
    </w:rPr>
  </w:style>
  <w:style w:type="paragraph" w:customStyle="1" w:styleId="BodySmall">
    <w:name w:val="_BodySmall"/>
    <w:basedOn w:val="Body"/>
    <w:rsid w:val="00E72752"/>
    <w:pPr>
      <w:spacing w:before="60" w:after="120"/>
    </w:pPr>
    <w:rPr>
      <w:sz w:val="14"/>
    </w:rPr>
  </w:style>
  <w:style w:type="paragraph" w:customStyle="1" w:styleId="Source">
    <w:name w:val="_Source"/>
    <w:basedOn w:val="Body"/>
    <w:rsid w:val="00E72752"/>
    <w:pPr>
      <w:tabs>
        <w:tab w:val="left" w:pos="368"/>
      </w:tabs>
      <w:spacing w:before="60" w:after="120"/>
      <w:ind w:left="368" w:hanging="368"/>
    </w:pPr>
    <w:rPr>
      <w:sz w:val="12"/>
    </w:rPr>
  </w:style>
  <w:style w:type="paragraph" w:customStyle="1" w:styleId="Titleheading2">
    <w:name w:val="_Title heading2"/>
    <w:basedOn w:val="TitleHeading"/>
    <w:rsid w:val="00E72752"/>
    <w:pPr>
      <w:spacing w:before="360"/>
      <w:ind w:right="170"/>
      <w:jc w:val="right"/>
    </w:pPr>
    <w:rPr>
      <w:color w:val="A8B9D1"/>
      <w:sz w:val="40"/>
    </w:rPr>
  </w:style>
  <w:style w:type="paragraph" w:customStyle="1" w:styleId="TableBullet">
    <w:name w:val="_Table Bullet"/>
    <w:basedOn w:val="Table"/>
    <w:rsid w:val="00E72752"/>
    <w:pPr>
      <w:numPr>
        <w:numId w:val="5"/>
      </w:numPr>
      <w:tabs>
        <w:tab w:val="left" w:pos="567"/>
      </w:tabs>
    </w:pPr>
  </w:style>
  <w:style w:type="paragraph" w:customStyle="1" w:styleId="Tableheading">
    <w:name w:val="_Table heading"/>
    <w:basedOn w:val="Table"/>
    <w:rsid w:val="00E72752"/>
    <w:pPr>
      <w:spacing w:before="100" w:after="100"/>
    </w:pPr>
    <w:rPr>
      <w:b/>
    </w:rPr>
  </w:style>
  <w:style w:type="paragraph" w:customStyle="1" w:styleId="TableBullet1">
    <w:name w:val="_Table Bullet 1"/>
    <w:basedOn w:val="TableBullet"/>
    <w:rsid w:val="00E72752"/>
    <w:pPr>
      <w:numPr>
        <w:numId w:val="6"/>
      </w:numPr>
      <w:tabs>
        <w:tab w:val="left" w:pos="356"/>
      </w:tabs>
    </w:pPr>
  </w:style>
  <w:style w:type="paragraph" w:customStyle="1" w:styleId="BodyHeading2">
    <w:name w:val="_BodyHeading2"/>
    <w:basedOn w:val="BodyHeading1"/>
    <w:rsid w:val="00E72752"/>
    <w:pPr>
      <w:pageBreakBefore w:val="0"/>
      <w:spacing w:before="200" w:after="60"/>
      <w:ind w:left="431" w:hanging="431"/>
    </w:pPr>
    <w:rPr>
      <w:color w:val="000000"/>
      <w:sz w:val="22"/>
    </w:rPr>
  </w:style>
  <w:style w:type="paragraph" w:customStyle="1" w:styleId="BodyHeading3">
    <w:name w:val="_BodyHeading3"/>
    <w:basedOn w:val="BodyHeading2"/>
    <w:next w:val="Body"/>
    <w:rsid w:val="00E72752"/>
    <w:pPr>
      <w:ind w:left="578" w:hanging="578"/>
    </w:pPr>
    <w:rPr>
      <w:color w:val="003591"/>
      <w:sz w:val="18"/>
    </w:rPr>
  </w:style>
  <w:style w:type="paragraph" w:customStyle="1" w:styleId="BodyHeading4">
    <w:name w:val="_BodyHeading4"/>
    <w:basedOn w:val="BodyHeading3"/>
    <w:rsid w:val="00E72752"/>
    <w:rPr>
      <w:lang w:val="en-GB" w:eastAsia="ja-JP"/>
    </w:rPr>
  </w:style>
  <w:style w:type="paragraph" w:customStyle="1" w:styleId="BodyHeading5">
    <w:name w:val="_BodyHeading5"/>
    <w:basedOn w:val="BodyHeading2"/>
    <w:rsid w:val="00E72752"/>
    <w:rPr>
      <w:lang w:val="en-GB" w:eastAsia="ja-JP"/>
    </w:rPr>
  </w:style>
  <w:style w:type="paragraph" w:customStyle="1" w:styleId="Appendix">
    <w:name w:val="_Appendix"/>
    <w:basedOn w:val="BodyHeading1"/>
    <w:rsid w:val="00E72752"/>
  </w:style>
  <w:style w:type="paragraph" w:customStyle="1" w:styleId="BodyHeadingA">
    <w:name w:val="_BodyHeadingA"/>
    <w:basedOn w:val="BodyHeading"/>
    <w:rsid w:val="00E72752"/>
  </w:style>
  <w:style w:type="paragraph" w:customStyle="1" w:styleId="TOCHeading1">
    <w:name w:val="TOC Heading1"/>
    <w:basedOn w:val="Heading1"/>
    <w:next w:val="Normal"/>
    <w:rsid w:val="00E72752"/>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E72752"/>
    <w:rPr>
      <w:sz w:val="5"/>
    </w:rPr>
  </w:style>
  <w:style w:type="paragraph" w:customStyle="1" w:styleId="Tablealphabullet">
    <w:name w:val="_Table alpha bullet"/>
    <w:basedOn w:val="TableBullet"/>
    <w:rsid w:val="00E72752"/>
    <w:pPr>
      <w:numPr>
        <w:numId w:val="0"/>
      </w:numPr>
      <w:tabs>
        <w:tab w:val="clear" w:pos="567"/>
        <w:tab w:val="left" w:pos="709"/>
      </w:tabs>
    </w:pPr>
  </w:style>
  <w:style w:type="paragraph" w:customStyle="1" w:styleId="SWNumbered1bluebold">
    <w:name w:val="SW Numbered 1 blue bold"/>
    <w:basedOn w:val="Normal"/>
    <w:rsid w:val="00E72752"/>
    <w:pPr>
      <w:spacing w:before="200" w:line="264" w:lineRule="auto"/>
    </w:pPr>
    <w:rPr>
      <w:rFonts w:ascii="Arial" w:hAnsi="Arial" w:cs="Arial"/>
      <w:b/>
      <w:color w:val="000000" w:themeColor="text2"/>
      <w:szCs w:val="20"/>
      <w:lang w:eastAsia="zh-CN"/>
    </w:rPr>
  </w:style>
  <w:style w:type="paragraph" w:customStyle="1" w:styleId="SWTableheaderrow-white">
    <w:name w:val="SW Table header row - white"/>
    <w:basedOn w:val="Normal"/>
    <w:next w:val="Normal"/>
    <w:rsid w:val="00E72752"/>
    <w:pPr>
      <w:spacing w:before="40" w:after="40"/>
    </w:pPr>
    <w:rPr>
      <w:rFonts w:ascii="Arial" w:hAnsi="Arial" w:cs="ArialMT"/>
      <w:b/>
      <w:color w:val="FFFFFF" w:themeColor="background1"/>
      <w:sz w:val="20"/>
      <w:szCs w:val="20"/>
    </w:rPr>
  </w:style>
  <w:style w:type="character" w:customStyle="1" w:styleId="SWHeading-pageheadingChar">
    <w:name w:val="SW Heading - page heading Char"/>
    <w:basedOn w:val="DefaultParagraphFont"/>
    <w:link w:val="SWHeading-pageheading"/>
    <w:locked/>
    <w:rsid w:val="00E72752"/>
    <w:rPr>
      <w:rFonts w:ascii="Calibri" w:hAnsi="Calibri" w:cstheme="majorHAnsi"/>
      <w:b/>
      <w:bCs/>
      <w:color w:val="000000" w:themeColor="text2"/>
      <w:sz w:val="56"/>
      <w:szCs w:val="56"/>
    </w:rPr>
  </w:style>
  <w:style w:type="paragraph" w:customStyle="1" w:styleId="SWHeading-pageheading">
    <w:name w:val="SW Heading - page heading"/>
    <w:basedOn w:val="Normal"/>
    <w:next w:val="Normal"/>
    <w:link w:val="SWHeading-pageheadingChar"/>
    <w:rsid w:val="00E72752"/>
    <w:pPr>
      <w:spacing w:before="240" w:after="360" w:line="600" w:lineRule="atLeast"/>
      <w:outlineLvl w:val="0"/>
    </w:pPr>
    <w:rPr>
      <w:rFonts w:ascii="Calibri" w:hAnsi="Calibri" w:cstheme="majorHAnsi"/>
      <w:b/>
      <w:bCs/>
      <w:color w:val="000000" w:themeColor="text2"/>
      <w:sz w:val="56"/>
      <w:szCs w:val="56"/>
    </w:rPr>
  </w:style>
  <w:style w:type="character" w:styleId="CommentReference">
    <w:name w:val="annotation reference"/>
    <w:basedOn w:val="DefaultParagraphFont"/>
    <w:uiPriority w:val="99"/>
    <w:semiHidden/>
    <w:unhideWhenUsed/>
    <w:rsid w:val="00E72752"/>
    <w:rPr>
      <w:sz w:val="16"/>
      <w:szCs w:val="16"/>
    </w:rPr>
  </w:style>
  <w:style w:type="character" w:customStyle="1" w:styleId="resizable-content">
    <w:name w:val="resizable-content"/>
    <w:rsid w:val="00E72752"/>
    <w:rPr>
      <w:rFonts w:ascii="Times New Roman" w:hAnsi="Times New Roman" w:cs="Times New Roman" w:hint="default"/>
    </w:rPr>
  </w:style>
  <w:style w:type="character" w:customStyle="1" w:styleId="UnresolvedMention1">
    <w:name w:val="Unresolved Mention1"/>
    <w:basedOn w:val="DefaultParagraphFont"/>
    <w:uiPriority w:val="99"/>
    <w:semiHidden/>
    <w:rsid w:val="00E72752"/>
    <w:rPr>
      <w:color w:val="808080"/>
      <w:shd w:val="clear" w:color="auto" w:fill="E6E6E6"/>
    </w:rPr>
  </w:style>
  <w:style w:type="paragraph" w:customStyle="1" w:styleId="Subheading">
    <w:name w:val="Sub heading"/>
    <w:basedOn w:val="TitleHeading"/>
    <w:semiHidden/>
    <w:rsid w:val="00E72752"/>
    <w:pPr>
      <w:spacing w:after="240"/>
      <w:ind w:left="-68"/>
    </w:pPr>
    <w:rPr>
      <w:sz w:val="38"/>
    </w:rPr>
  </w:style>
  <w:style w:type="table" w:styleId="GridTable1Light">
    <w:name w:val="Grid Table 1 Light"/>
    <w:basedOn w:val="TableNormal"/>
    <w:uiPriority w:val="46"/>
    <w:rsid w:val="00237144"/>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B47FE3"/>
    <w:rPr>
      <w:color w:val="605E5C"/>
      <w:shd w:val="clear" w:color="auto" w:fill="E1DFDD"/>
    </w:rPr>
  </w:style>
  <w:style w:type="character" w:styleId="Mention">
    <w:name w:val="Mention"/>
    <w:basedOn w:val="DefaultParagraphFont"/>
    <w:uiPriority w:val="99"/>
    <w:unhideWhenUsed/>
    <w:rsid w:val="00A74E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about-ato/new-legislation/in-detail/superannuation/first-home-super-saver-scheme-technical-changes" TargetMode="External"/><Relationship Id="rId18" Type="http://schemas.openxmlformats.org/officeDocument/2006/relationships/hyperlink" Target="https://www.cpaaustralia.com.au/tools-and-resources/taxation/2022-year-end-tax-resources" TargetMode="External"/><Relationship Id="rId3" Type="http://schemas.openxmlformats.org/officeDocument/2006/relationships/customXml" Target="../customXml/item3.xml"/><Relationship Id="rId21" Type="http://schemas.openxmlformats.org/officeDocument/2006/relationships/hyperlink" Target="https://www.ato.gov.au/about-ato/commitments-and-reporting/in-detail/privacy-and-information-gathering/data-matching-protocols" TargetMode="Externa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hyperlink" Target="https://www.cpaaustralia.com.au/tools-and-resources/taxation/tax-time-year-end-updates-and-resources/checkli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aaustralia.com.au/tools-and-resources/taxation/tax-time-year-end-updates-and-resources/checklists" TargetMode="External"/><Relationship Id="rId20" Type="http://schemas.openxmlformats.org/officeDocument/2006/relationships/hyperlink" Target="https://www.cpaaustralia.com.au/tools-and-resources/taxation/tax-time-year-end-updates-and-resources/checkl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aaustralia.com.au/professional-resources/taxation/trus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aaustralia.com.au/tools-and-resources/taxation/tax-time-year-end-updates-and-resources/check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ofessional-resources/taxation/trus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20" ma:contentTypeDescription="Create a new document." ma:contentTypeScope="" ma:versionID="2d7e3a908ce32eb5d58f4072e72ddf18">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2951e34781cf4ade76bb575959e50a8e"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BD846A32-B6AF-45B6-9BFE-23FD7333D22E}">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3.xml><?xml version="1.0" encoding="utf-8"?>
<ds:datastoreItem xmlns:ds="http://schemas.openxmlformats.org/officeDocument/2006/customXml" ds:itemID="{19C608D4-8F5C-4297-9C87-1A429732AAE8}">
  <ds:schemaRefs>
    <ds:schemaRef ds:uri="http://schemas.microsoft.com/sharepoint/v3/contenttype/forms"/>
  </ds:schemaRefs>
</ds:datastoreItem>
</file>

<file path=customXml/itemProps4.xml><?xml version="1.0" encoding="utf-8"?>
<ds:datastoreItem xmlns:ds="http://schemas.openxmlformats.org/officeDocument/2006/customXml" ds:itemID="{F59CB592-BAF1-447A-92A0-0164B556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TotalTime>
  <Pages>35</Pages>
  <Words>14738</Words>
  <Characters>84012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Neville Birthisel</cp:lastModifiedBy>
  <cp:revision>3</cp:revision>
  <dcterms:created xsi:type="dcterms:W3CDTF">2024-06-12T03:11:00Z</dcterms:created>
  <dcterms:modified xsi:type="dcterms:W3CDTF">2024-06-12T03:12:00Z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