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567D" w14:textId="77777777" w:rsidR="007B6971" w:rsidRDefault="007B6971" w:rsidP="007B6971">
      <w:pPr>
        <w:adjustRightInd w:val="0"/>
        <w:snapToGrid w:val="0"/>
        <w:spacing w:line="276" w:lineRule="auto"/>
        <w:rPr>
          <w:rFonts w:ascii="Arial" w:hAnsi="Arial" w:cs="Arial"/>
          <w:sz w:val="20"/>
        </w:rPr>
      </w:pPr>
      <w:r>
        <w:rPr>
          <w:rFonts w:ascii="Arial" w:hAnsi="Arial" w:cs="Arial"/>
          <w:sz w:val="20"/>
          <w:highlight w:val="lightGray"/>
        </w:rPr>
        <w:t>[</w:t>
      </w:r>
      <w:r w:rsidRPr="00B75A9C">
        <w:rPr>
          <w:rFonts w:ascii="Arial" w:hAnsi="Arial" w:cs="Arial"/>
          <w:sz w:val="20"/>
          <w:highlight w:val="lightGray"/>
        </w:rPr>
        <w:t>Insert DD month YYYY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7B6971" w14:paraId="1DFEDAFD" w14:textId="77777777" w:rsidTr="00EB43E2">
        <w:tc>
          <w:tcPr>
            <w:tcW w:w="9289" w:type="dxa"/>
            <w:tcBorders>
              <w:top w:val="nil"/>
              <w:left w:val="nil"/>
              <w:bottom w:val="nil"/>
              <w:right w:val="nil"/>
            </w:tcBorders>
          </w:tcPr>
          <w:p w14:paraId="24B3BA4D" w14:textId="77777777" w:rsidR="007B6971" w:rsidRDefault="007B6971" w:rsidP="00EB43E2">
            <w:pPr>
              <w:adjustRightInd w:val="0"/>
              <w:snapToGrid w:val="0"/>
              <w:spacing w:line="276" w:lineRule="auto"/>
              <w:rPr>
                <w:rFonts w:ascii="Arial" w:hAnsi="Arial" w:cs="Arial"/>
                <w:b/>
                <w:bCs/>
                <w:sz w:val="20"/>
              </w:rPr>
            </w:pPr>
            <w:bookmarkStart w:id="0" w:name="Confidential"/>
            <w:bookmarkEnd w:id="0"/>
          </w:p>
        </w:tc>
      </w:tr>
    </w:tbl>
    <w:p w14:paraId="5523EC88" w14:textId="77777777" w:rsidR="007B6971" w:rsidRDefault="007B6971" w:rsidP="007B6971">
      <w:pPr>
        <w:adjustRightInd w:val="0"/>
        <w:snapToGrid w:val="0"/>
        <w:spacing w:line="276" w:lineRule="auto"/>
        <w:jc w:val="left"/>
        <w:rPr>
          <w:rFonts w:ascii="Arial" w:hAnsi="Arial" w:cs="Arial"/>
          <w:sz w:val="20"/>
        </w:rPr>
      </w:pPr>
      <w:bookmarkStart w:id="1" w:name="Name1"/>
      <w:bookmarkEnd w:id="1"/>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5E360854" w14:textId="77777777" w:rsidR="007B6971" w:rsidRDefault="007B6971" w:rsidP="007B6971">
      <w:pPr>
        <w:adjustRightInd w:val="0"/>
        <w:snapToGrid w:val="0"/>
        <w:spacing w:line="276" w:lineRule="auto"/>
        <w:jc w:val="left"/>
        <w:rPr>
          <w:rFonts w:ascii="Arial" w:hAnsi="Arial" w:cs="Arial"/>
          <w:sz w:val="20"/>
        </w:rPr>
      </w:pPr>
      <w:bookmarkStart w:id="2" w:name="Position"/>
      <w:bookmarkEnd w:id="2"/>
      <w:r>
        <w:rPr>
          <w:rFonts w:ascii="Arial" w:hAnsi="Arial" w:cs="Arial"/>
          <w:sz w:val="20"/>
        </w:rPr>
        <w:t>[</w:t>
      </w:r>
      <w:r w:rsidRPr="00B75A9C">
        <w:rPr>
          <w:rFonts w:ascii="Arial" w:hAnsi="Arial" w:cs="Arial"/>
          <w:sz w:val="20"/>
          <w:highlight w:val="lightGray"/>
        </w:rPr>
        <w:t>Insert client position</w:t>
      </w:r>
      <w:r>
        <w:rPr>
          <w:rFonts w:ascii="Arial" w:hAnsi="Arial" w:cs="Arial"/>
          <w:sz w:val="20"/>
        </w:rPr>
        <w:t>]</w:t>
      </w:r>
    </w:p>
    <w:p w14:paraId="59EA6012" w14:textId="77777777" w:rsidR="007B6971" w:rsidRDefault="007B6971" w:rsidP="007B6971">
      <w:pPr>
        <w:adjustRightInd w:val="0"/>
        <w:snapToGrid w:val="0"/>
        <w:spacing w:line="276" w:lineRule="auto"/>
        <w:jc w:val="left"/>
        <w:rPr>
          <w:rFonts w:ascii="Arial" w:hAnsi="Arial" w:cs="Arial"/>
          <w:sz w:val="20"/>
        </w:rPr>
      </w:pPr>
      <w:bookmarkStart w:id="3" w:name="Company1"/>
      <w:bookmarkEnd w:id="3"/>
      <w:r w:rsidRPr="00B75A9C">
        <w:rPr>
          <w:rFonts w:ascii="Arial" w:hAnsi="Arial" w:cs="Arial"/>
          <w:sz w:val="20"/>
          <w:highlight w:val="lightGray"/>
        </w:rPr>
        <w:t>[Insert company name</w:t>
      </w:r>
      <w:r>
        <w:rPr>
          <w:rFonts w:ascii="Arial" w:hAnsi="Arial" w:cs="Arial"/>
          <w:sz w:val="20"/>
        </w:rPr>
        <w:t>]</w:t>
      </w:r>
    </w:p>
    <w:p w14:paraId="0F747F6A" w14:textId="77777777" w:rsidR="007B6971" w:rsidRDefault="007B6971" w:rsidP="007B6971">
      <w:pPr>
        <w:adjustRightInd w:val="0"/>
        <w:snapToGrid w:val="0"/>
        <w:spacing w:line="276" w:lineRule="auto"/>
        <w:jc w:val="left"/>
        <w:rPr>
          <w:rFonts w:ascii="Arial" w:hAnsi="Arial" w:cs="Arial"/>
          <w:sz w:val="20"/>
        </w:rPr>
      </w:pPr>
      <w:bookmarkStart w:id="4" w:name="Address1"/>
      <w:bookmarkEnd w:id="4"/>
      <w:r>
        <w:rPr>
          <w:rFonts w:ascii="Arial" w:hAnsi="Arial" w:cs="Arial"/>
          <w:sz w:val="20"/>
        </w:rPr>
        <w:t>[</w:t>
      </w:r>
      <w:r w:rsidRPr="00B75A9C">
        <w:rPr>
          <w:rFonts w:ascii="Arial" w:hAnsi="Arial" w:cs="Arial"/>
          <w:sz w:val="20"/>
          <w:highlight w:val="lightGray"/>
        </w:rPr>
        <w:t>Insert client address</w:t>
      </w:r>
      <w:r>
        <w:rPr>
          <w:rFonts w:ascii="Arial" w:hAnsi="Arial" w:cs="Arial"/>
          <w:sz w:val="20"/>
        </w:rPr>
        <w:t>]</w:t>
      </w:r>
    </w:p>
    <w:p w14:paraId="0348B611" w14:textId="77777777" w:rsidR="007B6971" w:rsidRDefault="007B6971" w:rsidP="007B6971">
      <w:pPr>
        <w:adjustRightInd w:val="0"/>
        <w:snapToGrid w:val="0"/>
        <w:spacing w:line="276" w:lineRule="auto"/>
        <w:jc w:val="left"/>
        <w:rPr>
          <w:rFonts w:ascii="Arial" w:hAnsi="Arial" w:cs="Arial"/>
          <w:sz w:val="20"/>
        </w:rPr>
      </w:pPr>
      <w:bookmarkStart w:id="5" w:name="Suburb"/>
      <w:bookmarkEnd w:id="5"/>
      <w:r>
        <w:rPr>
          <w:rFonts w:ascii="Arial" w:hAnsi="Arial" w:cs="Arial"/>
          <w:sz w:val="20"/>
        </w:rPr>
        <w:t>[</w:t>
      </w:r>
      <w:smartTag w:uri="urn:schemas-microsoft-com:office:smarttags" w:element="PlaceName">
        <w:r w:rsidRPr="00B75A9C">
          <w:rPr>
            <w:rFonts w:ascii="Arial" w:hAnsi="Arial" w:cs="Arial"/>
            <w:sz w:val="20"/>
            <w:highlight w:val="lightGray"/>
          </w:rPr>
          <w:t>Suburb</w:t>
        </w:r>
      </w:smartTag>
      <w:r w:rsidRPr="00B75A9C">
        <w:rPr>
          <w:rFonts w:ascii="Arial" w:hAnsi="Arial" w:cs="Arial"/>
          <w:sz w:val="20"/>
          <w:highlight w:val="lightGray"/>
        </w:rPr>
        <w:t xml:space="preserve"> state </w:t>
      </w:r>
      <w:bookmarkStart w:id="6" w:name="PostCode"/>
      <w:bookmarkEnd w:id="6"/>
      <w:r w:rsidRPr="00B75A9C">
        <w:rPr>
          <w:rFonts w:ascii="Arial" w:hAnsi="Arial" w:cs="Arial"/>
          <w:sz w:val="20"/>
          <w:highlight w:val="lightGray"/>
        </w:rPr>
        <w:t>postcode</w:t>
      </w:r>
      <w:r>
        <w:rPr>
          <w:rFonts w:ascii="Arial" w:hAnsi="Arial" w:cs="Arial"/>
          <w:sz w:val="20"/>
        </w:rPr>
        <w:t>]</w:t>
      </w:r>
    </w:p>
    <w:p w14:paraId="177D5244" w14:textId="77777777" w:rsidR="007B6971" w:rsidRDefault="007B6971" w:rsidP="007B6971">
      <w:pPr>
        <w:adjustRightInd w:val="0"/>
        <w:snapToGrid w:val="0"/>
        <w:spacing w:line="276" w:lineRule="auto"/>
        <w:jc w:val="left"/>
        <w:rPr>
          <w:rFonts w:ascii="Arial" w:hAnsi="Arial" w:cs="Arial"/>
          <w:sz w:val="20"/>
        </w:rPr>
      </w:pPr>
    </w:p>
    <w:p w14:paraId="3DC9B500" w14:textId="77777777" w:rsidR="007B6971" w:rsidRDefault="007B6971" w:rsidP="007B6971">
      <w:pPr>
        <w:adjustRightInd w:val="0"/>
        <w:snapToGrid w:val="0"/>
        <w:spacing w:line="276" w:lineRule="auto"/>
        <w:jc w:val="left"/>
        <w:rPr>
          <w:rFonts w:ascii="Arial" w:hAnsi="Arial" w:cs="Arial"/>
          <w:bCs/>
          <w:sz w:val="20"/>
        </w:rPr>
      </w:pPr>
    </w:p>
    <w:p w14:paraId="7E31979D" w14:textId="77777777" w:rsidR="007B6971" w:rsidRDefault="007B6971" w:rsidP="007B6971">
      <w:pPr>
        <w:adjustRightInd w:val="0"/>
        <w:snapToGrid w:val="0"/>
        <w:spacing w:line="276" w:lineRule="auto"/>
        <w:jc w:val="left"/>
        <w:rPr>
          <w:rFonts w:ascii="Arial" w:hAnsi="Arial" w:cs="Arial"/>
          <w:sz w:val="20"/>
        </w:rPr>
      </w:pPr>
      <w:r>
        <w:rPr>
          <w:rFonts w:ascii="Arial" w:hAnsi="Arial" w:cs="Arial"/>
          <w:sz w:val="20"/>
        </w:rPr>
        <w:t xml:space="preserve">Dear </w:t>
      </w:r>
      <w:bookmarkStart w:id="7" w:name="Salutation"/>
      <w:bookmarkEnd w:id="7"/>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0EEA6854" w14:textId="77777777" w:rsidR="007B6971" w:rsidRPr="00B54446" w:rsidRDefault="007B6971" w:rsidP="007B6971">
      <w:pPr>
        <w:adjustRightInd w:val="0"/>
        <w:snapToGrid w:val="0"/>
        <w:spacing w:line="276" w:lineRule="auto"/>
        <w:jc w:val="left"/>
        <w:rPr>
          <w:rFonts w:ascii="Arial" w:eastAsiaTheme="minorEastAsia" w:hAnsi="Arial" w:cs="Arial"/>
          <w:sz w:val="20"/>
          <w:lang w:eastAsia="zh-CN"/>
        </w:rPr>
      </w:pPr>
    </w:p>
    <w:p w14:paraId="7357568A" w14:textId="0EA5AEAC" w:rsidR="007B6971" w:rsidRDefault="007B6971" w:rsidP="00EA73B6">
      <w:pPr>
        <w:adjustRightInd w:val="0"/>
        <w:snapToGrid w:val="0"/>
        <w:spacing w:line="276" w:lineRule="auto"/>
        <w:jc w:val="left"/>
        <w:rPr>
          <w:rFonts w:ascii="Arial" w:eastAsiaTheme="minorEastAsia" w:hAnsi="Arial" w:cs="Arial"/>
          <w:b/>
          <w:bCs/>
          <w:sz w:val="21"/>
          <w:szCs w:val="21"/>
          <w:lang w:eastAsia="zh-CN"/>
        </w:rPr>
      </w:pPr>
      <w:r w:rsidRPr="00B1361D">
        <w:rPr>
          <w:rFonts w:ascii="Arial" w:hAnsi="Arial" w:cs="Arial"/>
          <w:b/>
          <w:bCs/>
          <w:sz w:val="21"/>
          <w:szCs w:val="21"/>
        </w:rPr>
        <w:t>Re:</w:t>
      </w:r>
      <w:bookmarkStart w:id="8" w:name="Subject"/>
      <w:bookmarkEnd w:id="8"/>
      <w:r w:rsidR="008B0A8F">
        <w:rPr>
          <w:rFonts w:ascii="Arial" w:hAnsi="Arial" w:cs="Arial"/>
          <w:b/>
          <w:bCs/>
          <w:sz w:val="21"/>
          <w:szCs w:val="21"/>
        </w:rPr>
        <w:tab/>
      </w:r>
      <w:r>
        <w:rPr>
          <w:rFonts w:ascii="Arial" w:hAnsi="Arial" w:cs="Arial"/>
          <w:b/>
          <w:bCs/>
          <w:sz w:val="21"/>
          <w:szCs w:val="21"/>
        </w:rPr>
        <w:t>Significant Global Enti</w:t>
      </w:r>
      <w:r w:rsidR="00D50B0C">
        <w:rPr>
          <w:rFonts w:ascii="Arial" w:hAnsi="Arial" w:cs="Arial"/>
          <w:b/>
          <w:bCs/>
          <w:sz w:val="21"/>
          <w:szCs w:val="21"/>
        </w:rPr>
        <w:t>t</w:t>
      </w:r>
      <w:r w:rsidR="00E118DF">
        <w:rPr>
          <w:rFonts w:ascii="Arial" w:hAnsi="Arial" w:cs="Arial"/>
          <w:b/>
          <w:bCs/>
          <w:sz w:val="21"/>
          <w:szCs w:val="21"/>
        </w:rPr>
        <w:t>y</w:t>
      </w:r>
      <w:r w:rsidR="008B0A8F">
        <w:rPr>
          <w:rFonts w:ascii="Arial" w:hAnsi="Arial" w:cs="Arial"/>
          <w:b/>
          <w:bCs/>
          <w:sz w:val="21"/>
          <w:szCs w:val="21"/>
        </w:rPr>
        <w:t xml:space="preserve"> (SGE)</w:t>
      </w:r>
    </w:p>
    <w:p w14:paraId="04FED72E" w14:textId="77777777" w:rsidR="00D7253D" w:rsidRPr="00D7253D" w:rsidRDefault="00D7253D" w:rsidP="00EA73B6">
      <w:pPr>
        <w:adjustRightInd w:val="0"/>
        <w:snapToGrid w:val="0"/>
        <w:spacing w:line="276" w:lineRule="auto"/>
        <w:jc w:val="left"/>
        <w:rPr>
          <w:rFonts w:ascii="Arial" w:eastAsiaTheme="minorEastAsia" w:hAnsi="Arial" w:cs="Arial"/>
          <w:sz w:val="20"/>
          <w:lang w:eastAsia="zh-CN"/>
        </w:rPr>
      </w:pPr>
    </w:p>
    <w:p w14:paraId="302205A1" w14:textId="032D8CF2" w:rsidR="00235DB4" w:rsidRPr="00B01299" w:rsidRDefault="001E7914" w:rsidP="00EE5988">
      <w:pPr>
        <w:pStyle w:val="ListParagraph"/>
        <w:numPr>
          <w:ilvl w:val="0"/>
          <w:numId w:val="22"/>
        </w:numPr>
        <w:adjustRightInd w:val="0"/>
        <w:snapToGrid w:val="0"/>
        <w:spacing w:line="276" w:lineRule="auto"/>
        <w:ind w:left="426" w:hanging="426"/>
        <w:jc w:val="left"/>
        <w:rPr>
          <w:rFonts w:ascii="Arial" w:eastAsiaTheme="minorEastAsia" w:hAnsi="Arial" w:cs="Arial"/>
          <w:b/>
          <w:bCs/>
          <w:sz w:val="21"/>
          <w:szCs w:val="21"/>
          <w:lang w:eastAsia="zh-CN"/>
        </w:rPr>
      </w:pPr>
      <w:r w:rsidRPr="00F22B48">
        <w:rPr>
          <w:rFonts w:ascii="Arial" w:eastAsiaTheme="minorEastAsia" w:hAnsi="Arial" w:cs="Arial"/>
          <w:b/>
          <w:bCs/>
          <w:sz w:val="21"/>
          <w:szCs w:val="21"/>
          <w:lang w:eastAsia="zh-CN"/>
        </w:rPr>
        <w:t xml:space="preserve">Overview of </w:t>
      </w:r>
      <w:r w:rsidR="00235DB4" w:rsidRPr="00F22B48">
        <w:rPr>
          <w:rFonts w:ascii="Arial" w:eastAsiaTheme="minorEastAsia" w:hAnsi="Arial" w:cs="Arial" w:hint="eastAsia"/>
          <w:b/>
          <w:bCs/>
          <w:sz w:val="21"/>
          <w:szCs w:val="21"/>
          <w:lang w:eastAsia="zh-CN"/>
        </w:rPr>
        <w:t>SGE</w:t>
      </w:r>
    </w:p>
    <w:p w14:paraId="63F81139" w14:textId="4F395F3A" w:rsidR="00EA73B6" w:rsidRPr="00235DB4" w:rsidRDefault="00EA73B6" w:rsidP="00EA73B6">
      <w:pPr>
        <w:adjustRightInd w:val="0"/>
        <w:snapToGrid w:val="0"/>
        <w:spacing w:line="276" w:lineRule="auto"/>
        <w:jc w:val="left"/>
        <w:rPr>
          <w:rFonts w:ascii="Arial" w:eastAsiaTheme="minorEastAsia" w:hAnsi="Arial" w:cs="Arial"/>
          <w:b/>
          <w:bCs/>
          <w:sz w:val="21"/>
          <w:szCs w:val="21"/>
          <w:lang w:eastAsia="zh-CN"/>
        </w:rPr>
      </w:pPr>
    </w:p>
    <w:p w14:paraId="28072CBC" w14:textId="6281FA95" w:rsidR="000F43A4" w:rsidRDefault="001E7914" w:rsidP="002270A9">
      <w:pPr>
        <w:adjustRightInd w:val="0"/>
        <w:snapToGrid w:val="0"/>
        <w:spacing w:line="276" w:lineRule="auto"/>
        <w:jc w:val="left"/>
        <w:rPr>
          <w:rFonts w:ascii="Arial" w:hAnsi="Arial" w:cs="Arial"/>
          <w:bCs/>
          <w:sz w:val="20"/>
        </w:rPr>
      </w:pPr>
      <w:r>
        <w:rPr>
          <w:rFonts w:ascii="Arial" w:hAnsi="Arial" w:cs="Arial"/>
          <w:bCs/>
          <w:sz w:val="20"/>
        </w:rPr>
        <w:t xml:space="preserve">Pursuant to </w:t>
      </w:r>
      <w:r w:rsidR="00235DB4" w:rsidRPr="00E118DF">
        <w:rPr>
          <w:rFonts w:ascii="Arial" w:hAnsi="Arial" w:cs="Arial"/>
          <w:bCs/>
          <w:sz w:val="20"/>
        </w:rPr>
        <w:t>Subdivision</w:t>
      </w:r>
      <w:r w:rsidR="00A9306D">
        <w:rPr>
          <w:rFonts w:ascii="Arial" w:hAnsi="Arial" w:cs="Arial"/>
          <w:bCs/>
          <w:sz w:val="20"/>
        </w:rPr>
        <w:t xml:space="preserve"> </w:t>
      </w:r>
      <w:r w:rsidR="00235DB4" w:rsidRPr="00E118DF">
        <w:rPr>
          <w:rFonts w:ascii="Arial" w:hAnsi="Arial" w:cs="Arial"/>
          <w:bCs/>
          <w:sz w:val="20"/>
        </w:rPr>
        <w:t xml:space="preserve">960-U of </w:t>
      </w:r>
      <w:r w:rsidR="00EA73B6">
        <w:rPr>
          <w:rFonts w:ascii="Arial" w:hAnsi="Arial" w:cs="Arial"/>
          <w:bCs/>
          <w:sz w:val="20"/>
        </w:rPr>
        <w:t xml:space="preserve">the </w:t>
      </w:r>
      <w:r w:rsidR="00235DB4" w:rsidRPr="003A7D08">
        <w:rPr>
          <w:rFonts w:ascii="Arial" w:hAnsi="Arial" w:cs="Arial"/>
          <w:bCs/>
          <w:i/>
          <w:iCs/>
          <w:sz w:val="20"/>
        </w:rPr>
        <w:t>Income Tax Assessment Act 1997</w:t>
      </w:r>
      <w:r w:rsidR="00235DB4" w:rsidRPr="006C0F9B">
        <w:rPr>
          <w:rFonts w:ascii="Arial" w:hAnsi="Arial" w:cs="Arial"/>
          <w:bCs/>
          <w:sz w:val="20"/>
        </w:rPr>
        <w:t xml:space="preserve"> </w:t>
      </w:r>
      <w:r w:rsidR="00235DB4">
        <w:rPr>
          <w:rFonts w:ascii="Arial" w:hAnsi="Arial" w:cs="Arial"/>
          <w:bCs/>
          <w:sz w:val="20"/>
        </w:rPr>
        <w:t>(</w:t>
      </w:r>
      <w:r w:rsidR="00235DB4" w:rsidRPr="003A7D08">
        <w:rPr>
          <w:rFonts w:ascii="Arial" w:hAnsi="Arial" w:cs="Arial"/>
          <w:b/>
          <w:i/>
          <w:iCs/>
          <w:sz w:val="20"/>
        </w:rPr>
        <w:t>ITAA 1997</w:t>
      </w:r>
      <w:r w:rsidR="00235DB4" w:rsidRPr="00E118DF">
        <w:rPr>
          <w:rFonts w:ascii="Arial" w:hAnsi="Arial" w:cs="Arial"/>
          <w:bCs/>
          <w:sz w:val="20"/>
        </w:rPr>
        <w:t>)</w:t>
      </w:r>
      <w:r>
        <w:rPr>
          <w:rFonts w:ascii="Arial" w:hAnsi="Arial" w:cs="Arial"/>
          <w:bCs/>
          <w:sz w:val="20"/>
        </w:rPr>
        <w:t>, for income years commencing on or after 1 July 2019</w:t>
      </w:r>
      <w:r w:rsidR="00223A06">
        <w:rPr>
          <w:rStyle w:val="FootnoteReference"/>
          <w:rFonts w:ascii="Arial" w:hAnsi="Arial" w:cs="Arial"/>
          <w:bCs/>
          <w:sz w:val="20"/>
        </w:rPr>
        <w:footnoteReference w:id="2"/>
      </w:r>
      <w:r>
        <w:rPr>
          <w:rFonts w:ascii="Arial" w:hAnsi="Arial" w:cs="Arial"/>
          <w:bCs/>
          <w:sz w:val="20"/>
        </w:rPr>
        <w:t xml:space="preserve">, an entity is a </w:t>
      </w:r>
      <w:r w:rsidR="00BD5AA9" w:rsidRPr="00BD5AA9">
        <w:rPr>
          <w:rFonts w:ascii="Arial" w:hAnsi="Arial" w:cs="Arial"/>
          <w:bCs/>
          <w:sz w:val="20"/>
        </w:rPr>
        <w:t xml:space="preserve">Significant Global Entity </w:t>
      </w:r>
      <w:r w:rsidR="00BD5AA9">
        <w:rPr>
          <w:rFonts w:ascii="Arial" w:hAnsi="Arial" w:cs="Arial"/>
          <w:bCs/>
          <w:sz w:val="20"/>
        </w:rPr>
        <w:t>(</w:t>
      </w:r>
      <w:r w:rsidRPr="003A7D08">
        <w:rPr>
          <w:rFonts w:ascii="Arial" w:hAnsi="Arial" w:cs="Arial"/>
          <w:b/>
          <w:sz w:val="20"/>
        </w:rPr>
        <w:t>SGE</w:t>
      </w:r>
      <w:r w:rsidR="00BD5AA9">
        <w:rPr>
          <w:rFonts w:ascii="Arial" w:hAnsi="Arial" w:cs="Arial"/>
          <w:bCs/>
          <w:sz w:val="20"/>
        </w:rPr>
        <w:t>)</w:t>
      </w:r>
      <w:r>
        <w:rPr>
          <w:rFonts w:ascii="Arial" w:hAnsi="Arial" w:cs="Arial"/>
          <w:bCs/>
          <w:sz w:val="20"/>
        </w:rPr>
        <w:t xml:space="preserve"> for a period if it is any of the following</w:t>
      </w:r>
      <w:r w:rsidR="00C62D7D" w:rsidRPr="00C62D7D">
        <w:rPr>
          <w:rFonts w:ascii="Arial" w:hAnsi="Arial" w:cs="Arial"/>
          <w:bCs/>
          <w:sz w:val="20"/>
        </w:rPr>
        <w:t>:</w:t>
      </w:r>
    </w:p>
    <w:p w14:paraId="058064C6" w14:textId="092C74E5" w:rsidR="00EA73B6" w:rsidRPr="003A7D08" w:rsidRDefault="00EA73B6" w:rsidP="003A7D08">
      <w:pPr>
        <w:pStyle w:val="ListParagraph"/>
        <w:numPr>
          <w:ilvl w:val="0"/>
          <w:numId w:val="42"/>
        </w:numPr>
        <w:adjustRightInd w:val="0"/>
        <w:snapToGrid w:val="0"/>
        <w:spacing w:line="276" w:lineRule="auto"/>
        <w:jc w:val="left"/>
        <w:rPr>
          <w:rFonts w:ascii="Arial" w:eastAsiaTheme="minorEastAsia" w:hAnsi="Arial" w:cs="Arial"/>
          <w:bCs/>
          <w:sz w:val="20"/>
          <w:lang w:eastAsia="zh-CN"/>
        </w:rPr>
      </w:pPr>
      <w:r w:rsidRPr="003A7D08">
        <w:rPr>
          <w:rFonts w:ascii="Arial" w:hAnsi="Arial" w:cs="Arial"/>
          <w:bCs/>
          <w:sz w:val="20"/>
        </w:rPr>
        <w:t xml:space="preserve">a </w:t>
      </w:r>
      <w:r w:rsidR="001E7914" w:rsidRPr="003A7D08">
        <w:rPr>
          <w:rFonts w:ascii="Arial" w:hAnsi="Arial" w:cs="Arial"/>
          <w:bCs/>
          <w:sz w:val="20"/>
        </w:rPr>
        <w:t>Global</w:t>
      </w:r>
      <w:r w:rsidR="001E7914" w:rsidRPr="003A7D08">
        <w:rPr>
          <w:rFonts w:ascii="Arial" w:eastAsiaTheme="minorEastAsia" w:hAnsi="Arial" w:cs="Arial"/>
          <w:bCs/>
          <w:sz w:val="20"/>
          <w:lang w:eastAsia="zh-CN"/>
        </w:rPr>
        <w:t xml:space="preserve"> Parent Entity (</w:t>
      </w:r>
      <w:r w:rsidR="003D05E2" w:rsidRPr="003A7D08">
        <w:rPr>
          <w:rFonts w:ascii="Arial" w:eastAsiaTheme="minorEastAsia" w:hAnsi="Arial" w:cs="Arial"/>
          <w:b/>
          <w:sz w:val="20"/>
          <w:lang w:eastAsia="zh-CN"/>
        </w:rPr>
        <w:t>GPE</w:t>
      </w:r>
      <w:r w:rsidR="001E7914" w:rsidRPr="003A7D08">
        <w:rPr>
          <w:rFonts w:ascii="Arial" w:eastAsiaTheme="minorEastAsia" w:hAnsi="Arial" w:cs="Arial"/>
          <w:bCs/>
          <w:sz w:val="20"/>
          <w:lang w:eastAsia="zh-CN"/>
        </w:rPr>
        <w:t>)</w:t>
      </w:r>
      <w:r w:rsidRPr="003A7D08">
        <w:rPr>
          <w:rFonts w:ascii="Arial" w:eastAsiaTheme="minorEastAsia" w:hAnsi="Arial" w:cs="Arial"/>
          <w:bCs/>
          <w:sz w:val="20"/>
          <w:lang w:eastAsia="zh-CN"/>
        </w:rPr>
        <w:t xml:space="preserve"> with an annual global income of A$1</w:t>
      </w:r>
      <w:r w:rsidR="00A9306D">
        <w:rPr>
          <w:rFonts w:ascii="Arial" w:eastAsiaTheme="minorEastAsia" w:hAnsi="Arial" w:cs="Arial"/>
          <w:bCs/>
          <w:sz w:val="20"/>
          <w:lang w:eastAsia="zh-CN"/>
        </w:rPr>
        <w:t xml:space="preserve"> </w:t>
      </w:r>
      <w:r w:rsidRPr="003A7D08">
        <w:rPr>
          <w:rFonts w:ascii="Arial" w:eastAsiaTheme="minorEastAsia" w:hAnsi="Arial" w:cs="Arial"/>
          <w:bCs/>
          <w:sz w:val="20"/>
          <w:lang w:eastAsia="zh-CN"/>
        </w:rPr>
        <w:t>billion or more</w:t>
      </w:r>
    </w:p>
    <w:p w14:paraId="29A6B0C9" w14:textId="0F120B70" w:rsidR="00EA73B6" w:rsidRPr="00EA73B6" w:rsidRDefault="00EA73B6" w:rsidP="003A7D08">
      <w:pPr>
        <w:numPr>
          <w:ilvl w:val="0"/>
          <w:numId w:val="42"/>
        </w:numPr>
        <w:adjustRightInd w:val="0"/>
        <w:snapToGrid w:val="0"/>
        <w:spacing w:line="276" w:lineRule="auto"/>
        <w:jc w:val="left"/>
        <w:rPr>
          <w:rFonts w:ascii="Arial" w:eastAsiaTheme="minorEastAsia" w:hAnsi="Arial" w:cs="Arial"/>
          <w:bCs/>
          <w:sz w:val="20"/>
          <w:lang w:eastAsia="zh-CN"/>
        </w:rPr>
      </w:pPr>
      <w:r w:rsidRPr="00EA73B6">
        <w:rPr>
          <w:rFonts w:ascii="Arial" w:eastAsiaTheme="minorEastAsia" w:hAnsi="Arial" w:cs="Arial"/>
          <w:bCs/>
          <w:sz w:val="20"/>
          <w:lang w:eastAsia="zh-CN"/>
        </w:rPr>
        <w:t>a member of a group of entities consolidated for accounting purposes as a single group and one of the other group members is a GPE with an annual global income of A$1</w:t>
      </w:r>
      <w:r w:rsidR="00A9306D">
        <w:rPr>
          <w:rFonts w:ascii="Arial" w:eastAsiaTheme="minorEastAsia" w:hAnsi="Arial" w:cs="Arial"/>
          <w:bCs/>
          <w:sz w:val="20"/>
          <w:lang w:eastAsia="zh-CN"/>
        </w:rPr>
        <w:t xml:space="preserve"> </w:t>
      </w:r>
      <w:r w:rsidRPr="00EA73B6">
        <w:rPr>
          <w:rFonts w:ascii="Arial" w:eastAsiaTheme="minorEastAsia" w:hAnsi="Arial" w:cs="Arial"/>
          <w:bCs/>
          <w:sz w:val="20"/>
          <w:lang w:eastAsia="zh-CN"/>
        </w:rPr>
        <w:t xml:space="preserve">billion or </w:t>
      </w:r>
      <w:proofErr w:type="gramStart"/>
      <w:r w:rsidRPr="00EA73B6">
        <w:rPr>
          <w:rFonts w:ascii="Arial" w:eastAsiaTheme="minorEastAsia" w:hAnsi="Arial" w:cs="Arial"/>
          <w:bCs/>
          <w:sz w:val="20"/>
          <w:lang w:eastAsia="zh-CN"/>
        </w:rPr>
        <w:t>more</w:t>
      </w:r>
      <w:proofErr w:type="gramEnd"/>
    </w:p>
    <w:p w14:paraId="7AD8D2FA" w14:textId="404B6CBE" w:rsidR="00EA73B6" w:rsidRPr="00EA73B6" w:rsidRDefault="00EA73B6" w:rsidP="003A7D08">
      <w:pPr>
        <w:numPr>
          <w:ilvl w:val="0"/>
          <w:numId w:val="42"/>
        </w:numPr>
        <w:adjustRightInd w:val="0"/>
        <w:snapToGrid w:val="0"/>
        <w:spacing w:line="276" w:lineRule="auto"/>
        <w:jc w:val="left"/>
        <w:rPr>
          <w:rFonts w:ascii="Arial" w:eastAsiaTheme="minorEastAsia" w:hAnsi="Arial" w:cs="Arial"/>
          <w:bCs/>
          <w:sz w:val="20"/>
          <w:lang w:eastAsia="zh-CN"/>
        </w:rPr>
      </w:pPr>
      <w:r w:rsidRPr="00EA73B6">
        <w:rPr>
          <w:rFonts w:ascii="Arial" w:eastAsiaTheme="minorEastAsia" w:hAnsi="Arial" w:cs="Arial"/>
          <w:bCs/>
          <w:sz w:val="20"/>
          <w:lang w:eastAsia="zh-CN"/>
        </w:rPr>
        <w:t>a member of a notional listed company group and one of the other group members is a GPE with an annual global income of A$1</w:t>
      </w:r>
      <w:r w:rsidR="00A9306D">
        <w:rPr>
          <w:rFonts w:ascii="Arial" w:eastAsiaTheme="minorEastAsia" w:hAnsi="Arial" w:cs="Arial"/>
          <w:bCs/>
          <w:sz w:val="20"/>
          <w:lang w:eastAsia="zh-CN"/>
        </w:rPr>
        <w:t xml:space="preserve"> </w:t>
      </w:r>
      <w:r w:rsidRPr="00EA73B6">
        <w:rPr>
          <w:rFonts w:ascii="Arial" w:eastAsiaTheme="minorEastAsia" w:hAnsi="Arial" w:cs="Arial"/>
          <w:bCs/>
          <w:sz w:val="20"/>
          <w:lang w:eastAsia="zh-CN"/>
        </w:rPr>
        <w:t>billion or more.</w:t>
      </w:r>
    </w:p>
    <w:p w14:paraId="11230DCF" w14:textId="77777777" w:rsidR="00FF4612" w:rsidRDefault="00FF4612" w:rsidP="002270A9">
      <w:pPr>
        <w:adjustRightInd w:val="0"/>
        <w:snapToGrid w:val="0"/>
        <w:spacing w:line="276" w:lineRule="auto"/>
        <w:jc w:val="left"/>
        <w:rPr>
          <w:rFonts w:ascii="Arial" w:hAnsi="Arial" w:cs="Arial"/>
          <w:bCs/>
          <w:sz w:val="20"/>
        </w:rPr>
      </w:pPr>
    </w:p>
    <w:p w14:paraId="201651C0" w14:textId="36BF3EDE" w:rsidR="001E7914" w:rsidRPr="001E7914" w:rsidRDefault="001E7914" w:rsidP="003A7D08">
      <w:pPr>
        <w:pStyle w:val="SWBody"/>
        <w:spacing w:line="276" w:lineRule="auto"/>
        <w:rPr>
          <w:rFonts w:ascii="Arial" w:eastAsiaTheme="minorEastAsia" w:hAnsi="Arial"/>
          <w:bCs/>
          <w:sz w:val="20"/>
          <w:lang w:eastAsia="zh-CN"/>
        </w:rPr>
      </w:pPr>
      <w:r w:rsidRPr="001E7914">
        <w:rPr>
          <w:rFonts w:ascii="Arial" w:eastAsiaTheme="minorEastAsia" w:hAnsi="Arial"/>
          <w:bCs/>
          <w:sz w:val="20"/>
          <w:lang w:eastAsia="zh-CN"/>
        </w:rPr>
        <w:t xml:space="preserve">A </w:t>
      </w:r>
      <w:r w:rsidR="00FD02CD">
        <w:rPr>
          <w:rFonts w:ascii="Arial" w:eastAsiaTheme="minorEastAsia" w:hAnsi="Arial" w:hint="eastAsia"/>
          <w:bCs/>
          <w:sz w:val="20"/>
          <w:lang w:eastAsia="zh-CN"/>
        </w:rPr>
        <w:t>GPE</w:t>
      </w:r>
      <w:r w:rsidRPr="001E7914">
        <w:rPr>
          <w:rFonts w:ascii="Arial" w:eastAsiaTheme="minorEastAsia" w:hAnsi="Arial"/>
          <w:bCs/>
          <w:sz w:val="20"/>
          <w:lang w:eastAsia="zh-CN"/>
        </w:rPr>
        <w:t xml:space="preserve"> is an entity that is not controlled by another entity according to:</w:t>
      </w:r>
    </w:p>
    <w:p w14:paraId="39097019" w14:textId="4EE880F4" w:rsidR="002270A9" w:rsidRPr="001E7914" w:rsidRDefault="001E7914" w:rsidP="003A7D08">
      <w:pPr>
        <w:pStyle w:val="SWBody"/>
        <w:numPr>
          <w:ilvl w:val="0"/>
          <w:numId w:val="18"/>
        </w:numPr>
        <w:spacing w:line="276" w:lineRule="auto"/>
        <w:jc w:val="left"/>
        <w:rPr>
          <w:rFonts w:ascii="Arial" w:eastAsiaTheme="minorEastAsia" w:hAnsi="Arial"/>
          <w:bCs/>
          <w:sz w:val="20"/>
          <w:lang w:eastAsia="zh-CN"/>
        </w:rPr>
      </w:pPr>
      <w:r w:rsidRPr="001E7914">
        <w:rPr>
          <w:rFonts w:ascii="Arial" w:eastAsiaTheme="minorEastAsia" w:hAnsi="Arial"/>
          <w:bCs/>
          <w:sz w:val="20"/>
          <w:lang w:eastAsia="zh-CN"/>
        </w:rPr>
        <w:t>accounting principles; or</w:t>
      </w:r>
    </w:p>
    <w:p w14:paraId="3AFEF5C9" w14:textId="77777777" w:rsidR="001E7914" w:rsidRPr="002270A9" w:rsidRDefault="001E7914" w:rsidP="003A7D08">
      <w:pPr>
        <w:pStyle w:val="SWBody"/>
        <w:numPr>
          <w:ilvl w:val="0"/>
          <w:numId w:val="18"/>
        </w:numPr>
        <w:spacing w:line="276" w:lineRule="auto"/>
        <w:jc w:val="left"/>
        <w:rPr>
          <w:rFonts w:ascii="Arial" w:eastAsiaTheme="minorEastAsia" w:hAnsi="Arial"/>
          <w:bCs/>
          <w:sz w:val="20"/>
          <w:lang w:eastAsia="zh-CN"/>
        </w:rPr>
      </w:pPr>
      <w:r w:rsidRPr="002270A9">
        <w:rPr>
          <w:rFonts w:ascii="Arial" w:eastAsiaTheme="minorEastAsia" w:hAnsi="Arial"/>
          <w:bCs/>
          <w:sz w:val="20"/>
          <w:lang w:eastAsia="zh-CN"/>
        </w:rPr>
        <w:t>if accounting principles do not apply in relation to the entity – commercially accepted principles relating to accounting.</w:t>
      </w:r>
    </w:p>
    <w:p w14:paraId="5B993366" w14:textId="77777777" w:rsidR="001E7914" w:rsidRDefault="001E7914" w:rsidP="002270A9">
      <w:pPr>
        <w:adjustRightInd w:val="0"/>
        <w:snapToGrid w:val="0"/>
        <w:spacing w:line="276" w:lineRule="auto"/>
        <w:jc w:val="left"/>
        <w:rPr>
          <w:rFonts w:ascii="Arial" w:hAnsi="Arial" w:cs="Arial"/>
          <w:bCs/>
          <w:sz w:val="20"/>
        </w:rPr>
      </w:pPr>
    </w:p>
    <w:p w14:paraId="1D357219" w14:textId="0AB255B7" w:rsidR="00216A79" w:rsidRDefault="00216A79" w:rsidP="003A7D08">
      <w:pPr>
        <w:pStyle w:val="SWBody"/>
        <w:spacing w:line="276" w:lineRule="auto"/>
      </w:pPr>
      <w:r w:rsidRPr="00BD5AA9">
        <w:rPr>
          <w:rFonts w:ascii="Arial" w:hAnsi="Arial"/>
          <w:bCs/>
          <w:sz w:val="20"/>
        </w:rPr>
        <w:t xml:space="preserve">A GPE may be a single entity that does </w:t>
      </w:r>
      <w:r>
        <w:rPr>
          <w:rFonts w:ascii="Arial" w:hAnsi="Arial"/>
          <w:bCs/>
          <w:sz w:val="20"/>
        </w:rPr>
        <w:t xml:space="preserve">not </w:t>
      </w:r>
      <w:r w:rsidRPr="00BD5AA9">
        <w:rPr>
          <w:rFonts w:ascii="Arial" w:hAnsi="Arial"/>
          <w:bCs/>
          <w:sz w:val="20"/>
        </w:rPr>
        <w:t xml:space="preserve">control any other entities </w:t>
      </w:r>
      <w:r w:rsidR="00590B76">
        <w:rPr>
          <w:rFonts w:ascii="Arial" w:hAnsi="Arial"/>
          <w:bCs/>
          <w:sz w:val="20"/>
        </w:rPr>
        <w:t>and</w:t>
      </w:r>
      <w:r w:rsidRPr="00BD5AA9">
        <w:rPr>
          <w:rFonts w:ascii="Arial" w:hAnsi="Arial"/>
          <w:bCs/>
          <w:sz w:val="20"/>
        </w:rPr>
        <w:t xml:space="preserve"> it </w:t>
      </w:r>
      <w:r w:rsidR="00590B76">
        <w:rPr>
          <w:rFonts w:ascii="Arial" w:hAnsi="Arial"/>
          <w:bCs/>
          <w:sz w:val="20"/>
        </w:rPr>
        <w:t>can</w:t>
      </w:r>
      <w:r w:rsidRPr="00BD5AA9">
        <w:rPr>
          <w:rFonts w:ascii="Arial" w:hAnsi="Arial"/>
          <w:bCs/>
          <w:sz w:val="20"/>
        </w:rPr>
        <w:t xml:space="preserve"> be an individual.</w:t>
      </w:r>
    </w:p>
    <w:p w14:paraId="7543A6C6" w14:textId="77777777" w:rsidR="00216A79" w:rsidRDefault="00216A79" w:rsidP="002270A9">
      <w:pPr>
        <w:adjustRightInd w:val="0"/>
        <w:snapToGrid w:val="0"/>
        <w:spacing w:line="276" w:lineRule="auto"/>
        <w:jc w:val="left"/>
        <w:rPr>
          <w:rFonts w:ascii="Arial" w:hAnsi="Arial" w:cs="Arial"/>
          <w:bCs/>
          <w:sz w:val="20"/>
        </w:rPr>
      </w:pPr>
    </w:p>
    <w:p w14:paraId="4F811BBF" w14:textId="40011576" w:rsidR="0010332F" w:rsidRDefault="00FF4612" w:rsidP="002270A9">
      <w:pPr>
        <w:adjustRightInd w:val="0"/>
        <w:snapToGrid w:val="0"/>
        <w:spacing w:line="276" w:lineRule="auto"/>
        <w:rPr>
          <w:rFonts w:ascii="Arial" w:hAnsi="Arial" w:cs="Arial"/>
          <w:bCs/>
          <w:sz w:val="20"/>
        </w:rPr>
      </w:pPr>
      <w:r w:rsidRPr="00FF4612">
        <w:rPr>
          <w:rFonts w:ascii="Arial" w:hAnsi="Arial" w:cs="Arial"/>
          <w:bCs/>
          <w:sz w:val="20"/>
        </w:rPr>
        <w:t>A notional listed company group is a group of entities that would be required to be consolidated as a single group for accounting purposes if a member of that group were a listed company.</w:t>
      </w:r>
      <w:r w:rsidR="008F0266">
        <w:rPr>
          <w:rFonts w:ascii="Arial" w:hAnsi="Arial" w:cs="Arial"/>
          <w:bCs/>
          <w:sz w:val="20"/>
        </w:rPr>
        <w:t xml:space="preserve"> </w:t>
      </w:r>
      <w:r w:rsidR="0010332F" w:rsidRPr="0010332F">
        <w:rPr>
          <w:rFonts w:ascii="Arial" w:hAnsi="Arial" w:cs="Arial"/>
          <w:bCs/>
          <w:sz w:val="20"/>
        </w:rPr>
        <w:t>In determining whether an entity is an SGE due to its membership in a notional listed company group, exceptions to consolidation</w:t>
      </w:r>
      <w:r w:rsidR="002C05E0">
        <w:rPr>
          <w:rFonts w:ascii="Arial" w:eastAsiaTheme="minorEastAsia" w:hAnsi="Arial" w:cs="Arial" w:hint="eastAsia"/>
          <w:bCs/>
          <w:sz w:val="20"/>
          <w:lang w:eastAsia="zh-CN"/>
        </w:rPr>
        <w:t xml:space="preserve">, </w:t>
      </w:r>
      <w:r w:rsidR="002C05E0" w:rsidRPr="0008717F">
        <w:rPr>
          <w:rFonts w:ascii="Arial" w:hAnsi="Arial" w:cs="Arial"/>
          <w:bCs/>
          <w:sz w:val="20"/>
        </w:rPr>
        <w:t xml:space="preserve">such as those that may apply to investment entities </w:t>
      </w:r>
      <w:r w:rsidR="002C05E0" w:rsidRPr="0008717F">
        <w:rPr>
          <w:rFonts w:ascii="Arial" w:hAnsi="Arial" w:cs="Arial"/>
          <w:bCs/>
          <w:i/>
          <w:iCs/>
          <w:sz w:val="20"/>
        </w:rPr>
        <w:t>in</w:t>
      </w:r>
      <w:r w:rsidR="002C05E0" w:rsidRPr="0008717F">
        <w:rPr>
          <w:rFonts w:ascii="Arial" w:hAnsi="Arial" w:cs="Arial"/>
          <w:b/>
          <w:i/>
          <w:iCs/>
          <w:sz w:val="20"/>
        </w:rPr>
        <w:t xml:space="preserve"> </w:t>
      </w:r>
      <w:r w:rsidR="002C05E0" w:rsidRPr="003A7D08">
        <w:rPr>
          <w:rFonts w:ascii="Arial" w:hAnsi="Arial" w:cs="Arial"/>
          <w:bCs/>
          <w:sz w:val="20"/>
        </w:rPr>
        <w:t xml:space="preserve">Australian Accounting Standards </w:t>
      </w:r>
      <w:r w:rsidR="002C05E0" w:rsidRPr="003A7D08">
        <w:rPr>
          <w:rFonts w:ascii="Arial" w:eastAsiaTheme="minorEastAsia" w:hAnsi="Arial" w:cs="Arial"/>
          <w:bCs/>
          <w:sz w:val="20"/>
          <w:lang w:eastAsia="zh-CN"/>
        </w:rPr>
        <w:t>(</w:t>
      </w:r>
      <w:r w:rsidR="002C05E0" w:rsidRPr="003A7D08">
        <w:rPr>
          <w:rFonts w:ascii="Arial" w:hAnsi="Arial" w:cs="Arial"/>
          <w:b/>
          <w:sz w:val="20"/>
        </w:rPr>
        <w:t>AASB</w:t>
      </w:r>
      <w:r w:rsidR="002C05E0" w:rsidRPr="003A7D08">
        <w:rPr>
          <w:rFonts w:ascii="Arial" w:eastAsiaTheme="minorEastAsia" w:hAnsi="Arial" w:cs="Arial"/>
          <w:b/>
          <w:sz w:val="20"/>
          <w:lang w:eastAsia="zh-CN"/>
        </w:rPr>
        <w:t>)</w:t>
      </w:r>
      <w:r w:rsidR="002C05E0">
        <w:rPr>
          <w:rFonts w:ascii="Arial" w:eastAsiaTheme="minorEastAsia" w:hAnsi="Arial" w:cs="Arial" w:hint="eastAsia"/>
          <w:bCs/>
          <w:sz w:val="20"/>
          <w:lang w:eastAsia="zh-CN"/>
        </w:rPr>
        <w:t xml:space="preserve"> </w:t>
      </w:r>
      <w:r w:rsidR="002C05E0" w:rsidRPr="002C05E0">
        <w:rPr>
          <w:rFonts w:ascii="Arial" w:eastAsiaTheme="minorEastAsia" w:hAnsi="Arial" w:cs="Arial" w:hint="eastAsia"/>
          <w:bCs/>
          <w:sz w:val="20"/>
          <w:lang w:eastAsia="zh-CN"/>
        </w:rPr>
        <w:t>10</w:t>
      </w:r>
      <w:r w:rsidR="002C05E0" w:rsidRPr="003A7D08">
        <w:rPr>
          <w:rFonts w:ascii="Arial" w:eastAsiaTheme="minorEastAsia" w:hAnsi="Arial" w:cs="Arial"/>
          <w:bCs/>
          <w:i/>
          <w:iCs/>
          <w:sz w:val="20"/>
          <w:lang w:eastAsia="zh-CN"/>
        </w:rPr>
        <w:t xml:space="preserve"> </w:t>
      </w:r>
      <w:r w:rsidR="0010332F" w:rsidRPr="0010332F">
        <w:rPr>
          <w:rFonts w:ascii="Arial" w:hAnsi="Arial" w:cs="Arial"/>
          <w:bCs/>
          <w:sz w:val="20"/>
        </w:rPr>
        <w:t>must be disregarded, and entities considered immaterial under accounting rules must be included as members of the group.</w:t>
      </w:r>
    </w:p>
    <w:p w14:paraId="2CD99655" w14:textId="77777777" w:rsidR="00FF4612" w:rsidRDefault="00FF4612" w:rsidP="002270A9">
      <w:pPr>
        <w:adjustRightInd w:val="0"/>
        <w:snapToGrid w:val="0"/>
        <w:spacing w:line="276" w:lineRule="auto"/>
        <w:jc w:val="left"/>
        <w:rPr>
          <w:rFonts w:ascii="Arial" w:hAnsi="Arial" w:cs="Arial"/>
          <w:bCs/>
          <w:sz w:val="20"/>
        </w:rPr>
      </w:pPr>
    </w:p>
    <w:p w14:paraId="5C3CF8A4" w14:textId="77777777" w:rsidR="00FF4612" w:rsidRPr="00FF4612" w:rsidRDefault="00FF4612" w:rsidP="002270A9">
      <w:pPr>
        <w:adjustRightInd w:val="0"/>
        <w:snapToGrid w:val="0"/>
        <w:spacing w:line="276" w:lineRule="auto"/>
        <w:jc w:val="left"/>
        <w:rPr>
          <w:rFonts w:ascii="Arial" w:hAnsi="Arial" w:cs="Arial"/>
          <w:bCs/>
          <w:sz w:val="20"/>
        </w:rPr>
      </w:pPr>
      <w:r w:rsidRPr="00FF4612">
        <w:rPr>
          <w:rFonts w:ascii="Arial" w:hAnsi="Arial" w:cs="Arial"/>
          <w:bCs/>
          <w:sz w:val="20"/>
        </w:rPr>
        <w:t>An SGE can be a public or private company, a trust, a partnership or an individual. Further, the SGE definition covers:</w:t>
      </w:r>
    </w:p>
    <w:p w14:paraId="2A1B9E5F" w14:textId="77777777" w:rsidR="00FF4612" w:rsidRPr="003A7D08" w:rsidRDefault="00FF4612" w:rsidP="003A7D08">
      <w:pPr>
        <w:pStyle w:val="ListParagraph"/>
        <w:numPr>
          <w:ilvl w:val="0"/>
          <w:numId w:val="43"/>
        </w:numPr>
        <w:adjustRightInd w:val="0"/>
        <w:snapToGrid w:val="0"/>
        <w:spacing w:line="276" w:lineRule="auto"/>
        <w:jc w:val="left"/>
        <w:rPr>
          <w:rFonts w:ascii="Arial" w:hAnsi="Arial" w:cs="Arial"/>
          <w:bCs/>
          <w:sz w:val="20"/>
        </w:rPr>
      </w:pPr>
      <w:r w:rsidRPr="003A7D08">
        <w:rPr>
          <w:rFonts w:ascii="Arial" w:hAnsi="Arial" w:cs="Arial"/>
          <w:bCs/>
          <w:sz w:val="20"/>
        </w:rPr>
        <w:t>Australian-headquartered entities (with or without foreign operations)</w:t>
      </w:r>
    </w:p>
    <w:p w14:paraId="0097607B" w14:textId="77777777" w:rsidR="00FF4612" w:rsidRPr="003A7D08" w:rsidRDefault="00FF4612" w:rsidP="003A7D08">
      <w:pPr>
        <w:pStyle w:val="ListParagraph"/>
        <w:numPr>
          <w:ilvl w:val="0"/>
          <w:numId w:val="43"/>
        </w:numPr>
        <w:adjustRightInd w:val="0"/>
        <w:snapToGrid w:val="0"/>
        <w:spacing w:line="276" w:lineRule="auto"/>
        <w:jc w:val="left"/>
        <w:rPr>
          <w:rFonts w:ascii="Arial" w:hAnsi="Arial" w:cs="Arial"/>
          <w:bCs/>
          <w:sz w:val="20"/>
        </w:rPr>
      </w:pPr>
      <w:r w:rsidRPr="003A7D08">
        <w:rPr>
          <w:rFonts w:ascii="Arial" w:hAnsi="Arial" w:cs="Arial"/>
          <w:bCs/>
          <w:sz w:val="20"/>
        </w:rPr>
        <w:t>foreign-headquartered multinationals (with or without local operations).</w:t>
      </w:r>
    </w:p>
    <w:p w14:paraId="57AAB2DC" w14:textId="77777777" w:rsidR="00BD5AA9" w:rsidRDefault="00BD5AA9" w:rsidP="002270A9">
      <w:pPr>
        <w:adjustRightInd w:val="0"/>
        <w:snapToGrid w:val="0"/>
        <w:spacing w:line="276" w:lineRule="auto"/>
        <w:jc w:val="left"/>
        <w:rPr>
          <w:rFonts w:ascii="Arial" w:hAnsi="Arial" w:cs="Arial"/>
          <w:bCs/>
          <w:sz w:val="20"/>
        </w:rPr>
      </w:pPr>
    </w:p>
    <w:p w14:paraId="78FAA3CD" w14:textId="77777777" w:rsidR="00EE5988" w:rsidRPr="00BD5AA9" w:rsidRDefault="00EE5988" w:rsidP="003A7D08">
      <w:pPr>
        <w:pStyle w:val="SWBody"/>
        <w:spacing w:line="276" w:lineRule="auto"/>
        <w:rPr>
          <w:rFonts w:ascii="Arial" w:hAnsi="Arial"/>
          <w:bCs/>
          <w:sz w:val="20"/>
        </w:rPr>
      </w:pPr>
      <w:r w:rsidRPr="00BD5AA9">
        <w:rPr>
          <w:rFonts w:ascii="Arial" w:hAnsi="Arial"/>
          <w:bCs/>
          <w:sz w:val="20"/>
        </w:rPr>
        <w:t xml:space="preserve">An SGE is subject to specific provisions under </w:t>
      </w:r>
      <w:r w:rsidRPr="003A7D08">
        <w:rPr>
          <w:rFonts w:ascii="Arial" w:hAnsi="Arial"/>
          <w:bCs/>
          <w:i/>
          <w:iCs/>
          <w:sz w:val="20"/>
        </w:rPr>
        <w:t>ITAA 1997</w:t>
      </w:r>
      <w:r w:rsidRPr="00BD5AA9">
        <w:rPr>
          <w:rFonts w:ascii="Arial" w:hAnsi="Arial"/>
          <w:bCs/>
          <w:sz w:val="20"/>
        </w:rPr>
        <w:t>. These include:</w:t>
      </w:r>
    </w:p>
    <w:p w14:paraId="1C5407C5" w14:textId="065DE585" w:rsidR="00EE5988" w:rsidRPr="00BD5AA9" w:rsidRDefault="00EE5988" w:rsidP="003A7D08">
      <w:pPr>
        <w:pStyle w:val="SWBody"/>
        <w:numPr>
          <w:ilvl w:val="0"/>
          <w:numId w:val="44"/>
        </w:numPr>
        <w:spacing w:line="276" w:lineRule="auto"/>
        <w:jc w:val="left"/>
        <w:rPr>
          <w:rFonts w:ascii="Arial" w:hAnsi="Arial"/>
          <w:bCs/>
          <w:sz w:val="20"/>
        </w:rPr>
      </w:pPr>
      <w:r w:rsidRPr="00BD5AA9">
        <w:rPr>
          <w:rFonts w:ascii="Arial" w:hAnsi="Arial"/>
          <w:bCs/>
          <w:sz w:val="20"/>
        </w:rPr>
        <w:t>Multinational anti-avoidance law (</w:t>
      </w:r>
      <w:r w:rsidRPr="003A7D08">
        <w:rPr>
          <w:rFonts w:ascii="Arial" w:hAnsi="Arial"/>
          <w:b/>
          <w:sz w:val="20"/>
        </w:rPr>
        <w:t>MAAL</w:t>
      </w:r>
      <w:r w:rsidR="007956DF">
        <w:rPr>
          <w:rFonts w:ascii="Arial" w:hAnsi="Arial"/>
          <w:bCs/>
          <w:sz w:val="20"/>
        </w:rPr>
        <w:t>)</w:t>
      </w:r>
    </w:p>
    <w:p w14:paraId="5EBAC444" w14:textId="33C6ED20" w:rsidR="00EE5988" w:rsidRDefault="00EE5988" w:rsidP="003A7D08">
      <w:pPr>
        <w:pStyle w:val="SWBody"/>
        <w:numPr>
          <w:ilvl w:val="0"/>
          <w:numId w:val="44"/>
        </w:numPr>
        <w:spacing w:line="276" w:lineRule="auto"/>
        <w:jc w:val="left"/>
        <w:rPr>
          <w:rFonts w:ascii="Arial" w:hAnsi="Arial"/>
          <w:bCs/>
          <w:sz w:val="20"/>
        </w:rPr>
      </w:pPr>
      <w:r w:rsidRPr="00BD5AA9">
        <w:rPr>
          <w:rFonts w:ascii="Arial" w:hAnsi="Arial"/>
          <w:bCs/>
          <w:sz w:val="20"/>
        </w:rPr>
        <w:t>Diverted profits tax (</w:t>
      </w:r>
      <w:r w:rsidRPr="003A7D08">
        <w:rPr>
          <w:rFonts w:ascii="Arial" w:hAnsi="Arial"/>
          <w:b/>
          <w:sz w:val="20"/>
        </w:rPr>
        <w:t>DPT</w:t>
      </w:r>
      <w:r w:rsidRPr="00BD5AA9">
        <w:rPr>
          <w:rFonts w:ascii="Arial" w:hAnsi="Arial"/>
          <w:bCs/>
          <w:sz w:val="20"/>
        </w:rPr>
        <w:t>)</w:t>
      </w:r>
      <w:r w:rsidR="007956DF">
        <w:rPr>
          <w:rFonts w:ascii="Arial" w:hAnsi="Arial"/>
          <w:bCs/>
          <w:sz w:val="20"/>
        </w:rPr>
        <w:t xml:space="preserve"> </w:t>
      </w:r>
    </w:p>
    <w:p w14:paraId="0BC9EEFC" w14:textId="77777777" w:rsidR="00B72897" w:rsidRDefault="00B72897" w:rsidP="00B72897">
      <w:pPr>
        <w:pStyle w:val="SWBody"/>
        <w:spacing w:line="276" w:lineRule="auto"/>
        <w:jc w:val="left"/>
        <w:rPr>
          <w:rFonts w:ascii="Arial" w:hAnsi="Arial"/>
          <w:bCs/>
          <w:sz w:val="20"/>
        </w:rPr>
      </w:pPr>
    </w:p>
    <w:p w14:paraId="3FC44362" w14:textId="1D67D445" w:rsidR="00A52063" w:rsidRPr="007956DF" w:rsidRDefault="00B72897" w:rsidP="003A7D08">
      <w:pPr>
        <w:pStyle w:val="SWBody"/>
        <w:spacing w:line="276" w:lineRule="auto"/>
        <w:jc w:val="left"/>
        <w:rPr>
          <w:rFonts w:ascii="Arial" w:hAnsi="Arial"/>
          <w:bCs/>
          <w:sz w:val="20"/>
        </w:rPr>
      </w:pPr>
      <w:r>
        <w:rPr>
          <w:rFonts w:ascii="Arial" w:hAnsi="Arial"/>
          <w:bCs/>
          <w:sz w:val="20"/>
        </w:rPr>
        <w:t xml:space="preserve">An SGE </w:t>
      </w:r>
      <w:r w:rsidR="00BB1EB0">
        <w:rPr>
          <w:rFonts w:ascii="Arial" w:hAnsi="Arial"/>
          <w:bCs/>
          <w:sz w:val="20"/>
        </w:rPr>
        <w:t>is also subject to s</w:t>
      </w:r>
      <w:r w:rsidR="007956DF" w:rsidRPr="00BD5AA9">
        <w:rPr>
          <w:rFonts w:ascii="Arial" w:hAnsi="Arial"/>
          <w:bCs/>
          <w:sz w:val="20"/>
        </w:rPr>
        <w:t>ignificantly increased failure-to-lodge and administrative penalty regimes</w:t>
      </w:r>
      <w:r w:rsidR="00BB1EB0">
        <w:rPr>
          <w:rFonts w:ascii="Arial" w:hAnsi="Arial"/>
          <w:bCs/>
          <w:sz w:val="20"/>
        </w:rPr>
        <w:t>.</w:t>
      </w:r>
      <w:r w:rsidR="007956DF" w:rsidRPr="00BD5AA9">
        <w:rPr>
          <w:rFonts w:ascii="Arial" w:hAnsi="Arial"/>
          <w:bCs/>
          <w:sz w:val="20"/>
        </w:rPr>
        <w:t xml:space="preserve"> </w:t>
      </w:r>
    </w:p>
    <w:p w14:paraId="72529421" w14:textId="77777777" w:rsidR="00EC1222" w:rsidRDefault="00EC1222" w:rsidP="002270A9">
      <w:pPr>
        <w:pStyle w:val="SWBody"/>
        <w:spacing w:line="276" w:lineRule="auto"/>
        <w:rPr>
          <w:rFonts w:ascii="Arial" w:hAnsi="Arial"/>
          <w:bCs/>
          <w:sz w:val="20"/>
        </w:rPr>
      </w:pPr>
    </w:p>
    <w:p w14:paraId="583F1753" w14:textId="400AE42A" w:rsidR="00C51B41" w:rsidRPr="003A7D08" w:rsidRDefault="00BD5AA9" w:rsidP="003A7D08">
      <w:pPr>
        <w:pStyle w:val="SWBody"/>
        <w:spacing w:line="276" w:lineRule="auto"/>
        <w:rPr>
          <w:rFonts w:ascii="Arial" w:eastAsiaTheme="minorEastAsia" w:hAnsi="Arial"/>
          <w:bCs/>
          <w:sz w:val="20"/>
          <w:lang w:eastAsia="zh-CN"/>
        </w:rPr>
      </w:pPr>
      <w:r w:rsidRPr="00BD5AA9">
        <w:rPr>
          <w:rFonts w:ascii="Arial" w:hAnsi="Arial"/>
          <w:bCs/>
          <w:sz w:val="20"/>
        </w:rPr>
        <w:lastRenderedPageBreak/>
        <w:t xml:space="preserve">If an entity </w:t>
      </w:r>
      <w:r w:rsidR="00C51B41">
        <w:rPr>
          <w:rFonts w:ascii="Arial" w:eastAsiaTheme="minorEastAsia" w:hAnsi="Arial"/>
          <w:bCs/>
          <w:sz w:val="20"/>
          <w:lang w:eastAsia="zh-CN"/>
        </w:rPr>
        <w:t>qualifies</w:t>
      </w:r>
      <w:r w:rsidR="00C51B41">
        <w:rPr>
          <w:rFonts w:ascii="Arial" w:eastAsiaTheme="minorEastAsia" w:hAnsi="Arial" w:hint="eastAsia"/>
          <w:bCs/>
          <w:sz w:val="20"/>
          <w:lang w:eastAsia="zh-CN"/>
        </w:rPr>
        <w:t xml:space="preserve"> as an</w:t>
      </w:r>
      <w:r w:rsidRPr="00BD5AA9">
        <w:rPr>
          <w:rFonts w:ascii="Arial" w:hAnsi="Arial"/>
          <w:bCs/>
          <w:sz w:val="20"/>
        </w:rPr>
        <w:t xml:space="preserve"> SGE, it </w:t>
      </w:r>
      <w:r w:rsidR="00C51B41">
        <w:rPr>
          <w:rFonts w:ascii="Arial" w:eastAsiaTheme="minorEastAsia" w:hAnsi="Arial" w:hint="eastAsia"/>
          <w:bCs/>
          <w:sz w:val="20"/>
          <w:lang w:eastAsia="zh-CN"/>
        </w:rPr>
        <w:t>should</w:t>
      </w:r>
      <w:r w:rsidRPr="00BD5AA9">
        <w:rPr>
          <w:rFonts w:ascii="Arial" w:hAnsi="Arial"/>
          <w:bCs/>
          <w:sz w:val="20"/>
        </w:rPr>
        <w:t xml:space="preserve"> </w:t>
      </w:r>
      <w:r w:rsidR="008C493F">
        <w:rPr>
          <w:rFonts w:ascii="Arial" w:hAnsi="Arial"/>
          <w:bCs/>
          <w:sz w:val="20"/>
        </w:rPr>
        <w:t>also consider</w:t>
      </w:r>
      <w:r w:rsidR="00C51B41">
        <w:rPr>
          <w:rFonts w:ascii="Arial" w:eastAsiaTheme="minorEastAsia" w:hAnsi="Arial" w:hint="eastAsia"/>
          <w:bCs/>
          <w:sz w:val="20"/>
          <w:lang w:eastAsia="zh-CN"/>
        </w:rPr>
        <w:t xml:space="preserve"> if it qualifies as</w:t>
      </w:r>
      <w:r w:rsidRPr="00BD5AA9">
        <w:rPr>
          <w:rFonts w:ascii="Arial" w:hAnsi="Arial"/>
          <w:bCs/>
          <w:sz w:val="20"/>
        </w:rPr>
        <w:t xml:space="preserve"> a Country-by-Country (</w:t>
      </w:r>
      <w:proofErr w:type="spellStart"/>
      <w:r w:rsidRPr="003A7D08">
        <w:rPr>
          <w:rFonts w:ascii="Arial" w:hAnsi="Arial"/>
          <w:b/>
          <w:sz w:val="20"/>
        </w:rPr>
        <w:t>CbC</w:t>
      </w:r>
      <w:proofErr w:type="spellEnd"/>
      <w:r w:rsidRPr="00BD5AA9">
        <w:rPr>
          <w:rFonts w:ascii="Arial" w:hAnsi="Arial"/>
          <w:bCs/>
          <w:sz w:val="20"/>
        </w:rPr>
        <w:t>) reporting entity</w:t>
      </w:r>
      <w:r w:rsidR="00AC3E61">
        <w:rPr>
          <w:rFonts w:ascii="Arial" w:eastAsiaTheme="minorEastAsia" w:hAnsi="Arial" w:hint="eastAsia"/>
          <w:bCs/>
          <w:sz w:val="20"/>
          <w:lang w:eastAsia="zh-CN"/>
        </w:rPr>
        <w:t xml:space="preserve">, </w:t>
      </w:r>
      <w:r w:rsidRPr="00BD5AA9">
        <w:rPr>
          <w:rFonts w:ascii="Arial" w:hAnsi="Arial"/>
          <w:bCs/>
          <w:sz w:val="20"/>
        </w:rPr>
        <w:t>a subset of an SGE.</w:t>
      </w:r>
    </w:p>
    <w:p w14:paraId="4511D93E" w14:textId="77777777" w:rsidR="009F242D" w:rsidRPr="00EE5988" w:rsidRDefault="009F242D" w:rsidP="003A7D08">
      <w:pPr>
        <w:pStyle w:val="SWBody"/>
        <w:spacing w:line="276" w:lineRule="auto"/>
        <w:ind w:left="720"/>
        <w:rPr>
          <w:rFonts w:ascii="Arial" w:hAnsi="Arial"/>
          <w:bCs/>
          <w:sz w:val="20"/>
        </w:rPr>
      </w:pPr>
    </w:p>
    <w:p w14:paraId="606FCC0F" w14:textId="4850FBEA" w:rsidR="00EE5988" w:rsidRPr="00EE5988" w:rsidRDefault="00763277" w:rsidP="003A7D08">
      <w:pPr>
        <w:pStyle w:val="SWBody"/>
        <w:spacing w:line="276" w:lineRule="auto"/>
        <w:rPr>
          <w:rFonts w:ascii="Arial" w:hAnsi="Arial"/>
          <w:bCs/>
          <w:sz w:val="20"/>
        </w:rPr>
      </w:pPr>
      <w:r>
        <w:rPr>
          <w:rFonts w:ascii="Arial" w:hAnsi="Arial"/>
          <w:bCs/>
          <w:sz w:val="20"/>
        </w:rPr>
        <w:t>SGE e</w:t>
      </w:r>
      <w:r w:rsidR="00EE5988" w:rsidRPr="00EE5988">
        <w:rPr>
          <w:rFonts w:ascii="Arial" w:hAnsi="Arial"/>
          <w:bCs/>
          <w:sz w:val="20"/>
        </w:rPr>
        <w:t>ntities that are also C</w:t>
      </w:r>
      <w:r w:rsidR="009F242D">
        <w:rPr>
          <w:rFonts w:ascii="Arial" w:hAnsi="Arial"/>
          <w:bCs/>
          <w:sz w:val="20"/>
        </w:rPr>
        <w:t>b</w:t>
      </w:r>
      <w:r w:rsidR="00EE5988" w:rsidRPr="00EE5988">
        <w:rPr>
          <w:rFonts w:ascii="Arial" w:hAnsi="Arial"/>
          <w:bCs/>
          <w:sz w:val="20"/>
        </w:rPr>
        <w:t>C reporting entities may have:</w:t>
      </w:r>
    </w:p>
    <w:p w14:paraId="3BF449F8" w14:textId="5DB28ED6" w:rsidR="00EE5988" w:rsidRPr="00EE5988" w:rsidRDefault="00EE5988" w:rsidP="003A7D08">
      <w:pPr>
        <w:pStyle w:val="SWBody"/>
        <w:numPr>
          <w:ilvl w:val="0"/>
          <w:numId w:val="46"/>
        </w:numPr>
        <w:spacing w:line="276" w:lineRule="auto"/>
        <w:rPr>
          <w:rFonts w:ascii="Arial" w:hAnsi="Arial"/>
          <w:bCs/>
          <w:sz w:val="20"/>
        </w:rPr>
      </w:pPr>
      <w:proofErr w:type="spellStart"/>
      <w:r w:rsidRPr="00EE5988">
        <w:rPr>
          <w:rFonts w:ascii="Arial" w:hAnsi="Arial"/>
          <w:bCs/>
          <w:sz w:val="20"/>
        </w:rPr>
        <w:t>C</w:t>
      </w:r>
      <w:r w:rsidR="00CE4803">
        <w:rPr>
          <w:rFonts w:ascii="Arial" w:eastAsiaTheme="minorEastAsia" w:hAnsi="Arial" w:hint="eastAsia"/>
          <w:bCs/>
          <w:sz w:val="20"/>
          <w:lang w:eastAsia="zh-CN"/>
        </w:rPr>
        <w:t>b</w:t>
      </w:r>
      <w:r w:rsidRPr="00EE5988">
        <w:rPr>
          <w:rFonts w:ascii="Arial" w:hAnsi="Arial"/>
          <w:bCs/>
          <w:sz w:val="20"/>
        </w:rPr>
        <w:t>C</w:t>
      </w:r>
      <w:proofErr w:type="spellEnd"/>
      <w:r w:rsidRPr="00EE5988">
        <w:rPr>
          <w:rFonts w:ascii="Arial" w:hAnsi="Arial"/>
          <w:bCs/>
          <w:sz w:val="20"/>
        </w:rPr>
        <w:t xml:space="preserve"> reporting </w:t>
      </w:r>
      <w:r w:rsidR="00A9306D">
        <w:rPr>
          <w:rFonts w:ascii="Arial" w:hAnsi="Arial"/>
          <w:bCs/>
          <w:sz w:val="20"/>
        </w:rPr>
        <w:t>lodgement</w:t>
      </w:r>
      <w:r w:rsidR="002E7FA2">
        <w:rPr>
          <w:rFonts w:ascii="Arial" w:hAnsi="Arial"/>
          <w:bCs/>
          <w:sz w:val="20"/>
        </w:rPr>
        <w:t xml:space="preserve"> </w:t>
      </w:r>
      <w:proofErr w:type="gramStart"/>
      <w:r w:rsidRPr="00EE5988">
        <w:rPr>
          <w:rFonts w:ascii="Arial" w:hAnsi="Arial"/>
          <w:bCs/>
          <w:sz w:val="20"/>
        </w:rPr>
        <w:t>obligations</w:t>
      </w:r>
      <w:proofErr w:type="gramEnd"/>
    </w:p>
    <w:p w14:paraId="40177EFF" w14:textId="1A786A58" w:rsidR="00EE5988" w:rsidRPr="00EE5988" w:rsidRDefault="00CE4803" w:rsidP="003A7D08">
      <w:pPr>
        <w:pStyle w:val="SWBody"/>
        <w:numPr>
          <w:ilvl w:val="0"/>
          <w:numId w:val="46"/>
        </w:numPr>
        <w:spacing w:line="276" w:lineRule="auto"/>
        <w:rPr>
          <w:rFonts w:ascii="Arial" w:hAnsi="Arial"/>
          <w:bCs/>
          <w:sz w:val="20"/>
        </w:rPr>
      </w:pPr>
      <w:r w:rsidRPr="00F22B48">
        <w:rPr>
          <w:rFonts w:ascii="Arial" w:hAnsi="Arial"/>
          <w:sz w:val="20"/>
        </w:rPr>
        <w:t>general purchase financial statement (</w:t>
      </w:r>
      <w:r w:rsidRPr="003A7D08">
        <w:rPr>
          <w:rFonts w:ascii="Arial" w:hAnsi="Arial"/>
          <w:b/>
          <w:bCs/>
          <w:sz w:val="20"/>
        </w:rPr>
        <w:t>GPFS</w:t>
      </w:r>
      <w:r>
        <w:rPr>
          <w:rFonts w:ascii="Arial" w:eastAsiaTheme="minorEastAsia" w:hAnsi="Arial" w:hint="eastAsia"/>
          <w:sz w:val="20"/>
          <w:lang w:eastAsia="zh-CN"/>
        </w:rPr>
        <w:t>)</w:t>
      </w:r>
      <w:r w:rsidR="00EE5988" w:rsidRPr="00EE5988">
        <w:rPr>
          <w:rFonts w:ascii="Arial" w:hAnsi="Arial"/>
          <w:bCs/>
          <w:sz w:val="20"/>
        </w:rPr>
        <w:t xml:space="preserve"> </w:t>
      </w:r>
      <w:r w:rsidR="002E7FA2">
        <w:rPr>
          <w:rFonts w:ascii="Arial" w:hAnsi="Arial"/>
          <w:bCs/>
          <w:sz w:val="20"/>
        </w:rPr>
        <w:t xml:space="preserve">lodgment </w:t>
      </w:r>
      <w:r w:rsidR="00EE5988" w:rsidRPr="00EE5988">
        <w:rPr>
          <w:rFonts w:ascii="Arial" w:hAnsi="Arial"/>
          <w:bCs/>
          <w:sz w:val="20"/>
        </w:rPr>
        <w:t>obligation if they are a corporate tax entity.</w:t>
      </w:r>
    </w:p>
    <w:p w14:paraId="3A8014C0" w14:textId="77777777" w:rsidR="00FF4612" w:rsidRPr="00EA73B6" w:rsidRDefault="00FF4612" w:rsidP="002270A9">
      <w:pPr>
        <w:adjustRightInd w:val="0"/>
        <w:snapToGrid w:val="0"/>
        <w:spacing w:line="276" w:lineRule="auto"/>
        <w:jc w:val="left"/>
        <w:rPr>
          <w:rFonts w:ascii="Arial" w:hAnsi="Arial" w:cs="Arial"/>
          <w:bCs/>
          <w:sz w:val="20"/>
        </w:rPr>
      </w:pPr>
    </w:p>
    <w:p w14:paraId="2F5352E1" w14:textId="01262366" w:rsidR="00DE78C5" w:rsidRPr="00A92FDA" w:rsidRDefault="00A52063" w:rsidP="002270A9">
      <w:pPr>
        <w:pStyle w:val="ListParagraph"/>
        <w:numPr>
          <w:ilvl w:val="0"/>
          <w:numId w:val="22"/>
        </w:numPr>
        <w:adjustRightInd w:val="0"/>
        <w:snapToGrid w:val="0"/>
        <w:spacing w:line="276" w:lineRule="auto"/>
        <w:ind w:left="426" w:hanging="426"/>
        <w:jc w:val="left"/>
        <w:rPr>
          <w:rFonts w:ascii="Arial" w:eastAsiaTheme="minorEastAsia" w:hAnsi="Arial" w:cs="Arial"/>
          <w:b/>
          <w:bCs/>
          <w:sz w:val="21"/>
          <w:szCs w:val="21"/>
          <w:lang w:eastAsia="zh-CN"/>
        </w:rPr>
      </w:pPr>
      <w:r w:rsidRPr="00A92FDA">
        <w:rPr>
          <w:rFonts w:ascii="Arial" w:eastAsiaTheme="minorEastAsia" w:hAnsi="Arial" w:cs="Arial"/>
          <w:b/>
          <w:bCs/>
          <w:sz w:val="21"/>
          <w:szCs w:val="21"/>
          <w:lang w:eastAsia="zh-CN"/>
        </w:rPr>
        <w:t>CbC</w:t>
      </w:r>
      <w:r w:rsidR="005C1E62" w:rsidRPr="00A92FDA">
        <w:rPr>
          <w:rFonts w:ascii="Arial" w:eastAsiaTheme="minorEastAsia" w:hAnsi="Arial" w:cs="Arial"/>
          <w:b/>
          <w:bCs/>
          <w:sz w:val="21"/>
          <w:szCs w:val="21"/>
          <w:lang w:eastAsia="zh-CN"/>
        </w:rPr>
        <w:t xml:space="preserve"> Reporting</w:t>
      </w:r>
      <w:r w:rsidR="0072157E" w:rsidRPr="00A92FDA">
        <w:rPr>
          <w:rFonts w:ascii="Arial" w:eastAsiaTheme="minorEastAsia" w:hAnsi="Arial" w:cs="Arial"/>
          <w:b/>
          <w:bCs/>
          <w:sz w:val="21"/>
          <w:szCs w:val="21"/>
          <w:lang w:eastAsia="zh-CN"/>
        </w:rPr>
        <w:t xml:space="preserve"> </w:t>
      </w:r>
      <w:r w:rsidR="00130775" w:rsidRPr="00A92FDA">
        <w:rPr>
          <w:rFonts w:ascii="Arial" w:eastAsiaTheme="minorEastAsia" w:hAnsi="Arial" w:cs="Arial"/>
          <w:b/>
          <w:bCs/>
          <w:sz w:val="21"/>
          <w:szCs w:val="21"/>
          <w:lang w:eastAsia="zh-CN"/>
        </w:rPr>
        <w:t>Entities</w:t>
      </w:r>
    </w:p>
    <w:p w14:paraId="44B2984E" w14:textId="77777777" w:rsidR="0045369B" w:rsidRDefault="0045369B" w:rsidP="003A7D08">
      <w:pPr>
        <w:pStyle w:val="SWBody"/>
        <w:spacing w:line="276" w:lineRule="auto"/>
        <w:rPr>
          <w:rFonts w:ascii="Arial" w:hAnsi="Arial"/>
          <w:bCs/>
          <w:sz w:val="20"/>
        </w:rPr>
      </w:pPr>
    </w:p>
    <w:p w14:paraId="10EB2DAF" w14:textId="503F0E98" w:rsidR="005D7B9A" w:rsidRPr="003A7D08" w:rsidRDefault="005D7B9A" w:rsidP="003A7D08">
      <w:pPr>
        <w:pStyle w:val="SWBody"/>
        <w:spacing w:line="276" w:lineRule="auto"/>
        <w:rPr>
          <w:rFonts w:ascii="Arial" w:hAnsi="Arial"/>
          <w:bCs/>
          <w:sz w:val="20"/>
        </w:rPr>
      </w:pPr>
      <w:r w:rsidRPr="003A7D08">
        <w:rPr>
          <w:rFonts w:ascii="Arial" w:hAnsi="Arial"/>
          <w:bCs/>
          <w:sz w:val="20"/>
        </w:rPr>
        <w:t xml:space="preserve">A </w:t>
      </w:r>
      <w:proofErr w:type="spellStart"/>
      <w:r w:rsidRPr="003A7D08">
        <w:rPr>
          <w:rFonts w:ascii="Arial" w:hAnsi="Arial"/>
          <w:bCs/>
          <w:sz w:val="20"/>
        </w:rPr>
        <w:t>CbC</w:t>
      </w:r>
      <w:proofErr w:type="spellEnd"/>
      <w:r w:rsidRPr="003A7D08">
        <w:rPr>
          <w:rFonts w:ascii="Arial" w:hAnsi="Arial"/>
          <w:bCs/>
          <w:sz w:val="20"/>
        </w:rPr>
        <w:t xml:space="preserve"> reporting entity is defined in Subdivision 815-E of</w:t>
      </w:r>
      <w:r w:rsidRPr="003A7D08">
        <w:rPr>
          <w:rFonts w:ascii="Arial" w:hAnsi="Arial"/>
          <w:bCs/>
          <w:i/>
          <w:iCs/>
          <w:sz w:val="20"/>
        </w:rPr>
        <w:t xml:space="preserve"> </w:t>
      </w:r>
      <w:r w:rsidR="00160AA2" w:rsidRPr="003A7D08">
        <w:rPr>
          <w:rFonts w:ascii="Arial" w:hAnsi="Arial"/>
          <w:bCs/>
          <w:i/>
          <w:iCs/>
          <w:sz w:val="20"/>
        </w:rPr>
        <w:t xml:space="preserve">ITAA </w:t>
      </w:r>
      <w:r w:rsidRPr="003A7D08">
        <w:rPr>
          <w:rFonts w:ascii="Arial" w:hAnsi="Arial"/>
          <w:bCs/>
          <w:i/>
          <w:iCs/>
          <w:sz w:val="20"/>
        </w:rPr>
        <w:t>1997</w:t>
      </w:r>
      <w:r w:rsidRPr="003A7D08">
        <w:rPr>
          <w:rFonts w:ascii="Arial" w:hAnsi="Arial"/>
          <w:bCs/>
          <w:sz w:val="20"/>
        </w:rPr>
        <w:t xml:space="preserve"> if:</w:t>
      </w:r>
    </w:p>
    <w:p w14:paraId="29445CFB" w14:textId="77777777" w:rsidR="005D7B9A" w:rsidRPr="003A7D08" w:rsidRDefault="005D7B9A" w:rsidP="003A7D08">
      <w:pPr>
        <w:pStyle w:val="SWBody"/>
        <w:numPr>
          <w:ilvl w:val="0"/>
          <w:numId w:val="47"/>
        </w:numPr>
        <w:spacing w:line="276" w:lineRule="auto"/>
        <w:rPr>
          <w:rFonts w:ascii="Arial" w:hAnsi="Arial"/>
          <w:bCs/>
          <w:sz w:val="20"/>
        </w:rPr>
      </w:pPr>
      <w:r w:rsidRPr="003A7D08">
        <w:rPr>
          <w:rFonts w:ascii="Arial" w:hAnsi="Arial"/>
          <w:bCs/>
          <w:sz w:val="20"/>
        </w:rPr>
        <w:t>It is a CbC reporting parent; or</w:t>
      </w:r>
    </w:p>
    <w:p w14:paraId="3EAFCAD2" w14:textId="77777777" w:rsidR="005D7B9A" w:rsidRPr="003A7D08" w:rsidRDefault="005D7B9A" w:rsidP="003A7D08">
      <w:pPr>
        <w:pStyle w:val="SWBody"/>
        <w:numPr>
          <w:ilvl w:val="0"/>
          <w:numId w:val="47"/>
        </w:numPr>
        <w:spacing w:line="276" w:lineRule="auto"/>
        <w:rPr>
          <w:rFonts w:ascii="Arial" w:hAnsi="Arial"/>
          <w:bCs/>
          <w:sz w:val="20"/>
        </w:rPr>
      </w:pPr>
      <w:r w:rsidRPr="003A7D08">
        <w:rPr>
          <w:rFonts w:ascii="Arial" w:hAnsi="Arial"/>
          <w:bCs/>
          <w:sz w:val="20"/>
        </w:rPr>
        <w:t>It is a member of a CbC reporting group during the period and another member of that group is a CbC reporting parent for the period.</w:t>
      </w:r>
    </w:p>
    <w:p w14:paraId="7EF17A3B" w14:textId="77777777" w:rsidR="005D7B9A" w:rsidRPr="003A7D08" w:rsidRDefault="005D7B9A" w:rsidP="002270A9">
      <w:pPr>
        <w:adjustRightInd w:val="0"/>
        <w:snapToGrid w:val="0"/>
        <w:spacing w:line="276" w:lineRule="auto"/>
        <w:jc w:val="left"/>
        <w:rPr>
          <w:rFonts w:ascii="Arial" w:eastAsiaTheme="minorEastAsia" w:hAnsi="Arial" w:cs="Arial"/>
          <w:b/>
          <w:bCs/>
          <w:sz w:val="20"/>
          <w:lang w:eastAsia="zh-CN"/>
        </w:rPr>
      </w:pPr>
    </w:p>
    <w:p w14:paraId="3DF1545C" w14:textId="709428E3" w:rsidR="00A52063" w:rsidRDefault="00F22B48" w:rsidP="002270A9">
      <w:pPr>
        <w:adjustRightInd w:val="0"/>
        <w:snapToGrid w:val="0"/>
        <w:spacing w:line="276" w:lineRule="auto"/>
        <w:jc w:val="left"/>
        <w:rPr>
          <w:rFonts w:ascii="Arial" w:eastAsiaTheme="minorEastAsia" w:hAnsi="Arial" w:cs="Arial"/>
          <w:b/>
          <w:bCs/>
          <w:sz w:val="20"/>
          <w:lang w:eastAsia="zh-CN"/>
        </w:rPr>
      </w:pPr>
      <w:r w:rsidRPr="003A7D08">
        <w:rPr>
          <w:rFonts w:ascii="Arial" w:eastAsiaTheme="minorEastAsia" w:hAnsi="Arial" w:cs="Arial"/>
          <w:b/>
          <w:bCs/>
          <w:sz w:val="20"/>
          <w:lang w:eastAsia="zh-CN"/>
        </w:rPr>
        <w:t xml:space="preserve">2.1 </w:t>
      </w:r>
      <w:r w:rsidR="00A52063" w:rsidRPr="003A7D08">
        <w:rPr>
          <w:rFonts w:ascii="Arial" w:eastAsiaTheme="minorEastAsia" w:hAnsi="Arial" w:cs="Arial"/>
          <w:b/>
          <w:bCs/>
          <w:sz w:val="20"/>
          <w:lang w:eastAsia="zh-CN"/>
        </w:rPr>
        <w:t>CbC Reporting Parent</w:t>
      </w:r>
    </w:p>
    <w:p w14:paraId="35D48DCE" w14:textId="77777777" w:rsidR="005C569D" w:rsidRPr="003A7D08" w:rsidRDefault="005C569D" w:rsidP="002270A9">
      <w:pPr>
        <w:adjustRightInd w:val="0"/>
        <w:snapToGrid w:val="0"/>
        <w:spacing w:line="276" w:lineRule="auto"/>
        <w:jc w:val="left"/>
        <w:rPr>
          <w:rFonts w:ascii="Arial" w:eastAsiaTheme="minorEastAsia" w:hAnsi="Arial" w:cs="Arial"/>
          <w:b/>
          <w:bCs/>
          <w:sz w:val="20"/>
          <w:lang w:eastAsia="zh-CN"/>
        </w:rPr>
      </w:pPr>
    </w:p>
    <w:p w14:paraId="74E217B8" w14:textId="77777777" w:rsidR="00A52063" w:rsidRPr="003A7D08" w:rsidRDefault="00A52063" w:rsidP="003A7D08">
      <w:pPr>
        <w:pStyle w:val="SWBody"/>
        <w:spacing w:line="276" w:lineRule="auto"/>
        <w:rPr>
          <w:rFonts w:ascii="Arial" w:hAnsi="Arial"/>
          <w:bCs/>
          <w:sz w:val="20"/>
        </w:rPr>
      </w:pPr>
      <w:r w:rsidRPr="003A7D08">
        <w:rPr>
          <w:rFonts w:ascii="Arial" w:hAnsi="Arial"/>
          <w:bCs/>
          <w:sz w:val="20"/>
        </w:rPr>
        <w:t xml:space="preserve">Pursuant to Section 815-375 of </w:t>
      </w:r>
      <w:r w:rsidRPr="003A7D08">
        <w:rPr>
          <w:rFonts w:ascii="Arial" w:hAnsi="Arial"/>
          <w:bCs/>
          <w:i/>
          <w:iCs/>
          <w:sz w:val="20"/>
        </w:rPr>
        <w:t>ITAA 1997</w:t>
      </w:r>
      <w:r w:rsidRPr="003A7D08">
        <w:rPr>
          <w:rFonts w:ascii="Arial" w:hAnsi="Arial"/>
          <w:bCs/>
          <w:sz w:val="20"/>
        </w:rPr>
        <w:t>, an entity is a CbC reporting parent for a period if:</w:t>
      </w:r>
    </w:p>
    <w:p w14:paraId="20B4D3F9" w14:textId="77777777" w:rsidR="00A52063" w:rsidRPr="003A7D08" w:rsidRDefault="00A52063" w:rsidP="003A7D08">
      <w:pPr>
        <w:pStyle w:val="SWBody"/>
        <w:numPr>
          <w:ilvl w:val="0"/>
          <w:numId w:val="21"/>
        </w:numPr>
        <w:spacing w:line="276" w:lineRule="auto"/>
        <w:jc w:val="left"/>
        <w:rPr>
          <w:rFonts w:ascii="Arial" w:hAnsi="Arial"/>
          <w:bCs/>
          <w:sz w:val="20"/>
        </w:rPr>
      </w:pPr>
      <w:r w:rsidRPr="003A7D08">
        <w:rPr>
          <w:rFonts w:ascii="Arial" w:hAnsi="Arial"/>
          <w:bCs/>
          <w:sz w:val="20"/>
        </w:rPr>
        <w:t>The entity is not an individual; and</w:t>
      </w:r>
    </w:p>
    <w:p w14:paraId="5434C11C" w14:textId="73BB3515" w:rsidR="00A52063" w:rsidRPr="003A7D08" w:rsidRDefault="00A52063" w:rsidP="003A7D08">
      <w:pPr>
        <w:pStyle w:val="SWBody"/>
        <w:numPr>
          <w:ilvl w:val="0"/>
          <w:numId w:val="21"/>
        </w:numPr>
        <w:spacing w:line="276" w:lineRule="auto"/>
        <w:jc w:val="left"/>
        <w:rPr>
          <w:rFonts w:ascii="Arial" w:hAnsi="Arial"/>
          <w:bCs/>
          <w:sz w:val="20"/>
        </w:rPr>
      </w:pPr>
      <w:r w:rsidRPr="003A7D08">
        <w:rPr>
          <w:rFonts w:ascii="Arial" w:hAnsi="Arial"/>
          <w:bCs/>
          <w:sz w:val="20"/>
        </w:rPr>
        <w:t xml:space="preserve">If the entity is a member of a CbC reporting group at the end of the period – it is an entity that, according to accounting principles; or if accounting principles do not apply in relation to the entity – commercially accepted principles related to accounting, is not controlled by any other member </w:t>
      </w:r>
      <w:r w:rsidR="00B921D2">
        <w:rPr>
          <w:rFonts w:ascii="Arial" w:hAnsi="Arial"/>
          <w:bCs/>
          <w:sz w:val="20"/>
        </w:rPr>
        <w:t>of</w:t>
      </w:r>
      <w:r w:rsidRPr="003A7D08">
        <w:rPr>
          <w:rFonts w:ascii="Arial" w:hAnsi="Arial"/>
          <w:bCs/>
          <w:sz w:val="20"/>
        </w:rPr>
        <w:t xml:space="preserve"> the </w:t>
      </w:r>
      <w:proofErr w:type="spellStart"/>
      <w:r w:rsidRPr="003A7D08">
        <w:rPr>
          <w:rFonts w:ascii="Arial" w:hAnsi="Arial"/>
          <w:bCs/>
          <w:sz w:val="20"/>
        </w:rPr>
        <w:t>CbC</w:t>
      </w:r>
      <w:proofErr w:type="spellEnd"/>
      <w:r w:rsidRPr="003A7D08">
        <w:rPr>
          <w:rFonts w:ascii="Arial" w:hAnsi="Arial"/>
          <w:bCs/>
          <w:sz w:val="20"/>
        </w:rPr>
        <w:t xml:space="preserve"> reporting group at the end of the period; and</w:t>
      </w:r>
    </w:p>
    <w:p w14:paraId="11675C3C" w14:textId="690C7EFC" w:rsidR="005C569D" w:rsidRPr="003A7D08" w:rsidRDefault="00A52063" w:rsidP="003A7D08">
      <w:pPr>
        <w:pStyle w:val="SWBody"/>
        <w:numPr>
          <w:ilvl w:val="0"/>
          <w:numId w:val="21"/>
        </w:numPr>
        <w:spacing w:line="276" w:lineRule="auto"/>
        <w:jc w:val="left"/>
        <w:rPr>
          <w:rFonts w:ascii="Arial" w:hAnsi="Arial"/>
          <w:bCs/>
          <w:sz w:val="20"/>
        </w:rPr>
      </w:pPr>
      <w:r w:rsidRPr="003A7D08">
        <w:rPr>
          <w:rFonts w:ascii="Arial" w:hAnsi="Arial"/>
          <w:bCs/>
          <w:sz w:val="20"/>
        </w:rPr>
        <w:t>the entity’s annual global income for the period is A$1 billion or more.</w:t>
      </w:r>
    </w:p>
    <w:p w14:paraId="4B500934" w14:textId="77777777" w:rsidR="00A52063" w:rsidRPr="003A7D08" w:rsidRDefault="00A52063" w:rsidP="003A7D08">
      <w:pPr>
        <w:pStyle w:val="SWBody"/>
        <w:spacing w:line="276" w:lineRule="auto"/>
        <w:ind w:left="1080"/>
        <w:jc w:val="left"/>
        <w:rPr>
          <w:rFonts w:ascii="Arial" w:eastAsiaTheme="minorEastAsia" w:hAnsi="Arial"/>
          <w:b/>
          <w:bCs/>
          <w:sz w:val="20"/>
          <w:lang w:eastAsia="zh-CN"/>
        </w:rPr>
      </w:pPr>
    </w:p>
    <w:p w14:paraId="6956BBAF" w14:textId="0F4FA53C" w:rsidR="00F22B48" w:rsidRDefault="00F22B48" w:rsidP="002270A9">
      <w:pPr>
        <w:spacing w:line="276" w:lineRule="auto"/>
        <w:rPr>
          <w:rFonts w:ascii="Arial" w:hAnsi="Arial" w:cs="Arial"/>
          <w:b/>
          <w:sz w:val="20"/>
        </w:rPr>
      </w:pPr>
      <w:r w:rsidRPr="003A7D08">
        <w:rPr>
          <w:rFonts w:ascii="Arial" w:hAnsi="Arial" w:cs="Arial"/>
          <w:b/>
          <w:sz w:val="20"/>
        </w:rPr>
        <w:t xml:space="preserve">2.2 Members of a </w:t>
      </w:r>
      <w:proofErr w:type="spellStart"/>
      <w:r w:rsidRPr="003A7D08">
        <w:rPr>
          <w:rFonts w:ascii="Arial" w:hAnsi="Arial" w:cs="Arial"/>
          <w:b/>
          <w:sz w:val="20"/>
        </w:rPr>
        <w:t>CbC</w:t>
      </w:r>
      <w:proofErr w:type="spellEnd"/>
      <w:r w:rsidRPr="003A7D08">
        <w:rPr>
          <w:rFonts w:ascii="Arial" w:hAnsi="Arial" w:cs="Arial"/>
          <w:b/>
          <w:sz w:val="20"/>
        </w:rPr>
        <w:t xml:space="preserve"> Reporting Group</w:t>
      </w:r>
    </w:p>
    <w:p w14:paraId="71A6A4DC" w14:textId="77777777" w:rsidR="00DC580D" w:rsidRPr="003A7D08" w:rsidRDefault="00DC580D" w:rsidP="003A7D08">
      <w:pPr>
        <w:spacing w:line="276" w:lineRule="auto"/>
        <w:rPr>
          <w:rFonts w:ascii="Arial" w:hAnsi="Arial" w:cs="Arial"/>
          <w:b/>
          <w:sz w:val="20"/>
        </w:rPr>
      </w:pPr>
    </w:p>
    <w:p w14:paraId="7849EAEA" w14:textId="433BDAE8" w:rsidR="00F22B48" w:rsidRDefault="00F22B48" w:rsidP="002270A9">
      <w:pPr>
        <w:spacing w:line="276" w:lineRule="auto"/>
        <w:rPr>
          <w:rFonts w:ascii="Arial" w:hAnsi="Arial" w:cs="Arial"/>
          <w:bCs/>
          <w:sz w:val="20"/>
        </w:rPr>
      </w:pPr>
      <w:r w:rsidRPr="003A7D08">
        <w:rPr>
          <w:rFonts w:ascii="Arial" w:hAnsi="Arial" w:cs="Arial"/>
          <w:bCs/>
          <w:sz w:val="20"/>
        </w:rPr>
        <w:t xml:space="preserve">In determining whether an entity is a CbC reporting entity by virtue of its membership of a notional listed company group that is a CbC reporting group, exceptions to consolidation, such as those that may apply to investment entities </w:t>
      </w:r>
      <w:r w:rsidRPr="003A7D08">
        <w:rPr>
          <w:rFonts w:ascii="Arial" w:hAnsi="Arial" w:cs="Arial"/>
          <w:bCs/>
          <w:i/>
          <w:iCs/>
          <w:sz w:val="20"/>
        </w:rPr>
        <w:t>in</w:t>
      </w:r>
      <w:r w:rsidRPr="003A7D08">
        <w:rPr>
          <w:rFonts w:ascii="Arial" w:hAnsi="Arial" w:cs="Arial"/>
          <w:b/>
          <w:i/>
          <w:iCs/>
          <w:sz w:val="20"/>
        </w:rPr>
        <w:t xml:space="preserve"> </w:t>
      </w:r>
      <w:r w:rsidR="002C05E0" w:rsidRPr="003A7D08">
        <w:rPr>
          <w:rFonts w:ascii="Arial" w:eastAsiaTheme="minorEastAsia" w:hAnsi="Arial" w:cs="Arial"/>
          <w:bCs/>
          <w:sz w:val="20"/>
          <w:lang w:eastAsia="zh-CN"/>
        </w:rPr>
        <w:t xml:space="preserve">AASB </w:t>
      </w:r>
      <w:r w:rsidRPr="003A7D08">
        <w:rPr>
          <w:rFonts w:ascii="Arial" w:hAnsi="Arial" w:cs="Arial"/>
          <w:bCs/>
          <w:sz w:val="20"/>
        </w:rPr>
        <w:t>10</w:t>
      </w:r>
      <w:r w:rsidR="00C71260" w:rsidRPr="003A7D08">
        <w:rPr>
          <w:rStyle w:val="FootnoteReference"/>
          <w:rFonts w:ascii="Arial" w:hAnsi="Arial" w:cs="Arial"/>
          <w:bCs/>
          <w:sz w:val="20"/>
        </w:rPr>
        <w:footnoteReference w:id="3"/>
      </w:r>
      <w:r w:rsidRPr="003A7D08">
        <w:rPr>
          <w:rFonts w:ascii="Arial" w:hAnsi="Arial" w:cs="Arial"/>
          <w:bCs/>
          <w:sz w:val="20"/>
        </w:rPr>
        <w:t>, are applied when determining the CbC reporting group. However, entities that are disregarded (for accounting consolidation purpose</w:t>
      </w:r>
      <w:r w:rsidR="009F3768">
        <w:rPr>
          <w:rFonts w:ascii="Arial" w:hAnsi="Arial" w:cs="Arial"/>
          <w:bCs/>
          <w:sz w:val="20"/>
        </w:rPr>
        <w:t>s</w:t>
      </w:r>
      <w:r w:rsidRPr="003A7D08">
        <w:rPr>
          <w:rFonts w:ascii="Arial" w:hAnsi="Arial" w:cs="Arial"/>
          <w:bCs/>
          <w:sz w:val="20"/>
        </w:rPr>
        <w:t>) due to being immaterial under the relevant accounting rules must be included as members of a CbC reporting group.</w:t>
      </w:r>
    </w:p>
    <w:p w14:paraId="58C8FBB4" w14:textId="77777777" w:rsidR="009F3768" w:rsidRPr="003A7D08" w:rsidRDefault="009F3768" w:rsidP="003A7D08">
      <w:pPr>
        <w:spacing w:line="276" w:lineRule="auto"/>
        <w:rPr>
          <w:rFonts w:ascii="Arial" w:hAnsi="Arial" w:cs="Arial"/>
          <w:bCs/>
          <w:sz w:val="20"/>
        </w:rPr>
      </w:pPr>
    </w:p>
    <w:p w14:paraId="46C603A0" w14:textId="00775770" w:rsidR="00F22B48" w:rsidRPr="003A7D08" w:rsidRDefault="00F22B48" w:rsidP="003A7D08">
      <w:pPr>
        <w:spacing w:line="276" w:lineRule="auto"/>
        <w:rPr>
          <w:rFonts w:ascii="Arial" w:hAnsi="Arial" w:cs="Arial"/>
          <w:bCs/>
          <w:sz w:val="20"/>
        </w:rPr>
      </w:pPr>
      <w:r w:rsidRPr="003A7D08">
        <w:rPr>
          <w:rFonts w:ascii="Arial" w:hAnsi="Arial" w:cs="Arial"/>
          <w:bCs/>
          <w:sz w:val="20"/>
        </w:rPr>
        <w:t xml:space="preserve">The SGE and </w:t>
      </w:r>
      <w:proofErr w:type="spellStart"/>
      <w:r w:rsidRPr="003A7D08">
        <w:rPr>
          <w:rFonts w:ascii="Arial" w:hAnsi="Arial" w:cs="Arial"/>
          <w:bCs/>
          <w:sz w:val="20"/>
        </w:rPr>
        <w:t>CbC</w:t>
      </w:r>
      <w:proofErr w:type="spellEnd"/>
      <w:r w:rsidRPr="003A7D08">
        <w:rPr>
          <w:rFonts w:ascii="Arial" w:hAnsi="Arial" w:cs="Arial"/>
          <w:bCs/>
          <w:sz w:val="20"/>
        </w:rPr>
        <w:t xml:space="preserve"> reporting entity definitions diverge in this respect: whereas the SGE definition requires exceptions to consolidation to be disregarded in all cases, the </w:t>
      </w:r>
      <w:proofErr w:type="spellStart"/>
      <w:r w:rsidRPr="003A7D08">
        <w:rPr>
          <w:rFonts w:ascii="Arial" w:hAnsi="Arial" w:cs="Arial"/>
          <w:bCs/>
          <w:sz w:val="20"/>
        </w:rPr>
        <w:t>CbC</w:t>
      </w:r>
      <w:proofErr w:type="spellEnd"/>
      <w:r w:rsidRPr="003A7D08">
        <w:rPr>
          <w:rFonts w:ascii="Arial" w:hAnsi="Arial" w:cs="Arial"/>
          <w:bCs/>
          <w:sz w:val="20"/>
        </w:rPr>
        <w:t xml:space="preserve"> reporting entity definition does not disregard all exceptions to consolidation. However, both definitions include, within scope, entities that are immaterial to the group.</w:t>
      </w:r>
    </w:p>
    <w:p w14:paraId="588B6FB9" w14:textId="77777777" w:rsidR="00F22B48" w:rsidRDefault="00F22B48" w:rsidP="002270A9">
      <w:pPr>
        <w:adjustRightInd w:val="0"/>
        <w:snapToGrid w:val="0"/>
        <w:spacing w:line="276" w:lineRule="auto"/>
        <w:jc w:val="left"/>
        <w:rPr>
          <w:rFonts w:ascii="Arial" w:eastAsiaTheme="minorEastAsia" w:hAnsi="Arial" w:cs="Arial"/>
          <w:b/>
          <w:bCs/>
          <w:sz w:val="20"/>
          <w:lang w:eastAsia="zh-CN"/>
        </w:rPr>
      </w:pPr>
    </w:p>
    <w:p w14:paraId="5BBF2474" w14:textId="093CD0D8" w:rsidR="005C1E62" w:rsidRPr="00A92FDA" w:rsidRDefault="00C17622" w:rsidP="002270A9">
      <w:pPr>
        <w:pStyle w:val="ListParagraph"/>
        <w:numPr>
          <w:ilvl w:val="0"/>
          <w:numId w:val="22"/>
        </w:numPr>
        <w:adjustRightInd w:val="0"/>
        <w:snapToGrid w:val="0"/>
        <w:spacing w:line="276" w:lineRule="auto"/>
        <w:ind w:left="426" w:hanging="426"/>
        <w:jc w:val="left"/>
        <w:rPr>
          <w:rFonts w:ascii="Arial" w:eastAsiaTheme="minorEastAsia" w:hAnsi="Arial" w:cs="Arial"/>
          <w:b/>
          <w:bCs/>
          <w:sz w:val="21"/>
          <w:szCs w:val="21"/>
          <w:lang w:eastAsia="zh-CN"/>
        </w:rPr>
      </w:pPr>
      <w:r w:rsidRPr="00A92FDA">
        <w:rPr>
          <w:rFonts w:ascii="Arial" w:eastAsiaTheme="minorEastAsia" w:hAnsi="Arial" w:cs="Arial"/>
          <w:b/>
          <w:bCs/>
          <w:sz w:val="21"/>
          <w:szCs w:val="21"/>
          <w:lang w:eastAsia="zh-CN"/>
        </w:rPr>
        <w:t>CbC Reporting</w:t>
      </w:r>
      <w:r w:rsidR="00F22B48" w:rsidRPr="00A92FDA">
        <w:rPr>
          <w:rFonts w:ascii="Arial" w:eastAsiaTheme="minorEastAsia" w:hAnsi="Arial" w:cs="Arial"/>
          <w:b/>
          <w:bCs/>
          <w:sz w:val="21"/>
          <w:szCs w:val="21"/>
          <w:lang w:eastAsia="zh-CN"/>
        </w:rPr>
        <w:t xml:space="preserve"> Entity</w:t>
      </w:r>
      <w:r w:rsidRPr="00A92FDA">
        <w:rPr>
          <w:rFonts w:ascii="Arial" w:eastAsiaTheme="minorEastAsia" w:hAnsi="Arial" w:cs="Arial"/>
          <w:b/>
          <w:bCs/>
          <w:sz w:val="21"/>
          <w:szCs w:val="21"/>
          <w:lang w:eastAsia="zh-CN"/>
        </w:rPr>
        <w:t xml:space="preserve"> Obligations</w:t>
      </w:r>
    </w:p>
    <w:p w14:paraId="60B609D5" w14:textId="77777777" w:rsidR="00F22B48" w:rsidRDefault="00F22B48" w:rsidP="002270A9">
      <w:pPr>
        <w:adjustRightInd w:val="0"/>
        <w:snapToGrid w:val="0"/>
        <w:spacing w:line="276" w:lineRule="auto"/>
        <w:jc w:val="left"/>
        <w:rPr>
          <w:rFonts w:ascii="Arial" w:eastAsiaTheme="minorEastAsia" w:hAnsi="Arial" w:cs="Arial"/>
          <w:b/>
          <w:bCs/>
          <w:sz w:val="20"/>
          <w:lang w:eastAsia="zh-CN"/>
        </w:rPr>
      </w:pPr>
    </w:p>
    <w:p w14:paraId="4DAD6C2C" w14:textId="0FE4E646" w:rsidR="00CE3980" w:rsidRDefault="00F22B48" w:rsidP="002270A9">
      <w:pPr>
        <w:spacing w:line="276" w:lineRule="auto"/>
        <w:jc w:val="left"/>
        <w:rPr>
          <w:rFonts w:ascii="Arial" w:hAnsi="Arial" w:cs="Arial"/>
          <w:sz w:val="20"/>
        </w:rPr>
      </w:pPr>
      <w:r w:rsidRPr="00F22B48">
        <w:rPr>
          <w:rFonts w:ascii="Arial" w:hAnsi="Arial" w:cs="Arial"/>
          <w:sz w:val="20"/>
        </w:rPr>
        <w:t xml:space="preserve">A CbC reporting entity may </w:t>
      </w:r>
      <w:r w:rsidR="00DC580D">
        <w:rPr>
          <w:rFonts w:ascii="Arial" w:hAnsi="Arial" w:cs="Arial"/>
          <w:sz w:val="20"/>
        </w:rPr>
        <w:t>be subject to</w:t>
      </w:r>
      <w:r w:rsidR="00DC580D" w:rsidRPr="00F22B48">
        <w:rPr>
          <w:rFonts w:ascii="Arial" w:hAnsi="Arial" w:cs="Arial"/>
          <w:sz w:val="20"/>
        </w:rPr>
        <w:t xml:space="preserve"> </w:t>
      </w:r>
      <w:proofErr w:type="spellStart"/>
      <w:r w:rsidRPr="00F22B48">
        <w:rPr>
          <w:rFonts w:ascii="Arial" w:hAnsi="Arial" w:cs="Arial"/>
          <w:sz w:val="20"/>
        </w:rPr>
        <w:t>CbC</w:t>
      </w:r>
      <w:proofErr w:type="spellEnd"/>
      <w:r w:rsidR="009F3768">
        <w:rPr>
          <w:rFonts w:ascii="Arial" w:hAnsi="Arial" w:cs="Arial"/>
          <w:sz w:val="20"/>
        </w:rPr>
        <w:t xml:space="preserve"> reporting</w:t>
      </w:r>
      <w:r w:rsidRPr="00F22B48">
        <w:rPr>
          <w:rFonts w:ascii="Arial" w:hAnsi="Arial" w:cs="Arial"/>
          <w:sz w:val="20"/>
        </w:rPr>
        <w:t xml:space="preserve"> </w:t>
      </w:r>
      <w:r w:rsidR="00D654AD">
        <w:rPr>
          <w:rFonts w:ascii="Arial" w:hAnsi="Arial" w:cs="Arial"/>
          <w:sz w:val="20"/>
        </w:rPr>
        <w:t>lodgement</w:t>
      </w:r>
      <w:r w:rsidR="004B708E">
        <w:rPr>
          <w:rFonts w:ascii="Arial" w:hAnsi="Arial" w:cs="Arial"/>
          <w:sz w:val="20"/>
        </w:rPr>
        <w:t xml:space="preserve"> </w:t>
      </w:r>
      <w:r w:rsidRPr="00F22B48">
        <w:rPr>
          <w:rFonts w:ascii="Arial" w:hAnsi="Arial" w:cs="Arial"/>
          <w:sz w:val="20"/>
        </w:rPr>
        <w:t>obligations or GPFS lodgement obligations or both, effective from income years commencing on or after 1 July 2019.</w:t>
      </w:r>
      <w:r w:rsidR="00677B4D">
        <w:rPr>
          <w:rFonts w:ascii="Arial" w:hAnsi="Arial" w:cs="Arial"/>
          <w:sz w:val="20"/>
        </w:rPr>
        <w:t xml:space="preserve"> </w:t>
      </w:r>
      <w:r w:rsidR="00CE3980" w:rsidRPr="001636A8">
        <w:rPr>
          <w:rFonts w:ascii="Arial" w:hAnsi="Arial" w:cs="Arial"/>
          <w:sz w:val="20"/>
        </w:rPr>
        <w:t>An entity's C</w:t>
      </w:r>
      <w:r w:rsidR="00CE3980">
        <w:rPr>
          <w:rFonts w:ascii="Arial" w:hAnsi="Arial" w:cs="Arial"/>
          <w:sz w:val="20"/>
        </w:rPr>
        <w:t>b</w:t>
      </w:r>
      <w:r w:rsidR="00CE3980" w:rsidRPr="001636A8">
        <w:rPr>
          <w:rFonts w:ascii="Arial" w:hAnsi="Arial" w:cs="Arial"/>
          <w:sz w:val="20"/>
        </w:rPr>
        <w:t>C reporting obligations for an income year are triggered by their C</w:t>
      </w:r>
      <w:r w:rsidR="00CE3980">
        <w:rPr>
          <w:rFonts w:ascii="Arial" w:hAnsi="Arial" w:cs="Arial"/>
          <w:sz w:val="20"/>
        </w:rPr>
        <w:t>b</w:t>
      </w:r>
      <w:r w:rsidR="00CE3980" w:rsidRPr="001636A8">
        <w:rPr>
          <w:rFonts w:ascii="Arial" w:hAnsi="Arial" w:cs="Arial"/>
          <w:sz w:val="20"/>
        </w:rPr>
        <w:t>C reporting entity status in their previous income year. By contrast, an entity's GPFS obligation will be triggered, amongst other things, by their CBC reporting entity status for the income year.</w:t>
      </w:r>
    </w:p>
    <w:p w14:paraId="7DB4DEB7" w14:textId="77777777" w:rsidR="00F314C0" w:rsidRDefault="00F314C0" w:rsidP="002270A9">
      <w:pPr>
        <w:adjustRightInd w:val="0"/>
        <w:snapToGrid w:val="0"/>
        <w:spacing w:line="276" w:lineRule="auto"/>
        <w:jc w:val="left"/>
        <w:rPr>
          <w:rFonts w:ascii="Arial" w:eastAsiaTheme="minorEastAsia" w:hAnsi="Arial" w:cs="Arial"/>
          <w:b/>
          <w:bCs/>
          <w:sz w:val="20"/>
          <w:lang w:eastAsia="zh-CN"/>
        </w:rPr>
      </w:pPr>
    </w:p>
    <w:p w14:paraId="2C5F1E8A" w14:textId="28446141" w:rsidR="00F22B48" w:rsidRDefault="00F22B48" w:rsidP="002270A9">
      <w:pPr>
        <w:pStyle w:val="ListParagraph"/>
        <w:numPr>
          <w:ilvl w:val="0"/>
          <w:numId w:val="24"/>
        </w:numPr>
        <w:adjustRightInd w:val="0"/>
        <w:snapToGrid w:val="0"/>
        <w:spacing w:line="276" w:lineRule="auto"/>
        <w:ind w:left="426" w:hanging="426"/>
        <w:jc w:val="left"/>
        <w:rPr>
          <w:rFonts w:ascii="Arial" w:eastAsiaTheme="minorEastAsia" w:hAnsi="Arial" w:cs="Arial"/>
          <w:b/>
          <w:bCs/>
          <w:sz w:val="20"/>
          <w:lang w:eastAsia="zh-CN"/>
        </w:rPr>
      </w:pPr>
      <w:r w:rsidRPr="00B01299">
        <w:rPr>
          <w:rFonts w:ascii="Arial" w:eastAsiaTheme="minorEastAsia" w:hAnsi="Arial" w:cs="Arial"/>
          <w:b/>
          <w:bCs/>
          <w:sz w:val="20"/>
          <w:lang w:eastAsia="zh-CN"/>
        </w:rPr>
        <w:t>CbC Reporting Obligation</w:t>
      </w:r>
      <w:r w:rsidR="00FF702E">
        <w:rPr>
          <w:rFonts w:ascii="Arial" w:eastAsiaTheme="minorEastAsia" w:hAnsi="Arial" w:cs="Arial"/>
          <w:b/>
          <w:bCs/>
          <w:sz w:val="20"/>
          <w:lang w:eastAsia="zh-CN"/>
        </w:rPr>
        <w:t>s</w:t>
      </w:r>
    </w:p>
    <w:p w14:paraId="6673DD33" w14:textId="77777777" w:rsidR="003F7556" w:rsidRPr="00CE3980" w:rsidRDefault="003F7556" w:rsidP="003A7D08">
      <w:pPr>
        <w:adjustRightInd w:val="0"/>
        <w:snapToGrid w:val="0"/>
        <w:spacing w:line="276" w:lineRule="auto"/>
        <w:jc w:val="left"/>
        <w:rPr>
          <w:rFonts w:ascii="Arial" w:hAnsi="Arial" w:cs="Arial"/>
          <w:sz w:val="20"/>
        </w:rPr>
      </w:pPr>
    </w:p>
    <w:p w14:paraId="2B46A150" w14:textId="77777777" w:rsidR="003F7556" w:rsidRPr="00CE3980" w:rsidRDefault="003F7556" w:rsidP="002270A9">
      <w:pPr>
        <w:adjustRightInd w:val="0"/>
        <w:snapToGrid w:val="0"/>
        <w:spacing w:line="276" w:lineRule="auto"/>
        <w:jc w:val="left"/>
        <w:rPr>
          <w:rFonts w:ascii="Arial" w:hAnsi="Arial" w:cs="Arial"/>
          <w:sz w:val="20"/>
        </w:rPr>
      </w:pPr>
      <w:r w:rsidRPr="00CE3980">
        <w:rPr>
          <w:rFonts w:ascii="Arial" w:hAnsi="Arial" w:cs="Arial"/>
          <w:sz w:val="20"/>
        </w:rPr>
        <w:t>An entity will have CbC reporting obligations for an income year if it:</w:t>
      </w:r>
    </w:p>
    <w:p w14:paraId="4FA73FAC" w14:textId="7F30720A" w:rsidR="003F7556" w:rsidRPr="003A7D08" w:rsidRDefault="00E27CD2" w:rsidP="003A7D08">
      <w:pPr>
        <w:pStyle w:val="ListParagraph"/>
        <w:numPr>
          <w:ilvl w:val="0"/>
          <w:numId w:val="50"/>
        </w:numPr>
        <w:adjustRightInd w:val="0"/>
        <w:snapToGrid w:val="0"/>
        <w:spacing w:line="276" w:lineRule="auto"/>
        <w:jc w:val="left"/>
        <w:rPr>
          <w:rFonts w:ascii="Arial" w:hAnsi="Arial" w:cs="Arial"/>
          <w:sz w:val="20"/>
        </w:rPr>
      </w:pPr>
      <w:r>
        <w:rPr>
          <w:rFonts w:ascii="Arial" w:hAnsi="Arial" w:cs="Arial"/>
          <w:sz w:val="20"/>
        </w:rPr>
        <w:t>w</w:t>
      </w:r>
      <w:r w:rsidR="003F7556" w:rsidRPr="003A7D08">
        <w:rPr>
          <w:rFonts w:ascii="Arial" w:hAnsi="Arial" w:cs="Arial"/>
          <w:sz w:val="20"/>
        </w:rPr>
        <w:t xml:space="preserve">as a </w:t>
      </w:r>
      <w:proofErr w:type="spellStart"/>
      <w:r w:rsidR="003F7556" w:rsidRPr="003A7D08">
        <w:rPr>
          <w:rFonts w:ascii="Arial" w:hAnsi="Arial" w:cs="Arial"/>
          <w:sz w:val="20"/>
        </w:rPr>
        <w:t>CbC</w:t>
      </w:r>
      <w:proofErr w:type="spellEnd"/>
      <w:r w:rsidR="003F7556" w:rsidRPr="003A7D08">
        <w:rPr>
          <w:rFonts w:ascii="Arial" w:hAnsi="Arial" w:cs="Arial"/>
          <w:sz w:val="20"/>
        </w:rPr>
        <w:t xml:space="preserve"> reporting entity for the whole or a part of the previous income year.</w:t>
      </w:r>
    </w:p>
    <w:p w14:paraId="5E427982" w14:textId="5349A36B" w:rsidR="003F7556" w:rsidRPr="003A7D08" w:rsidRDefault="00E27CD2" w:rsidP="003A7D08">
      <w:pPr>
        <w:pStyle w:val="ListParagraph"/>
        <w:numPr>
          <w:ilvl w:val="0"/>
          <w:numId w:val="50"/>
        </w:numPr>
        <w:adjustRightInd w:val="0"/>
        <w:snapToGrid w:val="0"/>
        <w:spacing w:line="276" w:lineRule="auto"/>
        <w:jc w:val="left"/>
        <w:rPr>
          <w:rFonts w:ascii="Arial" w:hAnsi="Arial" w:cs="Arial"/>
          <w:sz w:val="20"/>
        </w:rPr>
      </w:pPr>
      <w:r>
        <w:rPr>
          <w:rFonts w:ascii="Arial" w:hAnsi="Arial" w:cs="Arial"/>
          <w:sz w:val="20"/>
        </w:rPr>
        <w:t>w</w:t>
      </w:r>
      <w:r w:rsidR="003F7556" w:rsidRPr="003A7D08">
        <w:rPr>
          <w:rFonts w:ascii="Arial" w:hAnsi="Arial" w:cs="Arial"/>
          <w:sz w:val="20"/>
        </w:rPr>
        <w:t>as an Australian resident entity or a foreign entity with a permanent establishment (</w:t>
      </w:r>
      <w:r w:rsidR="003F7556" w:rsidRPr="003A7D08">
        <w:rPr>
          <w:rFonts w:ascii="Arial" w:hAnsi="Arial" w:cs="Arial"/>
          <w:b/>
          <w:bCs/>
          <w:sz w:val="20"/>
        </w:rPr>
        <w:t>PE</w:t>
      </w:r>
      <w:r w:rsidR="003F7556" w:rsidRPr="003A7D08">
        <w:rPr>
          <w:rFonts w:ascii="Arial" w:hAnsi="Arial" w:cs="Arial"/>
          <w:sz w:val="20"/>
        </w:rPr>
        <w:t>) in Australia during the income year.</w:t>
      </w:r>
    </w:p>
    <w:p w14:paraId="373C49C4" w14:textId="5E09F413" w:rsidR="003F7556" w:rsidRPr="003A7D08" w:rsidRDefault="00D654AD" w:rsidP="003A7D08">
      <w:pPr>
        <w:pStyle w:val="ListParagraph"/>
        <w:numPr>
          <w:ilvl w:val="0"/>
          <w:numId w:val="50"/>
        </w:numPr>
        <w:adjustRightInd w:val="0"/>
        <w:snapToGrid w:val="0"/>
        <w:spacing w:line="276" w:lineRule="auto"/>
        <w:jc w:val="left"/>
        <w:rPr>
          <w:rFonts w:ascii="Arial" w:hAnsi="Arial" w:cs="Arial"/>
          <w:sz w:val="20"/>
        </w:rPr>
      </w:pPr>
      <w:r>
        <w:rPr>
          <w:rFonts w:ascii="Arial" w:hAnsi="Arial" w:cs="Arial"/>
          <w:sz w:val="20"/>
        </w:rPr>
        <w:lastRenderedPageBreak/>
        <w:t>i</w:t>
      </w:r>
      <w:r w:rsidRPr="003A7D08">
        <w:rPr>
          <w:rFonts w:ascii="Arial" w:hAnsi="Arial" w:cs="Arial"/>
          <w:sz w:val="20"/>
        </w:rPr>
        <w:t xml:space="preserve">s </w:t>
      </w:r>
      <w:r w:rsidR="003F7556" w:rsidRPr="003A7D08">
        <w:rPr>
          <w:rFonts w:ascii="Arial" w:hAnsi="Arial" w:cs="Arial"/>
          <w:sz w:val="20"/>
        </w:rPr>
        <w:t xml:space="preserve">not exempt from providing any </w:t>
      </w:r>
      <w:proofErr w:type="spellStart"/>
      <w:r w:rsidR="003F7556" w:rsidRPr="003A7D08">
        <w:rPr>
          <w:rFonts w:ascii="Arial" w:hAnsi="Arial" w:cs="Arial"/>
          <w:sz w:val="20"/>
        </w:rPr>
        <w:t>CbC</w:t>
      </w:r>
      <w:proofErr w:type="spellEnd"/>
      <w:r w:rsidR="003F7556" w:rsidRPr="003A7D08">
        <w:rPr>
          <w:rFonts w:ascii="Arial" w:hAnsi="Arial" w:cs="Arial"/>
          <w:sz w:val="20"/>
        </w:rPr>
        <w:t xml:space="preserve"> reporting statements.</w:t>
      </w:r>
    </w:p>
    <w:p w14:paraId="487B1EF9" w14:textId="5789AAA9" w:rsidR="005D7B9A" w:rsidRPr="005D7B9A" w:rsidRDefault="005D7B9A" w:rsidP="002270A9">
      <w:pPr>
        <w:adjustRightInd w:val="0"/>
        <w:snapToGrid w:val="0"/>
        <w:spacing w:line="276" w:lineRule="auto"/>
        <w:jc w:val="left"/>
        <w:rPr>
          <w:rFonts w:ascii="Arial" w:hAnsi="Arial" w:cs="Arial"/>
          <w:color w:val="FF0000"/>
          <w:sz w:val="20"/>
        </w:rPr>
      </w:pPr>
    </w:p>
    <w:p w14:paraId="63AD2C4A" w14:textId="1E886E58" w:rsidR="005D7B9A" w:rsidRDefault="005D7B9A" w:rsidP="002270A9">
      <w:pPr>
        <w:adjustRightInd w:val="0"/>
        <w:snapToGrid w:val="0"/>
        <w:spacing w:line="276" w:lineRule="auto"/>
        <w:jc w:val="left"/>
        <w:rPr>
          <w:rFonts w:ascii="Arial" w:hAnsi="Arial" w:cs="Arial"/>
          <w:sz w:val="20"/>
        </w:rPr>
      </w:pPr>
      <w:r w:rsidRPr="003A7D08">
        <w:rPr>
          <w:rFonts w:ascii="Arial" w:hAnsi="Arial" w:cs="Arial"/>
          <w:sz w:val="20"/>
        </w:rPr>
        <w:t xml:space="preserve">An ‘income year’ for </w:t>
      </w:r>
      <w:proofErr w:type="spellStart"/>
      <w:r w:rsidRPr="003A7D08">
        <w:rPr>
          <w:rFonts w:ascii="Arial" w:hAnsi="Arial" w:cs="Arial"/>
          <w:sz w:val="20"/>
        </w:rPr>
        <w:t>CbC</w:t>
      </w:r>
      <w:proofErr w:type="spellEnd"/>
      <w:r w:rsidRPr="003A7D08">
        <w:rPr>
          <w:rFonts w:ascii="Arial" w:hAnsi="Arial" w:cs="Arial"/>
          <w:sz w:val="20"/>
        </w:rPr>
        <w:t xml:space="preserve"> Reporting purposes must be a 12-month period. </w:t>
      </w:r>
      <w:r w:rsidR="00D50604">
        <w:rPr>
          <w:rFonts w:ascii="Arial" w:hAnsi="Arial" w:cs="Arial"/>
          <w:sz w:val="20"/>
        </w:rPr>
        <w:t>When</w:t>
      </w:r>
      <w:r w:rsidRPr="003A7D08">
        <w:rPr>
          <w:rFonts w:ascii="Arial" w:hAnsi="Arial" w:cs="Arial"/>
          <w:sz w:val="20"/>
        </w:rPr>
        <w:t xml:space="preserve"> an entity has a transitional period that is less or greater than 12 months because of an approved substituted accounting period (</w:t>
      </w:r>
      <w:r w:rsidRPr="003A7D08">
        <w:rPr>
          <w:rFonts w:ascii="Arial" w:hAnsi="Arial" w:cs="Arial"/>
          <w:b/>
          <w:bCs/>
          <w:sz w:val="20"/>
        </w:rPr>
        <w:t>SAP</w:t>
      </w:r>
      <w:r w:rsidRPr="003A7D08">
        <w:rPr>
          <w:rFonts w:ascii="Arial" w:hAnsi="Arial" w:cs="Arial"/>
          <w:sz w:val="20"/>
        </w:rPr>
        <w:t xml:space="preserve">), the SAP transitional period is not </w:t>
      </w:r>
      <w:r w:rsidR="00D50604">
        <w:rPr>
          <w:rFonts w:ascii="Arial" w:hAnsi="Arial" w:cs="Arial"/>
          <w:sz w:val="20"/>
        </w:rPr>
        <w:t xml:space="preserve">considered </w:t>
      </w:r>
      <w:r w:rsidRPr="003A7D08">
        <w:rPr>
          <w:rFonts w:ascii="Arial" w:hAnsi="Arial" w:cs="Arial"/>
          <w:sz w:val="20"/>
        </w:rPr>
        <w:t xml:space="preserve">an income year for </w:t>
      </w:r>
      <w:proofErr w:type="spellStart"/>
      <w:r w:rsidRPr="003A7D08">
        <w:rPr>
          <w:rFonts w:ascii="Arial" w:hAnsi="Arial" w:cs="Arial"/>
          <w:sz w:val="20"/>
        </w:rPr>
        <w:t>CbC</w:t>
      </w:r>
      <w:proofErr w:type="spellEnd"/>
      <w:r w:rsidR="004C0F15" w:rsidRPr="003A7D08">
        <w:rPr>
          <w:rFonts w:ascii="Arial" w:hAnsi="Arial" w:cs="Arial"/>
          <w:sz w:val="20"/>
        </w:rPr>
        <w:t xml:space="preserve"> Reporting</w:t>
      </w:r>
      <w:r w:rsidRPr="003A7D08">
        <w:rPr>
          <w:rFonts w:ascii="Arial" w:hAnsi="Arial" w:cs="Arial"/>
          <w:sz w:val="20"/>
        </w:rPr>
        <w:t xml:space="preserve"> purposes. </w:t>
      </w:r>
      <w:proofErr w:type="spellStart"/>
      <w:r w:rsidRPr="003A7D08">
        <w:rPr>
          <w:rFonts w:ascii="Arial" w:hAnsi="Arial" w:cs="Arial"/>
          <w:sz w:val="20"/>
        </w:rPr>
        <w:t>C</w:t>
      </w:r>
      <w:r w:rsidR="0071767D" w:rsidRPr="003A7D08">
        <w:rPr>
          <w:rFonts w:ascii="Arial" w:hAnsi="Arial" w:cs="Arial"/>
          <w:sz w:val="20"/>
        </w:rPr>
        <w:t>b</w:t>
      </w:r>
      <w:r w:rsidRPr="003A7D08">
        <w:rPr>
          <w:rFonts w:ascii="Arial" w:hAnsi="Arial" w:cs="Arial"/>
          <w:sz w:val="20"/>
        </w:rPr>
        <w:t>C</w:t>
      </w:r>
      <w:proofErr w:type="spellEnd"/>
      <w:r w:rsidR="0071767D" w:rsidRPr="003A7D08">
        <w:rPr>
          <w:rFonts w:ascii="Arial" w:hAnsi="Arial" w:cs="Arial"/>
          <w:sz w:val="20"/>
        </w:rPr>
        <w:t xml:space="preserve"> Reporting</w:t>
      </w:r>
      <w:r w:rsidR="00D50604">
        <w:rPr>
          <w:rFonts w:ascii="Arial" w:hAnsi="Arial" w:cs="Arial"/>
          <w:sz w:val="20"/>
        </w:rPr>
        <w:t xml:space="preserve"> is not required</w:t>
      </w:r>
      <w:r w:rsidRPr="003A7D08">
        <w:rPr>
          <w:rFonts w:ascii="Arial" w:hAnsi="Arial" w:cs="Arial"/>
          <w:sz w:val="20"/>
        </w:rPr>
        <w:t xml:space="preserve"> for the SAP transitional period</w:t>
      </w:r>
      <w:r w:rsidR="00D50604">
        <w:rPr>
          <w:rFonts w:ascii="Arial" w:hAnsi="Arial" w:cs="Arial"/>
          <w:sz w:val="20"/>
        </w:rPr>
        <w:t xml:space="preserve"> under </w:t>
      </w:r>
      <w:r w:rsidR="00D50604" w:rsidRPr="0008717F">
        <w:rPr>
          <w:rFonts w:ascii="Arial" w:hAnsi="Arial" w:cs="Arial"/>
          <w:sz w:val="20"/>
        </w:rPr>
        <w:t>Subdivision 815</w:t>
      </w:r>
      <w:r w:rsidRPr="003A7D08">
        <w:rPr>
          <w:rFonts w:ascii="Arial" w:hAnsi="Arial" w:cs="Arial"/>
          <w:sz w:val="20"/>
        </w:rPr>
        <w:t>.</w:t>
      </w:r>
    </w:p>
    <w:p w14:paraId="03B20388" w14:textId="77777777" w:rsidR="00FF702E" w:rsidRDefault="00FF702E" w:rsidP="002270A9">
      <w:pPr>
        <w:adjustRightInd w:val="0"/>
        <w:snapToGrid w:val="0"/>
        <w:spacing w:line="276" w:lineRule="auto"/>
        <w:jc w:val="left"/>
        <w:rPr>
          <w:rFonts w:ascii="Arial" w:hAnsi="Arial" w:cs="Arial"/>
          <w:sz w:val="20"/>
        </w:rPr>
      </w:pPr>
    </w:p>
    <w:p w14:paraId="45C3024B" w14:textId="20F9BFEB" w:rsidR="00FF702E" w:rsidRDefault="00FF702E" w:rsidP="002270A9">
      <w:pPr>
        <w:pStyle w:val="ListParagraph"/>
        <w:numPr>
          <w:ilvl w:val="0"/>
          <w:numId w:val="24"/>
        </w:numPr>
        <w:adjustRightInd w:val="0"/>
        <w:snapToGrid w:val="0"/>
        <w:spacing w:line="276" w:lineRule="auto"/>
        <w:ind w:left="426" w:hanging="426"/>
        <w:jc w:val="left"/>
        <w:rPr>
          <w:rFonts w:ascii="Arial" w:eastAsiaTheme="minorEastAsia" w:hAnsi="Arial" w:cs="Arial"/>
          <w:b/>
          <w:bCs/>
          <w:sz w:val="20"/>
          <w:lang w:eastAsia="zh-CN"/>
        </w:rPr>
      </w:pPr>
      <w:r>
        <w:rPr>
          <w:rFonts w:ascii="Arial" w:eastAsiaTheme="minorEastAsia" w:hAnsi="Arial" w:cs="Arial"/>
          <w:b/>
          <w:bCs/>
          <w:sz w:val="20"/>
          <w:lang w:eastAsia="zh-CN"/>
        </w:rPr>
        <w:t xml:space="preserve">Exemptions from </w:t>
      </w:r>
      <w:proofErr w:type="spellStart"/>
      <w:r>
        <w:rPr>
          <w:rFonts w:ascii="Arial" w:eastAsiaTheme="minorEastAsia" w:hAnsi="Arial" w:cs="Arial"/>
          <w:b/>
          <w:bCs/>
          <w:sz w:val="20"/>
          <w:lang w:eastAsia="zh-CN"/>
        </w:rPr>
        <w:t>CbC</w:t>
      </w:r>
      <w:proofErr w:type="spellEnd"/>
      <w:r>
        <w:rPr>
          <w:rFonts w:ascii="Arial" w:eastAsiaTheme="minorEastAsia" w:hAnsi="Arial" w:cs="Arial"/>
          <w:b/>
          <w:bCs/>
          <w:sz w:val="20"/>
          <w:lang w:eastAsia="zh-CN"/>
        </w:rPr>
        <w:t xml:space="preserve"> Reporting Obligations</w:t>
      </w:r>
    </w:p>
    <w:p w14:paraId="0E5A4250" w14:textId="77777777" w:rsidR="009E3FAB" w:rsidRDefault="009E3FAB" w:rsidP="002270A9">
      <w:pPr>
        <w:adjustRightInd w:val="0"/>
        <w:snapToGrid w:val="0"/>
        <w:spacing w:line="276" w:lineRule="auto"/>
        <w:jc w:val="left"/>
        <w:rPr>
          <w:rFonts w:ascii="Arial" w:eastAsiaTheme="minorEastAsia" w:hAnsi="Arial" w:cs="Arial"/>
          <w:sz w:val="20"/>
          <w:lang w:eastAsia="zh-CN"/>
        </w:rPr>
      </w:pPr>
    </w:p>
    <w:p w14:paraId="269F63F3" w14:textId="1E579FDD" w:rsidR="009C1650" w:rsidRPr="009C1650" w:rsidRDefault="009C1650" w:rsidP="002270A9">
      <w:pPr>
        <w:adjustRightInd w:val="0"/>
        <w:snapToGrid w:val="0"/>
        <w:spacing w:line="276" w:lineRule="auto"/>
        <w:jc w:val="left"/>
        <w:rPr>
          <w:rFonts w:ascii="Arial" w:eastAsiaTheme="minorEastAsia" w:hAnsi="Arial" w:cs="Arial"/>
          <w:sz w:val="20"/>
          <w:lang w:eastAsia="zh-CN"/>
        </w:rPr>
      </w:pPr>
      <w:r w:rsidRPr="009C1650">
        <w:rPr>
          <w:rFonts w:ascii="Arial" w:eastAsiaTheme="minorEastAsia" w:hAnsi="Arial" w:cs="Arial"/>
          <w:sz w:val="20"/>
          <w:lang w:eastAsia="zh-CN"/>
        </w:rPr>
        <w:t xml:space="preserve">ATO provides </w:t>
      </w:r>
      <w:r>
        <w:rPr>
          <w:rFonts w:ascii="Arial" w:eastAsiaTheme="minorEastAsia" w:hAnsi="Arial" w:cs="Arial"/>
          <w:sz w:val="20"/>
          <w:lang w:eastAsia="zh-CN"/>
        </w:rPr>
        <w:t>exemption</w:t>
      </w:r>
      <w:r w:rsidR="000A00BB">
        <w:rPr>
          <w:rFonts w:ascii="Arial" w:eastAsiaTheme="minorEastAsia" w:hAnsi="Arial" w:cs="Arial"/>
          <w:sz w:val="20"/>
          <w:lang w:eastAsia="zh-CN"/>
        </w:rPr>
        <w:t>s</w:t>
      </w:r>
      <w:r w:rsidRPr="009C1650">
        <w:rPr>
          <w:rFonts w:ascii="Arial" w:eastAsiaTheme="minorEastAsia" w:hAnsi="Arial" w:cs="Arial"/>
          <w:sz w:val="20"/>
          <w:lang w:eastAsia="zh-CN"/>
        </w:rPr>
        <w:t xml:space="preserve"> in three ways</w:t>
      </w:r>
      <w:r>
        <w:rPr>
          <w:rFonts w:ascii="Arial" w:eastAsiaTheme="minorEastAsia" w:hAnsi="Arial" w:cs="Arial"/>
          <w:sz w:val="20"/>
          <w:lang w:eastAsia="zh-CN"/>
        </w:rPr>
        <w:t>:</w:t>
      </w:r>
    </w:p>
    <w:p w14:paraId="07637389" w14:textId="6D937DC4" w:rsidR="00FF702E" w:rsidRDefault="00FF702E" w:rsidP="002270A9">
      <w:pPr>
        <w:pStyle w:val="ListParagraph"/>
        <w:numPr>
          <w:ilvl w:val="0"/>
          <w:numId w:val="31"/>
        </w:numPr>
        <w:adjustRightInd w:val="0"/>
        <w:snapToGrid w:val="0"/>
        <w:spacing w:line="276" w:lineRule="auto"/>
        <w:jc w:val="left"/>
        <w:rPr>
          <w:rFonts w:ascii="Arial" w:hAnsi="Arial" w:cs="Arial"/>
          <w:sz w:val="20"/>
        </w:rPr>
      </w:pPr>
      <w:r w:rsidRPr="002A0464">
        <w:rPr>
          <w:rFonts w:ascii="Arial" w:hAnsi="Arial" w:cs="Arial"/>
          <w:b/>
          <w:bCs/>
          <w:sz w:val="20"/>
        </w:rPr>
        <w:t>Administrative relief</w:t>
      </w:r>
      <w:r w:rsidRPr="002A0464">
        <w:rPr>
          <w:rFonts w:ascii="Arial" w:hAnsi="Arial" w:cs="Arial"/>
          <w:sz w:val="20"/>
        </w:rPr>
        <w:t xml:space="preserve">: This is provided without the need to request an exemption </w:t>
      </w:r>
      <w:r w:rsidR="002A0464">
        <w:rPr>
          <w:rFonts w:ascii="Arial" w:hAnsi="Arial" w:cs="Arial"/>
          <w:sz w:val="20"/>
        </w:rPr>
        <w:t>for CbC report and local file</w:t>
      </w:r>
      <w:r w:rsidR="00E95113">
        <w:rPr>
          <w:rFonts w:ascii="Arial" w:hAnsi="Arial" w:cs="Arial"/>
          <w:sz w:val="20"/>
        </w:rPr>
        <w:t>:</w:t>
      </w:r>
    </w:p>
    <w:p w14:paraId="0AFEA7A7" w14:textId="0AD8390C" w:rsidR="002A0464" w:rsidRPr="003A7D08" w:rsidRDefault="009C1650" w:rsidP="003A7D08">
      <w:pPr>
        <w:pStyle w:val="ListParagraph"/>
        <w:numPr>
          <w:ilvl w:val="0"/>
          <w:numId w:val="48"/>
        </w:numPr>
        <w:adjustRightInd w:val="0"/>
        <w:snapToGrid w:val="0"/>
        <w:spacing w:line="276" w:lineRule="auto"/>
        <w:jc w:val="left"/>
        <w:rPr>
          <w:rFonts w:ascii="Arial" w:hAnsi="Arial" w:cs="Arial"/>
          <w:sz w:val="20"/>
        </w:rPr>
      </w:pPr>
      <w:r w:rsidRPr="003A7D08">
        <w:rPr>
          <w:rFonts w:ascii="Arial" w:hAnsi="Arial" w:cs="Arial"/>
          <w:b/>
          <w:bCs/>
          <w:sz w:val="20"/>
        </w:rPr>
        <w:t xml:space="preserve">Administrative relief – </w:t>
      </w:r>
      <w:r w:rsidR="002A0464" w:rsidRPr="003A7D08">
        <w:rPr>
          <w:rFonts w:ascii="Arial" w:hAnsi="Arial" w:cs="Arial"/>
          <w:b/>
          <w:bCs/>
          <w:sz w:val="20"/>
        </w:rPr>
        <w:t>CbC Report</w:t>
      </w:r>
      <w:r w:rsidR="002A0464" w:rsidRPr="003A7D08">
        <w:rPr>
          <w:rFonts w:ascii="Arial" w:hAnsi="Arial" w:cs="Arial"/>
          <w:sz w:val="20"/>
        </w:rPr>
        <w:t>:</w:t>
      </w:r>
      <w:r w:rsidR="00E95113" w:rsidRPr="00EC1222">
        <w:rPr>
          <w:rFonts w:ascii="Segoe UI" w:hAnsi="Segoe UI" w:cs="Segoe UI"/>
          <w:color w:val="0D0D0D"/>
          <w:shd w:val="clear" w:color="auto" w:fill="FFFFFF"/>
        </w:rPr>
        <w:t xml:space="preserve"> </w:t>
      </w:r>
      <w:r w:rsidR="00E95113" w:rsidRPr="003A7D08">
        <w:rPr>
          <w:rFonts w:ascii="Arial" w:hAnsi="Arial" w:cs="Arial"/>
          <w:sz w:val="20"/>
        </w:rPr>
        <w:t>Administrative relief from filing a CbC report is available if the CbC reporting parent is tax-resident in a foreign jurisdiction with an active exchange agreement with Australia or if a surrogate parent entity files a CbC report in its jurisdiction for exchange with Australia. Entities can notify the ATO of their intention to use this relief by indicating in their local or master file the name and tax residence of the CbC reporting parent and whether a CbC report has been or will be lodged on their behalf.</w:t>
      </w:r>
    </w:p>
    <w:p w14:paraId="27F5DD9B" w14:textId="0328E1B5" w:rsidR="0073549C" w:rsidRDefault="009C1650" w:rsidP="00EC1222">
      <w:pPr>
        <w:pStyle w:val="ListParagraph"/>
        <w:numPr>
          <w:ilvl w:val="0"/>
          <w:numId w:val="48"/>
        </w:numPr>
        <w:spacing w:line="276" w:lineRule="auto"/>
        <w:rPr>
          <w:rFonts w:ascii="Arial" w:hAnsi="Arial" w:cs="Arial"/>
          <w:sz w:val="20"/>
        </w:rPr>
      </w:pPr>
      <w:r w:rsidRPr="003A7D08">
        <w:rPr>
          <w:rFonts w:ascii="Arial" w:hAnsi="Arial" w:cs="Arial"/>
          <w:b/>
          <w:bCs/>
          <w:sz w:val="20"/>
        </w:rPr>
        <w:t xml:space="preserve">Administrative relief – </w:t>
      </w:r>
      <w:r w:rsidR="0073549C" w:rsidRPr="003A7D08">
        <w:rPr>
          <w:rFonts w:ascii="Arial" w:hAnsi="Arial" w:cs="Arial"/>
          <w:b/>
          <w:bCs/>
          <w:sz w:val="20"/>
        </w:rPr>
        <w:t>local file</w:t>
      </w:r>
      <w:r w:rsidR="0073549C" w:rsidRPr="003A7D08">
        <w:rPr>
          <w:rFonts w:ascii="Arial" w:hAnsi="Arial" w:cs="Arial"/>
          <w:sz w:val="20"/>
        </w:rPr>
        <w:t xml:space="preserve">: Australian resident companies that were CbC reporting entities in the previous income year and declare no international related party transactions in </w:t>
      </w:r>
      <w:r w:rsidR="00E95113" w:rsidRPr="003A7D08">
        <w:rPr>
          <w:rFonts w:ascii="Arial" w:hAnsi="Arial" w:cs="Arial"/>
          <w:sz w:val="20"/>
        </w:rPr>
        <w:t>the company tax return (indicated “No” at Q26)</w:t>
      </w:r>
      <w:r w:rsidR="0073549C" w:rsidRPr="003A7D08">
        <w:rPr>
          <w:rFonts w:ascii="Arial" w:hAnsi="Arial" w:cs="Arial"/>
          <w:sz w:val="20"/>
        </w:rPr>
        <w:t xml:space="preserve"> </w:t>
      </w:r>
      <w:r w:rsidR="009B2220">
        <w:rPr>
          <w:rFonts w:ascii="Arial" w:eastAsiaTheme="minorEastAsia" w:hAnsi="Arial" w:cs="Arial" w:hint="eastAsia"/>
          <w:sz w:val="20"/>
          <w:lang w:eastAsia="zh-CN"/>
        </w:rPr>
        <w:t xml:space="preserve">for the current </w:t>
      </w:r>
      <w:r w:rsidR="00F81100">
        <w:rPr>
          <w:rFonts w:ascii="Arial" w:eastAsiaTheme="minorEastAsia" w:hAnsi="Arial" w:cs="Arial" w:hint="eastAsia"/>
          <w:sz w:val="20"/>
          <w:lang w:eastAsia="zh-CN"/>
        </w:rPr>
        <w:t xml:space="preserve">year </w:t>
      </w:r>
      <w:r w:rsidR="0073549C" w:rsidRPr="003A7D08">
        <w:rPr>
          <w:rFonts w:ascii="Arial" w:hAnsi="Arial" w:cs="Arial"/>
          <w:sz w:val="20"/>
        </w:rPr>
        <w:t xml:space="preserve">will not need to file a full or short form local file. </w:t>
      </w:r>
    </w:p>
    <w:p w14:paraId="62962362" w14:textId="77777777" w:rsidR="00B67D1C" w:rsidRPr="003A7D08" w:rsidRDefault="00B67D1C" w:rsidP="003A7D08">
      <w:pPr>
        <w:pStyle w:val="ListParagraph"/>
        <w:spacing w:line="276" w:lineRule="auto"/>
        <w:ind w:left="1080"/>
        <w:rPr>
          <w:rFonts w:ascii="Arial" w:hAnsi="Arial" w:cs="Arial"/>
          <w:sz w:val="20"/>
        </w:rPr>
      </w:pPr>
    </w:p>
    <w:p w14:paraId="2FBAC53C" w14:textId="1A3ADC6A" w:rsidR="004248CB" w:rsidRDefault="00FF702E" w:rsidP="002270A9">
      <w:pPr>
        <w:pStyle w:val="ListParagraph"/>
        <w:numPr>
          <w:ilvl w:val="0"/>
          <w:numId w:val="31"/>
        </w:numPr>
        <w:spacing w:line="276" w:lineRule="auto"/>
        <w:rPr>
          <w:rFonts w:ascii="Arial" w:hAnsi="Arial" w:cs="Arial"/>
          <w:sz w:val="20"/>
        </w:rPr>
      </w:pPr>
      <w:r w:rsidRPr="004248CB">
        <w:rPr>
          <w:rFonts w:ascii="Arial" w:hAnsi="Arial" w:cs="Arial"/>
          <w:b/>
          <w:bCs/>
          <w:sz w:val="20"/>
        </w:rPr>
        <w:t xml:space="preserve">Fast-track exemption: </w:t>
      </w:r>
      <w:r w:rsidR="00CB5B6B" w:rsidRPr="004248CB">
        <w:rPr>
          <w:rFonts w:ascii="Arial" w:hAnsi="Arial" w:cs="Arial"/>
          <w:sz w:val="20"/>
        </w:rPr>
        <w:t>Fast-track exemptions for one or more CbC statements are available in specific scenarios, allowing entities to self-assess eligibility</w:t>
      </w:r>
      <w:r w:rsidR="00CB5B6B">
        <w:rPr>
          <w:rStyle w:val="FootnoteReference"/>
          <w:rFonts w:ascii="Arial" w:hAnsi="Arial" w:cs="Arial"/>
          <w:sz w:val="20"/>
        </w:rPr>
        <w:footnoteReference w:id="4"/>
      </w:r>
      <w:r w:rsidR="00CB5B6B" w:rsidRPr="004248CB">
        <w:rPr>
          <w:rFonts w:ascii="Arial" w:hAnsi="Arial" w:cs="Arial"/>
          <w:sz w:val="20"/>
        </w:rPr>
        <w:t xml:space="preserve">. For instance, an Australian CbC reporting parent with no foreign operations, meaning no constituent entity or permanent establishment outside Australia, is exempt from filing the CbC report and master file for up to three years. Additionally, if the entity has no international related party dealings, it </w:t>
      </w:r>
      <w:r w:rsidR="00C61DA2">
        <w:rPr>
          <w:rFonts w:ascii="Arial" w:eastAsiaTheme="minorEastAsia" w:hAnsi="Arial" w:cs="Arial" w:hint="eastAsia"/>
          <w:sz w:val="20"/>
          <w:lang w:eastAsia="zh-CN"/>
        </w:rPr>
        <w:t>may</w:t>
      </w:r>
      <w:r w:rsidR="00CB5B6B" w:rsidRPr="004248CB">
        <w:rPr>
          <w:rFonts w:ascii="Arial" w:hAnsi="Arial" w:cs="Arial"/>
          <w:sz w:val="20"/>
        </w:rPr>
        <w:t xml:space="preserve"> also </w:t>
      </w:r>
      <w:r w:rsidR="00C61DA2">
        <w:rPr>
          <w:rFonts w:ascii="Arial" w:eastAsiaTheme="minorEastAsia" w:hAnsi="Arial" w:cs="Arial" w:hint="eastAsia"/>
          <w:sz w:val="20"/>
          <w:lang w:eastAsia="zh-CN"/>
        </w:rPr>
        <w:t xml:space="preserve">be </w:t>
      </w:r>
      <w:r w:rsidR="00CB5B6B" w:rsidRPr="004248CB">
        <w:rPr>
          <w:rFonts w:ascii="Arial" w:hAnsi="Arial" w:cs="Arial"/>
          <w:sz w:val="20"/>
        </w:rPr>
        <w:t>exempt from filing the local file for the same period.</w:t>
      </w:r>
      <w:r w:rsidR="001144AC">
        <w:rPr>
          <w:rFonts w:ascii="Arial" w:eastAsiaTheme="minorEastAsia" w:hAnsi="Arial" w:cs="Arial" w:hint="eastAsia"/>
          <w:sz w:val="20"/>
          <w:lang w:eastAsia="zh-CN"/>
        </w:rPr>
        <w:t xml:space="preserve">  However, it is important to note that the ATO is now using </w:t>
      </w:r>
      <w:r w:rsidR="00D654AD">
        <w:rPr>
          <w:rFonts w:ascii="Arial" w:eastAsiaTheme="minorEastAsia" w:hAnsi="Arial" w:cs="Arial"/>
          <w:sz w:val="20"/>
          <w:lang w:eastAsia="zh-CN"/>
        </w:rPr>
        <w:t>a</w:t>
      </w:r>
      <w:r w:rsidR="00674142">
        <w:rPr>
          <w:rFonts w:ascii="Arial" w:eastAsiaTheme="minorEastAsia" w:hAnsi="Arial" w:cs="Arial" w:hint="eastAsia"/>
          <w:sz w:val="20"/>
          <w:lang w:eastAsia="zh-CN"/>
        </w:rPr>
        <w:t xml:space="preserve"> </w:t>
      </w:r>
      <w:proofErr w:type="gramStart"/>
      <w:r w:rsidR="0045001D">
        <w:rPr>
          <w:rFonts w:ascii="Arial" w:eastAsiaTheme="minorEastAsia" w:hAnsi="Arial" w:cs="Arial" w:hint="eastAsia"/>
          <w:sz w:val="20"/>
          <w:lang w:eastAsia="zh-CN"/>
        </w:rPr>
        <w:t>factual</w:t>
      </w:r>
      <w:r w:rsidR="00674142">
        <w:rPr>
          <w:rFonts w:ascii="Arial" w:eastAsiaTheme="minorEastAsia" w:hAnsi="Arial" w:cs="Arial" w:hint="eastAsia"/>
          <w:sz w:val="20"/>
          <w:lang w:eastAsia="zh-CN"/>
        </w:rPr>
        <w:t>-based</w:t>
      </w:r>
      <w:proofErr w:type="gramEnd"/>
      <w:r w:rsidR="00674142">
        <w:rPr>
          <w:rFonts w:ascii="Arial" w:eastAsiaTheme="minorEastAsia" w:hAnsi="Arial" w:cs="Arial"/>
          <w:sz w:val="20"/>
          <w:lang w:eastAsia="zh-CN"/>
        </w:rPr>
        <w:t>’</w:t>
      </w:r>
      <w:r w:rsidR="00674142">
        <w:rPr>
          <w:rFonts w:ascii="Arial" w:eastAsiaTheme="minorEastAsia" w:hAnsi="Arial" w:cs="Arial" w:hint="eastAsia"/>
          <w:sz w:val="20"/>
          <w:lang w:eastAsia="zh-CN"/>
        </w:rPr>
        <w:t xml:space="preserve"> approach to reviewing fast-track exemptions</w:t>
      </w:r>
      <w:r w:rsidR="0013461C">
        <w:rPr>
          <w:rFonts w:ascii="Arial" w:eastAsiaTheme="minorEastAsia" w:hAnsi="Arial" w:cs="Arial" w:hint="eastAsia"/>
          <w:sz w:val="20"/>
          <w:lang w:eastAsia="zh-CN"/>
        </w:rPr>
        <w:t>, therefore having detailed source materials to support the exemption application is crucial.</w:t>
      </w:r>
    </w:p>
    <w:p w14:paraId="4DE76EB8" w14:textId="77777777" w:rsidR="00B67D1C" w:rsidRPr="004248CB" w:rsidRDefault="00B67D1C" w:rsidP="003A7D08">
      <w:pPr>
        <w:pStyle w:val="ListParagraph"/>
        <w:spacing w:line="276" w:lineRule="auto"/>
        <w:rPr>
          <w:rFonts w:ascii="Arial" w:hAnsi="Arial" w:cs="Arial"/>
          <w:sz w:val="20"/>
        </w:rPr>
      </w:pPr>
    </w:p>
    <w:p w14:paraId="6AAD7F25" w14:textId="7AB5E45F" w:rsidR="00FF702E" w:rsidRPr="004248CB" w:rsidRDefault="00FF702E" w:rsidP="003A7D08">
      <w:pPr>
        <w:pStyle w:val="ListParagraph"/>
        <w:numPr>
          <w:ilvl w:val="0"/>
          <w:numId w:val="31"/>
        </w:numPr>
        <w:spacing w:line="276" w:lineRule="auto"/>
        <w:rPr>
          <w:rFonts w:ascii="Arial" w:hAnsi="Arial" w:cs="Arial"/>
          <w:sz w:val="20"/>
        </w:rPr>
      </w:pPr>
      <w:r w:rsidRPr="004248CB">
        <w:rPr>
          <w:rFonts w:ascii="Arial" w:hAnsi="Arial" w:cs="Arial"/>
          <w:b/>
          <w:bCs/>
          <w:sz w:val="20"/>
        </w:rPr>
        <w:t>Exemption on formal request</w:t>
      </w:r>
      <w:r w:rsidRPr="004248CB">
        <w:rPr>
          <w:rFonts w:ascii="Arial" w:hAnsi="Arial" w:cs="Arial"/>
          <w:sz w:val="20"/>
        </w:rPr>
        <w:t>: If your circumstances do not qualify for administrative relief or a fast-track exemption, you may lodge a formal exemption request setting out your grounds for believing that an exemption is warranted</w:t>
      </w:r>
      <w:r w:rsidR="0073549C" w:rsidRPr="004248CB">
        <w:rPr>
          <w:rFonts w:ascii="Arial" w:hAnsi="Arial" w:cs="Arial"/>
          <w:sz w:val="20"/>
        </w:rPr>
        <w:t>.</w:t>
      </w:r>
      <w:r w:rsidR="00D301B4">
        <w:rPr>
          <w:rFonts w:ascii="Arial" w:eastAsiaTheme="minorEastAsia" w:hAnsi="Arial" w:cs="Arial" w:hint="eastAsia"/>
          <w:sz w:val="20"/>
          <w:lang w:eastAsia="zh-CN"/>
        </w:rPr>
        <w:t xml:space="preserve">  However, it is expected to be more difficult</w:t>
      </w:r>
      <w:r w:rsidR="00D52191">
        <w:rPr>
          <w:rFonts w:ascii="Arial" w:eastAsiaTheme="minorEastAsia" w:hAnsi="Arial" w:cs="Arial" w:hint="eastAsia"/>
          <w:sz w:val="20"/>
          <w:lang w:eastAsia="zh-CN"/>
        </w:rPr>
        <w:t xml:space="preserve"> to obtain exemption via this route.</w:t>
      </w:r>
    </w:p>
    <w:p w14:paraId="0AC36BD2" w14:textId="77777777" w:rsidR="00F22B48" w:rsidRDefault="00F22B48" w:rsidP="002270A9">
      <w:pPr>
        <w:adjustRightInd w:val="0"/>
        <w:snapToGrid w:val="0"/>
        <w:spacing w:line="276" w:lineRule="auto"/>
        <w:jc w:val="left"/>
        <w:rPr>
          <w:rFonts w:ascii="Arial" w:hAnsi="Arial" w:cs="Arial"/>
          <w:sz w:val="20"/>
        </w:rPr>
      </w:pPr>
    </w:p>
    <w:p w14:paraId="3C94FEC9" w14:textId="5937FEBD" w:rsidR="005D7B9A" w:rsidRDefault="005D7B9A" w:rsidP="002270A9">
      <w:pPr>
        <w:pStyle w:val="ListParagraph"/>
        <w:numPr>
          <w:ilvl w:val="0"/>
          <w:numId w:val="24"/>
        </w:numPr>
        <w:adjustRightInd w:val="0"/>
        <w:snapToGrid w:val="0"/>
        <w:spacing w:line="276" w:lineRule="auto"/>
        <w:ind w:left="426" w:hanging="426"/>
        <w:jc w:val="left"/>
        <w:rPr>
          <w:rFonts w:ascii="Arial" w:eastAsiaTheme="minorEastAsia" w:hAnsi="Arial" w:cs="Arial"/>
          <w:b/>
          <w:bCs/>
          <w:sz w:val="20"/>
          <w:lang w:eastAsia="zh-CN"/>
        </w:rPr>
      </w:pPr>
      <w:r>
        <w:rPr>
          <w:rFonts w:ascii="Arial" w:eastAsiaTheme="minorEastAsia" w:hAnsi="Arial" w:cs="Arial"/>
          <w:b/>
          <w:bCs/>
          <w:sz w:val="20"/>
          <w:lang w:eastAsia="zh-CN"/>
        </w:rPr>
        <w:t>CbC Reporting</w:t>
      </w:r>
      <w:r w:rsidRPr="00C62D7D">
        <w:rPr>
          <w:rFonts w:ascii="Arial" w:eastAsiaTheme="minorEastAsia" w:hAnsi="Arial" w:cs="Arial"/>
          <w:b/>
          <w:bCs/>
          <w:sz w:val="20"/>
          <w:lang w:eastAsia="zh-CN"/>
        </w:rPr>
        <w:t xml:space="preserve"> </w:t>
      </w:r>
      <w:r w:rsidR="00811CFB">
        <w:rPr>
          <w:rFonts w:ascii="Arial" w:eastAsiaTheme="minorEastAsia" w:hAnsi="Arial" w:cs="Arial"/>
          <w:b/>
          <w:bCs/>
          <w:sz w:val="20"/>
          <w:lang w:eastAsia="zh-CN"/>
        </w:rPr>
        <w:t>Statements</w:t>
      </w:r>
    </w:p>
    <w:p w14:paraId="43CFE73A" w14:textId="77777777" w:rsidR="00B67D1C" w:rsidRDefault="00B67D1C" w:rsidP="003A7D08">
      <w:pPr>
        <w:pStyle w:val="ListParagraph"/>
        <w:adjustRightInd w:val="0"/>
        <w:snapToGrid w:val="0"/>
        <w:spacing w:line="276" w:lineRule="auto"/>
        <w:ind w:left="426"/>
        <w:jc w:val="left"/>
        <w:rPr>
          <w:rFonts w:ascii="Arial" w:eastAsiaTheme="minorEastAsia" w:hAnsi="Arial" w:cs="Arial"/>
          <w:b/>
          <w:bCs/>
          <w:sz w:val="20"/>
          <w:lang w:eastAsia="zh-CN"/>
        </w:rPr>
      </w:pPr>
    </w:p>
    <w:p w14:paraId="75C83B87" w14:textId="3F1CD310" w:rsidR="00AE47BF" w:rsidRPr="00AE47BF" w:rsidRDefault="00AE47BF" w:rsidP="003A7D08">
      <w:pPr>
        <w:spacing w:line="276" w:lineRule="auto"/>
        <w:rPr>
          <w:rFonts w:ascii="Arial" w:hAnsi="Arial" w:cs="Arial"/>
          <w:sz w:val="20"/>
        </w:rPr>
      </w:pPr>
      <w:r w:rsidRPr="00AE47BF">
        <w:rPr>
          <w:rFonts w:ascii="Arial" w:hAnsi="Arial" w:cs="Arial"/>
          <w:sz w:val="20"/>
        </w:rPr>
        <w:t xml:space="preserve">A CbC reporting entity subject to </w:t>
      </w:r>
      <w:proofErr w:type="spellStart"/>
      <w:r w:rsidRPr="00AE47BF">
        <w:rPr>
          <w:rFonts w:ascii="Arial" w:hAnsi="Arial" w:cs="Arial"/>
          <w:sz w:val="20"/>
        </w:rPr>
        <w:t>CbC</w:t>
      </w:r>
      <w:proofErr w:type="spellEnd"/>
      <w:r w:rsidR="00F669E7">
        <w:rPr>
          <w:rFonts w:ascii="Arial" w:eastAsiaTheme="minorEastAsia" w:hAnsi="Arial" w:cs="Arial" w:hint="eastAsia"/>
          <w:sz w:val="20"/>
          <w:lang w:eastAsia="zh-CN"/>
        </w:rPr>
        <w:t xml:space="preserve"> reporting</w:t>
      </w:r>
      <w:r w:rsidRPr="00AE47BF">
        <w:rPr>
          <w:rFonts w:ascii="Arial" w:hAnsi="Arial" w:cs="Arial"/>
          <w:sz w:val="20"/>
        </w:rPr>
        <w:t xml:space="preserve"> obligations is required to </w:t>
      </w:r>
      <w:r>
        <w:rPr>
          <w:rFonts w:ascii="Arial" w:hAnsi="Arial" w:cs="Arial"/>
          <w:sz w:val="20"/>
        </w:rPr>
        <w:t xml:space="preserve">lodge three-tiered documentation </w:t>
      </w:r>
      <w:r w:rsidRPr="00AE47BF">
        <w:rPr>
          <w:rFonts w:ascii="Arial" w:hAnsi="Arial" w:cs="Arial"/>
          <w:sz w:val="20"/>
        </w:rPr>
        <w:t xml:space="preserve">to the </w:t>
      </w:r>
      <w:r>
        <w:rPr>
          <w:rFonts w:ascii="Arial" w:eastAsiaTheme="minorEastAsia" w:hAnsi="Arial" w:cs="Arial" w:hint="eastAsia"/>
          <w:sz w:val="20"/>
          <w:lang w:eastAsia="zh-CN"/>
        </w:rPr>
        <w:t>Australian Taxation Office</w:t>
      </w:r>
      <w:r>
        <w:rPr>
          <w:rFonts w:ascii="Arial" w:eastAsiaTheme="minorEastAsia" w:hAnsi="Arial" w:cs="Arial"/>
          <w:sz w:val="20"/>
          <w:lang w:eastAsia="zh-CN"/>
        </w:rPr>
        <w:t xml:space="preserve"> (</w:t>
      </w:r>
      <w:r w:rsidRPr="00AE47BF">
        <w:rPr>
          <w:rFonts w:ascii="Arial" w:hAnsi="Arial" w:cs="Arial"/>
          <w:sz w:val="20"/>
        </w:rPr>
        <w:t>ATO</w:t>
      </w:r>
      <w:r>
        <w:rPr>
          <w:rFonts w:ascii="Arial" w:hAnsi="Arial" w:cs="Arial"/>
          <w:sz w:val="20"/>
        </w:rPr>
        <w:t>)</w:t>
      </w:r>
      <w:r w:rsidRPr="00AE47BF">
        <w:rPr>
          <w:rFonts w:ascii="Arial" w:hAnsi="Arial" w:cs="Arial"/>
          <w:sz w:val="20"/>
        </w:rPr>
        <w:t>:</w:t>
      </w:r>
    </w:p>
    <w:p w14:paraId="1DA0B15E" w14:textId="4E89953F" w:rsidR="00AE47BF" w:rsidRPr="00AE47BF" w:rsidRDefault="00AE47BF" w:rsidP="003A7D08">
      <w:pPr>
        <w:pStyle w:val="ListParagraph"/>
        <w:numPr>
          <w:ilvl w:val="0"/>
          <w:numId w:val="26"/>
        </w:numPr>
        <w:spacing w:line="276" w:lineRule="auto"/>
        <w:contextualSpacing w:val="0"/>
        <w:jc w:val="left"/>
        <w:rPr>
          <w:rFonts w:ascii="Arial" w:hAnsi="Arial" w:cs="Arial"/>
          <w:sz w:val="20"/>
        </w:rPr>
      </w:pPr>
      <w:r w:rsidRPr="00AE47BF">
        <w:rPr>
          <w:rFonts w:ascii="Arial" w:hAnsi="Arial" w:cs="Arial"/>
          <w:sz w:val="20"/>
        </w:rPr>
        <w:t xml:space="preserve">A global group </w:t>
      </w:r>
      <w:r w:rsidRPr="00070390">
        <w:rPr>
          <w:rFonts w:ascii="Arial" w:hAnsi="Arial" w:cs="Arial"/>
          <w:b/>
          <w:bCs/>
          <w:sz w:val="20"/>
        </w:rPr>
        <w:t>Master File</w:t>
      </w:r>
      <w:r w:rsidRPr="00AE47BF">
        <w:rPr>
          <w:rFonts w:ascii="Arial" w:hAnsi="Arial" w:cs="Arial"/>
          <w:sz w:val="20"/>
        </w:rPr>
        <w:t xml:space="preserve"> </w:t>
      </w:r>
    </w:p>
    <w:p w14:paraId="38C1186C" w14:textId="168D1B9E" w:rsidR="00AE47BF" w:rsidRPr="00AE47BF" w:rsidRDefault="00AE47BF" w:rsidP="003A7D08">
      <w:pPr>
        <w:pStyle w:val="ListParagraph"/>
        <w:numPr>
          <w:ilvl w:val="0"/>
          <w:numId w:val="26"/>
        </w:numPr>
        <w:spacing w:line="276" w:lineRule="auto"/>
        <w:contextualSpacing w:val="0"/>
        <w:jc w:val="left"/>
        <w:rPr>
          <w:rFonts w:ascii="Arial" w:hAnsi="Arial" w:cs="Arial"/>
          <w:sz w:val="20"/>
        </w:rPr>
      </w:pPr>
      <w:r w:rsidRPr="00AE47BF">
        <w:rPr>
          <w:rFonts w:ascii="Arial" w:hAnsi="Arial" w:cs="Arial"/>
          <w:sz w:val="20"/>
        </w:rPr>
        <w:t xml:space="preserve">An Australian entity’s </w:t>
      </w:r>
      <w:r w:rsidRPr="00070390">
        <w:rPr>
          <w:rFonts w:ascii="Arial" w:hAnsi="Arial" w:cs="Arial"/>
          <w:b/>
          <w:bCs/>
          <w:sz w:val="20"/>
        </w:rPr>
        <w:t>Local File</w:t>
      </w:r>
      <w:r w:rsidRPr="00AE47BF">
        <w:rPr>
          <w:rFonts w:ascii="Arial" w:hAnsi="Arial" w:cs="Arial"/>
          <w:sz w:val="20"/>
        </w:rPr>
        <w:t xml:space="preserve"> </w:t>
      </w:r>
    </w:p>
    <w:p w14:paraId="62D2C6B1" w14:textId="1957AB6B" w:rsidR="00AE47BF" w:rsidRDefault="00AE47BF" w:rsidP="003A7D08">
      <w:pPr>
        <w:pStyle w:val="ListParagraph"/>
        <w:numPr>
          <w:ilvl w:val="0"/>
          <w:numId w:val="26"/>
        </w:numPr>
        <w:spacing w:line="276" w:lineRule="auto"/>
        <w:contextualSpacing w:val="0"/>
        <w:jc w:val="left"/>
        <w:rPr>
          <w:rFonts w:ascii="Arial" w:hAnsi="Arial" w:cs="Arial"/>
          <w:sz w:val="20"/>
        </w:rPr>
      </w:pPr>
      <w:r w:rsidRPr="00AE47BF">
        <w:rPr>
          <w:rFonts w:ascii="Arial" w:hAnsi="Arial" w:cs="Arial"/>
          <w:sz w:val="20"/>
        </w:rPr>
        <w:t xml:space="preserve">A global group </w:t>
      </w:r>
      <w:r w:rsidRPr="00070390">
        <w:rPr>
          <w:rFonts w:ascii="Arial" w:hAnsi="Arial" w:cs="Arial"/>
          <w:b/>
          <w:bCs/>
          <w:sz w:val="20"/>
        </w:rPr>
        <w:t>CbC Report</w:t>
      </w:r>
      <w:r w:rsidRPr="00AE47BF">
        <w:rPr>
          <w:rFonts w:ascii="Arial" w:hAnsi="Arial" w:cs="Arial"/>
          <w:sz w:val="20"/>
        </w:rPr>
        <w:t xml:space="preserve"> </w:t>
      </w:r>
    </w:p>
    <w:p w14:paraId="7CF63CDC" w14:textId="11E6DED1" w:rsidR="00154427" w:rsidRPr="00154427" w:rsidRDefault="00154427" w:rsidP="003A7D08">
      <w:pPr>
        <w:spacing w:line="276" w:lineRule="auto"/>
        <w:rPr>
          <w:rFonts w:ascii="Arial" w:hAnsi="Arial" w:cs="Arial"/>
          <w:sz w:val="20"/>
        </w:rPr>
      </w:pPr>
      <w:r w:rsidRPr="00154427">
        <w:rPr>
          <w:rFonts w:ascii="Arial" w:hAnsi="Arial" w:cs="Arial"/>
          <w:sz w:val="20"/>
        </w:rPr>
        <w:t>The statutory deadline for filing the CbC</w:t>
      </w:r>
      <w:r w:rsidR="00875449">
        <w:rPr>
          <w:rFonts w:ascii="Arial" w:hAnsi="Arial" w:cs="Arial"/>
          <w:sz w:val="20"/>
        </w:rPr>
        <w:t xml:space="preserve"> Reporting</w:t>
      </w:r>
      <w:r w:rsidRPr="00154427">
        <w:rPr>
          <w:rFonts w:ascii="Arial" w:hAnsi="Arial" w:cs="Arial"/>
          <w:sz w:val="20"/>
        </w:rPr>
        <w:t xml:space="preserve"> statements is 12 months after the relevant reporting period.</w:t>
      </w:r>
    </w:p>
    <w:p w14:paraId="5DA749D4" w14:textId="77777777" w:rsidR="00AE47BF" w:rsidRDefault="00AE47BF" w:rsidP="002270A9">
      <w:pPr>
        <w:adjustRightInd w:val="0"/>
        <w:snapToGrid w:val="0"/>
        <w:spacing w:line="276" w:lineRule="auto"/>
        <w:jc w:val="left"/>
        <w:rPr>
          <w:rFonts w:ascii="Arial" w:eastAsiaTheme="minorEastAsia" w:hAnsi="Arial" w:cs="Arial"/>
          <w:b/>
          <w:bCs/>
          <w:sz w:val="20"/>
          <w:lang w:eastAsia="zh-CN"/>
        </w:rPr>
      </w:pPr>
    </w:p>
    <w:p w14:paraId="0E3E1F2E" w14:textId="77777777" w:rsidR="00957A63" w:rsidRDefault="00B34218" w:rsidP="002270A9">
      <w:pPr>
        <w:pStyle w:val="ListParagraph"/>
        <w:numPr>
          <w:ilvl w:val="0"/>
          <w:numId w:val="25"/>
        </w:numPr>
        <w:adjustRightInd w:val="0"/>
        <w:snapToGrid w:val="0"/>
        <w:spacing w:line="276" w:lineRule="auto"/>
        <w:ind w:left="709" w:hanging="709"/>
        <w:jc w:val="left"/>
        <w:rPr>
          <w:rFonts w:ascii="Arial" w:eastAsiaTheme="minorEastAsia" w:hAnsi="Arial" w:cs="Arial"/>
          <w:b/>
          <w:bCs/>
          <w:sz w:val="20"/>
          <w:lang w:eastAsia="zh-CN"/>
        </w:rPr>
      </w:pPr>
      <w:r>
        <w:rPr>
          <w:rFonts w:ascii="Arial" w:eastAsiaTheme="minorEastAsia" w:hAnsi="Arial" w:cs="Arial"/>
          <w:b/>
          <w:bCs/>
          <w:sz w:val="20"/>
          <w:lang w:eastAsia="zh-CN"/>
        </w:rPr>
        <w:t>Master File</w:t>
      </w:r>
    </w:p>
    <w:p w14:paraId="4A5B24FA" w14:textId="77777777" w:rsidR="0045369B" w:rsidRDefault="0045369B" w:rsidP="002270A9">
      <w:pPr>
        <w:adjustRightInd w:val="0"/>
        <w:snapToGrid w:val="0"/>
        <w:spacing w:line="276" w:lineRule="auto"/>
        <w:jc w:val="left"/>
        <w:rPr>
          <w:rFonts w:ascii="Arial" w:hAnsi="Arial" w:cs="Arial"/>
          <w:sz w:val="20"/>
        </w:rPr>
      </w:pPr>
    </w:p>
    <w:p w14:paraId="6BD99D5B" w14:textId="0C7147E9" w:rsidR="00B34218" w:rsidRPr="003117A2" w:rsidRDefault="00B34218" w:rsidP="002270A9">
      <w:pPr>
        <w:adjustRightInd w:val="0"/>
        <w:snapToGrid w:val="0"/>
        <w:spacing w:line="276" w:lineRule="auto"/>
        <w:jc w:val="left"/>
        <w:rPr>
          <w:rFonts w:ascii="Arial" w:eastAsiaTheme="minorEastAsia" w:hAnsi="Arial" w:cs="Arial"/>
          <w:b/>
          <w:bCs/>
          <w:sz w:val="20"/>
          <w:lang w:eastAsia="zh-CN"/>
        </w:rPr>
      </w:pPr>
      <w:r w:rsidRPr="00957A63">
        <w:rPr>
          <w:rFonts w:ascii="Arial" w:hAnsi="Arial" w:cs="Arial"/>
          <w:sz w:val="20"/>
        </w:rPr>
        <w:t xml:space="preserve">The master file is a </w:t>
      </w:r>
      <w:r w:rsidR="001C3D36">
        <w:rPr>
          <w:rFonts w:ascii="Arial" w:eastAsiaTheme="minorEastAsia" w:hAnsi="Arial" w:cs="Arial" w:hint="eastAsia"/>
          <w:sz w:val="20"/>
          <w:lang w:eastAsia="zh-CN"/>
        </w:rPr>
        <w:t>written document</w:t>
      </w:r>
      <w:r w:rsidRPr="00957A63">
        <w:rPr>
          <w:rFonts w:ascii="Arial" w:hAnsi="Arial" w:cs="Arial"/>
          <w:sz w:val="20"/>
        </w:rPr>
        <w:t xml:space="preserve"> </w:t>
      </w:r>
      <w:r w:rsidR="0049746B">
        <w:rPr>
          <w:rFonts w:ascii="Arial" w:eastAsiaTheme="minorEastAsia" w:hAnsi="Arial" w:cs="Arial" w:hint="eastAsia"/>
          <w:sz w:val="20"/>
          <w:lang w:eastAsia="zh-CN"/>
        </w:rPr>
        <w:t>covering</w:t>
      </w:r>
      <w:r w:rsidRPr="00957A63">
        <w:rPr>
          <w:rFonts w:ascii="Arial" w:hAnsi="Arial" w:cs="Arial"/>
          <w:sz w:val="20"/>
        </w:rPr>
        <w:t xml:space="preserve"> the global operations and activities, and the pricing policies relevant to transfer pricing of the entity and the other members of its multinational enterprise (</w:t>
      </w:r>
      <w:r w:rsidRPr="003A7D08">
        <w:rPr>
          <w:rFonts w:ascii="Arial" w:hAnsi="Arial" w:cs="Arial"/>
          <w:b/>
          <w:sz w:val="20"/>
        </w:rPr>
        <w:t>MNE</w:t>
      </w:r>
      <w:r w:rsidRPr="00957A63">
        <w:rPr>
          <w:rFonts w:ascii="Arial" w:hAnsi="Arial" w:cs="Arial"/>
          <w:sz w:val="20"/>
        </w:rPr>
        <w:t>) group</w:t>
      </w:r>
      <w:r w:rsidR="003117A2">
        <w:rPr>
          <w:rFonts w:ascii="Arial" w:eastAsiaTheme="minorEastAsia" w:hAnsi="Arial" w:cs="Arial" w:hint="eastAsia"/>
          <w:sz w:val="20"/>
          <w:lang w:eastAsia="zh-CN"/>
        </w:rPr>
        <w:t xml:space="preserve">, with details spread across </w:t>
      </w:r>
      <w:r w:rsidR="003117A2">
        <w:rPr>
          <w:rFonts w:ascii="Arial" w:eastAsiaTheme="minorEastAsia" w:hAnsi="Arial" w:cs="Arial"/>
          <w:sz w:val="20"/>
          <w:lang w:eastAsia="zh-CN"/>
        </w:rPr>
        <w:t>the</w:t>
      </w:r>
      <w:r w:rsidR="003117A2">
        <w:rPr>
          <w:rFonts w:ascii="Arial" w:eastAsiaTheme="minorEastAsia" w:hAnsi="Arial" w:cs="Arial" w:hint="eastAsia"/>
          <w:sz w:val="20"/>
          <w:lang w:eastAsia="zh-CN"/>
        </w:rPr>
        <w:t xml:space="preserve"> following sections:</w:t>
      </w:r>
    </w:p>
    <w:p w14:paraId="751989F3" w14:textId="6677462A" w:rsidR="00846566" w:rsidRPr="003A7D08" w:rsidRDefault="00846566" w:rsidP="002270A9">
      <w:pPr>
        <w:adjustRightInd w:val="0"/>
        <w:snapToGrid w:val="0"/>
        <w:spacing w:line="276" w:lineRule="auto"/>
        <w:jc w:val="left"/>
        <w:rPr>
          <w:rFonts w:ascii="Arial" w:eastAsiaTheme="minorEastAsia" w:hAnsi="Arial" w:cs="Arial"/>
          <w:sz w:val="20"/>
          <w:lang w:eastAsia="zh-CN"/>
        </w:rPr>
      </w:pPr>
    </w:p>
    <w:p w14:paraId="4A4E1511" w14:textId="784F8CBA" w:rsidR="00846566" w:rsidRPr="003A7D08" w:rsidRDefault="00846566" w:rsidP="003A7D08">
      <w:pPr>
        <w:pStyle w:val="ListParagraph"/>
        <w:numPr>
          <w:ilvl w:val="0"/>
          <w:numId w:val="51"/>
        </w:numPr>
        <w:adjustRightInd w:val="0"/>
        <w:snapToGrid w:val="0"/>
        <w:spacing w:line="276" w:lineRule="auto"/>
        <w:jc w:val="left"/>
        <w:rPr>
          <w:rFonts w:ascii="Arial" w:hAnsi="Arial" w:cs="Arial"/>
          <w:sz w:val="20"/>
        </w:rPr>
      </w:pPr>
      <w:r w:rsidRPr="003A7D08">
        <w:rPr>
          <w:rFonts w:ascii="Arial" w:hAnsi="Arial" w:cs="Arial"/>
          <w:sz w:val="20"/>
        </w:rPr>
        <w:t>Organisational structure</w:t>
      </w:r>
    </w:p>
    <w:p w14:paraId="2B39D75B" w14:textId="4DA855E3" w:rsidR="00846566" w:rsidRPr="003A7D08" w:rsidRDefault="00846566" w:rsidP="003A7D08">
      <w:pPr>
        <w:pStyle w:val="ListParagraph"/>
        <w:numPr>
          <w:ilvl w:val="0"/>
          <w:numId w:val="51"/>
        </w:numPr>
        <w:adjustRightInd w:val="0"/>
        <w:snapToGrid w:val="0"/>
        <w:spacing w:line="276" w:lineRule="auto"/>
        <w:jc w:val="left"/>
        <w:rPr>
          <w:rFonts w:ascii="Arial" w:hAnsi="Arial" w:cs="Arial"/>
          <w:sz w:val="20"/>
        </w:rPr>
      </w:pPr>
      <w:r w:rsidRPr="003A7D08">
        <w:rPr>
          <w:rFonts w:ascii="Arial" w:hAnsi="Arial" w:cs="Arial"/>
          <w:sz w:val="20"/>
        </w:rPr>
        <w:lastRenderedPageBreak/>
        <w:t>Description of MNE’s business</w:t>
      </w:r>
    </w:p>
    <w:p w14:paraId="1B04A4C0" w14:textId="1481235A" w:rsidR="00846566" w:rsidRPr="003A7D08" w:rsidRDefault="00846566" w:rsidP="003A7D08">
      <w:pPr>
        <w:pStyle w:val="ListParagraph"/>
        <w:numPr>
          <w:ilvl w:val="0"/>
          <w:numId w:val="51"/>
        </w:numPr>
        <w:adjustRightInd w:val="0"/>
        <w:snapToGrid w:val="0"/>
        <w:spacing w:line="276" w:lineRule="auto"/>
        <w:jc w:val="left"/>
        <w:rPr>
          <w:rFonts w:ascii="Arial" w:hAnsi="Arial" w:cs="Arial"/>
          <w:sz w:val="20"/>
        </w:rPr>
      </w:pPr>
      <w:r w:rsidRPr="003A7D08">
        <w:rPr>
          <w:rFonts w:ascii="Arial" w:hAnsi="Arial" w:cs="Arial"/>
          <w:sz w:val="20"/>
        </w:rPr>
        <w:t>MNE’s intangibles</w:t>
      </w:r>
    </w:p>
    <w:p w14:paraId="63C73698" w14:textId="0D926645" w:rsidR="00846566" w:rsidRPr="003A7D08" w:rsidRDefault="00846566" w:rsidP="003A7D08">
      <w:pPr>
        <w:pStyle w:val="ListParagraph"/>
        <w:numPr>
          <w:ilvl w:val="0"/>
          <w:numId w:val="51"/>
        </w:numPr>
        <w:adjustRightInd w:val="0"/>
        <w:snapToGrid w:val="0"/>
        <w:spacing w:line="276" w:lineRule="auto"/>
        <w:jc w:val="left"/>
        <w:rPr>
          <w:rFonts w:ascii="Arial" w:hAnsi="Arial" w:cs="Arial"/>
          <w:sz w:val="20"/>
        </w:rPr>
      </w:pPr>
      <w:r w:rsidRPr="003A7D08">
        <w:rPr>
          <w:rFonts w:ascii="Arial" w:hAnsi="Arial" w:cs="Arial"/>
          <w:sz w:val="20"/>
        </w:rPr>
        <w:t>MNE’s intercompany financial activities</w:t>
      </w:r>
    </w:p>
    <w:p w14:paraId="367B6FD0" w14:textId="15B5DEBB" w:rsidR="00846566" w:rsidRPr="003A7D08" w:rsidRDefault="00846566" w:rsidP="003A7D08">
      <w:pPr>
        <w:pStyle w:val="ListParagraph"/>
        <w:numPr>
          <w:ilvl w:val="0"/>
          <w:numId w:val="51"/>
        </w:numPr>
        <w:adjustRightInd w:val="0"/>
        <w:snapToGrid w:val="0"/>
        <w:spacing w:line="276" w:lineRule="auto"/>
        <w:jc w:val="left"/>
        <w:rPr>
          <w:rFonts w:ascii="Arial" w:hAnsi="Arial" w:cs="Arial"/>
          <w:sz w:val="20"/>
        </w:rPr>
      </w:pPr>
      <w:r w:rsidRPr="003A7D08">
        <w:rPr>
          <w:rFonts w:ascii="Arial" w:hAnsi="Arial" w:cs="Arial"/>
          <w:sz w:val="20"/>
        </w:rPr>
        <w:t>MNE’s financial and tax positions</w:t>
      </w:r>
      <w:r w:rsidR="003117A2">
        <w:rPr>
          <w:rFonts w:ascii="Arial" w:eastAsiaTheme="minorEastAsia" w:hAnsi="Arial" w:cs="Arial" w:hint="eastAsia"/>
          <w:sz w:val="20"/>
          <w:lang w:eastAsia="zh-CN"/>
        </w:rPr>
        <w:t>.</w:t>
      </w:r>
    </w:p>
    <w:p w14:paraId="4514D298" w14:textId="77777777" w:rsidR="00B34218" w:rsidRPr="00154427" w:rsidRDefault="00B34218" w:rsidP="002270A9">
      <w:pPr>
        <w:adjustRightInd w:val="0"/>
        <w:snapToGrid w:val="0"/>
        <w:spacing w:line="276" w:lineRule="auto"/>
        <w:jc w:val="left"/>
        <w:rPr>
          <w:rFonts w:ascii="Arial" w:eastAsiaTheme="minorEastAsia" w:hAnsi="Arial" w:cs="Arial"/>
          <w:b/>
          <w:bCs/>
          <w:sz w:val="20"/>
          <w:lang w:eastAsia="zh-CN"/>
        </w:rPr>
      </w:pPr>
    </w:p>
    <w:p w14:paraId="135114A3" w14:textId="778A56AB" w:rsidR="00957A63" w:rsidRDefault="00B34218" w:rsidP="002270A9">
      <w:pPr>
        <w:pStyle w:val="ListParagraph"/>
        <w:numPr>
          <w:ilvl w:val="0"/>
          <w:numId w:val="25"/>
        </w:numPr>
        <w:adjustRightInd w:val="0"/>
        <w:snapToGrid w:val="0"/>
        <w:spacing w:line="276" w:lineRule="auto"/>
        <w:ind w:left="709" w:hanging="709"/>
        <w:jc w:val="left"/>
        <w:rPr>
          <w:rFonts w:ascii="Arial" w:eastAsiaTheme="minorEastAsia" w:hAnsi="Arial" w:cs="Arial"/>
          <w:b/>
          <w:bCs/>
          <w:sz w:val="20"/>
          <w:lang w:eastAsia="zh-CN"/>
        </w:rPr>
      </w:pPr>
      <w:r>
        <w:rPr>
          <w:rFonts w:ascii="Arial" w:eastAsiaTheme="minorEastAsia" w:hAnsi="Arial" w:cs="Arial"/>
          <w:b/>
          <w:bCs/>
          <w:sz w:val="20"/>
          <w:lang w:eastAsia="zh-CN"/>
        </w:rPr>
        <w:t>Local File</w:t>
      </w:r>
    </w:p>
    <w:p w14:paraId="27EE6794" w14:textId="77777777" w:rsidR="00357CB0" w:rsidRPr="003A7D08" w:rsidRDefault="00357CB0" w:rsidP="003A7D08">
      <w:pPr>
        <w:adjustRightInd w:val="0"/>
        <w:snapToGrid w:val="0"/>
        <w:spacing w:line="276" w:lineRule="auto"/>
        <w:jc w:val="left"/>
        <w:rPr>
          <w:rFonts w:ascii="Arial" w:eastAsiaTheme="minorEastAsia" w:hAnsi="Arial" w:cs="Arial"/>
          <w:b/>
          <w:bCs/>
          <w:sz w:val="20"/>
          <w:lang w:eastAsia="zh-CN"/>
        </w:rPr>
      </w:pPr>
    </w:p>
    <w:p w14:paraId="439C286E" w14:textId="4C80BD45" w:rsidR="008344DF" w:rsidRDefault="00424295" w:rsidP="002270A9">
      <w:pPr>
        <w:adjustRightInd w:val="0"/>
        <w:snapToGrid w:val="0"/>
        <w:spacing w:line="276" w:lineRule="auto"/>
        <w:jc w:val="left"/>
        <w:rPr>
          <w:rFonts w:ascii="Arial" w:hAnsi="Arial" w:cs="Arial"/>
          <w:sz w:val="20"/>
        </w:rPr>
      </w:pPr>
      <w:r>
        <w:rPr>
          <w:rFonts w:ascii="Arial" w:hAnsi="Arial" w:cs="Arial"/>
          <w:sz w:val="20"/>
        </w:rPr>
        <w:t>Local file is a</w:t>
      </w:r>
      <w:r w:rsidR="00957A63" w:rsidRPr="00957A63">
        <w:rPr>
          <w:rFonts w:ascii="Arial" w:hAnsi="Arial" w:cs="Arial"/>
          <w:sz w:val="20"/>
        </w:rPr>
        <w:t xml:space="preserve"> file containing details of local operations and international related party dealings (</w:t>
      </w:r>
      <w:r w:rsidR="00957A63" w:rsidRPr="003A7D08">
        <w:rPr>
          <w:rFonts w:ascii="Arial" w:hAnsi="Arial" w:cs="Arial"/>
          <w:b/>
          <w:sz w:val="20"/>
        </w:rPr>
        <w:t>IRPDs</w:t>
      </w:r>
      <w:r w:rsidR="00957A63" w:rsidRPr="00957A63">
        <w:rPr>
          <w:rFonts w:ascii="Arial" w:hAnsi="Arial" w:cs="Arial"/>
          <w:sz w:val="20"/>
        </w:rPr>
        <w:t>) involved by the Australian CbC reporting entity.</w:t>
      </w:r>
      <w:r w:rsidR="00957A63">
        <w:rPr>
          <w:rFonts w:ascii="Arial" w:hAnsi="Arial" w:cs="Arial"/>
          <w:sz w:val="20"/>
        </w:rPr>
        <w:t xml:space="preserve"> It is related to </w:t>
      </w:r>
      <w:r w:rsidR="00B10F87">
        <w:rPr>
          <w:rFonts w:ascii="Arial" w:hAnsi="Arial" w:cs="Arial"/>
          <w:sz w:val="20"/>
        </w:rPr>
        <w:t>entity-based</w:t>
      </w:r>
      <w:r w:rsidR="00957A63">
        <w:rPr>
          <w:rFonts w:ascii="Arial" w:hAnsi="Arial" w:cs="Arial"/>
          <w:sz w:val="20"/>
        </w:rPr>
        <w:t xml:space="preserve"> information including</w:t>
      </w:r>
      <w:r w:rsidR="00B10F87">
        <w:rPr>
          <w:rFonts w:ascii="Arial" w:hAnsi="Arial" w:cs="Arial"/>
          <w:sz w:val="20"/>
        </w:rPr>
        <w:t xml:space="preserve"> l</w:t>
      </w:r>
      <w:r w:rsidR="00957A63" w:rsidRPr="00B10F87">
        <w:rPr>
          <w:rFonts w:ascii="Arial" w:hAnsi="Arial" w:cs="Arial"/>
          <w:sz w:val="20"/>
        </w:rPr>
        <w:t>ocal entity business detail</w:t>
      </w:r>
      <w:r w:rsidR="00B10F87">
        <w:rPr>
          <w:rFonts w:ascii="Arial" w:hAnsi="Arial" w:cs="Arial"/>
          <w:sz w:val="20"/>
        </w:rPr>
        <w:t xml:space="preserve">s, </w:t>
      </w:r>
      <w:r w:rsidR="00957A63" w:rsidRPr="00B10F87">
        <w:rPr>
          <w:rFonts w:ascii="Arial" w:hAnsi="Arial" w:cs="Arial"/>
          <w:sz w:val="20"/>
        </w:rPr>
        <w:t>I</w:t>
      </w:r>
      <w:r w:rsidR="0068614A">
        <w:rPr>
          <w:rFonts w:ascii="Arial" w:eastAsiaTheme="minorEastAsia" w:hAnsi="Arial" w:cs="Arial" w:hint="eastAsia"/>
          <w:sz w:val="20"/>
          <w:lang w:eastAsia="zh-CN"/>
        </w:rPr>
        <w:t>RPD details</w:t>
      </w:r>
      <w:r w:rsidR="00957A63" w:rsidRPr="00B10F87">
        <w:rPr>
          <w:rFonts w:ascii="Arial" w:hAnsi="Arial" w:cs="Arial"/>
          <w:sz w:val="20"/>
        </w:rPr>
        <w:t xml:space="preserve"> (type, value, policy, agreements etc.</w:t>
      </w:r>
      <w:r w:rsidR="00B10F87" w:rsidRPr="00B10F87">
        <w:rPr>
          <w:rFonts w:ascii="Arial" w:hAnsi="Arial" w:cs="Arial"/>
          <w:sz w:val="20"/>
        </w:rPr>
        <w:t>)</w:t>
      </w:r>
      <w:r w:rsidR="00B10F87">
        <w:rPr>
          <w:rFonts w:ascii="Arial" w:hAnsi="Arial" w:cs="Arial"/>
          <w:sz w:val="20"/>
        </w:rPr>
        <w:t xml:space="preserve"> and f</w:t>
      </w:r>
      <w:r w:rsidR="00957A63" w:rsidRPr="00B10F87">
        <w:rPr>
          <w:rFonts w:ascii="Arial" w:hAnsi="Arial" w:cs="Arial"/>
          <w:sz w:val="20"/>
        </w:rPr>
        <w:t>inancials</w:t>
      </w:r>
      <w:r w:rsidR="008344DF">
        <w:rPr>
          <w:rFonts w:ascii="Arial" w:hAnsi="Arial" w:cs="Arial"/>
          <w:sz w:val="20"/>
        </w:rPr>
        <w:t>.</w:t>
      </w:r>
    </w:p>
    <w:p w14:paraId="79C620B9" w14:textId="77777777" w:rsidR="0045369B" w:rsidRDefault="0045369B" w:rsidP="002270A9">
      <w:pPr>
        <w:adjustRightInd w:val="0"/>
        <w:snapToGrid w:val="0"/>
        <w:spacing w:line="276" w:lineRule="auto"/>
        <w:jc w:val="left"/>
        <w:rPr>
          <w:rFonts w:ascii="Arial" w:hAnsi="Arial" w:cs="Arial"/>
          <w:sz w:val="20"/>
        </w:rPr>
      </w:pPr>
    </w:p>
    <w:p w14:paraId="7A486662" w14:textId="3C9C2ECD" w:rsidR="0045369B" w:rsidRPr="00C66BFB" w:rsidRDefault="008344DF" w:rsidP="00EC1222">
      <w:pPr>
        <w:adjustRightInd w:val="0"/>
        <w:snapToGrid w:val="0"/>
        <w:spacing w:line="276" w:lineRule="auto"/>
        <w:jc w:val="left"/>
        <w:rPr>
          <w:rFonts w:ascii="Arial" w:hAnsi="Arial" w:cs="Arial"/>
          <w:sz w:val="20"/>
        </w:rPr>
      </w:pPr>
      <w:r w:rsidRPr="008344DF">
        <w:rPr>
          <w:rFonts w:ascii="Arial" w:hAnsi="Arial" w:cs="Arial"/>
          <w:sz w:val="20"/>
        </w:rPr>
        <w:t>There are two tiers of the local file:</w:t>
      </w:r>
    </w:p>
    <w:p w14:paraId="268D4547" w14:textId="73746A64" w:rsidR="008344DF" w:rsidRPr="003A7D08" w:rsidRDefault="008344DF" w:rsidP="003A7D08">
      <w:pPr>
        <w:pStyle w:val="ListParagraph"/>
        <w:numPr>
          <w:ilvl w:val="0"/>
          <w:numId w:val="52"/>
        </w:numPr>
        <w:adjustRightInd w:val="0"/>
        <w:snapToGrid w:val="0"/>
        <w:spacing w:line="276" w:lineRule="auto"/>
        <w:jc w:val="left"/>
        <w:rPr>
          <w:rFonts w:ascii="Arial" w:hAnsi="Arial" w:cs="Arial"/>
          <w:sz w:val="20"/>
        </w:rPr>
      </w:pPr>
      <w:r w:rsidRPr="003A7D08">
        <w:rPr>
          <w:rFonts w:ascii="Arial" w:hAnsi="Arial" w:cs="Arial"/>
          <w:b/>
          <w:bCs/>
          <w:sz w:val="20"/>
        </w:rPr>
        <w:t>Short Form Local File</w:t>
      </w:r>
      <w:r w:rsidR="002143EC">
        <w:rPr>
          <w:rFonts w:ascii="Arial" w:eastAsiaTheme="minorEastAsia" w:hAnsi="Arial" w:cs="Arial" w:hint="eastAsia"/>
          <w:b/>
          <w:bCs/>
          <w:sz w:val="20"/>
          <w:lang w:eastAsia="zh-CN"/>
        </w:rPr>
        <w:t xml:space="preserve"> only</w:t>
      </w:r>
      <w:r w:rsidRPr="003A7D08">
        <w:rPr>
          <w:rFonts w:ascii="Arial" w:hAnsi="Arial" w:cs="Arial"/>
          <w:sz w:val="20"/>
        </w:rPr>
        <w:t xml:space="preserve">: </w:t>
      </w:r>
      <w:r w:rsidR="002D5076" w:rsidRPr="003A7D08">
        <w:rPr>
          <w:rFonts w:ascii="Arial" w:hAnsi="Arial" w:cs="Arial"/>
          <w:sz w:val="20"/>
        </w:rPr>
        <w:t>Required if the reporting entity has no IRPDs on the short form exceptions list and meets at least one of the following:</w:t>
      </w:r>
    </w:p>
    <w:p w14:paraId="6849B149" w14:textId="53148FCA" w:rsidR="00EC1222" w:rsidRDefault="008344DF" w:rsidP="003A7D08">
      <w:pPr>
        <w:pStyle w:val="ListParagraph"/>
        <w:numPr>
          <w:ilvl w:val="0"/>
          <w:numId w:val="21"/>
        </w:numPr>
        <w:spacing w:line="276" w:lineRule="auto"/>
        <w:rPr>
          <w:rFonts w:ascii="Arial" w:hAnsi="Arial" w:cs="Arial"/>
          <w:sz w:val="20"/>
        </w:rPr>
      </w:pPr>
      <w:r w:rsidRPr="003A7D08">
        <w:rPr>
          <w:rFonts w:ascii="Arial" w:hAnsi="Arial" w:cs="Arial"/>
          <w:sz w:val="20"/>
        </w:rPr>
        <w:t>Aggregate value of IRPDs is less than AUD 2 million.</w:t>
      </w:r>
    </w:p>
    <w:p w14:paraId="4D618245" w14:textId="2CFD7F40" w:rsidR="00EC1222" w:rsidRPr="003A7D08" w:rsidRDefault="008344DF" w:rsidP="003A7D08">
      <w:pPr>
        <w:pStyle w:val="ListParagraph"/>
        <w:numPr>
          <w:ilvl w:val="0"/>
          <w:numId w:val="21"/>
        </w:numPr>
        <w:adjustRightInd w:val="0"/>
        <w:snapToGrid w:val="0"/>
        <w:spacing w:line="276" w:lineRule="auto"/>
        <w:jc w:val="left"/>
        <w:rPr>
          <w:rFonts w:ascii="Arial" w:hAnsi="Arial" w:cs="Arial"/>
          <w:sz w:val="20"/>
        </w:rPr>
      </w:pPr>
      <w:r w:rsidRPr="003A7D08">
        <w:rPr>
          <w:rFonts w:ascii="Arial" w:hAnsi="Arial" w:cs="Arial"/>
          <w:sz w:val="20"/>
        </w:rPr>
        <w:t>Meets the simplified transfer pricing record keeping (STPRK) criteria for small taxpayers</w:t>
      </w:r>
      <w:r w:rsidR="000506A5" w:rsidRPr="003A7D08">
        <w:rPr>
          <w:rFonts w:ascii="Arial" w:hAnsi="Arial" w:cs="Arial"/>
          <w:sz w:val="20"/>
        </w:rPr>
        <w:t xml:space="preserve"> or </w:t>
      </w:r>
      <w:r w:rsidRPr="003A7D08">
        <w:rPr>
          <w:rFonts w:ascii="Arial" w:hAnsi="Arial" w:cs="Arial"/>
          <w:sz w:val="20"/>
        </w:rPr>
        <w:t>materiality.</w:t>
      </w:r>
    </w:p>
    <w:p w14:paraId="20A7F62B" w14:textId="77777777" w:rsidR="0045369B" w:rsidRPr="00EC1222" w:rsidRDefault="0045369B" w:rsidP="003A7D08">
      <w:pPr>
        <w:pStyle w:val="ListParagraph"/>
        <w:spacing w:line="276" w:lineRule="auto"/>
        <w:ind w:left="1080"/>
      </w:pPr>
    </w:p>
    <w:p w14:paraId="0D73DA69" w14:textId="4827E314" w:rsidR="008344DF" w:rsidRPr="003A7D08" w:rsidRDefault="005B6F18" w:rsidP="003A7D08">
      <w:pPr>
        <w:pStyle w:val="ListParagraph"/>
        <w:numPr>
          <w:ilvl w:val="0"/>
          <w:numId w:val="52"/>
        </w:numPr>
        <w:adjustRightInd w:val="0"/>
        <w:snapToGrid w:val="0"/>
        <w:spacing w:line="276" w:lineRule="auto"/>
        <w:jc w:val="left"/>
        <w:rPr>
          <w:rFonts w:ascii="Arial" w:hAnsi="Arial" w:cs="Arial"/>
          <w:sz w:val="20"/>
        </w:rPr>
      </w:pPr>
      <w:r>
        <w:rPr>
          <w:rFonts w:ascii="Arial" w:eastAsiaTheme="minorEastAsia" w:hAnsi="Arial" w:cs="Arial" w:hint="eastAsia"/>
          <w:b/>
          <w:bCs/>
          <w:sz w:val="20"/>
          <w:lang w:eastAsia="zh-CN"/>
        </w:rPr>
        <w:t xml:space="preserve">Full </w:t>
      </w:r>
      <w:r w:rsidR="008344DF" w:rsidRPr="003A7D08">
        <w:rPr>
          <w:rFonts w:ascii="Arial" w:hAnsi="Arial" w:cs="Arial"/>
          <w:b/>
          <w:bCs/>
          <w:sz w:val="20"/>
        </w:rPr>
        <w:t>Local File</w:t>
      </w:r>
      <w:r w:rsidR="008344DF" w:rsidRPr="003A7D08">
        <w:rPr>
          <w:rFonts w:ascii="Arial" w:hAnsi="Arial" w:cs="Arial"/>
          <w:sz w:val="20"/>
        </w:rPr>
        <w:t xml:space="preserve">: If the criteria for the short form local file </w:t>
      </w:r>
      <w:r w:rsidR="009F33B2">
        <w:rPr>
          <w:rFonts w:ascii="Arial" w:eastAsiaTheme="minorEastAsia" w:hAnsi="Arial" w:cs="Arial" w:hint="eastAsia"/>
          <w:sz w:val="20"/>
          <w:lang w:eastAsia="zh-CN"/>
        </w:rPr>
        <w:t xml:space="preserve">only </w:t>
      </w:r>
      <w:r w:rsidR="008344DF" w:rsidRPr="003A7D08">
        <w:rPr>
          <w:rFonts w:ascii="Arial" w:hAnsi="Arial" w:cs="Arial"/>
          <w:sz w:val="20"/>
        </w:rPr>
        <w:t xml:space="preserve">are not met, the reporting entity must complete the </w:t>
      </w:r>
      <w:r w:rsidR="009F33B2">
        <w:rPr>
          <w:rFonts w:ascii="Arial" w:eastAsiaTheme="minorEastAsia" w:hAnsi="Arial" w:cs="Arial" w:hint="eastAsia"/>
          <w:sz w:val="20"/>
          <w:lang w:eastAsia="zh-CN"/>
        </w:rPr>
        <w:t xml:space="preserve">full </w:t>
      </w:r>
      <w:r w:rsidR="008344DF" w:rsidRPr="003A7D08">
        <w:rPr>
          <w:rFonts w:ascii="Arial" w:hAnsi="Arial" w:cs="Arial"/>
          <w:sz w:val="20"/>
        </w:rPr>
        <w:t>local file</w:t>
      </w:r>
      <w:r w:rsidR="002D5076" w:rsidRPr="003A7D08">
        <w:rPr>
          <w:rFonts w:ascii="Arial" w:hAnsi="Arial" w:cs="Arial"/>
          <w:sz w:val="20"/>
        </w:rPr>
        <w:t>.</w:t>
      </w:r>
    </w:p>
    <w:p w14:paraId="218374E9" w14:textId="26CB461E" w:rsidR="00957A63" w:rsidRDefault="00957A63" w:rsidP="003A7D08">
      <w:pPr>
        <w:pStyle w:val="ListParagraph"/>
        <w:numPr>
          <w:ilvl w:val="0"/>
          <w:numId w:val="29"/>
        </w:numPr>
        <w:adjustRightInd w:val="0"/>
        <w:snapToGrid w:val="0"/>
        <w:spacing w:line="276" w:lineRule="auto"/>
        <w:ind w:left="1134" w:hanging="283"/>
        <w:jc w:val="left"/>
        <w:rPr>
          <w:rFonts w:ascii="Arial" w:hAnsi="Arial" w:cs="Arial"/>
          <w:sz w:val="20"/>
        </w:rPr>
      </w:pPr>
      <w:r w:rsidRPr="008344DF">
        <w:rPr>
          <w:rFonts w:ascii="Arial" w:hAnsi="Arial" w:cs="Arial"/>
          <w:b/>
          <w:bCs/>
          <w:sz w:val="20"/>
        </w:rPr>
        <w:t>short form local file</w:t>
      </w:r>
      <w:r w:rsidR="008344DF">
        <w:rPr>
          <w:rFonts w:ascii="Arial" w:hAnsi="Arial" w:cs="Arial"/>
          <w:sz w:val="20"/>
        </w:rPr>
        <w:t xml:space="preserve">: </w:t>
      </w:r>
      <w:r w:rsidR="006570D0">
        <w:rPr>
          <w:rFonts w:ascii="Arial" w:eastAsiaTheme="minorEastAsia" w:hAnsi="Arial" w:cs="Arial" w:hint="eastAsia"/>
          <w:sz w:val="20"/>
          <w:lang w:eastAsia="zh-CN"/>
        </w:rPr>
        <w:t xml:space="preserve">Covers </w:t>
      </w:r>
      <w:r w:rsidR="00AB61C4">
        <w:rPr>
          <w:rFonts w:ascii="Arial" w:eastAsiaTheme="minorEastAsia" w:hAnsi="Arial" w:cs="Arial" w:hint="eastAsia"/>
          <w:sz w:val="20"/>
          <w:lang w:eastAsia="zh-CN"/>
        </w:rPr>
        <w:t xml:space="preserve">narrative information relating to </w:t>
      </w:r>
      <w:r w:rsidR="006570D0">
        <w:rPr>
          <w:rFonts w:ascii="Arial" w:eastAsiaTheme="minorEastAsia" w:hAnsi="Arial" w:cs="Arial" w:hint="eastAsia"/>
          <w:sz w:val="20"/>
          <w:lang w:eastAsia="zh-CN"/>
        </w:rPr>
        <w:t>the reporting entity</w:t>
      </w:r>
      <w:r w:rsidR="006570D0">
        <w:rPr>
          <w:rFonts w:ascii="Arial" w:eastAsiaTheme="minorEastAsia" w:hAnsi="Arial" w:cs="Arial"/>
          <w:sz w:val="20"/>
          <w:lang w:eastAsia="zh-CN"/>
        </w:rPr>
        <w:t>’</w:t>
      </w:r>
      <w:r w:rsidR="006570D0">
        <w:rPr>
          <w:rFonts w:ascii="Arial" w:eastAsiaTheme="minorEastAsia" w:hAnsi="Arial" w:cs="Arial" w:hint="eastAsia"/>
          <w:sz w:val="20"/>
          <w:lang w:eastAsia="zh-CN"/>
        </w:rPr>
        <w:t xml:space="preserve">s </w:t>
      </w:r>
      <w:r w:rsidR="008344DF" w:rsidRPr="008344DF">
        <w:rPr>
          <w:rFonts w:ascii="Arial" w:hAnsi="Arial" w:cs="Arial"/>
          <w:sz w:val="20"/>
        </w:rPr>
        <w:t>organisational structure, business and strategy, business restructures, transfers of intangibles, and a list of key competitors.</w:t>
      </w:r>
    </w:p>
    <w:p w14:paraId="7222A1D4" w14:textId="67515EC2" w:rsidR="00957A63" w:rsidRDefault="00957A63" w:rsidP="003A7D08">
      <w:pPr>
        <w:pStyle w:val="ListParagraph"/>
        <w:numPr>
          <w:ilvl w:val="0"/>
          <w:numId w:val="29"/>
        </w:numPr>
        <w:adjustRightInd w:val="0"/>
        <w:snapToGrid w:val="0"/>
        <w:spacing w:line="276" w:lineRule="auto"/>
        <w:ind w:left="1134" w:hanging="283"/>
        <w:jc w:val="left"/>
        <w:rPr>
          <w:rFonts w:ascii="Arial" w:hAnsi="Arial" w:cs="Arial"/>
          <w:sz w:val="20"/>
        </w:rPr>
      </w:pPr>
      <w:r w:rsidRPr="008344DF">
        <w:rPr>
          <w:rFonts w:ascii="Arial" w:hAnsi="Arial" w:cs="Arial"/>
          <w:b/>
          <w:bCs/>
          <w:sz w:val="20"/>
        </w:rPr>
        <w:t xml:space="preserve">local file </w:t>
      </w:r>
      <w:r w:rsidR="00424295" w:rsidRPr="008344DF">
        <w:rPr>
          <w:rFonts w:ascii="Arial" w:hAnsi="Arial" w:cs="Arial"/>
          <w:b/>
          <w:bCs/>
          <w:sz w:val="20"/>
        </w:rPr>
        <w:t>part A</w:t>
      </w:r>
      <w:r w:rsidR="008344DF">
        <w:rPr>
          <w:rFonts w:ascii="Arial" w:hAnsi="Arial" w:cs="Arial"/>
          <w:sz w:val="20"/>
        </w:rPr>
        <w:t xml:space="preserve">: </w:t>
      </w:r>
      <w:r w:rsidR="001E18BA">
        <w:rPr>
          <w:rFonts w:ascii="Arial" w:eastAsiaTheme="minorEastAsia" w:hAnsi="Arial" w:cs="Arial" w:hint="eastAsia"/>
          <w:sz w:val="20"/>
          <w:lang w:eastAsia="zh-CN"/>
        </w:rPr>
        <w:t xml:space="preserve">Covers </w:t>
      </w:r>
      <w:r w:rsidR="00F71489" w:rsidRPr="00F71489">
        <w:rPr>
          <w:rFonts w:ascii="Arial" w:hAnsi="Arial" w:cs="Arial"/>
          <w:sz w:val="20"/>
        </w:rPr>
        <w:t>details for all IRPD</w:t>
      </w:r>
      <w:r w:rsidR="00F71489">
        <w:rPr>
          <w:rFonts w:ascii="Arial" w:hAnsi="Arial" w:cs="Arial"/>
          <w:sz w:val="20"/>
        </w:rPr>
        <w:t>s</w:t>
      </w:r>
      <w:r w:rsidR="001E18BA">
        <w:rPr>
          <w:rFonts w:ascii="Arial" w:eastAsiaTheme="minorEastAsia" w:hAnsi="Arial" w:cs="Arial" w:hint="eastAsia"/>
          <w:sz w:val="20"/>
          <w:lang w:eastAsia="zh-CN"/>
        </w:rPr>
        <w:t xml:space="preserve"> on a transactional basis</w:t>
      </w:r>
      <w:r w:rsidR="00F71489" w:rsidRPr="00F71489">
        <w:rPr>
          <w:rFonts w:ascii="Arial" w:hAnsi="Arial" w:cs="Arial"/>
          <w:sz w:val="20"/>
        </w:rPr>
        <w:t xml:space="preserve">, such as counterparties' names, tax residence, transaction categories, financial details, transfer pricing methods, and </w:t>
      </w:r>
      <w:r w:rsidR="001E18BA">
        <w:rPr>
          <w:rFonts w:ascii="Arial" w:eastAsiaTheme="minorEastAsia" w:hAnsi="Arial" w:cs="Arial" w:hint="eastAsia"/>
          <w:sz w:val="20"/>
          <w:lang w:eastAsia="zh-CN"/>
        </w:rPr>
        <w:t xml:space="preserve">a series of other </w:t>
      </w:r>
      <w:r w:rsidR="001E18BA">
        <w:rPr>
          <w:rFonts w:ascii="Arial" w:eastAsiaTheme="minorEastAsia" w:hAnsi="Arial" w:cs="Arial"/>
          <w:sz w:val="20"/>
          <w:lang w:eastAsia="zh-CN"/>
        </w:rPr>
        <w:t>reporting</w:t>
      </w:r>
      <w:r w:rsidR="001E18BA">
        <w:rPr>
          <w:rFonts w:ascii="Arial" w:eastAsiaTheme="minorEastAsia" w:hAnsi="Arial" w:cs="Arial" w:hint="eastAsia"/>
          <w:sz w:val="20"/>
          <w:lang w:eastAsia="zh-CN"/>
        </w:rPr>
        <w:t xml:space="preserve"> items</w:t>
      </w:r>
      <w:r w:rsidR="00F71489" w:rsidRPr="00F71489">
        <w:rPr>
          <w:rFonts w:ascii="Arial" w:hAnsi="Arial" w:cs="Arial"/>
          <w:sz w:val="20"/>
        </w:rPr>
        <w:t>.</w:t>
      </w:r>
    </w:p>
    <w:p w14:paraId="0F20FC69" w14:textId="1A52495E" w:rsidR="00424295" w:rsidRDefault="00424295" w:rsidP="003A7D08">
      <w:pPr>
        <w:pStyle w:val="ListParagraph"/>
        <w:numPr>
          <w:ilvl w:val="0"/>
          <w:numId w:val="29"/>
        </w:numPr>
        <w:adjustRightInd w:val="0"/>
        <w:snapToGrid w:val="0"/>
        <w:spacing w:line="276" w:lineRule="auto"/>
        <w:ind w:left="1134" w:hanging="283"/>
        <w:jc w:val="left"/>
        <w:rPr>
          <w:rFonts w:ascii="Arial" w:hAnsi="Arial" w:cs="Arial"/>
          <w:sz w:val="20"/>
        </w:rPr>
      </w:pPr>
      <w:r w:rsidRPr="008344DF">
        <w:rPr>
          <w:rFonts w:ascii="Arial" w:hAnsi="Arial" w:cs="Arial"/>
          <w:b/>
          <w:bCs/>
          <w:sz w:val="20"/>
        </w:rPr>
        <w:t>local file part B</w:t>
      </w:r>
      <w:r w:rsidR="008344DF">
        <w:rPr>
          <w:rFonts w:ascii="Arial" w:hAnsi="Arial" w:cs="Arial"/>
          <w:sz w:val="20"/>
        </w:rPr>
        <w:t>:</w:t>
      </w:r>
      <w:r w:rsidR="00F71489" w:rsidRPr="00F71489">
        <w:rPr>
          <w:rFonts w:ascii="Segoe UI" w:hAnsi="Segoe UI" w:cs="Segoe UI"/>
          <w:color w:val="0D0D0D"/>
          <w:shd w:val="clear" w:color="auto" w:fill="FFFFFF"/>
        </w:rPr>
        <w:t xml:space="preserve"> </w:t>
      </w:r>
      <w:r w:rsidR="0047029A">
        <w:rPr>
          <w:rFonts w:ascii="Arial" w:eastAsiaTheme="minorEastAsia" w:hAnsi="Arial" w:cs="Arial" w:hint="eastAsia"/>
          <w:sz w:val="20"/>
          <w:lang w:eastAsia="zh-CN"/>
        </w:rPr>
        <w:t xml:space="preserve">Covers further </w:t>
      </w:r>
      <w:r w:rsidR="0047029A">
        <w:rPr>
          <w:rFonts w:ascii="Arial" w:eastAsiaTheme="minorEastAsia" w:hAnsi="Arial" w:cs="Arial"/>
          <w:sz w:val="20"/>
          <w:lang w:eastAsia="zh-CN"/>
        </w:rPr>
        <w:t>supporting</w:t>
      </w:r>
      <w:r w:rsidR="0047029A">
        <w:rPr>
          <w:rFonts w:ascii="Arial" w:eastAsiaTheme="minorEastAsia" w:hAnsi="Arial" w:cs="Arial" w:hint="eastAsia"/>
          <w:sz w:val="20"/>
          <w:lang w:eastAsia="zh-CN"/>
        </w:rPr>
        <w:t xml:space="preserve"> information relating to the IRPDs such as</w:t>
      </w:r>
      <w:r w:rsidR="00F71489" w:rsidRPr="00F71489">
        <w:rPr>
          <w:rFonts w:ascii="Arial" w:hAnsi="Arial" w:cs="Arial"/>
          <w:sz w:val="20"/>
        </w:rPr>
        <w:t xml:space="preserve"> agreements</w:t>
      </w:r>
      <w:r w:rsidR="00697FD6">
        <w:rPr>
          <w:rFonts w:ascii="Arial" w:eastAsiaTheme="minorEastAsia" w:hAnsi="Arial" w:cs="Arial" w:hint="eastAsia"/>
          <w:sz w:val="20"/>
          <w:lang w:eastAsia="zh-CN"/>
        </w:rPr>
        <w:t xml:space="preserve"> </w:t>
      </w:r>
      <w:r w:rsidR="00F71489" w:rsidRPr="00F71489">
        <w:rPr>
          <w:rFonts w:ascii="Arial" w:hAnsi="Arial" w:cs="Arial"/>
          <w:sz w:val="20"/>
        </w:rPr>
        <w:t>and the highest quality financial accounts for the Australian reporting entity.</w:t>
      </w:r>
    </w:p>
    <w:p w14:paraId="74E602D0" w14:textId="77777777" w:rsidR="00B10F87" w:rsidRPr="00154427" w:rsidRDefault="00B10F87" w:rsidP="002270A9">
      <w:pPr>
        <w:adjustRightInd w:val="0"/>
        <w:snapToGrid w:val="0"/>
        <w:spacing w:line="276" w:lineRule="auto"/>
        <w:jc w:val="left"/>
        <w:rPr>
          <w:rFonts w:ascii="Arial" w:eastAsiaTheme="minorEastAsia" w:hAnsi="Arial" w:cs="Arial"/>
          <w:b/>
          <w:bCs/>
          <w:sz w:val="20"/>
          <w:lang w:eastAsia="zh-CN"/>
        </w:rPr>
      </w:pPr>
    </w:p>
    <w:p w14:paraId="3FFA0E1D" w14:textId="4032D01E" w:rsidR="00154427" w:rsidRDefault="00B34218" w:rsidP="002270A9">
      <w:pPr>
        <w:pStyle w:val="ListParagraph"/>
        <w:numPr>
          <w:ilvl w:val="0"/>
          <w:numId w:val="25"/>
        </w:numPr>
        <w:adjustRightInd w:val="0"/>
        <w:snapToGrid w:val="0"/>
        <w:spacing w:line="276" w:lineRule="auto"/>
        <w:ind w:left="709" w:hanging="709"/>
        <w:jc w:val="left"/>
        <w:rPr>
          <w:rFonts w:ascii="Arial" w:eastAsiaTheme="minorEastAsia" w:hAnsi="Arial" w:cs="Arial"/>
          <w:b/>
          <w:bCs/>
          <w:sz w:val="20"/>
          <w:lang w:eastAsia="zh-CN"/>
        </w:rPr>
      </w:pPr>
      <w:r>
        <w:rPr>
          <w:rFonts w:ascii="Arial" w:eastAsiaTheme="minorEastAsia" w:hAnsi="Arial" w:cs="Arial"/>
          <w:b/>
          <w:bCs/>
          <w:sz w:val="20"/>
          <w:lang w:eastAsia="zh-CN"/>
        </w:rPr>
        <w:t>CbC Report</w:t>
      </w:r>
    </w:p>
    <w:p w14:paraId="0464680B" w14:textId="77777777" w:rsidR="00357CB0" w:rsidRPr="00154427" w:rsidRDefault="00357CB0" w:rsidP="003A7D08">
      <w:pPr>
        <w:pStyle w:val="ListParagraph"/>
        <w:adjustRightInd w:val="0"/>
        <w:snapToGrid w:val="0"/>
        <w:spacing w:line="276" w:lineRule="auto"/>
        <w:ind w:left="709"/>
        <w:jc w:val="left"/>
        <w:rPr>
          <w:rFonts w:ascii="Arial" w:eastAsiaTheme="minorEastAsia" w:hAnsi="Arial" w:cs="Arial"/>
          <w:b/>
          <w:bCs/>
          <w:sz w:val="20"/>
          <w:lang w:eastAsia="zh-CN"/>
        </w:rPr>
      </w:pPr>
    </w:p>
    <w:p w14:paraId="20738810" w14:textId="2AA3E910" w:rsidR="00A64C3F" w:rsidRDefault="0025486E" w:rsidP="002270A9">
      <w:pPr>
        <w:pStyle w:val="ListParagraph"/>
        <w:adjustRightInd w:val="0"/>
        <w:snapToGrid w:val="0"/>
        <w:spacing w:line="276" w:lineRule="auto"/>
        <w:ind w:left="0"/>
        <w:jc w:val="left"/>
        <w:rPr>
          <w:rFonts w:ascii="Arial" w:eastAsiaTheme="minorEastAsia" w:hAnsi="Arial" w:cs="Arial"/>
          <w:sz w:val="20"/>
          <w:lang w:eastAsia="zh-CN"/>
        </w:rPr>
      </w:pPr>
      <w:r>
        <w:rPr>
          <w:rFonts w:ascii="Arial" w:hAnsi="Arial" w:cs="Arial"/>
          <w:sz w:val="20"/>
        </w:rPr>
        <w:t>A</w:t>
      </w:r>
      <w:r w:rsidR="00154427" w:rsidRPr="00154427">
        <w:rPr>
          <w:rFonts w:ascii="Arial" w:hAnsi="Arial" w:cs="Arial"/>
          <w:sz w:val="20"/>
        </w:rPr>
        <w:t xml:space="preserve"> tabulated statement displaying revenue, profit, tax, headcount allocation among each jurisdiction in which the global group has a presence</w:t>
      </w:r>
      <w:r>
        <w:rPr>
          <w:rFonts w:ascii="Arial" w:hAnsi="Arial" w:cs="Arial"/>
          <w:sz w:val="20"/>
        </w:rPr>
        <w:t xml:space="preserve">, containing high-level </w:t>
      </w:r>
      <w:r w:rsidR="00C24488">
        <w:rPr>
          <w:rFonts w:ascii="Arial" w:eastAsiaTheme="minorEastAsia" w:hAnsi="Arial" w:cs="Arial" w:hint="eastAsia"/>
          <w:sz w:val="20"/>
          <w:lang w:eastAsia="zh-CN"/>
        </w:rPr>
        <w:t xml:space="preserve">by-jurisdictional </w:t>
      </w:r>
      <w:r w:rsidRPr="0025486E">
        <w:rPr>
          <w:rFonts w:ascii="Arial" w:hAnsi="Arial" w:cs="Arial"/>
          <w:sz w:val="20"/>
        </w:rPr>
        <w:t>aggregate data on the global allocation of income, profit, taxes paid and</w:t>
      </w:r>
      <w:r w:rsidR="00FC2D6E">
        <w:rPr>
          <w:rFonts w:ascii="Arial" w:eastAsiaTheme="minorEastAsia" w:hAnsi="Arial" w:cs="Arial" w:hint="eastAsia"/>
          <w:sz w:val="20"/>
          <w:lang w:eastAsia="zh-CN"/>
        </w:rPr>
        <w:t xml:space="preserve"> employment </w:t>
      </w:r>
      <w:r w:rsidRPr="0025486E">
        <w:rPr>
          <w:rFonts w:ascii="Arial" w:hAnsi="Arial" w:cs="Arial"/>
          <w:sz w:val="20"/>
        </w:rPr>
        <w:t>among tax jurisdictions in which it operates</w:t>
      </w:r>
      <w:r w:rsidR="00154427" w:rsidRPr="00154427">
        <w:rPr>
          <w:rFonts w:ascii="Arial" w:hAnsi="Arial" w:cs="Arial"/>
          <w:sz w:val="20"/>
        </w:rPr>
        <w:t>.</w:t>
      </w:r>
      <w:r w:rsidR="00A64C3F">
        <w:rPr>
          <w:rFonts w:ascii="Arial" w:eastAsiaTheme="minorEastAsia" w:hAnsi="Arial" w:cs="Arial" w:hint="eastAsia"/>
          <w:sz w:val="20"/>
          <w:lang w:eastAsia="zh-CN"/>
        </w:rPr>
        <w:t xml:space="preserve">  In addition, economic activity performed by each group entity must also be disclosed.</w:t>
      </w:r>
      <w:r w:rsidR="00154427" w:rsidRPr="00154427">
        <w:rPr>
          <w:rFonts w:ascii="Arial" w:hAnsi="Arial" w:cs="Arial"/>
          <w:sz w:val="20"/>
        </w:rPr>
        <w:t xml:space="preserve"> </w:t>
      </w:r>
    </w:p>
    <w:p w14:paraId="7AE1A140" w14:textId="6BB3B066" w:rsidR="00154427" w:rsidRPr="00154427" w:rsidRDefault="00154427" w:rsidP="002270A9">
      <w:pPr>
        <w:pStyle w:val="ListParagraph"/>
        <w:adjustRightInd w:val="0"/>
        <w:snapToGrid w:val="0"/>
        <w:spacing w:line="276" w:lineRule="auto"/>
        <w:ind w:left="0"/>
        <w:jc w:val="left"/>
        <w:rPr>
          <w:rFonts w:ascii="Arial" w:eastAsiaTheme="minorEastAsia" w:hAnsi="Arial" w:cs="Arial"/>
          <w:b/>
          <w:bCs/>
          <w:sz w:val="20"/>
          <w:lang w:eastAsia="zh-CN"/>
        </w:rPr>
      </w:pPr>
      <w:r w:rsidRPr="00154427">
        <w:rPr>
          <w:rFonts w:ascii="Arial" w:hAnsi="Arial" w:cs="Arial"/>
          <w:sz w:val="20"/>
        </w:rPr>
        <w:t>Notification only (instead of filing) is allowed if the CbC Report is filed in a jurisdiction with activated exchange mechanism with Australia.</w:t>
      </w:r>
    </w:p>
    <w:p w14:paraId="5F9A46A5" w14:textId="77777777" w:rsidR="005D7B9A" w:rsidRDefault="005D7B9A" w:rsidP="002270A9">
      <w:pPr>
        <w:adjustRightInd w:val="0"/>
        <w:snapToGrid w:val="0"/>
        <w:spacing w:line="276" w:lineRule="auto"/>
        <w:jc w:val="left"/>
        <w:rPr>
          <w:rFonts w:ascii="Arial" w:hAnsi="Arial" w:cs="Arial"/>
          <w:b/>
          <w:bCs/>
          <w:sz w:val="20"/>
        </w:rPr>
      </w:pPr>
    </w:p>
    <w:p w14:paraId="17958C69" w14:textId="766C12AC" w:rsidR="00F22B48" w:rsidRDefault="00F22B48" w:rsidP="002270A9">
      <w:pPr>
        <w:pStyle w:val="ListParagraph"/>
        <w:numPr>
          <w:ilvl w:val="0"/>
          <w:numId w:val="24"/>
        </w:numPr>
        <w:adjustRightInd w:val="0"/>
        <w:snapToGrid w:val="0"/>
        <w:spacing w:line="276" w:lineRule="auto"/>
        <w:ind w:left="426" w:hanging="426"/>
        <w:jc w:val="left"/>
        <w:rPr>
          <w:rFonts w:ascii="Arial" w:eastAsiaTheme="minorEastAsia" w:hAnsi="Arial" w:cs="Arial"/>
          <w:b/>
          <w:bCs/>
          <w:sz w:val="20"/>
          <w:lang w:eastAsia="zh-CN"/>
        </w:rPr>
      </w:pPr>
      <w:r w:rsidRPr="00B01299">
        <w:rPr>
          <w:rFonts w:ascii="Arial" w:eastAsiaTheme="minorEastAsia" w:hAnsi="Arial" w:cs="Arial"/>
          <w:b/>
          <w:bCs/>
          <w:sz w:val="20"/>
          <w:lang w:eastAsia="zh-CN"/>
        </w:rPr>
        <w:t>GPFS Obligation</w:t>
      </w:r>
    </w:p>
    <w:p w14:paraId="2EEF94BC" w14:textId="77777777" w:rsidR="00357CB0" w:rsidRPr="003F7556" w:rsidRDefault="00357CB0" w:rsidP="003A7D08">
      <w:pPr>
        <w:pStyle w:val="ListParagraph"/>
        <w:adjustRightInd w:val="0"/>
        <w:snapToGrid w:val="0"/>
        <w:spacing w:line="276" w:lineRule="auto"/>
        <w:ind w:left="426"/>
        <w:jc w:val="left"/>
        <w:rPr>
          <w:rFonts w:ascii="Arial" w:eastAsiaTheme="minorEastAsia" w:hAnsi="Arial" w:cs="Arial"/>
          <w:b/>
          <w:bCs/>
          <w:sz w:val="20"/>
          <w:lang w:eastAsia="zh-CN"/>
        </w:rPr>
      </w:pPr>
    </w:p>
    <w:p w14:paraId="7FB4C963" w14:textId="179A6418" w:rsidR="001F7082" w:rsidRDefault="001F7082" w:rsidP="002270A9">
      <w:pPr>
        <w:adjustRightInd w:val="0"/>
        <w:snapToGrid w:val="0"/>
        <w:spacing w:line="276" w:lineRule="auto"/>
        <w:jc w:val="left"/>
        <w:rPr>
          <w:rFonts w:ascii="Arial" w:hAnsi="Arial" w:cs="Arial"/>
          <w:sz w:val="20"/>
        </w:rPr>
      </w:pPr>
      <w:r w:rsidRPr="001F7082">
        <w:rPr>
          <w:rFonts w:ascii="Arial" w:hAnsi="Arial" w:cs="Arial"/>
          <w:sz w:val="20"/>
        </w:rPr>
        <w:t xml:space="preserve">A CbC reporting entity </w:t>
      </w:r>
      <w:r>
        <w:rPr>
          <w:rFonts w:ascii="Arial" w:hAnsi="Arial" w:cs="Arial"/>
          <w:sz w:val="20"/>
        </w:rPr>
        <w:t>that</w:t>
      </w:r>
      <w:r w:rsidRPr="001F7082">
        <w:rPr>
          <w:rFonts w:ascii="Arial" w:hAnsi="Arial" w:cs="Arial"/>
          <w:sz w:val="20"/>
        </w:rPr>
        <w:t xml:space="preserve"> is also a corporate tax entity (that is, a company, corporate limited </w:t>
      </w:r>
      <w:proofErr w:type="gramStart"/>
      <w:r w:rsidRPr="001F7082">
        <w:rPr>
          <w:rFonts w:ascii="Arial" w:hAnsi="Arial" w:cs="Arial"/>
          <w:sz w:val="20"/>
        </w:rPr>
        <w:t>partnership</w:t>
      </w:r>
      <w:proofErr w:type="gramEnd"/>
      <w:r w:rsidRPr="001F7082">
        <w:rPr>
          <w:rFonts w:ascii="Arial" w:hAnsi="Arial" w:cs="Arial"/>
          <w:sz w:val="20"/>
        </w:rPr>
        <w:t xml:space="preserve"> or public trading trust) for the income year must </w:t>
      </w:r>
      <w:r w:rsidR="00325EC8">
        <w:rPr>
          <w:rFonts w:ascii="Arial" w:hAnsi="Arial" w:cs="Arial"/>
          <w:sz w:val="20"/>
        </w:rPr>
        <w:t>submit</w:t>
      </w:r>
      <w:r w:rsidRPr="001F7082">
        <w:rPr>
          <w:rFonts w:ascii="Arial" w:hAnsi="Arial" w:cs="Arial"/>
          <w:sz w:val="20"/>
        </w:rPr>
        <w:t xml:space="preserve"> GPFS for the same income year to the AT</w:t>
      </w:r>
      <w:r w:rsidR="00325EC8">
        <w:rPr>
          <w:rFonts w:ascii="Arial" w:hAnsi="Arial" w:cs="Arial"/>
          <w:sz w:val="20"/>
        </w:rPr>
        <w:t>O,</w:t>
      </w:r>
      <w:r w:rsidRPr="001F7082">
        <w:rPr>
          <w:rFonts w:ascii="Arial" w:hAnsi="Arial" w:cs="Arial"/>
          <w:sz w:val="20"/>
        </w:rPr>
        <w:t xml:space="preserve"> unless the GPFS has been lodged to the ASIC within the statutory timeframe.</w:t>
      </w:r>
      <w:r w:rsidR="00325EC8">
        <w:rPr>
          <w:rFonts w:ascii="Arial" w:hAnsi="Arial" w:cs="Arial"/>
          <w:sz w:val="20"/>
        </w:rPr>
        <w:t xml:space="preserve"> The </w:t>
      </w:r>
      <w:r w:rsidRPr="001F7082">
        <w:rPr>
          <w:rFonts w:ascii="Arial" w:hAnsi="Arial" w:cs="Arial"/>
          <w:sz w:val="20"/>
        </w:rPr>
        <w:t>GPFS</w:t>
      </w:r>
      <w:r>
        <w:rPr>
          <w:rFonts w:ascii="Arial" w:hAnsi="Arial" w:cs="Arial"/>
          <w:sz w:val="20"/>
        </w:rPr>
        <w:t xml:space="preserve"> </w:t>
      </w:r>
      <w:r w:rsidR="00325EC8">
        <w:rPr>
          <w:rFonts w:ascii="Arial" w:hAnsi="Arial" w:cs="Arial"/>
          <w:sz w:val="20"/>
        </w:rPr>
        <w:t>should closely correspond</w:t>
      </w:r>
      <w:r>
        <w:rPr>
          <w:rFonts w:ascii="Arial" w:hAnsi="Arial" w:cs="Arial"/>
          <w:sz w:val="20"/>
        </w:rPr>
        <w:t xml:space="preserve"> to the income year</w:t>
      </w:r>
      <w:r w:rsidRPr="001F7082">
        <w:rPr>
          <w:rFonts w:ascii="Arial" w:hAnsi="Arial" w:cs="Arial"/>
          <w:sz w:val="20"/>
        </w:rPr>
        <w:t xml:space="preserve"> </w:t>
      </w:r>
      <w:r w:rsidR="00325EC8">
        <w:rPr>
          <w:rFonts w:ascii="Arial" w:hAnsi="Arial" w:cs="Arial"/>
          <w:sz w:val="20"/>
        </w:rPr>
        <w:t>and be submitted by the tax return lodgement date</w:t>
      </w:r>
      <w:r w:rsidRPr="001F7082">
        <w:rPr>
          <w:rFonts w:ascii="Arial" w:hAnsi="Arial" w:cs="Arial"/>
          <w:sz w:val="20"/>
        </w:rPr>
        <w:t>.</w:t>
      </w:r>
    </w:p>
    <w:p w14:paraId="04007E4E" w14:textId="77777777" w:rsidR="009F242D" w:rsidRDefault="009F242D" w:rsidP="002270A9">
      <w:pPr>
        <w:spacing w:line="276" w:lineRule="auto"/>
        <w:jc w:val="left"/>
        <w:rPr>
          <w:rFonts w:ascii="Arial" w:eastAsiaTheme="minorEastAsia" w:hAnsi="Arial" w:cs="Arial"/>
          <w:bCs/>
          <w:sz w:val="20"/>
          <w:lang w:eastAsia="zh-CN"/>
        </w:rPr>
      </w:pPr>
    </w:p>
    <w:p w14:paraId="091DD2E4" w14:textId="5A6A8154" w:rsidR="00066054" w:rsidRDefault="00066054" w:rsidP="002270A9">
      <w:pPr>
        <w:pStyle w:val="ListParagraph"/>
        <w:numPr>
          <w:ilvl w:val="0"/>
          <w:numId w:val="22"/>
        </w:numPr>
        <w:adjustRightInd w:val="0"/>
        <w:snapToGrid w:val="0"/>
        <w:spacing w:line="276" w:lineRule="auto"/>
        <w:ind w:left="426" w:hanging="426"/>
        <w:jc w:val="left"/>
        <w:rPr>
          <w:rFonts w:ascii="Arial" w:eastAsiaTheme="minorEastAsia" w:hAnsi="Arial" w:cs="Arial"/>
          <w:b/>
          <w:bCs/>
          <w:sz w:val="21"/>
          <w:szCs w:val="21"/>
          <w:lang w:eastAsia="zh-CN"/>
        </w:rPr>
      </w:pPr>
      <w:r>
        <w:rPr>
          <w:rFonts w:ascii="Arial" w:eastAsiaTheme="minorEastAsia" w:hAnsi="Arial" w:cs="Arial"/>
          <w:b/>
          <w:bCs/>
          <w:sz w:val="21"/>
          <w:szCs w:val="21"/>
          <w:lang w:eastAsia="zh-CN"/>
        </w:rPr>
        <w:t xml:space="preserve">Multinational Tax Avoidance Law </w:t>
      </w:r>
      <w:r w:rsidR="0086693E">
        <w:rPr>
          <w:rFonts w:ascii="Arial" w:eastAsiaTheme="minorEastAsia" w:hAnsi="Arial" w:cs="Arial"/>
          <w:b/>
          <w:bCs/>
          <w:sz w:val="21"/>
          <w:szCs w:val="21"/>
          <w:lang w:eastAsia="zh-CN"/>
        </w:rPr>
        <w:t>(MAAL)</w:t>
      </w:r>
    </w:p>
    <w:p w14:paraId="4CB662A1" w14:textId="77777777" w:rsidR="00F3219D" w:rsidRDefault="00F3219D" w:rsidP="002270A9">
      <w:pPr>
        <w:adjustRightInd w:val="0"/>
        <w:snapToGrid w:val="0"/>
        <w:spacing w:line="276" w:lineRule="auto"/>
        <w:jc w:val="left"/>
        <w:rPr>
          <w:rFonts w:ascii="Arial" w:eastAsiaTheme="minorEastAsia" w:hAnsi="Arial" w:cs="Arial"/>
          <w:b/>
          <w:bCs/>
          <w:sz w:val="21"/>
          <w:szCs w:val="21"/>
          <w:lang w:eastAsia="zh-CN"/>
        </w:rPr>
      </w:pPr>
    </w:p>
    <w:p w14:paraId="74828024" w14:textId="30B11328" w:rsidR="00F3219D" w:rsidRPr="00F3219D" w:rsidRDefault="00C621DF" w:rsidP="002270A9">
      <w:pPr>
        <w:adjustRightInd w:val="0"/>
        <w:snapToGrid w:val="0"/>
        <w:spacing w:line="276" w:lineRule="auto"/>
        <w:jc w:val="left"/>
        <w:rPr>
          <w:rFonts w:ascii="Arial" w:hAnsi="Arial" w:cs="Arial"/>
          <w:sz w:val="20"/>
        </w:rPr>
      </w:pPr>
      <w:r>
        <w:rPr>
          <w:rFonts w:ascii="Arial" w:hAnsi="Arial" w:cs="Arial"/>
          <w:sz w:val="20"/>
        </w:rPr>
        <w:t>MAAL,</w:t>
      </w:r>
      <w:r w:rsidR="00F3219D" w:rsidRPr="00F3219D">
        <w:rPr>
          <w:rFonts w:ascii="Arial" w:hAnsi="Arial" w:cs="Arial"/>
          <w:sz w:val="20"/>
        </w:rPr>
        <w:t xml:space="preserve"> effective from 1 January 2016, aims to combat tax avoidance by ensuring multinational companies pay their fair share of tax on profits earned in Australia. The MAAL applies to schemes where:</w:t>
      </w:r>
    </w:p>
    <w:p w14:paraId="4D7AEBA6" w14:textId="77777777" w:rsidR="00F3219D" w:rsidRPr="00F3219D" w:rsidRDefault="00F3219D" w:rsidP="002270A9">
      <w:pPr>
        <w:numPr>
          <w:ilvl w:val="0"/>
          <w:numId w:val="37"/>
        </w:numPr>
        <w:adjustRightInd w:val="0"/>
        <w:snapToGrid w:val="0"/>
        <w:spacing w:line="276" w:lineRule="auto"/>
        <w:jc w:val="left"/>
        <w:rPr>
          <w:rFonts w:ascii="Arial" w:hAnsi="Arial" w:cs="Arial"/>
          <w:sz w:val="20"/>
        </w:rPr>
      </w:pPr>
      <w:r w:rsidRPr="00F3219D">
        <w:rPr>
          <w:rFonts w:ascii="Arial" w:hAnsi="Arial" w:cs="Arial"/>
          <w:sz w:val="20"/>
        </w:rPr>
        <w:t>A foreign entity supplies goods or services to an Australian customer.</w:t>
      </w:r>
    </w:p>
    <w:p w14:paraId="7FAF21D5" w14:textId="77777777" w:rsidR="00F3219D" w:rsidRPr="00F3219D" w:rsidRDefault="00F3219D" w:rsidP="002270A9">
      <w:pPr>
        <w:numPr>
          <w:ilvl w:val="0"/>
          <w:numId w:val="37"/>
        </w:numPr>
        <w:adjustRightInd w:val="0"/>
        <w:snapToGrid w:val="0"/>
        <w:spacing w:line="276" w:lineRule="auto"/>
        <w:jc w:val="left"/>
        <w:rPr>
          <w:rFonts w:ascii="Arial" w:hAnsi="Arial" w:cs="Arial"/>
          <w:sz w:val="20"/>
        </w:rPr>
      </w:pPr>
      <w:r w:rsidRPr="00F3219D">
        <w:rPr>
          <w:rFonts w:ascii="Arial" w:hAnsi="Arial" w:cs="Arial"/>
          <w:sz w:val="20"/>
        </w:rPr>
        <w:t>An Australian entity, associated with or commercially dependent on the foreign entity, undertakes activities directly related to the supply.</w:t>
      </w:r>
    </w:p>
    <w:p w14:paraId="7CB1E31C" w14:textId="77777777" w:rsidR="00F3219D" w:rsidRPr="00F3219D" w:rsidRDefault="00F3219D" w:rsidP="002270A9">
      <w:pPr>
        <w:numPr>
          <w:ilvl w:val="0"/>
          <w:numId w:val="37"/>
        </w:numPr>
        <w:adjustRightInd w:val="0"/>
        <w:snapToGrid w:val="0"/>
        <w:spacing w:line="276" w:lineRule="auto"/>
        <w:jc w:val="left"/>
        <w:rPr>
          <w:rFonts w:ascii="Arial" w:hAnsi="Arial" w:cs="Arial"/>
          <w:sz w:val="20"/>
        </w:rPr>
      </w:pPr>
      <w:r w:rsidRPr="00F3219D">
        <w:rPr>
          <w:rFonts w:ascii="Arial" w:hAnsi="Arial" w:cs="Arial"/>
          <w:sz w:val="20"/>
        </w:rPr>
        <w:t>Some or all income derived by the foreign entity is not attributed to an Australian permanent establishment.</w:t>
      </w:r>
    </w:p>
    <w:p w14:paraId="4F629764" w14:textId="39B87180" w:rsidR="00F3219D" w:rsidRPr="00F3219D" w:rsidRDefault="00F3219D" w:rsidP="002270A9">
      <w:pPr>
        <w:numPr>
          <w:ilvl w:val="0"/>
          <w:numId w:val="37"/>
        </w:numPr>
        <w:adjustRightInd w:val="0"/>
        <w:snapToGrid w:val="0"/>
        <w:spacing w:line="276" w:lineRule="auto"/>
        <w:jc w:val="left"/>
        <w:rPr>
          <w:rFonts w:ascii="Arial" w:hAnsi="Arial" w:cs="Arial"/>
          <w:sz w:val="20"/>
        </w:rPr>
      </w:pPr>
      <w:r w:rsidRPr="00F3219D">
        <w:rPr>
          <w:rFonts w:ascii="Arial" w:hAnsi="Arial" w:cs="Arial"/>
          <w:sz w:val="20"/>
        </w:rPr>
        <w:lastRenderedPageBreak/>
        <w:t xml:space="preserve">The scheme's </w:t>
      </w:r>
      <w:r w:rsidR="00473FBC">
        <w:rPr>
          <w:rFonts w:ascii="Arial" w:hAnsi="Arial" w:cs="Arial"/>
          <w:sz w:val="20"/>
        </w:rPr>
        <w:t>principal</w:t>
      </w:r>
      <w:r w:rsidRPr="00F3219D">
        <w:rPr>
          <w:rFonts w:ascii="Arial" w:hAnsi="Arial" w:cs="Arial"/>
          <w:sz w:val="20"/>
        </w:rPr>
        <w:t xml:space="preserve"> or one of the </w:t>
      </w:r>
      <w:r w:rsidR="00473FBC">
        <w:rPr>
          <w:rFonts w:ascii="Arial" w:hAnsi="Arial" w:cs="Arial"/>
          <w:sz w:val="20"/>
        </w:rPr>
        <w:t>principal</w:t>
      </w:r>
      <w:r w:rsidRPr="00F3219D">
        <w:rPr>
          <w:rFonts w:ascii="Arial" w:hAnsi="Arial" w:cs="Arial"/>
          <w:sz w:val="20"/>
        </w:rPr>
        <w:t xml:space="preserve"> purposes is to obtain an Australian tax benefit or both an Australian and foreign tax benefit.</w:t>
      </w:r>
    </w:p>
    <w:p w14:paraId="7CCA3CF9" w14:textId="77777777" w:rsidR="00F3219D" w:rsidRPr="00F3219D" w:rsidRDefault="00F3219D" w:rsidP="002270A9">
      <w:pPr>
        <w:adjustRightInd w:val="0"/>
        <w:snapToGrid w:val="0"/>
        <w:spacing w:line="276" w:lineRule="auto"/>
        <w:jc w:val="left"/>
        <w:rPr>
          <w:rFonts w:ascii="Arial" w:eastAsiaTheme="minorEastAsia" w:hAnsi="Arial" w:cs="Arial"/>
          <w:b/>
          <w:bCs/>
          <w:sz w:val="21"/>
          <w:szCs w:val="21"/>
          <w:lang w:eastAsia="zh-CN"/>
        </w:rPr>
      </w:pPr>
    </w:p>
    <w:p w14:paraId="0DB01250" w14:textId="77777777" w:rsidR="00EC3172" w:rsidRPr="00F3219D" w:rsidRDefault="00EC3172" w:rsidP="002270A9">
      <w:pPr>
        <w:adjustRightInd w:val="0"/>
        <w:snapToGrid w:val="0"/>
        <w:spacing w:line="276" w:lineRule="auto"/>
        <w:jc w:val="left"/>
        <w:rPr>
          <w:rFonts w:ascii="Arial" w:hAnsi="Arial" w:cs="Arial"/>
          <w:sz w:val="20"/>
        </w:rPr>
      </w:pPr>
      <w:r w:rsidRPr="00F3219D">
        <w:rPr>
          <w:rFonts w:ascii="Arial" w:hAnsi="Arial" w:cs="Arial"/>
          <w:sz w:val="20"/>
        </w:rPr>
        <w:t>The MAAL applies exclusively to SGEs. Under the MAAL, the ATO can cancel tax benefits obtained by SGEs and their related parties through such schemes, and SGEs are subject to increased penalties for tax shortfalls arising from the law's application.</w:t>
      </w:r>
    </w:p>
    <w:p w14:paraId="4A5DA72C" w14:textId="77777777" w:rsidR="00C621DF" w:rsidRDefault="00C621DF" w:rsidP="002270A9">
      <w:pPr>
        <w:spacing w:line="276" w:lineRule="auto"/>
        <w:jc w:val="left"/>
        <w:rPr>
          <w:rFonts w:ascii="Arial" w:eastAsiaTheme="minorEastAsia" w:hAnsi="Arial" w:cs="Arial"/>
          <w:bCs/>
          <w:sz w:val="20"/>
          <w:lang w:eastAsia="zh-CN"/>
        </w:rPr>
      </w:pPr>
    </w:p>
    <w:p w14:paraId="785906AD" w14:textId="0BA1B254" w:rsidR="00C621DF" w:rsidRDefault="00C621DF" w:rsidP="002270A9">
      <w:pPr>
        <w:pStyle w:val="ListParagraph"/>
        <w:numPr>
          <w:ilvl w:val="0"/>
          <w:numId w:val="22"/>
        </w:numPr>
        <w:adjustRightInd w:val="0"/>
        <w:snapToGrid w:val="0"/>
        <w:spacing w:line="276" w:lineRule="auto"/>
        <w:ind w:left="426" w:hanging="426"/>
        <w:jc w:val="left"/>
        <w:rPr>
          <w:rFonts w:ascii="Arial" w:eastAsiaTheme="minorEastAsia" w:hAnsi="Arial" w:cs="Arial"/>
          <w:b/>
          <w:bCs/>
          <w:sz w:val="21"/>
          <w:szCs w:val="21"/>
          <w:lang w:eastAsia="zh-CN"/>
        </w:rPr>
      </w:pPr>
      <w:r>
        <w:rPr>
          <w:rFonts w:ascii="Arial" w:eastAsiaTheme="minorEastAsia" w:hAnsi="Arial" w:cs="Arial"/>
          <w:b/>
          <w:bCs/>
          <w:sz w:val="21"/>
          <w:szCs w:val="21"/>
          <w:lang w:eastAsia="zh-CN"/>
        </w:rPr>
        <w:t>D</w:t>
      </w:r>
      <w:r w:rsidR="00473FBC">
        <w:rPr>
          <w:rFonts w:ascii="Arial" w:eastAsiaTheme="minorEastAsia" w:hAnsi="Arial" w:cs="Arial"/>
          <w:b/>
          <w:bCs/>
          <w:sz w:val="21"/>
          <w:szCs w:val="21"/>
          <w:lang w:eastAsia="zh-CN"/>
        </w:rPr>
        <w:t>i</w:t>
      </w:r>
      <w:r w:rsidR="0086693E">
        <w:rPr>
          <w:rFonts w:ascii="Arial" w:eastAsiaTheme="minorEastAsia" w:hAnsi="Arial" w:cs="Arial"/>
          <w:b/>
          <w:bCs/>
          <w:sz w:val="21"/>
          <w:szCs w:val="21"/>
          <w:lang w:eastAsia="zh-CN"/>
        </w:rPr>
        <w:t>verted Profits Tax (DPT)</w:t>
      </w:r>
    </w:p>
    <w:p w14:paraId="1BA00205" w14:textId="77777777" w:rsidR="0086693E" w:rsidRDefault="0086693E" w:rsidP="002270A9">
      <w:pPr>
        <w:spacing w:line="276" w:lineRule="auto"/>
        <w:jc w:val="left"/>
        <w:rPr>
          <w:rFonts w:ascii="Arial" w:eastAsiaTheme="minorEastAsia" w:hAnsi="Arial" w:cs="Arial"/>
          <w:bCs/>
          <w:sz w:val="20"/>
          <w:lang w:eastAsia="zh-CN"/>
        </w:rPr>
      </w:pPr>
    </w:p>
    <w:p w14:paraId="24073F3E" w14:textId="1CF486F4" w:rsidR="0086693E" w:rsidRDefault="0086693E" w:rsidP="002270A9">
      <w:pPr>
        <w:spacing w:line="276" w:lineRule="auto"/>
        <w:jc w:val="left"/>
        <w:rPr>
          <w:rFonts w:ascii="Arial" w:hAnsi="Arial" w:cs="Arial"/>
          <w:sz w:val="20"/>
        </w:rPr>
      </w:pPr>
      <w:r w:rsidRPr="0086693E">
        <w:rPr>
          <w:rFonts w:ascii="Arial" w:hAnsi="Arial" w:cs="Arial"/>
          <w:sz w:val="20"/>
        </w:rPr>
        <w:t>The Diverted Profits Tax (DPT), effective from 1 July 2017, aims to ensure that</w:t>
      </w:r>
      <w:r>
        <w:rPr>
          <w:rFonts w:ascii="Arial" w:eastAsiaTheme="minorEastAsia" w:hAnsi="Arial" w:cs="Arial"/>
          <w:sz w:val="20"/>
          <w:lang w:eastAsia="zh-CN"/>
        </w:rPr>
        <w:t xml:space="preserve"> </w:t>
      </w:r>
      <w:r w:rsidRPr="0086693E">
        <w:rPr>
          <w:rFonts w:ascii="Arial" w:hAnsi="Arial" w:cs="Arial"/>
          <w:sz w:val="20"/>
        </w:rPr>
        <w:t>SGEs pay tax that accurately reflects their activities in Australia and prevents the diversion of profits offshore. The DPT encourages SGEs to provide sufficient information to the ATO for timely resolution of tax disputes.</w:t>
      </w:r>
    </w:p>
    <w:p w14:paraId="36B74578" w14:textId="77777777" w:rsidR="0086693E" w:rsidRDefault="0086693E" w:rsidP="002270A9">
      <w:pPr>
        <w:spacing w:line="276" w:lineRule="auto"/>
        <w:jc w:val="left"/>
        <w:rPr>
          <w:rFonts w:ascii="Arial" w:eastAsiaTheme="minorEastAsia" w:hAnsi="Arial" w:cs="Arial"/>
          <w:bCs/>
          <w:sz w:val="20"/>
          <w:lang w:eastAsia="zh-CN"/>
        </w:rPr>
      </w:pPr>
    </w:p>
    <w:p w14:paraId="406CAABC" w14:textId="77777777" w:rsidR="0086693E" w:rsidRPr="0086693E" w:rsidRDefault="0086693E" w:rsidP="002270A9">
      <w:pPr>
        <w:spacing w:line="276" w:lineRule="auto"/>
        <w:rPr>
          <w:rFonts w:ascii="Arial" w:eastAsiaTheme="minorEastAsia" w:hAnsi="Arial" w:cs="Arial"/>
          <w:bCs/>
          <w:sz w:val="20"/>
        </w:rPr>
      </w:pPr>
      <w:r>
        <w:rPr>
          <w:rFonts w:ascii="Arial" w:eastAsiaTheme="minorEastAsia" w:hAnsi="Arial" w:cs="Arial"/>
          <w:bCs/>
          <w:sz w:val="20"/>
          <w:lang w:eastAsia="zh-CN"/>
        </w:rPr>
        <w:t xml:space="preserve">The DPT </w:t>
      </w:r>
      <w:r w:rsidRPr="0086693E">
        <w:rPr>
          <w:rFonts w:ascii="Arial" w:eastAsiaTheme="minorEastAsia" w:hAnsi="Arial" w:cs="Arial"/>
          <w:bCs/>
          <w:sz w:val="20"/>
          <w:lang w:eastAsia="zh-CN"/>
        </w:rPr>
        <w:t>applies exclusively to SGEs</w:t>
      </w:r>
      <w:r>
        <w:rPr>
          <w:rFonts w:ascii="Arial" w:eastAsiaTheme="minorEastAsia" w:hAnsi="Arial" w:cs="Arial"/>
          <w:bCs/>
          <w:sz w:val="20"/>
          <w:lang w:eastAsia="zh-CN"/>
        </w:rPr>
        <w:t xml:space="preserve">. </w:t>
      </w:r>
      <w:r w:rsidRPr="0086693E">
        <w:rPr>
          <w:rFonts w:ascii="Arial" w:eastAsiaTheme="minorEastAsia" w:hAnsi="Arial" w:cs="Arial"/>
          <w:bCs/>
          <w:sz w:val="20"/>
        </w:rPr>
        <w:t>The DPT broadly applies if:</w:t>
      </w:r>
    </w:p>
    <w:p w14:paraId="23DECE95" w14:textId="77777777" w:rsidR="0086693E" w:rsidRPr="0086693E" w:rsidRDefault="0086693E" w:rsidP="002270A9">
      <w:pPr>
        <w:numPr>
          <w:ilvl w:val="0"/>
          <w:numId w:val="40"/>
        </w:num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A taxpayer has obtained a tax benefit.</w:t>
      </w:r>
    </w:p>
    <w:p w14:paraId="35A7ED44" w14:textId="77777777" w:rsidR="0086693E" w:rsidRPr="0086693E" w:rsidRDefault="0086693E" w:rsidP="002270A9">
      <w:pPr>
        <w:numPr>
          <w:ilvl w:val="0"/>
          <w:numId w:val="40"/>
        </w:num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The principal purpose, or one of the principal purposes, of the scheme is to enable the taxpayer to obtain an Australian tax benefit or both an Australian and foreign tax benefit.</w:t>
      </w:r>
    </w:p>
    <w:p w14:paraId="064619F5" w14:textId="77777777" w:rsidR="0086693E" w:rsidRPr="0086693E" w:rsidRDefault="0086693E" w:rsidP="002270A9">
      <w:pPr>
        <w:numPr>
          <w:ilvl w:val="0"/>
          <w:numId w:val="40"/>
        </w:num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A foreign associate of the taxpayer is involved in the scheme.</w:t>
      </w:r>
    </w:p>
    <w:p w14:paraId="237A6EF3" w14:textId="77777777" w:rsidR="0086693E" w:rsidRDefault="0086693E" w:rsidP="002270A9">
      <w:pPr>
        <w:spacing w:line="276" w:lineRule="auto"/>
        <w:jc w:val="left"/>
        <w:rPr>
          <w:rFonts w:ascii="Arial" w:eastAsiaTheme="minorEastAsia" w:hAnsi="Arial" w:cs="Arial"/>
          <w:bCs/>
          <w:sz w:val="20"/>
          <w:lang w:eastAsia="zh-CN"/>
        </w:rPr>
      </w:pPr>
    </w:p>
    <w:p w14:paraId="4A5E6DB9" w14:textId="18AF9882" w:rsidR="0086693E" w:rsidRPr="0086693E" w:rsidRDefault="0086693E" w:rsidP="002270A9">
      <w:p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The DPT does not apply if the taxpayer meets any of the following exceptions:</w:t>
      </w:r>
    </w:p>
    <w:p w14:paraId="23A42202" w14:textId="77777777" w:rsidR="0086693E" w:rsidRPr="0086693E" w:rsidRDefault="0086693E" w:rsidP="002270A9">
      <w:pPr>
        <w:numPr>
          <w:ilvl w:val="0"/>
          <w:numId w:val="41"/>
        </w:num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The $25 million income test.</w:t>
      </w:r>
    </w:p>
    <w:p w14:paraId="6AB96B5C" w14:textId="77777777" w:rsidR="0086693E" w:rsidRPr="0086693E" w:rsidRDefault="0086693E" w:rsidP="002270A9">
      <w:pPr>
        <w:numPr>
          <w:ilvl w:val="0"/>
          <w:numId w:val="41"/>
        </w:num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The sufficient foreign tax test.</w:t>
      </w:r>
    </w:p>
    <w:p w14:paraId="665890F2" w14:textId="77777777" w:rsidR="0086693E" w:rsidRPr="0086693E" w:rsidRDefault="0086693E" w:rsidP="002270A9">
      <w:pPr>
        <w:numPr>
          <w:ilvl w:val="0"/>
          <w:numId w:val="41"/>
        </w:num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The sufficient economic substance test.</w:t>
      </w:r>
    </w:p>
    <w:p w14:paraId="01A45723" w14:textId="77777777" w:rsidR="0086693E" w:rsidRDefault="0086693E" w:rsidP="002270A9">
      <w:pPr>
        <w:spacing w:line="276" w:lineRule="auto"/>
        <w:jc w:val="left"/>
        <w:rPr>
          <w:rFonts w:ascii="Arial" w:eastAsiaTheme="minorEastAsia" w:hAnsi="Arial" w:cs="Arial"/>
          <w:bCs/>
          <w:sz w:val="20"/>
          <w:lang w:eastAsia="zh-CN"/>
        </w:rPr>
      </w:pPr>
    </w:p>
    <w:p w14:paraId="6EBD7CA9" w14:textId="1CA85A7E" w:rsidR="0086693E" w:rsidRPr="0086693E" w:rsidRDefault="0086693E" w:rsidP="002270A9">
      <w:p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Additionally, the DPT will not apply to managed investment trusts, foreign collective investment vehicles with wide membership, foreign entities owned by foreign governments, complying superannuation entities, or foreign pension funds.</w:t>
      </w:r>
    </w:p>
    <w:p w14:paraId="5D4524F7" w14:textId="77777777" w:rsidR="00D22DFA" w:rsidRDefault="00D22DFA" w:rsidP="002270A9">
      <w:pPr>
        <w:spacing w:line="276" w:lineRule="auto"/>
        <w:jc w:val="left"/>
        <w:rPr>
          <w:rFonts w:ascii="Arial" w:eastAsiaTheme="minorEastAsia" w:hAnsi="Arial" w:cs="Arial"/>
          <w:bCs/>
          <w:sz w:val="20"/>
          <w:lang w:eastAsia="zh-CN"/>
        </w:rPr>
      </w:pPr>
    </w:p>
    <w:p w14:paraId="76645D0C" w14:textId="7B82A01B" w:rsidR="0086693E" w:rsidRPr="0086693E" w:rsidRDefault="0086693E" w:rsidP="002270A9">
      <w:pPr>
        <w:spacing w:line="276" w:lineRule="auto"/>
        <w:jc w:val="left"/>
        <w:rPr>
          <w:rFonts w:ascii="Arial" w:eastAsiaTheme="minorEastAsia" w:hAnsi="Arial" w:cs="Arial"/>
          <w:bCs/>
          <w:sz w:val="20"/>
          <w:lang w:eastAsia="zh-CN"/>
        </w:rPr>
      </w:pPr>
      <w:r w:rsidRPr="0086693E">
        <w:rPr>
          <w:rFonts w:ascii="Arial" w:eastAsiaTheme="minorEastAsia" w:hAnsi="Arial" w:cs="Arial"/>
          <w:bCs/>
          <w:sz w:val="20"/>
          <w:lang w:eastAsia="zh-CN"/>
        </w:rPr>
        <w:t>Taxpayers are not eligible for a 50/50 arrangement if the dispute relates to a DPT assessment.</w:t>
      </w:r>
    </w:p>
    <w:p w14:paraId="31C03272" w14:textId="2AFF1657" w:rsidR="00FF0827" w:rsidRDefault="00FF0827" w:rsidP="002270A9">
      <w:pPr>
        <w:spacing w:line="276" w:lineRule="auto"/>
        <w:jc w:val="left"/>
        <w:rPr>
          <w:rFonts w:ascii="Arial" w:eastAsiaTheme="minorEastAsia" w:hAnsi="Arial" w:cs="Arial"/>
          <w:bCs/>
          <w:sz w:val="20"/>
          <w:lang w:eastAsia="zh-CN"/>
        </w:rPr>
      </w:pPr>
    </w:p>
    <w:p w14:paraId="62D27BA3" w14:textId="2430657A" w:rsidR="00AE0AF2" w:rsidRPr="00476366" w:rsidRDefault="001A1A2D" w:rsidP="002270A9">
      <w:pPr>
        <w:pStyle w:val="ListParagraph"/>
        <w:numPr>
          <w:ilvl w:val="0"/>
          <w:numId w:val="22"/>
        </w:numPr>
        <w:adjustRightInd w:val="0"/>
        <w:snapToGrid w:val="0"/>
        <w:spacing w:line="276" w:lineRule="auto"/>
        <w:ind w:left="426" w:hanging="426"/>
        <w:jc w:val="left"/>
        <w:rPr>
          <w:rFonts w:ascii="Arial" w:eastAsiaTheme="minorEastAsia" w:hAnsi="Arial" w:cs="Arial"/>
          <w:b/>
          <w:bCs/>
          <w:sz w:val="21"/>
          <w:szCs w:val="21"/>
          <w:lang w:eastAsia="zh-CN"/>
        </w:rPr>
      </w:pPr>
      <w:r w:rsidRPr="00476366">
        <w:rPr>
          <w:rFonts w:ascii="Arial" w:eastAsiaTheme="minorEastAsia" w:hAnsi="Arial" w:cs="Arial"/>
          <w:b/>
          <w:bCs/>
          <w:sz w:val="21"/>
          <w:szCs w:val="21"/>
          <w:lang w:eastAsia="zh-CN"/>
        </w:rPr>
        <w:t>SGE</w:t>
      </w:r>
      <w:r w:rsidRPr="00476366">
        <w:rPr>
          <w:rFonts w:ascii="Arial" w:eastAsiaTheme="minorEastAsia" w:hAnsi="Arial" w:cs="Arial" w:hint="eastAsia"/>
          <w:b/>
          <w:bCs/>
          <w:sz w:val="21"/>
          <w:szCs w:val="21"/>
          <w:lang w:eastAsia="zh-CN"/>
        </w:rPr>
        <w:t xml:space="preserve"> </w:t>
      </w:r>
      <w:r w:rsidR="00C2702F" w:rsidRPr="00476366">
        <w:rPr>
          <w:rFonts w:ascii="Arial" w:eastAsiaTheme="minorEastAsia" w:hAnsi="Arial" w:cs="Arial" w:hint="eastAsia"/>
          <w:b/>
          <w:bCs/>
          <w:sz w:val="21"/>
          <w:szCs w:val="21"/>
          <w:lang w:eastAsia="zh-CN"/>
        </w:rPr>
        <w:t>Penalties</w:t>
      </w:r>
    </w:p>
    <w:p w14:paraId="39D0A7B2" w14:textId="77777777" w:rsidR="004E0A24" w:rsidRDefault="00960579" w:rsidP="002270A9">
      <w:pPr>
        <w:adjustRightInd w:val="0"/>
        <w:snapToGrid w:val="0"/>
        <w:spacing w:line="276" w:lineRule="auto"/>
        <w:jc w:val="left"/>
        <w:rPr>
          <w:rFonts w:ascii="Arial" w:hAnsi="Arial" w:cs="Arial"/>
          <w:sz w:val="20"/>
        </w:rPr>
      </w:pPr>
      <w:r w:rsidRPr="00960579">
        <w:rPr>
          <w:rFonts w:ascii="Arial" w:hAnsi="Arial" w:cs="Arial"/>
          <w:sz w:val="20"/>
        </w:rPr>
        <w:t>Penalties for administrative statements, schemes, and failure to lodge (</w:t>
      </w:r>
      <w:r w:rsidRPr="003A7D08">
        <w:rPr>
          <w:rFonts w:ascii="Arial" w:hAnsi="Arial" w:cs="Arial"/>
          <w:b/>
          <w:sz w:val="20"/>
        </w:rPr>
        <w:t>FTL</w:t>
      </w:r>
      <w:r w:rsidRPr="00960579">
        <w:rPr>
          <w:rFonts w:ascii="Arial" w:hAnsi="Arial" w:cs="Arial"/>
          <w:sz w:val="20"/>
        </w:rPr>
        <w:t xml:space="preserve">) on time are significantly increased for SGEs. </w:t>
      </w:r>
    </w:p>
    <w:p w14:paraId="5C8715AD" w14:textId="77777777" w:rsidR="004E0A24" w:rsidRDefault="004E0A24" w:rsidP="002270A9">
      <w:pPr>
        <w:adjustRightInd w:val="0"/>
        <w:snapToGrid w:val="0"/>
        <w:spacing w:line="276" w:lineRule="auto"/>
        <w:jc w:val="left"/>
        <w:rPr>
          <w:rFonts w:ascii="Arial" w:hAnsi="Arial" w:cs="Arial"/>
          <w:sz w:val="20"/>
        </w:rPr>
      </w:pPr>
    </w:p>
    <w:p w14:paraId="41AAE862" w14:textId="6AACD252" w:rsidR="004E0A24" w:rsidRPr="004E0A24" w:rsidRDefault="004E0A24" w:rsidP="002270A9">
      <w:pPr>
        <w:adjustRightInd w:val="0"/>
        <w:snapToGrid w:val="0"/>
        <w:spacing w:line="276" w:lineRule="auto"/>
        <w:jc w:val="left"/>
        <w:rPr>
          <w:rFonts w:ascii="Arial" w:hAnsi="Arial" w:cs="Arial"/>
          <w:sz w:val="20"/>
        </w:rPr>
      </w:pPr>
      <w:r w:rsidRPr="004E0A24">
        <w:rPr>
          <w:rFonts w:ascii="Arial" w:hAnsi="Arial" w:cs="Arial"/>
          <w:sz w:val="20"/>
        </w:rPr>
        <w:t>Administrative statement penalties are doubled from 1 July 2017 for SGEs that make a false or misleading statement</w:t>
      </w:r>
      <w:r>
        <w:rPr>
          <w:rFonts w:ascii="Arial" w:hAnsi="Arial" w:cs="Arial"/>
          <w:sz w:val="20"/>
        </w:rPr>
        <w:t xml:space="preserve">, take a tax position that is not reasonably arguable, or fail to provide </w:t>
      </w:r>
      <w:r w:rsidR="007956DF">
        <w:rPr>
          <w:rFonts w:ascii="Arial" w:hAnsi="Arial" w:cs="Arial"/>
          <w:sz w:val="20"/>
        </w:rPr>
        <w:t>documents when required by ATO.</w:t>
      </w:r>
      <w:r>
        <w:rPr>
          <w:rFonts w:ascii="Arial" w:hAnsi="Arial" w:cs="Arial"/>
          <w:sz w:val="20"/>
        </w:rPr>
        <w:t xml:space="preserve"> </w:t>
      </w:r>
    </w:p>
    <w:p w14:paraId="5FAF5862" w14:textId="77777777" w:rsidR="004E0A24" w:rsidRDefault="004E0A24" w:rsidP="002270A9">
      <w:pPr>
        <w:adjustRightInd w:val="0"/>
        <w:snapToGrid w:val="0"/>
        <w:spacing w:line="276" w:lineRule="auto"/>
        <w:jc w:val="left"/>
        <w:rPr>
          <w:rFonts w:ascii="Arial" w:hAnsi="Arial" w:cs="Arial"/>
          <w:sz w:val="20"/>
        </w:rPr>
      </w:pPr>
    </w:p>
    <w:p w14:paraId="216D1211" w14:textId="0268CAA0" w:rsidR="004E0A24" w:rsidRPr="004E0A24" w:rsidRDefault="004E0A24" w:rsidP="002270A9">
      <w:pPr>
        <w:adjustRightInd w:val="0"/>
        <w:snapToGrid w:val="0"/>
        <w:spacing w:line="276" w:lineRule="auto"/>
        <w:jc w:val="left"/>
        <w:rPr>
          <w:rFonts w:ascii="Arial" w:hAnsi="Arial" w:cs="Arial"/>
          <w:bCs/>
          <w:sz w:val="20"/>
        </w:rPr>
      </w:pPr>
      <w:r>
        <w:rPr>
          <w:rFonts w:ascii="Arial" w:hAnsi="Arial" w:cs="Arial"/>
          <w:bCs/>
          <w:sz w:val="20"/>
        </w:rPr>
        <w:t>FTL</w:t>
      </w:r>
      <w:r w:rsidRPr="004E0A24">
        <w:rPr>
          <w:rFonts w:ascii="Arial" w:hAnsi="Arial" w:cs="Arial"/>
          <w:bCs/>
          <w:sz w:val="20"/>
        </w:rPr>
        <w:t xml:space="preserve"> on time penalties for SGEs have also increased by up to 500 times. FTL penalties apply to SGEs when they do not lodge an approved form by its due date.  Examples of an approved form include:</w:t>
      </w:r>
    </w:p>
    <w:p w14:paraId="705ADD48" w14:textId="77777777" w:rsidR="004E0A24" w:rsidRPr="004E0A24" w:rsidRDefault="004E0A24" w:rsidP="002270A9">
      <w:pPr>
        <w:numPr>
          <w:ilvl w:val="0"/>
          <w:numId w:val="33"/>
        </w:numPr>
        <w:adjustRightInd w:val="0"/>
        <w:snapToGrid w:val="0"/>
        <w:spacing w:line="276" w:lineRule="auto"/>
        <w:jc w:val="left"/>
        <w:rPr>
          <w:rFonts w:ascii="Arial" w:hAnsi="Arial" w:cs="Arial"/>
          <w:bCs/>
          <w:sz w:val="20"/>
        </w:rPr>
      </w:pPr>
      <w:r w:rsidRPr="004E0A24">
        <w:rPr>
          <w:rFonts w:ascii="Arial" w:hAnsi="Arial" w:cs="Arial"/>
          <w:bCs/>
          <w:sz w:val="20"/>
        </w:rPr>
        <w:t>income tax returns</w:t>
      </w:r>
    </w:p>
    <w:p w14:paraId="68E7FB74" w14:textId="77777777" w:rsidR="004E0A24" w:rsidRPr="004E0A24" w:rsidRDefault="004E0A24" w:rsidP="002270A9">
      <w:pPr>
        <w:numPr>
          <w:ilvl w:val="0"/>
          <w:numId w:val="33"/>
        </w:numPr>
        <w:adjustRightInd w:val="0"/>
        <w:snapToGrid w:val="0"/>
        <w:spacing w:line="276" w:lineRule="auto"/>
        <w:jc w:val="left"/>
        <w:rPr>
          <w:rFonts w:ascii="Arial" w:hAnsi="Arial" w:cs="Arial"/>
          <w:bCs/>
          <w:sz w:val="20"/>
        </w:rPr>
      </w:pPr>
      <w:r w:rsidRPr="004E0A24">
        <w:rPr>
          <w:rFonts w:ascii="Arial" w:hAnsi="Arial" w:cs="Arial"/>
          <w:bCs/>
          <w:sz w:val="20"/>
        </w:rPr>
        <w:t>activity statements and GST annual returns</w:t>
      </w:r>
    </w:p>
    <w:p w14:paraId="26A68B5A" w14:textId="77777777" w:rsidR="004E0A24" w:rsidRPr="004E0A24" w:rsidRDefault="004E0A24" w:rsidP="002270A9">
      <w:pPr>
        <w:numPr>
          <w:ilvl w:val="0"/>
          <w:numId w:val="33"/>
        </w:numPr>
        <w:adjustRightInd w:val="0"/>
        <w:snapToGrid w:val="0"/>
        <w:spacing w:line="276" w:lineRule="auto"/>
        <w:jc w:val="left"/>
        <w:rPr>
          <w:rFonts w:ascii="Arial" w:hAnsi="Arial" w:cs="Arial"/>
          <w:bCs/>
          <w:sz w:val="20"/>
        </w:rPr>
      </w:pPr>
      <w:r w:rsidRPr="004E0A24">
        <w:rPr>
          <w:rFonts w:ascii="Arial" w:hAnsi="Arial" w:cs="Arial"/>
          <w:bCs/>
          <w:sz w:val="20"/>
        </w:rPr>
        <w:t>fringe benefits tax returns</w:t>
      </w:r>
    </w:p>
    <w:p w14:paraId="5E3CB8FC" w14:textId="1626A50E" w:rsidR="004E0A24" w:rsidRPr="004E0A24" w:rsidRDefault="004E0A24" w:rsidP="002270A9">
      <w:pPr>
        <w:numPr>
          <w:ilvl w:val="0"/>
          <w:numId w:val="33"/>
        </w:numPr>
        <w:adjustRightInd w:val="0"/>
        <w:snapToGrid w:val="0"/>
        <w:spacing w:line="276" w:lineRule="auto"/>
        <w:jc w:val="left"/>
        <w:rPr>
          <w:rFonts w:ascii="Arial" w:hAnsi="Arial" w:cs="Arial"/>
          <w:bCs/>
          <w:sz w:val="20"/>
        </w:rPr>
      </w:pPr>
      <w:proofErr w:type="spellStart"/>
      <w:r w:rsidRPr="004E0A24">
        <w:rPr>
          <w:rFonts w:ascii="Arial" w:hAnsi="Arial" w:cs="Arial"/>
          <w:bCs/>
          <w:sz w:val="20"/>
        </w:rPr>
        <w:t>CbC</w:t>
      </w:r>
      <w:proofErr w:type="spellEnd"/>
      <w:r w:rsidR="000E718E">
        <w:rPr>
          <w:rFonts w:ascii="Arial" w:eastAsiaTheme="minorEastAsia" w:hAnsi="Arial" w:cs="Arial" w:hint="eastAsia"/>
          <w:bCs/>
          <w:sz w:val="20"/>
          <w:lang w:eastAsia="zh-CN"/>
        </w:rPr>
        <w:t xml:space="preserve"> reporting</w:t>
      </w:r>
      <w:r w:rsidRPr="004E0A24">
        <w:rPr>
          <w:rFonts w:ascii="Arial" w:hAnsi="Arial" w:cs="Arial"/>
          <w:bCs/>
          <w:sz w:val="20"/>
        </w:rPr>
        <w:t xml:space="preserve"> </w:t>
      </w:r>
      <w:proofErr w:type="gramStart"/>
      <w:r w:rsidRPr="004E0A24">
        <w:rPr>
          <w:rFonts w:ascii="Arial" w:hAnsi="Arial" w:cs="Arial"/>
          <w:bCs/>
          <w:sz w:val="20"/>
        </w:rPr>
        <w:t>statements</w:t>
      </w:r>
      <w:proofErr w:type="gramEnd"/>
    </w:p>
    <w:p w14:paraId="5A918BB7" w14:textId="77777777" w:rsidR="004E0A24" w:rsidRPr="004E0A24" w:rsidRDefault="004E0A24" w:rsidP="002270A9">
      <w:pPr>
        <w:numPr>
          <w:ilvl w:val="0"/>
          <w:numId w:val="33"/>
        </w:numPr>
        <w:adjustRightInd w:val="0"/>
        <w:snapToGrid w:val="0"/>
        <w:spacing w:line="276" w:lineRule="auto"/>
        <w:jc w:val="left"/>
        <w:rPr>
          <w:rFonts w:ascii="Arial" w:hAnsi="Arial" w:cs="Arial"/>
          <w:bCs/>
          <w:sz w:val="20"/>
        </w:rPr>
      </w:pPr>
      <w:r w:rsidRPr="004E0A24">
        <w:rPr>
          <w:rFonts w:ascii="Arial" w:hAnsi="Arial" w:cs="Arial"/>
          <w:bCs/>
          <w:sz w:val="20"/>
        </w:rPr>
        <w:t>GPFS</w:t>
      </w:r>
    </w:p>
    <w:p w14:paraId="1CA9C21A" w14:textId="77777777" w:rsidR="004E0A24" w:rsidRPr="004E0A24" w:rsidRDefault="004E0A24" w:rsidP="002270A9">
      <w:pPr>
        <w:numPr>
          <w:ilvl w:val="0"/>
          <w:numId w:val="33"/>
        </w:numPr>
        <w:adjustRightInd w:val="0"/>
        <w:snapToGrid w:val="0"/>
        <w:spacing w:line="276" w:lineRule="auto"/>
        <w:jc w:val="left"/>
        <w:rPr>
          <w:rFonts w:ascii="Arial" w:hAnsi="Arial" w:cs="Arial"/>
          <w:bCs/>
          <w:sz w:val="20"/>
        </w:rPr>
      </w:pPr>
      <w:r w:rsidRPr="004E0A24">
        <w:rPr>
          <w:rFonts w:ascii="Arial" w:hAnsi="Arial" w:cs="Arial"/>
          <w:bCs/>
          <w:sz w:val="20"/>
        </w:rPr>
        <w:t>Single Touch Payroll reports</w:t>
      </w:r>
    </w:p>
    <w:p w14:paraId="37881206" w14:textId="77777777" w:rsidR="004E0A24" w:rsidRPr="003A7D08" w:rsidRDefault="004E0A24" w:rsidP="002270A9">
      <w:pPr>
        <w:numPr>
          <w:ilvl w:val="0"/>
          <w:numId w:val="33"/>
        </w:numPr>
        <w:adjustRightInd w:val="0"/>
        <w:snapToGrid w:val="0"/>
        <w:spacing w:line="276" w:lineRule="auto"/>
        <w:jc w:val="left"/>
        <w:rPr>
          <w:rFonts w:ascii="Arial" w:hAnsi="Arial" w:cs="Arial"/>
          <w:bCs/>
          <w:sz w:val="20"/>
        </w:rPr>
      </w:pPr>
      <w:r w:rsidRPr="004E0A24">
        <w:rPr>
          <w:rFonts w:ascii="Arial" w:hAnsi="Arial" w:cs="Arial"/>
          <w:bCs/>
          <w:sz w:val="20"/>
        </w:rPr>
        <w:t>PAYG payment summary annual reports.</w:t>
      </w:r>
    </w:p>
    <w:p w14:paraId="603BCDD7" w14:textId="77777777" w:rsidR="000E718E" w:rsidRDefault="000E718E" w:rsidP="000E718E">
      <w:pPr>
        <w:adjustRightInd w:val="0"/>
        <w:snapToGrid w:val="0"/>
        <w:spacing w:line="276" w:lineRule="auto"/>
        <w:jc w:val="left"/>
        <w:rPr>
          <w:rFonts w:ascii="Arial" w:eastAsiaTheme="minorEastAsia" w:hAnsi="Arial" w:cs="Arial"/>
          <w:bCs/>
          <w:sz w:val="20"/>
          <w:lang w:eastAsia="zh-CN"/>
        </w:rPr>
      </w:pPr>
    </w:p>
    <w:p w14:paraId="5B6AF87F" w14:textId="77777777" w:rsidR="000E718E" w:rsidRDefault="000E718E" w:rsidP="000E718E">
      <w:pPr>
        <w:adjustRightInd w:val="0"/>
        <w:snapToGrid w:val="0"/>
        <w:spacing w:line="276" w:lineRule="auto"/>
        <w:jc w:val="left"/>
        <w:rPr>
          <w:rFonts w:ascii="Arial" w:eastAsiaTheme="minorEastAsia" w:hAnsi="Arial" w:cs="Arial"/>
          <w:bCs/>
          <w:sz w:val="20"/>
          <w:lang w:eastAsia="zh-CN"/>
        </w:rPr>
      </w:pPr>
    </w:p>
    <w:p w14:paraId="5049534E" w14:textId="77777777" w:rsidR="000E718E" w:rsidRDefault="000E718E" w:rsidP="000E718E">
      <w:pPr>
        <w:adjustRightInd w:val="0"/>
        <w:snapToGrid w:val="0"/>
        <w:spacing w:line="276" w:lineRule="auto"/>
        <w:jc w:val="left"/>
        <w:rPr>
          <w:rFonts w:ascii="Arial" w:eastAsiaTheme="minorEastAsia" w:hAnsi="Arial" w:cs="Arial"/>
          <w:bCs/>
          <w:sz w:val="20"/>
          <w:lang w:eastAsia="zh-CN"/>
        </w:rPr>
      </w:pPr>
    </w:p>
    <w:p w14:paraId="35329AC0" w14:textId="77777777" w:rsidR="000E718E" w:rsidRDefault="000E718E" w:rsidP="000E718E">
      <w:pPr>
        <w:adjustRightInd w:val="0"/>
        <w:snapToGrid w:val="0"/>
        <w:spacing w:line="276" w:lineRule="auto"/>
        <w:jc w:val="left"/>
        <w:rPr>
          <w:rFonts w:ascii="Arial" w:eastAsiaTheme="minorEastAsia" w:hAnsi="Arial" w:cs="Arial"/>
          <w:bCs/>
          <w:sz w:val="20"/>
          <w:lang w:eastAsia="zh-CN"/>
        </w:rPr>
      </w:pPr>
    </w:p>
    <w:p w14:paraId="3AD888AC" w14:textId="77777777" w:rsidR="000E718E" w:rsidRDefault="000E718E" w:rsidP="000E718E">
      <w:pPr>
        <w:adjustRightInd w:val="0"/>
        <w:snapToGrid w:val="0"/>
        <w:spacing w:line="276" w:lineRule="auto"/>
        <w:jc w:val="left"/>
        <w:rPr>
          <w:rFonts w:ascii="Arial" w:eastAsiaTheme="minorEastAsia" w:hAnsi="Arial" w:cs="Arial"/>
          <w:bCs/>
          <w:sz w:val="20"/>
          <w:lang w:eastAsia="zh-CN"/>
        </w:rPr>
      </w:pPr>
    </w:p>
    <w:p w14:paraId="23B785E8" w14:textId="77777777" w:rsidR="000E718E" w:rsidRPr="004E0A24" w:rsidRDefault="000E718E" w:rsidP="003A7D08">
      <w:pPr>
        <w:adjustRightInd w:val="0"/>
        <w:snapToGrid w:val="0"/>
        <w:spacing w:line="276" w:lineRule="auto"/>
        <w:jc w:val="left"/>
        <w:rPr>
          <w:rFonts w:ascii="Arial" w:hAnsi="Arial" w:cs="Arial"/>
          <w:bCs/>
          <w:sz w:val="20"/>
        </w:rPr>
      </w:pPr>
    </w:p>
    <w:p w14:paraId="6D3C60C1" w14:textId="77777777" w:rsidR="00960579" w:rsidRDefault="00960579" w:rsidP="002270A9">
      <w:pPr>
        <w:adjustRightInd w:val="0"/>
        <w:snapToGrid w:val="0"/>
        <w:spacing w:line="276" w:lineRule="auto"/>
        <w:jc w:val="left"/>
        <w:rPr>
          <w:rFonts w:ascii="Arial" w:hAnsi="Arial" w:cs="Arial"/>
          <w:sz w:val="20"/>
        </w:rPr>
      </w:pPr>
    </w:p>
    <w:p w14:paraId="6BF901FC" w14:textId="11042786" w:rsidR="001A1A2D" w:rsidRDefault="00960579" w:rsidP="002270A9">
      <w:pPr>
        <w:adjustRightInd w:val="0"/>
        <w:snapToGrid w:val="0"/>
        <w:spacing w:line="276" w:lineRule="auto"/>
        <w:jc w:val="left"/>
        <w:rPr>
          <w:rFonts w:ascii="Arial" w:eastAsiaTheme="minorEastAsia" w:hAnsi="Arial" w:cs="Arial"/>
          <w:sz w:val="20"/>
          <w:lang w:eastAsia="zh-CN"/>
        </w:rPr>
      </w:pPr>
      <w:r w:rsidRPr="00960579">
        <w:rPr>
          <w:rFonts w:ascii="Arial" w:hAnsi="Arial" w:cs="Arial"/>
          <w:sz w:val="20"/>
        </w:rPr>
        <w:lastRenderedPageBreak/>
        <w:t>For forms due from 1 July 2023, the FTL penalty amounts for SGEs are as follows:</w:t>
      </w:r>
    </w:p>
    <w:tbl>
      <w:tblPr>
        <w:tblStyle w:val="PlainTable1"/>
        <w:tblW w:w="0" w:type="auto"/>
        <w:tblLook w:val="04A0" w:firstRow="1" w:lastRow="0" w:firstColumn="1" w:lastColumn="0" w:noHBand="0" w:noVBand="1"/>
      </w:tblPr>
      <w:tblGrid>
        <w:gridCol w:w="2122"/>
        <w:gridCol w:w="2126"/>
      </w:tblGrid>
      <w:tr w:rsidR="001A1A2D" w:rsidRPr="001A1A2D" w14:paraId="2D55B72B" w14:textId="77777777" w:rsidTr="001A1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684E118B" w14:textId="77777777" w:rsidR="001A1A2D" w:rsidRPr="00C2702F" w:rsidRDefault="001A1A2D" w:rsidP="002270A9">
            <w:pPr>
              <w:spacing w:line="276" w:lineRule="auto"/>
              <w:jc w:val="left"/>
              <w:rPr>
                <w:rFonts w:ascii="Arial" w:eastAsia="Times New Roman" w:hAnsi="Arial" w:cs="Arial"/>
                <w:sz w:val="20"/>
                <w:lang w:eastAsia="zh-CN"/>
              </w:rPr>
            </w:pPr>
            <w:r w:rsidRPr="00C2702F">
              <w:rPr>
                <w:rFonts w:ascii="Arial" w:eastAsia="Times New Roman" w:hAnsi="Arial" w:cs="Arial"/>
                <w:sz w:val="20"/>
                <w:lang w:eastAsia="zh-CN"/>
              </w:rPr>
              <w:t>Days late</w:t>
            </w:r>
          </w:p>
        </w:tc>
        <w:tc>
          <w:tcPr>
            <w:tcW w:w="2126" w:type="dxa"/>
            <w:vAlign w:val="center"/>
            <w:hideMark/>
          </w:tcPr>
          <w:p w14:paraId="1603DD83" w14:textId="77777777" w:rsidR="001A1A2D" w:rsidRPr="00C2702F" w:rsidRDefault="001A1A2D" w:rsidP="002270A9">
            <w:pPr>
              <w:spacing w:line="276"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zh-CN"/>
              </w:rPr>
            </w:pPr>
            <w:r w:rsidRPr="00C2702F">
              <w:rPr>
                <w:rFonts w:ascii="Arial" w:eastAsia="Times New Roman" w:hAnsi="Arial" w:cs="Arial"/>
                <w:sz w:val="20"/>
                <w:lang w:eastAsia="zh-CN"/>
              </w:rPr>
              <w:t>SGE penalties</w:t>
            </w:r>
          </w:p>
        </w:tc>
      </w:tr>
      <w:tr w:rsidR="00D6448D" w:rsidRPr="001A1A2D" w14:paraId="01368DDD" w14:textId="77777777" w:rsidTr="001A1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4C60B886" w14:textId="637F8051" w:rsidR="00D6448D" w:rsidRPr="00C2702F" w:rsidRDefault="00D6448D" w:rsidP="002270A9">
            <w:pPr>
              <w:spacing w:line="276" w:lineRule="auto"/>
              <w:jc w:val="left"/>
              <w:rPr>
                <w:rFonts w:ascii="Arial" w:eastAsia="Times New Roman" w:hAnsi="Arial" w:cs="Arial"/>
                <w:b w:val="0"/>
                <w:bCs w:val="0"/>
                <w:sz w:val="20"/>
                <w:lang w:eastAsia="zh-CN"/>
              </w:rPr>
            </w:pPr>
            <w:r w:rsidRPr="00C2702F">
              <w:rPr>
                <w:rFonts w:ascii="Arial" w:hAnsi="Arial" w:cs="Arial"/>
                <w:b w:val="0"/>
                <w:bCs w:val="0"/>
                <w:sz w:val="20"/>
              </w:rPr>
              <w:t>28 or less</w:t>
            </w:r>
          </w:p>
        </w:tc>
        <w:tc>
          <w:tcPr>
            <w:tcW w:w="2126" w:type="dxa"/>
            <w:vAlign w:val="center"/>
            <w:hideMark/>
          </w:tcPr>
          <w:p w14:paraId="3593C698" w14:textId="77777777" w:rsidR="00D6448D" w:rsidRPr="00C2702F" w:rsidRDefault="00D6448D" w:rsidP="002270A9">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lang w:eastAsia="zh-CN"/>
              </w:rPr>
            </w:pPr>
            <w:r w:rsidRPr="00C2702F">
              <w:rPr>
                <w:rFonts w:ascii="Arial" w:eastAsia="Times New Roman" w:hAnsi="Arial" w:cs="Arial"/>
                <w:sz w:val="20"/>
                <w:lang w:eastAsia="zh-CN"/>
              </w:rPr>
              <w:t>$156,500</w:t>
            </w:r>
          </w:p>
        </w:tc>
      </w:tr>
      <w:tr w:rsidR="00D6448D" w:rsidRPr="001A1A2D" w14:paraId="6499C726" w14:textId="77777777" w:rsidTr="00D6448D">
        <w:tc>
          <w:tcPr>
            <w:cnfStyle w:val="001000000000" w:firstRow="0" w:lastRow="0" w:firstColumn="1" w:lastColumn="0" w:oddVBand="0" w:evenVBand="0" w:oddHBand="0" w:evenHBand="0" w:firstRowFirstColumn="0" w:firstRowLastColumn="0" w:lastRowFirstColumn="0" w:lastRowLastColumn="0"/>
            <w:tcW w:w="2122" w:type="dxa"/>
            <w:vAlign w:val="center"/>
          </w:tcPr>
          <w:p w14:paraId="24ED0631" w14:textId="2D6A8B47" w:rsidR="00D6448D" w:rsidRPr="00C2702F" w:rsidRDefault="00D6448D" w:rsidP="002270A9">
            <w:pPr>
              <w:spacing w:line="276" w:lineRule="auto"/>
              <w:jc w:val="left"/>
              <w:rPr>
                <w:rFonts w:ascii="Arial" w:eastAsia="Times New Roman" w:hAnsi="Arial" w:cs="Arial"/>
                <w:b w:val="0"/>
                <w:bCs w:val="0"/>
                <w:sz w:val="20"/>
                <w:lang w:eastAsia="zh-CN"/>
              </w:rPr>
            </w:pPr>
            <w:r w:rsidRPr="00C2702F">
              <w:rPr>
                <w:rFonts w:ascii="Arial" w:hAnsi="Arial" w:cs="Arial"/>
                <w:b w:val="0"/>
                <w:bCs w:val="0"/>
                <w:sz w:val="20"/>
              </w:rPr>
              <w:t>29 to 56</w:t>
            </w:r>
          </w:p>
        </w:tc>
        <w:tc>
          <w:tcPr>
            <w:tcW w:w="2126" w:type="dxa"/>
            <w:vAlign w:val="center"/>
            <w:hideMark/>
          </w:tcPr>
          <w:p w14:paraId="34135467" w14:textId="77777777" w:rsidR="00D6448D" w:rsidRPr="00C2702F" w:rsidRDefault="00D6448D" w:rsidP="002270A9">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zh-CN"/>
              </w:rPr>
            </w:pPr>
            <w:r w:rsidRPr="00C2702F">
              <w:rPr>
                <w:rFonts w:ascii="Arial" w:eastAsia="Times New Roman" w:hAnsi="Arial" w:cs="Arial"/>
                <w:sz w:val="20"/>
                <w:lang w:eastAsia="zh-CN"/>
              </w:rPr>
              <w:t>$313,000</w:t>
            </w:r>
          </w:p>
        </w:tc>
      </w:tr>
      <w:tr w:rsidR="00D6448D" w:rsidRPr="001A1A2D" w14:paraId="6E25B54C" w14:textId="77777777" w:rsidTr="00D64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A79E92F" w14:textId="6B6DF330" w:rsidR="00D6448D" w:rsidRPr="00C2702F" w:rsidRDefault="00D6448D" w:rsidP="002270A9">
            <w:pPr>
              <w:spacing w:line="276" w:lineRule="auto"/>
              <w:jc w:val="left"/>
              <w:rPr>
                <w:rFonts w:ascii="Arial" w:eastAsia="Times New Roman" w:hAnsi="Arial" w:cs="Arial"/>
                <w:b w:val="0"/>
                <w:bCs w:val="0"/>
                <w:sz w:val="20"/>
                <w:lang w:eastAsia="zh-CN"/>
              </w:rPr>
            </w:pPr>
            <w:r w:rsidRPr="00C2702F">
              <w:rPr>
                <w:rFonts w:ascii="Arial" w:hAnsi="Arial" w:cs="Arial"/>
                <w:b w:val="0"/>
                <w:bCs w:val="0"/>
                <w:sz w:val="20"/>
              </w:rPr>
              <w:t>57 to 84</w:t>
            </w:r>
          </w:p>
        </w:tc>
        <w:tc>
          <w:tcPr>
            <w:tcW w:w="2126" w:type="dxa"/>
            <w:vAlign w:val="center"/>
            <w:hideMark/>
          </w:tcPr>
          <w:p w14:paraId="31F3B9A5" w14:textId="77777777" w:rsidR="00D6448D" w:rsidRPr="00C2702F" w:rsidRDefault="00D6448D" w:rsidP="002270A9">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lang w:eastAsia="zh-CN"/>
              </w:rPr>
            </w:pPr>
            <w:r w:rsidRPr="00C2702F">
              <w:rPr>
                <w:rFonts w:ascii="Arial" w:eastAsia="Times New Roman" w:hAnsi="Arial" w:cs="Arial"/>
                <w:sz w:val="20"/>
                <w:lang w:eastAsia="zh-CN"/>
              </w:rPr>
              <w:t>$469,500</w:t>
            </w:r>
          </w:p>
        </w:tc>
      </w:tr>
      <w:tr w:rsidR="00D6448D" w:rsidRPr="001A1A2D" w14:paraId="0522B288" w14:textId="77777777" w:rsidTr="00D6448D">
        <w:tc>
          <w:tcPr>
            <w:cnfStyle w:val="001000000000" w:firstRow="0" w:lastRow="0" w:firstColumn="1" w:lastColumn="0" w:oddVBand="0" w:evenVBand="0" w:oddHBand="0" w:evenHBand="0" w:firstRowFirstColumn="0" w:firstRowLastColumn="0" w:lastRowFirstColumn="0" w:lastRowLastColumn="0"/>
            <w:tcW w:w="2122" w:type="dxa"/>
            <w:vAlign w:val="center"/>
          </w:tcPr>
          <w:p w14:paraId="37A913F4" w14:textId="741774D1" w:rsidR="00D6448D" w:rsidRPr="00C2702F" w:rsidRDefault="00D6448D" w:rsidP="002270A9">
            <w:pPr>
              <w:spacing w:line="276" w:lineRule="auto"/>
              <w:jc w:val="left"/>
              <w:rPr>
                <w:rFonts w:ascii="Arial" w:eastAsia="Times New Roman" w:hAnsi="Arial" w:cs="Arial"/>
                <w:b w:val="0"/>
                <w:bCs w:val="0"/>
                <w:sz w:val="20"/>
                <w:lang w:eastAsia="zh-CN"/>
              </w:rPr>
            </w:pPr>
            <w:r w:rsidRPr="00C2702F">
              <w:rPr>
                <w:rFonts w:ascii="Arial" w:hAnsi="Arial" w:cs="Arial"/>
                <w:b w:val="0"/>
                <w:bCs w:val="0"/>
                <w:sz w:val="20"/>
              </w:rPr>
              <w:t>85 to 112</w:t>
            </w:r>
          </w:p>
        </w:tc>
        <w:tc>
          <w:tcPr>
            <w:tcW w:w="2126" w:type="dxa"/>
            <w:vAlign w:val="center"/>
            <w:hideMark/>
          </w:tcPr>
          <w:p w14:paraId="6C6F4E7B" w14:textId="77777777" w:rsidR="00D6448D" w:rsidRPr="00C2702F" w:rsidRDefault="00D6448D" w:rsidP="002270A9">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zh-CN"/>
              </w:rPr>
            </w:pPr>
            <w:r w:rsidRPr="00C2702F">
              <w:rPr>
                <w:rFonts w:ascii="Arial" w:eastAsia="Times New Roman" w:hAnsi="Arial" w:cs="Arial"/>
                <w:sz w:val="20"/>
                <w:lang w:eastAsia="zh-CN"/>
              </w:rPr>
              <w:t>$626,000</w:t>
            </w:r>
          </w:p>
        </w:tc>
      </w:tr>
      <w:tr w:rsidR="001A1A2D" w:rsidRPr="001A1A2D" w14:paraId="39497E23" w14:textId="77777777" w:rsidTr="00D64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F27C9F9" w14:textId="7A127957" w:rsidR="001A1A2D" w:rsidRPr="00C2702F" w:rsidRDefault="00D6448D" w:rsidP="002270A9">
            <w:pPr>
              <w:spacing w:line="276" w:lineRule="auto"/>
              <w:jc w:val="left"/>
              <w:rPr>
                <w:rFonts w:ascii="Arial" w:eastAsiaTheme="minorEastAsia" w:hAnsi="Arial" w:cs="Arial"/>
                <w:b w:val="0"/>
                <w:bCs w:val="0"/>
                <w:sz w:val="20"/>
                <w:lang w:eastAsia="zh-CN"/>
              </w:rPr>
            </w:pPr>
            <w:r w:rsidRPr="00C2702F">
              <w:rPr>
                <w:rFonts w:ascii="Arial" w:eastAsiaTheme="minorEastAsia" w:hAnsi="Arial" w:cs="Arial" w:hint="eastAsia"/>
                <w:b w:val="0"/>
                <w:bCs w:val="0"/>
                <w:sz w:val="20"/>
                <w:lang w:eastAsia="zh-CN"/>
              </w:rPr>
              <w:t>More than 112</w:t>
            </w:r>
          </w:p>
        </w:tc>
        <w:tc>
          <w:tcPr>
            <w:tcW w:w="2126" w:type="dxa"/>
            <w:vAlign w:val="center"/>
            <w:hideMark/>
          </w:tcPr>
          <w:p w14:paraId="547C22A2" w14:textId="77777777" w:rsidR="001A1A2D" w:rsidRPr="00C2702F" w:rsidRDefault="001A1A2D" w:rsidP="002270A9">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lang w:eastAsia="zh-CN"/>
              </w:rPr>
            </w:pPr>
            <w:r w:rsidRPr="00C2702F">
              <w:rPr>
                <w:rFonts w:ascii="Arial" w:eastAsia="Times New Roman" w:hAnsi="Arial" w:cs="Arial"/>
                <w:sz w:val="20"/>
                <w:lang w:eastAsia="zh-CN"/>
              </w:rPr>
              <w:t>$782,500</w:t>
            </w:r>
          </w:p>
        </w:tc>
      </w:tr>
    </w:tbl>
    <w:p w14:paraId="1E172E2D" w14:textId="2AC61DCD" w:rsidR="00610189" w:rsidRDefault="00610189" w:rsidP="002270A9">
      <w:pPr>
        <w:adjustRightInd w:val="0"/>
        <w:snapToGrid w:val="0"/>
        <w:spacing w:line="276" w:lineRule="auto"/>
        <w:jc w:val="left"/>
        <w:rPr>
          <w:rFonts w:ascii="Arial" w:eastAsiaTheme="minorEastAsia" w:hAnsi="Arial" w:cs="Arial"/>
          <w:bCs/>
          <w:sz w:val="20"/>
          <w:lang w:eastAsia="zh-CN"/>
        </w:rPr>
      </w:pPr>
    </w:p>
    <w:p w14:paraId="56F6467E" w14:textId="10D39C44" w:rsidR="00B561ED" w:rsidRDefault="00B561ED" w:rsidP="002270A9">
      <w:pPr>
        <w:adjustRightInd w:val="0"/>
        <w:snapToGrid w:val="0"/>
        <w:spacing w:line="276" w:lineRule="auto"/>
        <w:jc w:val="left"/>
        <w:rPr>
          <w:rFonts w:ascii="Arial" w:eastAsiaTheme="minorEastAsia" w:hAnsi="Arial" w:cs="Arial"/>
          <w:bCs/>
          <w:sz w:val="20"/>
          <w:lang w:eastAsia="zh-CN"/>
        </w:rPr>
      </w:pPr>
      <w:r w:rsidRPr="002356CA">
        <w:rPr>
          <w:rFonts w:ascii="Arial" w:eastAsiaTheme="minorEastAsia" w:hAnsi="Arial" w:cs="Arial"/>
          <w:b/>
          <w:sz w:val="20"/>
          <w:lang w:eastAsia="zh-CN"/>
        </w:rPr>
        <w:t>Note:</w:t>
      </w:r>
      <w:r>
        <w:rPr>
          <w:rFonts w:ascii="Arial" w:eastAsiaTheme="minorEastAsia" w:hAnsi="Arial" w:cs="Arial"/>
          <w:bCs/>
          <w:sz w:val="20"/>
          <w:lang w:eastAsia="zh-CN"/>
        </w:rPr>
        <w:t xml:space="preserve"> </w:t>
      </w:r>
      <w:proofErr w:type="gramStart"/>
      <w:r>
        <w:rPr>
          <w:rFonts w:ascii="Arial" w:eastAsiaTheme="minorEastAsia" w:hAnsi="Arial" w:cs="Arial"/>
          <w:bCs/>
          <w:sz w:val="20"/>
          <w:lang w:eastAsia="zh-CN"/>
        </w:rPr>
        <w:t>the</w:t>
      </w:r>
      <w:proofErr w:type="gramEnd"/>
      <w:r>
        <w:rPr>
          <w:rFonts w:ascii="Arial" w:eastAsiaTheme="minorEastAsia" w:hAnsi="Arial" w:cs="Arial"/>
          <w:bCs/>
          <w:sz w:val="20"/>
          <w:lang w:eastAsia="zh-CN"/>
        </w:rPr>
        <w:t xml:space="preserve"> </w:t>
      </w:r>
      <w:r w:rsidRPr="00B561ED">
        <w:rPr>
          <w:rFonts w:ascii="Arial" w:eastAsiaTheme="minorEastAsia" w:hAnsi="Arial" w:cs="Arial"/>
          <w:bCs/>
          <w:sz w:val="20"/>
          <w:lang w:eastAsia="zh-CN"/>
        </w:rPr>
        <w:t>Crimes and Other Legislation Amendment (Omnibus No. 1) Bill 2024</w:t>
      </w:r>
      <w:r>
        <w:rPr>
          <w:rFonts w:ascii="Arial" w:eastAsiaTheme="minorEastAsia" w:hAnsi="Arial" w:cs="Arial"/>
          <w:bCs/>
          <w:sz w:val="20"/>
          <w:lang w:eastAsia="zh-CN"/>
        </w:rPr>
        <w:t>, which is currently before Parliament, contains provisions to increase the rate of one penalty unit from $313 to $330. This would increase the above amounts accordingly (</w:t>
      </w:r>
      <w:proofErr w:type="gramStart"/>
      <w:r>
        <w:rPr>
          <w:rFonts w:ascii="Arial" w:eastAsiaTheme="minorEastAsia" w:hAnsi="Arial" w:cs="Arial"/>
          <w:bCs/>
          <w:sz w:val="20"/>
          <w:lang w:eastAsia="zh-CN"/>
        </w:rPr>
        <w:t>e.g.</w:t>
      </w:r>
      <w:proofErr w:type="gramEnd"/>
      <w:r>
        <w:rPr>
          <w:rFonts w:ascii="Arial" w:eastAsiaTheme="minorEastAsia" w:hAnsi="Arial" w:cs="Arial"/>
          <w:bCs/>
          <w:sz w:val="20"/>
          <w:lang w:eastAsia="zh-CN"/>
        </w:rPr>
        <w:t xml:space="preserve"> $156,500 would become $165,000).</w:t>
      </w:r>
    </w:p>
    <w:p w14:paraId="72D6D21C" w14:textId="77777777" w:rsidR="00B561ED" w:rsidRDefault="00B561ED" w:rsidP="002270A9">
      <w:pPr>
        <w:adjustRightInd w:val="0"/>
        <w:snapToGrid w:val="0"/>
        <w:spacing w:line="276" w:lineRule="auto"/>
        <w:jc w:val="left"/>
        <w:rPr>
          <w:rFonts w:ascii="Arial" w:eastAsiaTheme="minorEastAsia" w:hAnsi="Arial" w:cs="Arial"/>
          <w:bCs/>
          <w:sz w:val="20"/>
          <w:lang w:eastAsia="zh-CN"/>
        </w:rPr>
      </w:pPr>
    </w:p>
    <w:p w14:paraId="3C532224" w14:textId="77777777" w:rsidR="00B561ED" w:rsidRPr="00AE16DB" w:rsidRDefault="00B561ED" w:rsidP="002270A9">
      <w:pPr>
        <w:adjustRightInd w:val="0"/>
        <w:snapToGrid w:val="0"/>
        <w:spacing w:line="276" w:lineRule="auto"/>
        <w:jc w:val="left"/>
        <w:rPr>
          <w:rFonts w:ascii="Arial" w:eastAsiaTheme="minorEastAsia" w:hAnsi="Arial" w:cs="Arial"/>
          <w:bCs/>
          <w:sz w:val="20"/>
          <w:lang w:eastAsia="zh-CN"/>
        </w:rPr>
      </w:pPr>
    </w:p>
    <w:p w14:paraId="1098B732" w14:textId="3A85122D" w:rsidR="00DB129A" w:rsidRPr="00B34EFF" w:rsidRDefault="00DB129A" w:rsidP="002270A9">
      <w:pPr>
        <w:adjustRightInd w:val="0"/>
        <w:snapToGrid w:val="0"/>
        <w:spacing w:line="276" w:lineRule="auto"/>
        <w:jc w:val="left"/>
        <w:rPr>
          <w:rFonts w:ascii="Arial" w:hAnsi="Arial" w:cs="Arial"/>
          <w:sz w:val="20"/>
        </w:rPr>
      </w:pPr>
      <w:r w:rsidRPr="00B34EFF">
        <w:rPr>
          <w:rFonts w:ascii="Arial" w:hAnsi="Arial" w:cs="Arial"/>
          <w:bCs/>
          <w:sz w:val="20"/>
        </w:rPr>
        <w:t xml:space="preserve">If you have further queries on any details contained within this letter or on any other matter, please do not hesitate to contact me on </w:t>
      </w:r>
      <w:r w:rsidRPr="00B34EFF">
        <w:rPr>
          <w:rFonts w:ascii="Arial" w:hAnsi="Arial" w:cs="Arial"/>
          <w:sz w:val="20"/>
        </w:rPr>
        <w:t>[</w:t>
      </w:r>
      <w:r w:rsidRPr="00B34EFF">
        <w:rPr>
          <w:rFonts w:ascii="Arial" w:hAnsi="Arial" w:cs="Arial"/>
          <w:sz w:val="20"/>
          <w:highlight w:val="lightGray"/>
        </w:rPr>
        <w:t>insert telephone number</w:t>
      </w:r>
      <w:r w:rsidRPr="00B34EFF">
        <w:rPr>
          <w:rFonts w:ascii="Arial" w:hAnsi="Arial" w:cs="Arial"/>
          <w:sz w:val="20"/>
        </w:rPr>
        <w:t>]</w:t>
      </w:r>
      <w:r w:rsidRPr="00B34EFF">
        <w:rPr>
          <w:rFonts w:ascii="Arial" w:hAnsi="Arial" w:cs="Arial"/>
          <w:bCs/>
          <w:sz w:val="20"/>
        </w:rPr>
        <w:t>.</w:t>
      </w:r>
    </w:p>
    <w:p w14:paraId="4DB8B1E2" w14:textId="77777777" w:rsidR="00DB129A" w:rsidRPr="00B34EFF" w:rsidRDefault="00DB129A" w:rsidP="002270A9">
      <w:pPr>
        <w:adjustRightInd w:val="0"/>
        <w:snapToGrid w:val="0"/>
        <w:spacing w:line="276" w:lineRule="auto"/>
        <w:jc w:val="left"/>
        <w:rPr>
          <w:rFonts w:ascii="Arial" w:hAnsi="Arial" w:cs="Arial"/>
          <w:sz w:val="20"/>
        </w:rPr>
      </w:pPr>
    </w:p>
    <w:p w14:paraId="418D1833" w14:textId="77777777" w:rsidR="00DB129A" w:rsidRPr="00B34EFF" w:rsidRDefault="00DB129A" w:rsidP="002270A9">
      <w:pPr>
        <w:adjustRightInd w:val="0"/>
        <w:snapToGrid w:val="0"/>
        <w:spacing w:line="276" w:lineRule="auto"/>
        <w:jc w:val="left"/>
        <w:rPr>
          <w:rFonts w:ascii="Arial" w:hAnsi="Arial" w:cs="Arial"/>
          <w:sz w:val="20"/>
        </w:rPr>
      </w:pPr>
      <w:bookmarkStart w:id="9" w:name="Signoff"/>
      <w:bookmarkEnd w:id="9"/>
      <w:r w:rsidRPr="00B34EFF">
        <w:rPr>
          <w:rFonts w:ascii="Arial" w:hAnsi="Arial" w:cs="Arial"/>
          <w:sz w:val="20"/>
        </w:rPr>
        <w:t>Yours faithfully,</w:t>
      </w:r>
    </w:p>
    <w:p w14:paraId="03B2A900" w14:textId="77777777" w:rsidR="00DB129A" w:rsidRDefault="00DB129A" w:rsidP="00EA73B6">
      <w:pPr>
        <w:adjustRightInd w:val="0"/>
        <w:snapToGrid w:val="0"/>
        <w:spacing w:line="276" w:lineRule="auto"/>
        <w:jc w:val="left"/>
        <w:rPr>
          <w:rFonts w:ascii="Arial" w:eastAsiaTheme="minorEastAsia" w:hAnsi="Arial" w:cs="Arial"/>
          <w:sz w:val="20"/>
          <w:lang w:eastAsia="zh-CN"/>
        </w:rPr>
      </w:pPr>
    </w:p>
    <w:p w14:paraId="3D99C16F" w14:textId="77777777" w:rsidR="00EA73B6" w:rsidRPr="00FF0827" w:rsidRDefault="00EA73B6" w:rsidP="00EA73B6">
      <w:pPr>
        <w:adjustRightInd w:val="0"/>
        <w:snapToGrid w:val="0"/>
        <w:spacing w:line="276" w:lineRule="auto"/>
        <w:jc w:val="left"/>
        <w:rPr>
          <w:rFonts w:ascii="Arial" w:eastAsiaTheme="minorEastAsia" w:hAnsi="Arial" w:cs="Arial"/>
          <w:sz w:val="20"/>
          <w:lang w:eastAsia="zh-CN"/>
        </w:rPr>
      </w:pPr>
    </w:p>
    <w:p w14:paraId="780A206A" w14:textId="77777777" w:rsidR="00DB129A" w:rsidRDefault="00DB129A" w:rsidP="00EA73B6">
      <w:pPr>
        <w:adjustRightInd w:val="0"/>
        <w:snapToGrid w:val="0"/>
        <w:spacing w:line="276" w:lineRule="auto"/>
        <w:jc w:val="left"/>
        <w:rPr>
          <w:rFonts w:ascii="Arial" w:eastAsiaTheme="minorEastAsia" w:hAnsi="Arial" w:cs="Arial"/>
          <w:b/>
          <w:bCs/>
          <w:sz w:val="20"/>
          <w:lang w:eastAsia="zh-CN"/>
        </w:rPr>
      </w:pPr>
      <w:bookmarkStart w:id="10" w:name="Partner"/>
      <w:bookmarkEnd w:id="10"/>
      <w:r w:rsidRPr="00B34EFF">
        <w:rPr>
          <w:rFonts w:ascii="Arial" w:hAnsi="Arial" w:cs="Arial"/>
          <w:b/>
          <w:bCs/>
          <w:sz w:val="20"/>
          <w:highlight w:val="lightGray"/>
        </w:rPr>
        <w:t>[Insert partner name</w:t>
      </w:r>
      <w:r w:rsidRPr="00B34EFF">
        <w:rPr>
          <w:rFonts w:ascii="Arial" w:hAnsi="Arial" w:cs="Arial"/>
          <w:b/>
          <w:bCs/>
          <w:sz w:val="20"/>
        </w:rPr>
        <w:t>]</w:t>
      </w:r>
    </w:p>
    <w:p w14:paraId="5B95B149" w14:textId="77777777" w:rsidR="00DB129A" w:rsidRPr="00DB129A" w:rsidRDefault="00DB129A" w:rsidP="00EA73B6">
      <w:pPr>
        <w:adjustRightInd w:val="0"/>
        <w:snapToGrid w:val="0"/>
        <w:spacing w:line="276" w:lineRule="auto"/>
        <w:jc w:val="left"/>
        <w:rPr>
          <w:rFonts w:ascii="Arial" w:eastAsiaTheme="minorEastAsia" w:hAnsi="Arial" w:cs="Arial"/>
          <w:b/>
          <w:bCs/>
          <w:sz w:val="20"/>
          <w:lang w:eastAsia="zh-CN"/>
        </w:rPr>
      </w:pPr>
    </w:p>
    <w:p w14:paraId="305FA460" w14:textId="77777777" w:rsidR="00DB129A" w:rsidRDefault="00DB129A" w:rsidP="00EA73B6">
      <w:pPr>
        <w:adjustRightInd w:val="0"/>
        <w:snapToGrid w:val="0"/>
        <w:spacing w:line="276" w:lineRule="auto"/>
        <w:jc w:val="left"/>
        <w:rPr>
          <w:rFonts w:ascii="Arial" w:eastAsiaTheme="minorEastAsia" w:hAnsi="Arial" w:cs="Arial"/>
          <w:b/>
          <w:bCs/>
          <w:sz w:val="20"/>
          <w:lang w:eastAsia="zh-CN"/>
        </w:rPr>
      </w:pPr>
    </w:p>
    <w:p w14:paraId="190A91A1" w14:textId="76EFCA95" w:rsidR="00DB129A" w:rsidRDefault="00DB129A" w:rsidP="00EA73B6">
      <w:pPr>
        <w:adjustRightInd w:val="0"/>
        <w:snapToGrid w:val="0"/>
        <w:spacing w:line="276" w:lineRule="auto"/>
        <w:jc w:val="left"/>
        <w:rPr>
          <w:rFonts w:ascii="Arial" w:eastAsiaTheme="minorEastAsia" w:hAnsi="Arial" w:cs="Arial"/>
          <w:b/>
          <w:bCs/>
          <w:sz w:val="20"/>
          <w:lang w:eastAsia="zh-CN"/>
        </w:rPr>
      </w:pP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b/>
          <w:bCs/>
          <w:sz w:val="20"/>
          <w:lang w:eastAsia="zh-CN"/>
        </w:rPr>
        <w:softHyphen/>
      </w:r>
      <w:r>
        <w:rPr>
          <w:rFonts w:ascii="Arial" w:eastAsiaTheme="minorEastAsia" w:hAnsi="Arial" w:cs="Arial" w:hint="eastAsia"/>
          <w:b/>
          <w:bCs/>
          <w:sz w:val="20"/>
          <w:lang w:eastAsia="zh-CN"/>
        </w:rPr>
        <w:t>——————————————</w:t>
      </w:r>
    </w:p>
    <w:p w14:paraId="4A7A1476" w14:textId="77777777" w:rsidR="001A1A2D" w:rsidRPr="001A1A2D" w:rsidRDefault="001A1A2D" w:rsidP="00EA73B6">
      <w:pPr>
        <w:adjustRightInd w:val="0"/>
        <w:snapToGrid w:val="0"/>
        <w:spacing w:line="276" w:lineRule="auto"/>
        <w:jc w:val="left"/>
        <w:rPr>
          <w:rFonts w:ascii="Arial" w:eastAsiaTheme="minorEastAsia" w:hAnsi="Arial" w:cs="Arial"/>
          <w:sz w:val="20"/>
          <w:lang w:eastAsia="zh-CN"/>
        </w:rPr>
      </w:pPr>
    </w:p>
    <w:sectPr w:rsidR="001A1A2D" w:rsidRPr="001A1A2D" w:rsidSect="007B6971">
      <w:headerReference w:type="first" r:id="rId11"/>
      <w:type w:val="continuous"/>
      <w:pgSz w:w="11900" w:h="16840" w:code="9"/>
      <w:pgMar w:top="1408" w:right="851" w:bottom="1134" w:left="85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F406" w14:textId="77777777" w:rsidR="00C917D3" w:rsidRDefault="00C917D3" w:rsidP="00A75A19">
      <w:r>
        <w:separator/>
      </w:r>
    </w:p>
    <w:p w14:paraId="0E2A3677" w14:textId="77777777" w:rsidR="00C917D3" w:rsidRDefault="00C917D3"/>
  </w:endnote>
  <w:endnote w:type="continuationSeparator" w:id="0">
    <w:p w14:paraId="12744848" w14:textId="77777777" w:rsidR="00C917D3" w:rsidRDefault="00C917D3" w:rsidP="00A75A19">
      <w:r>
        <w:continuationSeparator/>
      </w:r>
    </w:p>
    <w:p w14:paraId="12059C6B" w14:textId="77777777" w:rsidR="00C917D3" w:rsidRDefault="00C917D3"/>
  </w:endnote>
  <w:endnote w:type="continuationNotice" w:id="1">
    <w:p w14:paraId="69955284" w14:textId="77777777" w:rsidR="00C917D3" w:rsidRDefault="00C9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aiTi">
    <w:altName w:val="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0BCB" w14:textId="77777777" w:rsidR="00C917D3" w:rsidRDefault="00C917D3" w:rsidP="00A75A19">
      <w:r>
        <w:separator/>
      </w:r>
    </w:p>
    <w:p w14:paraId="4374463C" w14:textId="77777777" w:rsidR="00C917D3" w:rsidRDefault="00C917D3"/>
  </w:footnote>
  <w:footnote w:type="continuationSeparator" w:id="0">
    <w:p w14:paraId="36B83E3E" w14:textId="77777777" w:rsidR="00C917D3" w:rsidRDefault="00C917D3" w:rsidP="00A75A19">
      <w:r>
        <w:continuationSeparator/>
      </w:r>
    </w:p>
    <w:p w14:paraId="5538A6FD" w14:textId="77777777" w:rsidR="00C917D3" w:rsidRDefault="00C917D3"/>
  </w:footnote>
  <w:footnote w:type="continuationNotice" w:id="1">
    <w:p w14:paraId="1F1B5BD1" w14:textId="77777777" w:rsidR="00C917D3" w:rsidRDefault="00C917D3"/>
  </w:footnote>
  <w:footnote w:id="2">
    <w:p w14:paraId="0163EB06" w14:textId="0D85520C" w:rsidR="00223A06" w:rsidRPr="003A7D08" w:rsidRDefault="00223A06">
      <w:pPr>
        <w:pStyle w:val="FootnoteText"/>
        <w:rPr>
          <w:sz w:val="16"/>
          <w:szCs w:val="16"/>
          <w:lang w:eastAsia="zh-CN"/>
        </w:rPr>
      </w:pPr>
      <w:r w:rsidRPr="003A7D08">
        <w:rPr>
          <w:rStyle w:val="FootnoteReference"/>
          <w:sz w:val="16"/>
          <w:szCs w:val="16"/>
        </w:rPr>
        <w:footnoteRef/>
      </w:r>
      <w:r w:rsidRPr="003A7D08">
        <w:rPr>
          <w:sz w:val="16"/>
          <w:szCs w:val="16"/>
        </w:rPr>
        <w:t xml:space="preserve"> </w:t>
      </w:r>
      <w:r w:rsidRPr="003A7D08">
        <w:rPr>
          <w:sz w:val="16"/>
          <w:szCs w:val="16"/>
          <w:lang w:eastAsia="zh-CN"/>
        </w:rPr>
        <w:t xml:space="preserve">The </w:t>
      </w:r>
      <w:r w:rsidR="00965D8C" w:rsidRPr="003A7D08">
        <w:rPr>
          <w:sz w:val="16"/>
          <w:szCs w:val="16"/>
          <w:lang w:eastAsia="zh-CN"/>
        </w:rPr>
        <w:t xml:space="preserve">SGE rules </w:t>
      </w:r>
      <w:r w:rsidR="00260E26" w:rsidRPr="003A7D08">
        <w:rPr>
          <w:sz w:val="16"/>
          <w:szCs w:val="16"/>
          <w:lang w:eastAsia="zh-CN"/>
        </w:rPr>
        <w:t xml:space="preserve">were originally </w:t>
      </w:r>
      <w:r w:rsidR="00EE1F60" w:rsidRPr="003A7D08">
        <w:rPr>
          <w:sz w:val="16"/>
          <w:szCs w:val="16"/>
          <w:lang w:eastAsia="zh-CN"/>
        </w:rPr>
        <w:t xml:space="preserve">introduced </w:t>
      </w:r>
      <w:r w:rsidR="00574EDD" w:rsidRPr="003A7D08">
        <w:rPr>
          <w:sz w:val="16"/>
          <w:szCs w:val="16"/>
          <w:lang w:eastAsia="zh-CN"/>
        </w:rPr>
        <w:t xml:space="preserve">by the </w:t>
      </w:r>
      <w:r w:rsidR="00574EDD" w:rsidRPr="003A7D08">
        <w:rPr>
          <w:i/>
          <w:iCs/>
          <w:sz w:val="16"/>
          <w:szCs w:val="16"/>
          <w:lang w:eastAsia="zh-CN"/>
        </w:rPr>
        <w:t xml:space="preserve">Tax Laws Amendment (Combating Multinational Tax Avoidance) Act </w:t>
      </w:r>
      <w:proofErr w:type="gramStart"/>
      <w:r w:rsidR="00574EDD" w:rsidRPr="003A7D08">
        <w:rPr>
          <w:i/>
          <w:iCs/>
          <w:sz w:val="16"/>
          <w:szCs w:val="16"/>
          <w:lang w:eastAsia="zh-CN"/>
        </w:rPr>
        <w:t>2015</w:t>
      </w:r>
      <w:r w:rsidR="00574EDD" w:rsidRPr="003A7D08">
        <w:rPr>
          <w:sz w:val="16"/>
          <w:szCs w:val="16"/>
          <w:lang w:eastAsia="zh-CN"/>
        </w:rPr>
        <w:t xml:space="preserve">, </w:t>
      </w:r>
      <w:r w:rsidR="007256BB" w:rsidRPr="003A7D08">
        <w:rPr>
          <w:sz w:val="16"/>
          <w:szCs w:val="16"/>
          <w:lang w:eastAsia="zh-CN"/>
        </w:rPr>
        <w:t>and</w:t>
      </w:r>
      <w:proofErr w:type="gramEnd"/>
      <w:r w:rsidR="007256BB" w:rsidRPr="003A7D08">
        <w:rPr>
          <w:sz w:val="16"/>
          <w:szCs w:val="16"/>
          <w:lang w:eastAsia="zh-CN"/>
        </w:rPr>
        <w:t xml:space="preserve"> were subsequently </w:t>
      </w:r>
      <w:r w:rsidR="000B4E88" w:rsidRPr="003A7D08">
        <w:rPr>
          <w:sz w:val="16"/>
          <w:szCs w:val="16"/>
          <w:lang w:eastAsia="zh-CN"/>
        </w:rPr>
        <w:t xml:space="preserve">amended by </w:t>
      </w:r>
      <w:r w:rsidR="00772BFA" w:rsidRPr="003A7D08">
        <w:rPr>
          <w:sz w:val="16"/>
          <w:szCs w:val="16"/>
          <w:lang w:eastAsia="zh-CN"/>
        </w:rPr>
        <w:t xml:space="preserve">the </w:t>
      </w:r>
      <w:r w:rsidR="00772BFA" w:rsidRPr="003A7D08">
        <w:rPr>
          <w:i/>
          <w:iCs/>
          <w:sz w:val="16"/>
          <w:szCs w:val="16"/>
          <w:lang w:eastAsia="zh-CN"/>
        </w:rPr>
        <w:t>Treasury Laws Amendment (2020 Measure</w:t>
      </w:r>
      <w:r w:rsidR="000B1698" w:rsidRPr="003A7D08">
        <w:rPr>
          <w:i/>
          <w:iCs/>
          <w:sz w:val="16"/>
          <w:szCs w:val="16"/>
          <w:lang w:eastAsia="zh-CN"/>
        </w:rPr>
        <w:t>s No.1) Act 2020</w:t>
      </w:r>
      <w:r w:rsidR="000B1698" w:rsidRPr="003A7D08">
        <w:rPr>
          <w:sz w:val="16"/>
          <w:szCs w:val="16"/>
          <w:lang w:eastAsia="zh-CN"/>
        </w:rPr>
        <w:t>, with application to income years or periods starting from 1 July 2019.</w:t>
      </w:r>
    </w:p>
  </w:footnote>
  <w:footnote w:id="3">
    <w:p w14:paraId="5F036A52" w14:textId="2B12FAAA" w:rsidR="00C71260" w:rsidRDefault="00C71260">
      <w:pPr>
        <w:pStyle w:val="FootnoteText"/>
      </w:pPr>
      <w:r w:rsidRPr="003A7D08">
        <w:rPr>
          <w:rStyle w:val="FootnoteReference"/>
          <w:color w:val="auto"/>
        </w:rPr>
        <w:footnoteRef/>
      </w:r>
      <w:r w:rsidRPr="003A7D08">
        <w:rPr>
          <w:color w:val="auto"/>
        </w:rPr>
        <w:t xml:space="preserve"> </w:t>
      </w:r>
      <w:r w:rsidR="00BB3710" w:rsidRPr="003A7D08">
        <w:rPr>
          <w:rFonts w:eastAsia="Calibri" w:cs="Arial"/>
          <w:color w:val="auto"/>
          <w:sz w:val="16"/>
          <w:szCs w:val="16"/>
        </w:rPr>
        <w:t xml:space="preserve">An example of an exception to consolidation can be found in AASB 10 (and equivalent rules in other accounting standards) with respect to investment entities. Entities that may have the profile of an investment entity under the accounting standards include those that operate as private equity, </w:t>
      </w:r>
      <w:proofErr w:type="gramStart"/>
      <w:r w:rsidR="00BB3710" w:rsidRPr="003A7D08">
        <w:rPr>
          <w:rFonts w:eastAsia="Calibri" w:cs="Arial"/>
          <w:color w:val="auto"/>
          <w:sz w:val="16"/>
          <w:szCs w:val="16"/>
        </w:rPr>
        <w:t>superannuation</w:t>
      </w:r>
      <w:proofErr w:type="gramEnd"/>
      <w:r w:rsidR="00BB3710" w:rsidRPr="003A7D08">
        <w:rPr>
          <w:rFonts w:eastAsia="Calibri" w:cs="Arial"/>
          <w:color w:val="auto"/>
          <w:sz w:val="16"/>
          <w:szCs w:val="16"/>
        </w:rPr>
        <w:t xml:space="preserve"> and sovereign wealth funds.</w:t>
      </w:r>
    </w:p>
  </w:footnote>
  <w:footnote w:id="4">
    <w:p w14:paraId="6C95E660" w14:textId="2D20C9A9" w:rsidR="00CB5B6B" w:rsidRPr="003A7D08" w:rsidRDefault="00CB5B6B">
      <w:pPr>
        <w:pStyle w:val="FootnoteText"/>
        <w:rPr>
          <w:rFonts w:eastAsiaTheme="minorEastAsia"/>
          <w:lang w:eastAsia="zh-CN"/>
        </w:rPr>
      </w:pPr>
      <w:r>
        <w:rPr>
          <w:rStyle w:val="FootnoteReference"/>
        </w:rPr>
        <w:footnoteRef/>
      </w:r>
      <w:r>
        <w:t xml:space="preserve"> </w:t>
      </w:r>
      <w:r w:rsidR="00414EE3">
        <w:rPr>
          <w:rFonts w:eastAsia="Calibri" w:cs="Arial"/>
          <w:color w:val="auto"/>
          <w:sz w:val="16"/>
          <w:szCs w:val="16"/>
        </w:rPr>
        <w:t>Conditions required for the fast-track exemptions are detailed in the f</w:t>
      </w:r>
      <w:r w:rsidRPr="00CB5B6B">
        <w:rPr>
          <w:rFonts w:eastAsia="Calibri" w:cs="Arial"/>
          <w:color w:val="auto"/>
          <w:sz w:val="16"/>
          <w:szCs w:val="16"/>
        </w:rPr>
        <w:t xml:space="preserve">ast-track exemption </w:t>
      </w:r>
      <w:r>
        <w:rPr>
          <w:rFonts w:eastAsia="Calibri" w:cs="Arial"/>
          <w:color w:val="auto"/>
          <w:sz w:val="16"/>
          <w:szCs w:val="16"/>
        </w:rPr>
        <w:t xml:space="preserve">table </w:t>
      </w:r>
      <w:r w:rsidR="00382371">
        <w:rPr>
          <w:rFonts w:eastAsiaTheme="minorEastAsia" w:cs="Arial" w:hint="eastAsia"/>
          <w:color w:val="auto"/>
          <w:sz w:val="16"/>
          <w:szCs w:val="16"/>
          <w:lang w:eastAsia="zh-CN"/>
        </w:rPr>
        <w:t>set out in the ATO</w:t>
      </w:r>
      <w:r w:rsidR="00382371">
        <w:rPr>
          <w:rFonts w:eastAsiaTheme="minorEastAsia" w:cs="Arial"/>
          <w:color w:val="auto"/>
          <w:sz w:val="16"/>
          <w:szCs w:val="16"/>
          <w:lang w:eastAsia="zh-CN"/>
        </w:rPr>
        <w:t>’</w:t>
      </w:r>
      <w:r w:rsidR="00382371">
        <w:rPr>
          <w:rFonts w:eastAsiaTheme="minorEastAsia" w:cs="Arial" w:hint="eastAsia"/>
          <w:color w:val="auto"/>
          <w:sz w:val="16"/>
          <w:szCs w:val="16"/>
          <w:lang w:eastAsia="zh-CN"/>
        </w:rPr>
        <w:t>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EndPr/>
    <w:sdtContent>
      <w:p w14:paraId="4C87AF69" w14:textId="77777777" w:rsidR="009460A3" w:rsidRDefault="009460A3">
        <w:pPr>
          <w:pStyle w:val="Header"/>
        </w:pPr>
        <w:r>
          <w:t>[Type here]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6F1"/>
    <w:multiLevelType w:val="hybridMultilevel"/>
    <w:tmpl w:val="55249B84"/>
    <w:lvl w:ilvl="0" w:tplc="627A49C0">
      <w:start w:val="1"/>
      <w:numFmt w:val="decimal"/>
      <w:lvlText w:val="3.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4636B"/>
    <w:multiLevelType w:val="multilevel"/>
    <w:tmpl w:val="BA2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2447C"/>
    <w:multiLevelType w:val="multilevel"/>
    <w:tmpl w:val="A4CCAD3C"/>
    <w:lvl w:ilvl="0">
      <w:start w:val="1"/>
      <w:numFmt w:val="decimal"/>
      <w:pStyle w:val="SWNumbered-bodylvl1"/>
      <w:lvlText w:val="%1."/>
      <w:lvlJc w:val="left"/>
      <w:pPr>
        <w:ind w:left="360" w:hanging="360"/>
      </w:pPr>
      <w:rPr>
        <w:rFonts w:hint="default"/>
        <w:b/>
        <w:i w:val="0"/>
        <w:color w:val="203062" w:themeColor="text2"/>
      </w:rPr>
    </w:lvl>
    <w:lvl w:ilvl="1">
      <w:start w:val="1"/>
      <w:numFmt w:val="decimal"/>
      <w:pStyle w:val="SWNumbered-bodylvl2"/>
      <w:lvlText w:val="%1.%2"/>
      <w:lvlJc w:val="left"/>
      <w:pPr>
        <w:ind w:left="794" w:hanging="454"/>
      </w:pPr>
      <w:rPr>
        <w:rFonts w:hint="default"/>
        <w:color w:val="203062" w:themeColor="text2"/>
      </w:rPr>
    </w:lvl>
    <w:lvl w:ilvl="2">
      <w:start w:val="1"/>
      <w:numFmt w:val="decimal"/>
      <w:pStyle w:val="SWNumbered-bodylvl3"/>
      <w:lvlText w:val="%1.%2.%3"/>
      <w:lvlJc w:val="left"/>
      <w:pPr>
        <w:ind w:left="1418" w:hanging="624"/>
      </w:pPr>
      <w:rPr>
        <w:rFonts w:hint="default"/>
        <w:color w:val="203062" w:themeColor="text2"/>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FA10BB"/>
    <w:multiLevelType w:val="hybridMultilevel"/>
    <w:tmpl w:val="2C923B9A"/>
    <w:lvl w:ilvl="0" w:tplc="6C928080">
      <w:start w:val="1"/>
      <w:numFmt w:val="bullet"/>
      <w:pStyle w:val="SWBullet3-white"/>
      <w:lvlText w:val=""/>
      <w:lvlJc w:val="left"/>
      <w:pPr>
        <w:ind w:left="1514" w:hanging="360"/>
      </w:pPr>
      <w:rPr>
        <w:rFonts w:ascii="Symbol" w:hAnsi="Symbol" w:hint="default"/>
        <w:color w:val="FFFFFF" w:themeColor="background1"/>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 w15:restartNumberingAfterBreak="0">
    <w:nsid w:val="0E353578"/>
    <w:multiLevelType w:val="multilevel"/>
    <w:tmpl w:val="5BE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C4795"/>
    <w:multiLevelType w:val="hybridMultilevel"/>
    <w:tmpl w:val="99C6ACB0"/>
    <w:lvl w:ilvl="0" w:tplc="74EACBCE">
      <w:start w:val="1"/>
      <w:numFmt w:val="bullet"/>
      <w:pStyle w:val="SWBullet1"/>
      <w:lvlText w:val=""/>
      <w:lvlJc w:val="left"/>
      <w:pPr>
        <w:ind w:left="720" w:hanging="360"/>
      </w:pPr>
      <w:rPr>
        <w:rFonts w:ascii="Symbol" w:hAnsi="Symbol" w:hint="default"/>
        <w:color w:val="2030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848A8"/>
    <w:multiLevelType w:val="hybridMultilevel"/>
    <w:tmpl w:val="CB6448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CA3750"/>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45AFA"/>
    <w:multiLevelType w:val="hybridMultilevel"/>
    <w:tmpl w:val="C8C26D66"/>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71E97"/>
    <w:multiLevelType w:val="hybridMultilevel"/>
    <w:tmpl w:val="6A466008"/>
    <w:lvl w:ilvl="0" w:tplc="542C8B30">
      <w:start w:val="1"/>
      <w:numFmt w:val="bullet"/>
      <w:pStyle w:val="SWBullet2-white"/>
      <w:lvlText w:val=""/>
      <w:lvlJc w:val="left"/>
      <w:pPr>
        <w:ind w:left="1004" w:hanging="360"/>
      </w:pPr>
      <w:rPr>
        <w:rFonts w:ascii="Symbol" w:hAnsi="Symbol" w:hint="default"/>
        <w:color w:val="FFFFFF" w:themeColor="background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6877765"/>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BA6B67"/>
    <w:multiLevelType w:val="hybridMultilevel"/>
    <w:tmpl w:val="BE02E2DC"/>
    <w:lvl w:ilvl="0" w:tplc="0C090013">
      <w:start w:val="1"/>
      <w:numFmt w:val="upperRoman"/>
      <w:lvlText w:val="%1."/>
      <w:lvlJc w:val="righ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 w15:restartNumberingAfterBreak="0">
    <w:nsid w:val="18262019"/>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A4D07"/>
    <w:multiLevelType w:val="hybridMultilevel"/>
    <w:tmpl w:val="90881D6A"/>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4B11ED"/>
    <w:multiLevelType w:val="multilevel"/>
    <w:tmpl w:val="3F086202"/>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DF3843"/>
    <w:multiLevelType w:val="hybridMultilevel"/>
    <w:tmpl w:val="E2F4705C"/>
    <w:lvl w:ilvl="0" w:tplc="0C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DE55E7"/>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D25344"/>
    <w:multiLevelType w:val="multilevel"/>
    <w:tmpl w:val="A6A6DFA2"/>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F3477F"/>
    <w:multiLevelType w:val="multilevel"/>
    <w:tmpl w:val="27B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C95F61"/>
    <w:multiLevelType w:val="hybridMultilevel"/>
    <w:tmpl w:val="36A6E44A"/>
    <w:lvl w:ilvl="0" w:tplc="1CEE4C8E">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6943F55"/>
    <w:multiLevelType w:val="hybridMultilevel"/>
    <w:tmpl w:val="CDD602D8"/>
    <w:lvl w:ilvl="0" w:tplc="1CEE4C8E">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6AE0F24"/>
    <w:multiLevelType w:val="hybridMultilevel"/>
    <w:tmpl w:val="F72A8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9C17D7"/>
    <w:multiLevelType w:val="hybridMultilevel"/>
    <w:tmpl w:val="C7B400F8"/>
    <w:lvl w:ilvl="0" w:tplc="1CEE4C8E">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1A7B1B"/>
    <w:multiLevelType w:val="hybridMultilevel"/>
    <w:tmpl w:val="5FFCAFFC"/>
    <w:lvl w:ilvl="0" w:tplc="782009D4">
      <w:start w:val="1"/>
      <w:numFmt w:val="bullet"/>
      <w:pStyle w:val="SWBullet3"/>
      <w:lvlText w:val=""/>
      <w:lvlJc w:val="left"/>
      <w:pPr>
        <w:ind w:left="1060" w:hanging="360"/>
      </w:pPr>
      <w:rPr>
        <w:rFonts w:ascii="Symbol" w:hAnsi="Symbol" w:hint="default"/>
        <w:color w:val="00206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3C123E63"/>
    <w:multiLevelType w:val="multilevel"/>
    <w:tmpl w:val="40765D46"/>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E17A5"/>
    <w:multiLevelType w:val="multilevel"/>
    <w:tmpl w:val="1D966AFC"/>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1231F5"/>
    <w:multiLevelType w:val="hybridMultilevel"/>
    <w:tmpl w:val="6730061E"/>
    <w:lvl w:ilvl="0" w:tplc="47864F9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A94E7A"/>
    <w:multiLevelType w:val="hybridMultilevel"/>
    <w:tmpl w:val="8DD6AC86"/>
    <w:lvl w:ilvl="0" w:tplc="2D60424E">
      <w:start w:val="1"/>
      <w:numFmt w:val="bullet"/>
      <w:pStyle w:val="SWBullet2"/>
      <w:lvlText w:val=""/>
      <w:lvlJc w:val="left"/>
      <w:pPr>
        <w:ind w:left="644" w:hanging="360"/>
      </w:pPr>
      <w:rPr>
        <w:rFonts w:ascii="Symbol" w:hAnsi="Symbol" w:hint="default"/>
        <w:color w:val="00206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422F445A"/>
    <w:multiLevelType w:val="multilevel"/>
    <w:tmpl w:val="5E74DAD8"/>
    <w:lvl w:ilvl="0">
      <w:start w:val="1"/>
      <w:numFmt w:val="decimal"/>
      <w:lvlText w:val="%1."/>
      <w:lvlJc w:val="left"/>
      <w:pPr>
        <w:ind w:left="720" w:hanging="360"/>
      </w:pPr>
      <w:rPr>
        <w:rFonts w:eastAsiaTheme="minorEastAsia"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27C5513"/>
    <w:multiLevelType w:val="hybridMultilevel"/>
    <w:tmpl w:val="21CABCCC"/>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DC415C"/>
    <w:multiLevelType w:val="hybridMultilevel"/>
    <w:tmpl w:val="F72875BE"/>
    <w:lvl w:ilvl="0" w:tplc="5C14C7AC">
      <w:start w:val="1"/>
      <w:numFmt w:val="bullet"/>
      <w:pStyle w:val="SWBullet1-white"/>
      <w:lvlText w:val=""/>
      <w:lvlJc w:val="left"/>
      <w:pPr>
        <w:ind w:left="788" w:hanging="360"/>
      </w:pPr>
      <w:rPr>
        <w:rFonts w:ascii="Symbol" w:hAnsi="Symbol" w:hint="default"/>
        <w:color w:val="FFFFFF" w:themeColor="background1"/>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1" w15:restartNumberingAfterBreak="0">
    <w:nsid w:val="475254BE"/>
    <w:multiLevelType w:val="multilevel"/>
    <w:tmpl w:val="AB8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1633C0"/>
    <w:multiLevelType w:val="multilevel"/>
    <w:tmpl w:val="F2E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B91A1B"/>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836A20"/>
    <w:multiLevelType w:val="hybridMultilevel"/>
    <w:tmpl w:val="3072E27E"/>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A41A8E"/>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6325DC"/>
    <w:multiLevelType w:val="multilevel"/>
    <w:tmpl w:val="8BC2F888"/>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BF7526"/>
    <w:multiLevelType w:val="hybridMultilevel"/>
    <w:tmpl w:val="B66CD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C64F72"/>
    <w:multiLevelType w:val="multilevel"/>
    <w:tmpl w:val="6F1874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9" w15:restartNumberingAfterBreak="0">
    <w:nsid w:val="52C63D66"/>
    <w:multiLevelType w:val="multilevel"/>
    <w:tmpl w:val="D69A5DC2"/>
    <w:lvl w:ilvl="0">
      <w:start w:val="1"/>
      <w:numFmt w:val="decimal"/>
      <w:pStyle w:val="SWNumbered-pageheading"/>
      <w:lvlText w:val="%1."/>
      <w:lvlJc w:val="left"/>
      <w:pPr>
        <w:ind w:left="360" w:hanging="360"/>
      </w:pPr>
      <w:rPr>
        <w:rFonts w:ascii="Arial" w:hAnsi="Arial" w:hint="default"/>
        <w:b/>
        <w:i w:val="0"/>
        <w:color w:val="203062" w:themeColor="text2"/>
        <w:sz w:val="56"/>
      </w:rPr>
    </w:lvl>
    <w:lvl w:ilvl="1">
      <w:start w:val="1"/>
      <w:numFmt w:val="decimal"/>
      <w:pStyle w:val="SWNumbered-heading-orangelvl2"/>
      <w:lvlText w:val="%1.%2."/>
      <w:lvlJc w:val="left"/>
      <w:pPr>
        <w:ind w:left="792" w:hanging="432"/>
      </w:pPr>
      <w:rPr>
        <w:rFonts w:hint="default"/>
      </w:rPr>
    </w:lvl>
    <w:lvl w:ilvl="2">
      <w:start w:val="1"/>
      <w:numFmt w:val="decimal"/>
      <w:pStyle w:val="SWNumbered-heading-bluelv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5652C1"/>
    <w:multiLevelType w:val="hybridMultilevel"/>
    <w:tmpl w:val="1032B88A"/>
    <w:lvl w:ilvl="0" w:tplc="1CEE4C8E">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59B94E10"/>
    <w:multiLevelType w:val="hybridMultilevel"/>
    <w:tmpl w:val="F852132A"/>
    <w:lvl w:ilvl="0" w:tplc="1CEE4C8E">
      <w:numFmt w:val="bullet"/>
      <w:lvlText w:val="-"/>
      <w:lvlJc w:val="left"/>
      <w:pPr>
        <w:ind w:left="862" w:hanging="360"/>
      </w:pPr>
      <w:rPr>
        <w:rFonts w:ascii="Arial" w:eastAsia="Calibr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2" w15:restartNumberingAfterBreak="0">
    <w:nsid w:val="5C9878EF"/>
    <w:multiLevelType w:val="hybridMultilevel"/>
    <w:tmpl w:val="921CD184"/>
    <w:lvl w:ilvl="0" w:tplc="1CEE4C8E">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F447AA4"/>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83543D"/>
    <w:multiLevelType w:val="hybridMultilevel"/>
    <w:tmpl w:val="BB925132"/>
    <w:lvl w:ilvl="0" w:tplc="C8FAD7F0">
      <w:start w:val="1"/>
      <w:numFmt w:val="lowerLetter"/>
      <w:pStyle w:val="SWTCsletteredbullets"/>
      <w:lvlText w:val="%1."/>
      <w:lvlJc w:val="left"/>
      <w:pPr>
        <w:ind w:left="360" w:hanging="360"/>
      </w:pPr>
      <w:rPr>
        <w:rFonts w:hint="default"/>
        <w:color w:val="F37021"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26E636E"/>
    <w:multiLevelType w:val="hybridMultilevel"/>
    <w:tmpl w:val="7F6600C4"/>
    <w:lvl w:ilvl="0" w:tplc="381CE2E4">
      <w:start w:val="1"/>
      <w:numFmt w:val="decimal"/>
      <w:pStyle w:val="SWTCsnumberedheading"/>
      <w:lvlText w:val="%1."/>
      <w:lvlJc w:val="left"/>
      <w:pPr>
        <w:ind w:left="720" w:hanging="360"/>
      </w:pPr>
      <w:rPr>
        <w:rFonts w:hint="default"/>
        <w:color w:val="203062"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11701E"/>
    <w:multiLevelType w:val="multilevel"/>
    <w:tmpl w:val="6846A5E0"/>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E70584"/>
    <w:multiLevelType w:val="hybridMultilevel"/>
    <w:tmpl w:val="AB3C9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547331"/>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432349"/>
    <w:multiLevelType w:val="multilevel"/>
    <w:tmpl w:val="D01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F9277E7"/>
    <w:multiLevelType w:val="hybridMultilevel"/>
    <w:tmpl w:val="7D582D46"/>
    <w:lvl w:ilvl="0" w:tplc="7E366CF0">
      <w:start w:val="1"/>
      <w:numFmt w:val="lowerLetter"/>
      <w:pStyle w:val="SWLetterbullets-lvl2"/>
      <w:lvlText w:val="%1."/>
      <w:lvlJc w:val="left"/>
      <w:pPr>
        <w:ind w:left="720" w:hanging="360"/>
      </w:pPr>
      <w:rPr>
        <w:rFonts w:hint="default"/>
        <w:color w:val="F3702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30B4BBE"/>
    <w:multiLevelType w:val="multilevel"/>
    <w:tmpl w:val="6F1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AB25CA"/>
    <w:multiLevelType w:val="multilevel"/>
    <w:tmpl w:val="C2E087C6"/>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733866"/>
    <w:multiLevelType w:val="multilevel"/>
    <w:tmpl w:val="3D30EAB2"/>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3761417">
    <w:abstractNumId w:val="5"/>
  </w:num>
  <w:num w:numId="2" w16cid:durableId="1979140043">
    <w:abstractNumId w:val="30"/>
  </w:num>
  <w:num w:numId="3" w16cid:durableId="1954510895">
    <w:abstractNumId w:val="27"/>
  </w:num>
  <w:num w:numId="4" w16cid:durableId="1072433268">
    <w:abstractNumId w:val="9"/>
  </w:num>
  <w:num w:numId="5" w16cid:durableId="1455322567">
    <w:abstractNumId w:val="23"/>
  </w:num>
  <w:num w:numId="6" w16cid:durableId="1646395510">
    <w:abstractNumId w:val="3"/>
  </w:num>
  <w:num w:numId="7" w16cid:durableId="121074727">
    <w:abstractNumId w:val="50"/>
  </w:num>
  <w:num w:numId="8" w16cid:durableId="645206499">
    <w:abstractNumId w:val="2"/>
    <w:lvlOverride w:ilvl="0">
      <w:lvl w:ilvl="0">
        <w:start w:val="1"/>
        <w:numFmt w:val="decimal"/>
        <w:pStyle w:val="SWNumbered-bodylvl1"/>
        <w:lvlText w:val="%1."/>
        <w:lvlJc w:val="left"/>
        <w:pPr>
          <w:ind w:left="360" w:hanging="360"/>
        </w:pPr>
      </w:lvl>
    </w:lvlOverride>
    <w:lvlOverride w:ilvl="1">
      <w:lvl w:ilvl="1">
        <w:start w:val="1"/>
        <w:numFmt w:val="decimal"/>
        <w:pStyle w:val="SWNumbered-bodylvl2"/>
        <w:lvlText w:val="%1.%2."/>
        <w:lvlJc w:val="left"/>
        <w:pPr>
          <w:ind w:left="792" w:hanging="432"/>
        </w:pPr>
      </w:lvl>
    </w:lvlOverride>
    <w:lvlOverride w:ilvl="2">
      <w:lvl w:ilvl="2">
        <w:start w:val="1"/>
        <w:numFmt w:val="decimal"/>
        <w:pStyle w:val="SWNumbered-bodylv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16cid:durableId="246619059">
    <w:abstractNumId w:val="39"/>
  </w:num>
  <w:num w:numId="10" w16cid:durableId="1183589025">
    <w:abstractNumId w:val="44"/>
  </w:num>
  <w:num w:numId="11" w16cid:durableId="749617675">
    <w:abstractNumId w:val="45"/>
  </w:num>
  <w:num w:numId="12" w16cid:durableId="2022466371">
    <w:abstractNumId w:val="37"/>
  </w:num>
  <w:num w:numId="13" w16cid:durableId="1353914543">
    <w:abstractNumId w:val="53"/>
  </w:num>
  <w:num w:numId="14" w16cid:durableId="613094498">
    <w:abstractNumId w:val="13"/>
  </w:num>
  <w:num w:numId="15" w16cid:durableId="1853059148">
    <w:abstractNumId w:val="52"/>
  </w:num>
  <w:num w:numId="16" w16cid:durableId="393743008">
    <w:abstractNumId w:val="17"/>
  </w:num>
  <w:num w:numId="17" w16cid:durableId="385764501">
    <w:abstractNumId w:val="36"/>
  </w:num>
  <w:num w:numId="18" w16cid:durableId="1244342838">
    <w:abstractNumId w:val="21"/>
  </w:num>
  <w:num w:numId="19" w16cid:durableId="1047293247">
    <w:abstractNumId w:val="22"/>
  </w:num>
  <w:num w:numId="20" w16cid:durableId="819544203">
    <w:abstractNumId w:val="42"/>
  </w:num>
  <w:num w:numId="21" w16cid:durableId="1204757499">
    <w:abstractNumId w:val="19"/>
  </w:num>
  <w:num w:numId="22" w16cid:durableId="1517883651">
    <w:abstractNumId w:val="28"/>
  </w:num>
  <w:num w:numId="23" w16cid:durableId="181363131">
    <w:abstractNumId w:val="8"/>
  </w:num>
  <w:num w:numId="24" w16cid:durableId="1451364957">
    <w:abstractNumId w:val="26"/>
  </w:num>
  <w:num w:numId="25" w16cid:durableId="1522861692">
    <w:abstractNumId w:val="0"/>
  </w:num>
  <w:num w:numId="26" w16cid:durableId="858154727">
    <w:abstractNumId w:val="15"/>
  </w:num>
  <w:num w:numId="27" w16cid:durableId="913205967">
    <w:abstractNumId w:val="41"/>
  </w:num>
  <w:num w:numId="28" w16cid:durableId="190841900">
    <w:abstractNumId w:val="46"/>
  </w:num>
  <w:num w:numId="29" w16cid:durableId="265120533">
    <w:abstractNumId w:val="11"/>
  </w:num>
  <w:num w:numId="30" w16cid:durableId="1970434677">
    <w:abstractNumId w:val="34"/>
  </w:num>
  <w:num w:numId="31" w16cid:durableId="1711954329">
    <w:abstractNumId w:val="6"/>
  </w:num>
  <w:num w:numId="32" w16cid:durableId="926499745">
    <w:abstractNumId w:val="29"/>
  </w:num>
  <w:num w:numId="33" w16cid:durableId="129708044">
    <w:abstractNumId w:val="47"/>
  </w:num>
  <w:num w:numId="34" w16cid:durableId="968779118">
    <w:abstractNumId w:val="31"/>
  </w:num>
  <w:num w:numId="35" w16cid:durableId="1593734622">
    <w:abstractNumId w:val="32"/>
  </w:num>
  <w:num w:numId="36" w16cid:durableId="1736508306">
    <w:abstractNumId w:val="18"/>
  </w:num>
  <w:num w:numId="37" w16cid:durableId="274102374">
    <w:abstractNumId w:val="24"/>
  </w:num>
  <w:num w:numId="38" w16cid:durableId="96021142">
    <w:abstractNumId w:val="1"/>
  </w:num>
  <w:num w:numId="39" w16cid:durableId="909970395">
    <w:abstractNumId w:val="49"/>
  </w:num>
  <w:num w:numId="40" w16cid:durableId="1787044683">
    <w:abstractNumId w:val="14"/>
  </w:num>
  <w:num w:numId="41" w16cid:durableId="1075593236">
    <w:abstractNumId w:val="25"/>
  </w:num>
  <w:num w:numId="42" w16cid:durableId="1108088167">
    <w:abstractNumId w:val="7"/>
  </w:num>
  <w:num w:numId="43" w16cid:durableId="2072343396">
    <w:abstractNumId w:val="16"/>
  </w:num>
  <w:num w:numId="44" w16cid:durableId="758020543">
    <w:abstractNumId w:val="48"/>
  </w:num>
  <w:num w:numId="45" w16cid:durableId="1951543181">
    <w:abstractNumId w:val="51"/>
  </w:num>
  <w:num w:numId="46" w16cid:durableId="791746729">
    <w:abstractNumId w:val="33"/>
  </w:num>
  <w:num w:numId="47" w16cid:durableId="1002975755">
    <w:abstractNumId w:val="10"/>
  </w:num>
  <w:num w:numId="48" w16cid:durableId="339695189">
    <w:abstractNumId w:val="38"/>
  </w:num>
  <w:num w:numId="49" w16cid:durableId="332074646">
    <w:abstractNumId w:val="35"/>
  </w:num>
  <w:num w:numId="50" w16cid:durableId="1287856452">
    <w:abstractNumId w:val="43"/>
  </w:num>
  <w:num w:numId="51" w16cid:durableId="587082855">
    <w:abstractNumId w:val="12"/>
  </w:num>
  <w:num w:numId="52" w16cid:durableId="1836453622">
    <w:abstractNumId w:val="4"/>
  </w:num>
  <w:num w:numId="53" w16cid:durableId="603076095">
    <w:abstractNumId w:val="20"/>
  </w:num>
  <w:num w:numId="54" w16cid:durableId="99830992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71"/>
    <w:rsid w:val="000065C3"/>
    <w:rsid w:val="000119FD"/>
    <w:rsid w:val="0001386A"/>
    <w:rsid w:val="0001688A"/>
    <w:rsid w:val="0003790F"/>
    <w:rsid w:val="000506A5"/>
    <w:rsid w:val="00052D94"/>
    <w:rsid w:val="00055495"/>
    <w:rsid w:val="00066054"/>
    <w:rsid w:val="00070390"/>
    <w:rsid w:val="00070484"/>
    <w:rsid w:val="0009385D"/>
    <w:rsid w:val="000A00BB"/>
    <w:rsid w:val="000A71D0"/>
    <w:rsid w:val="000B1698"/>
    <w:rsid w:val="000B4E88"/>
    <w:rsid w:val="000B67A1"/>
    <w:rsid w:val="000C02C6"/>
    <w:rsid w:val="000D1D12"/>
    <w:rsid w:val="000E718E"/>
    <w:rsid w:val="000F17DA"/>
    <w:rsid w:val="000F29A8"/>
    <w:rsid w:val="000F43A4"/>
    <w:rsid w:val="000F5554"/>
    <w:rsid w:val="001008F8"/>
    <w:rsid w:val="0010118A"/>
    <w:rsid w:val="00102DCF"/>
    <w:rsid w:val="0010332F"/>
    <w:rsid w:val="00103752"/>
    <w:rsid w:val="00106757"/>
    <w:rsid w:val="001107DE"/>
    <w:rsid w:val="001123DA"/>
    <w:rsid w:val="001144AC"/>
    <w:rsid w:val="001167D2"/>
    <w:rsid w:val="00130775"/>
    <w:rsid w:val="0013461C"/>
    <w:rsid w:val="00145DFF"/>
    <w:rsid w:val="00154427"/>
    <w:rsid w:val="00155266"/>
    <w:rsid w:val="00160AA2"/>
    <w:rsid w:val="00162043"/>
    <w:rsid w:val="001636A8"/>
    <w:rsid w:val="00175CD7"/>
    <w:rsid w:val="001839CC"/>
    <w:rsid w:val="00191C72"/>
    <w:rsid w:val="001939CB"/>
    <w:rsid w:val="0019660F"/>
    <w:rsid w:val="001A1A2D"/>
    <w:rsid w:val="001A3CF6"/>
    <w:rsid w:val="001B7A3C"/>
    <w:rsid w:val="001C3D36"/>
    <w:rsid w:val="001C6527"/>
    <w:rsid w:val="001C7356"/>
    <w:rsid w:val="001D2936"/>
    <w:rsid w:val="001E18BA"/>
    <w:rsid w:val="001E7914"/>
    <w:rsid w:val="001F14E9"/>
    <w:rsid w:val="001F5D6F"/>
    <w:rsid w:val="001F5ECA"/>
    <w:rsid w:val="001F7082"/>
    <w:rsid w:val="001F7211"/>
    <w:rsid w:val="00200FC3"/>
    <w:rsid w:val="002143EC"/>
    <w:rsid w:val="002160E8"/>
    <w:rsid w:val="00216A79"/>
    <w:rsid w:val="00223A06"/>
    <w:rsid w:val="002270A9"/>
    <w:rsid w:val="002274AA"/>
    <w:rsid w:val="00233836"/>
    <w:rsid w:val="002356CA"/>
    <w:rsid w:val="00235DB4"/>
    <w:rsid w:val="0025486E"/>
    <w:rsid w:val="0025587F"/>
    <w:rsid w:val="00260E26"/>
    <w:rsid w:val="00264525"/>
    <w:rsid w:val="00272307"/>
    <w:rsid w:val="00297256"/>
    <w:rsid w:val="00297913"/>
    <w:rsid w:val="002A0464"/>
    <w:rsid w:val="002A62EC"/>
    <w:rsid w:val="002A76CA"/>
    <w:rsid w:val="002B25C4"/>
    <w:rsid w:val="002B771E"/>
    <w:rsid w:val="002C05E0"/>
    <w:rsid w:val="002C0860"/>
    <w:rsid w:val="002C241E"/>
    <w:rsid w:val="002C254C"/>
    <w:rsid w:val="002C374C"/>
    <w:rsid w:val="002D5076"/>
    <w:rsid w:val="002D7213"/>
    <w:rsid w:val="002E69A3"/>
    <w:rsid w:val="002E7FA2"/>
    <w:rsid w:val="002F2459"/>
    <w:rsid w:val="002F6D5A"/>
    <w:rsid w:val="0031177B"/>
    <w:rsid w:val="003117A2"/>
    <w:rsid w:val="00322C04"/>
    <w:rsid w:val="00325EC8"/>
    <w:rsid w:val="00327A33"/>
    <w:rsid w:val="00330836"/>
    <w:rsid w:val="003328A6"/>
    <w:rsid w:val="00334550"/>
    <w:rsid w:val="0035631E"/>
    <w:rsid w:val="00357CB0"/>
    <w:rsid w:val="00376DAF"/>
    <w:rsid w:val="00376DC7"/>
    <w:rsid w:val="00382371"/>
    <w:rsid w:val="003840DC"/>
    <w:rsid w:val="00392659"/>
    <w:rsid w:val="0039722C"/>
    <w:rsid w:val="003A22E4"/>
    <w:rsid w:val="003A5097"/>
    <w:rsid w:val="003A7D08"/>
    <w:rsid w:val="003B2B42"/>
    <w:rsid w:val="003B3644"/>
    <w:rsid w:val="003B48D6"/>
    <w:rsid w:val="003C5A04"/>
    <w:rsid w:val="003D05E2"/>
    <w:rsid w:val="003D66AA"/>
    <w:rsid w:val="003E1806"/>
    <w:rsid w:val="003E5483"/>
    <w:rsid w:val="003E6C53"/>
    <w:rsid w:val="003F0342"/>
    <w:rsid w:val="003F0D1D"/>
    <w:rsid w:val="003F4E5F"/>
    <w:rsid w:val="003F7556"/>
    <w:rsid w:val="00414989"/>
    <w:rsid w:val="00414EE3"/>
    <w:rsid w:val="00417603"/>
    <w:rsid w:val="00424295"/>
    <w:rsid w:val="004248CB"/>
    <w:rsid w:val="00424974"/>
    <w:rsid w:val="00424E9A"/>
    <w:rsid w:val="004308A1"/>
    <w:rsid w:val="00441FF4"/>
    <w:rsid w:val="0045001D"/>
    <w:rsid w:val="0045369B"/>
    <w:rsid w:val="0047029A"/>
    <w:rsid w:val="00473C55"/>
    <w:rsid w:val="00473FBC"/>
    <w:rsid w:val="00475A90"/>
    <w:rsid w:val="00476366"/>
    <w:rsid w:val="004821B2"/>
    <w:rsid w:val="00485932"/>
    <w:rsid w:val="004944F9"/>
    <w:rsid w:val="0049746B"/>
    <w:rsid w:val="00497832"/>
    <w:rsid w:val="004A0A33"/>
    <w:rsid w:val="004A423D"/>
    <w:rsid w:val="004B0842"/>
    <w:rsid w:val="004B21D3"/>
    <w:rsid w:val="004B2AD5"/>
    <w:rsid w:val="004B708E"/>
    <w:rsid w:val="004C0F15"/>
    <w:rsid w:val="004C32DF"/>
    <w:rsid w:val="004D35A8"/>
    <w:rsid w:val="004D7664"/>
    <w:rsid w:val="004E0A24"/>
    <w:rsid w:val="00502CD9"/>
    <w:rsid w:val="00506CBF"/>
    <w:rsid w:val="005115CC"/>
    <w:rsid w:val="005130B3"/>
    <w:rsid w:val="00520BE6"/>
    <w:rsid w:val="005224BE"/>
    <w:rsid w:val="00530E7F"/>
    <w:rsid w:val="005353C7"/>
    <w:rsid w:val="0053751F"/>
    <w:rsid w:val="005610A0"/>
    <w:rsid w:val="00564487"/>
    <w:rsid w:val="00565014"/>
    <w:rsid w:val="00570D4E"/>
    <w:rsid w:val="00574EDD"/>
    <w:rsid w:val="00577DE3"/>
    <w:rsid w:val="00582FA7"/>
    <w:rsid w:val="00590B76"/>
    <w:rsid w:val="005914E3"/>
    <w:rsid w:val="005A241D"/>
    <w:rsid w:val="005A522A"/>
    <w:rsid w:val="005B6F18"/>
    <w:rsid w:val="005B7D45"/>
    <w:rsid w:val="005C1E62"/>
    <w:rsid w:val="005C569D"/>
    <w:rsid w:val="005D07B2"/>
    <w:rsid w:val="005D51A8"/>
    <w:rsid w:val="005D7B9A"/>
    <w:rsid w:val="005E3575"/>
    <w:rsid w:val="005E36CB"/>
    <w:rsid w:val="005E530B"/>
    <w:rsid w:val="0060148A"/>
    <w:rsid w:val="00604C57"/>
    <w:rsid w:val="00610189"/>
    <w:rsid w:val="006115AD"/>
    <w:rsid w:val="006239E7"/>
    <w:rsid w:val="00625478"/>
    <w:rsid w:val="00630A71"/>
    <w:rsid w:val="00646A9F"/>
    <w:rsid w:val="006506C8"/>
    <w:rsid w:val="006518A5"/>
    <w:rsid w:val="006528F5"/>
    <w:rsid w:val="00654ED7"/>
    <w:rsid w:val="006550BE"/>
    <w:rsid w:val="006570D0"/>
    <w:rsid w:val="00664673"/>
    <w:rsid w:val="00674142"/>
    <w:rsid w:val="00677B4D"/>
    <w:rsid w:val="0068614A"/>
    <w:rsid w:val="00697FD6"/>
    <w:rsid w:val="006A27C2"/>
    <w:rsid w:val="006B13D5"/>
    <w:rsid w:val="006B1C48"/>
    <w:rsid w:val="006B7A7D"/>
    <w:rsid w:val="006C0F9B"/>
    <w:rsid w:val="006C1C97"/>
    <w:rsid w:val="006C31A0"/>
    <w:rsid w:val="006C5D23"/>
    <w:rsid w:val="006D6E73"/>
    <w:rsid w:val="006E7E49"/>
    <w:rsid w:val="007019D5"/>
    <w:rsid w:val="00713F50"/>
    <w:rsid w:val="0071767D"/>
    <w:rsid w:val="0072157E"/>
    <w:rsid w:val="007256BB"/>
    <w:rsid w:val="00726B94"/>
    <w:rsid w:val="007303F4"/>
    <w:rsid w:val="0073549C"/>
    <w:rsid w:val="007417F2"/>
    <w:rsid w:val="00743543"/>
    <w:rsid w:val="00744971"/>
    <w:rsid w:val="00745BED"/>
    <w:rsid w:val="00746951"/>
    <w:rsid w:val="00755501"/>
    <w:rsid w:val="00756CBD"/>
    <w:rsid w:val="00763277"/>
    <w:rsid w:val="00772BFA"/>
    <w:rsid w:val="00780001"/>
    <w:rsid w:val="00782CDA"/>
    <w:rsid w:val="0079106F"/>
    <w:rsid w:val="007956DF"/>
    <w:rsid w:val="00795B10"/>
    <w:rsid w:val="0079780B"/>
    <w:rsid w:val="007A0139"/>
    <w:rsid w:val="007A3705"/>
    <w:rsid w:val="007B2C1A"/>
    <w:rsid w:val="007B4004"/>
    <w:rsid w:val="007B6971"/>
    <w:rsid w:val="007B7B68"/>
    <w:rsid w:val="007D3C9F"/>
    <w:rsid w:val="007E07E1"/>
    <w:rsid w:val="007E13A7"/>
    <w:rsid w:val="007E1C20"/>
    <w:rsid w:val="007E4C63"/>
    <w:rsid w:val="007F1568"/>
    <w:rsid w:val="007F1632"/>
    <w:rsid w:val="007F1C7E"/>
    <w:rsid w:val="00802880"/>
    <w:rsid w:val="00811CFB"/>
    <w:rsid w:val="00813301"/>
    <w:rsid w:val="008344DF"/>
    <w:rsid w:val="00846566"/>
    <w:rsid w:val="00847465"/>
    <w:rsid w:val="0085453B"/>
    <w:rsid w:val="00854D97"/>
    <w:rsid w:val="00864E49"/>
    <w:rsid w:val="0086693E"/>
    <w:rsid w:val="00875275"/>
    <w:rsid w:val="00875449"/>
    <w:rsid w:val="008756D4"/>
    <w:rsid w:val="008802FB"/>
    <w:rsid w:val="008831F7"/>
    <w:rsid w:val="008832ED"/>
    <w:rsid w:val="0088579F"/>
    <w:rsid w:val="0089053B"/>
    <w:rsid w:val="008B02C6"/>
    <w:rsid w:val="008B0A8F"/>
    <w:rsid w:val="008C493F"/>
    <w:rsid w:val="008C6BF5"/>
    <w:rsid w:val="008D06BC"/>
    <w:rsid w:val="008F0266"/>
    <w:rsid w:val="00913357"/>
    <w:rsid w:val="00914C26"/>
    <w:rsid w:val="00914F15"/>
    <w:rsid w:val="00926AA8"/>
    <w:rsid w:val="00926D0D"/>
    <w:rsid w:val="00935058"/>
    <w:rsid w:val="00945E17"/>
    <w:rsid w:val="009460A3"/>
    <w:rsid w:val="009523AC"/>
    <w:rsid w:val="009525CF"/>
    <w:rsid w:val="009530E8"/>
    <w:rsid w:val="00957A63"/>
    <w:rsid w:val="00960579"/>
    <w:rsid w:val="00965D8C"/>
    <w:rsid w:val="0096710C"/>
    <w:rsid w:val="00976020"/>
    <w:rsid w:val="009912A0"/>
    <w:rsid w:val="00992266"/>
    <w:rsid w:val="009A1BEE"/>
    <w:rsid w:val="009B2220"/>
    <w:rsid w:val="009C1650"/>
    <w:rsid w:val="009C3C7C"/>
    <w:rsid w:val="009D7E86"/>
    <w:rsid w:val="009E20D5"/>
    <w:rsid w:val="009E3FAB"/>
    <w:rsid w:val="009E6C30"/>
    <w:rsid w:val="009F242D"/>
    <w:rsid w:val="009F33B2"/>
    <w:rsid w:val="009F3768"/>
    <w:rsid w:val="009F5BDA"/>
    <w:rsid w:val="00A00C38"/>
    <w:rsid w:val="00A01FB5"/>
    <w:rsid w:val="00A16D9A"/>
    <w:rsid w:val="00A247C0"/>
    <w:rsid w:val="00A304DF"/>
    <w:rsid w:val="00A31AF2"/>
    <w:rsid w:val="00A419E3"/>
    <w:rsid w:val="00A52063"/>
    <w:rsid w:val="00A5308E"/>
    <w:rsid w:val="00A64C3F"/>
    <w:rsid w:val="00A661D4"/>
    <w:rsid w:val="00A75A19"/>
    <w:rsid w:val="00A76204"/>
    <w:rsid w:val="00A861E0"/>
    <w:rsid w:val="00A92FDA"/>
    <w:rsid w:val="00A9306D"/>
    <w:rsid w:val="00AA41C2"/>
    <w:rsid w:val="00AB121F"/>
    <w:rsid w:val="00AB589A"/>
    <w:rsid w:val="00AB61C4"/>
    <w:rsid w:val="00AC1DB9"/>
    <w:rsid w:val="00AC2D97"/>
    <w:rsid w:val="00AC3E61"/>
    <w:rsid w:val="00AC4107"/>
    <w:rsid w:val="00AC441E"/>
    <w:rsid w:val="00AD00BE"/>
    <w:rsid w:val="00AD5DF9"/>
    <w:rsid w:val="00AD6943"/>
    <w:rsid w:val="00AE0AF2"/>
    <w:rsid w:val="00AE1355"/>
    <w:rsid w:val="00AE16DB"/>
    <w:rsid w:val="00AE47BF"/>
    <w:rsid w:val="00B01299"/>
    <w:rsid w:val="00B06EF3"/>
    <w:rsid w:val="00B10F87"/>
    <w:rsid w:val="00B214E1"/>
    <w:rsid w:val="00B34218"/>
    <w:rsid w:val="00B54446"/>
    <w:rsid w:val="00B561ED"/>
    <w:rsid w:val="00B56FD1"/>
    <w:rsid w:val="00B67D1C"/>
    <w:rsid w:val="00B709EF"/>
    <w:rsid w:val="00B72897"/>
    <w:rsid w:val="00B847A8"/>
    <w:rsid w:val="00B91892"/>
    <w:rsid w:val="00B921D2"/>
    <w:rsid w:val="00B92C1A"/>
    <w:rsid w:val="00BA2DA9"/>
    <w:rsid w:val="00BB1EB0"/>
    <w:rsid w:val="00BB3710"/>
    <w:rsid w:val="00BB619A"/>
    <w:rsid w:val="00BB7875"/>
    <w:rsid w:val="00BD5AA9"/>
    <w:rsid w:val="00BD6299"/>
    <w:rsid w:val="00BE3FFE"/>
    <w:rsid w:val="00BF2593"/>
    <w:rsid w:val="00BF34E6"/>
    <w:rsid w:val="00C04F83"/>
    <w:rsid w:val="00C171CE"/>
    <w:rsid w:val="00C17622"/>
    <w:rsid w:val="00C21177"/>
    <w:rsid w:val="00C214D9"/>
    <w:rsid w:val="00C24488"/>
    <w:rsid w:val="00C2702F"/>
    <w:rsid w:val="00C3222D"/>
    <w:rsid w:val="00C42D74"/>
    <w:rsid w:val="00C4661C"/>
    <w:rsid w:val="00C51B41"/>
    <w:rsid w:val="00C61DA2"/>
    <w:rsid w:val="00C621DF"/>
    <w:rsid w:val="00C62D7D"/>
    <w:rsid w:val="00C64948"/>
    <w:rsid w:val="00C66BFB"/>
    <w:rsid w:val="00C71260"/>
    <w:rsid w:val="00C76731"/>
    <w:rsid w:val="00C917D3"/>
    <w:rsid w:val="00C973ED"/>
    <w:rsid w:val="00CA0E28"/>
    <w:rsid w:val="00CB2D70"/>
    <w:rsid w:val="00CB3457"/>
    <w:rsid w:val="00CB5B6B"/>
    <w:rsid w:val="00CC5C4D"/>
    <w:rsid w:val="00CE3137"/>
    <w:rsid w:val="00CE3208"/>
    <w:rsid w:val="00CE3980"/>
    <w:rsid w:val="00CE4803"/>
    <w:rsid w:val="00D01A41"/>
    <w:rsid w:val="00D16FE0"/>
    <w:rsid w:val="00D17291"/>
    <w:rsid w:val="00D17E14"/>
    <w:rsid w:val="00D22DFA"/>
    <w:rsid w:val="00D242DD"/>
    <w:rsid w:val="00D301B4"/>
    <w:rsid w:val="00D36869"/>
    <w:rsid w:val="00D45C3C"/>
    <w:rsid w:val="00D50604"/>
    <w:rsid w:val="00D50B0C"/>
    <w:rsid w:val="00D52191"/>
    <w:rsid w:val="00D61D4C"/>
    <w:rsid w:val="00D61F03"/>
    <w:rsid w:val="00D6448D"/>
    <w:rsid w:val="00D654AD"/>
    <w:rsid w:val="00D7253D"/>
    <w:rsid w:val="00D72A90"/>
    <w:rsid w:val="00D73D2B"/>
    <w:rsid w:val="00D74122"/>
    <w:rsid w:val="00D81417"/>
    <w:rsid w:val="00D922F7"/>
    <w:rsid w:val="00DB129A"/>
    <w:rsid w:val="00DB2BA1"/>
    <w:rsid w:val="00DC1054"/>
    <w:rsid w:val="00DC580D"/>
    <w:rsid w:val="00DC7437"/>
    <w:rsid w:val="00DD4967"/>
    <w:rsid w:val="00DD76AD"/>
    <w:rsid w:val="00DE03F5"/>
    <w:rsid w:val="00DE68A0"/>
    <w:rsid w:val="00DE78C5"/>
    <w:rsid w:val="00DF5075"/>
    <w:rsid w:val="00DF5A7A"/>
    <w:rsid w:val="00E02FA9"/>
    <w:rsid w:val="00E118DF"/>
    <w:rsid w:val="00E27CD2"/>
    <w:rsid w:val="00E27D41"/>
    <w:rsid w:val="00E32FFF"/>
    <w:rsid w:val="00E45E42"/>
    <w:rsid w:val="00E50CB4"/>
    <w:rsid w:val="00E5793D"/>
    <w:rsid w:val="00E606A7"/>
    <w:rsid w:val="00E655F2"/>
    <w:rsid w:val="00E8745C"/>
    <w:rsid w:val="00E95113"/>
    <w:rsid w:val="00EA3D0C"/>
    <w:rsid w:val="00EA73B6"/>
    <w:rsid w:val="00EB43E2"/>
    <w:rsid w:val="00EB5C29"/>
    <w:rsid w:val="00EB5F4F"/>
    <w:rsid w:val="00EC1222"/>
    <w:rsid w:val="00EC3172"/>
    <w:rsid w:val="00EC64B0"/>
    <w:rsid w:val="00EC667C"/>
    <w:rsid w:val="00ED17BD"/>
    <w:rsid w:val="00ED2991"/>
    <w:rsid w:val="00ED5C80"/>
    <w:rsid w:val="00EE1F60"/>
    <w:rsid w:val="00EE5988"/>
    <w:rsid w:val="00EF1418"/>
    <w:rsid w:val="00F02D09"/>
    <w:rsid w:val="00F02D0F"/>
    <w:rsid w:val="00F22792"/>
    <w:rsid w:val="00F22B48"/>
    <w:rsid w:val="00F25FCB"/>
    <w:rsid w:val="00F314C0"/>
    <w:rsid w:val="00F3219D"/>
    <w:rsid w:val="00F35E50"/>
    <w:rsid w:val="00F4787E"/>
    <w:rsid w:val="00F57927"/>
    <w:rsid w:val="00F60F5C"/>
    <w:rsid w:val="00F669E7"/>
    <w:rsid w:val="00F71489"/>
    <w:rsid w:val="00F81100"/>
    <w:rsid w:val="00F97F0B"/>
    <w:rsid w:val="00FB3873"/>
    <w:rsid w:val="00FB5A7E"/>
    <w:rsid w:val="00FC0245"/>
    <w:rsid w:val="00FC2D6E"/>
    <w:rsid w:val="00FC37D4"/>
    <w:rsid w:val="00FC452F"/>
    <w:rsid w:val="00FD02CD"/>
    <w:rsid w:val="00FD201A"/>
    <w:rsid w:val="00FF0827"/>
    <w:rsid w:val="00FF4612"/>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3EABFB29"/>
  <w15:chartTrackingRefBased/>
  <w15:docId w15:val="{91BA971D-E778-4AC5-9592-BCE031B1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HAnsi"/>
        <w:color w:val="203062" w:themeColor="text2"/>
        <w:lang w:val="en-AU"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82"/>
    <w:pPr>
      <w:spacing w:after="0" w:line="240" w:lineRule="auto"/>
      <w:jc w:val="both"/>
    </w:pPr>
    <w:rPr>
      <w:rFonts w:ascii="Times New Roman" w:eastAsia="Calibri" w:hAnsi="Times New Roman" w:cs="Times New Roman"/>
      <w:color w:val="auto"/>
      <w:sz w:val="23"/>
      <w:lang w:eastAsia="en-US"/>
    </w:rPr>
  </w:style>
  <w:style w:type="paragraph" w:styleId="Heading1">
    <w:name w:val="heading 1"/>
    <w:basedOn w:val="Normal"/>
    <w:next w:val="Normal"/>
    <w:link w:val="Heading1Char"/>
    <w:uiPriority w:val="9"/>
    <w:rsid w:val="00654ED7"/>
    <w:pPr>
      <w:keepNext/>
      <w:keepLines/>
      <w:spacing w:before="240"/>
      <w:outlineLvl w:val="0"/>
    </w:pPr>
    <w:rPr>
      <w:rFonts w:asciiTheme="majorHAnsi" w:eastAsiaTheme="majorEastAsia" w:hAnsiTheme="majorHAnsi" w:cstheme="majorBidi"/>
      <w:color w:val="C44F0A" w:themeColor="accent1" w:themeShade="BF"/>
      <w:sz w:val="32"/>
      <w:szCs w:val="32"/>
    </w:rPr>
  </w:style>
  <w:style w:type="paragraph" w:styleId="Heading2">
    <w:name w:val="heading 2"/>
    <w:basedOn w:val="Normal"/>
    <w:next w:val="Normal"/>
    <w:link w:val="Heading2Char"/>
    <w:uiPriority w:val="9"/>
    <w:unhideWhenUsed/>
    <w:rsid w:val="002B25C4"/>
    <w:pPr>
      <w:keepNext/>
      <w:keepLines/>
      <w:spacing w:before="40"/>
      <w:outlineLvl w:val="1"/>
    </w:pPr>
    <w:rPr>
      <w:rFonts w:asciiTheme="majorHAnsi" w:eastAsiaTheme="majorEastAsia" w:hAnsiTheme="majorHAnsi" w:cstheme="majorBidi"/>
      <w:color w:val="C44F0A" w:themeColor="accent1" w:themeShade="BF"/>
      <w:sz w:val="26"/>
      <w:szCs w:val="26"/>
    </w:rPr>
  </w:style>
  <w:style w:type="paragraph" w:styleId="Heading3">
    <w:name w:val="heading 3"/>
    <w:basedOn w:val="Normal"/>
    <w:next w:val="Normal"/>
    <w:link w:val="Heading3Char"/>
    <w:uiPriority w:val="9"/>
    <w:unhideWhenUsed/>
    <w:qFormat/>
    <w:rsid w:val="00A75A19"/>
    <w:pPr>
      <w:keepNext/>
      <w:keepLines/>
      <w:spacing w:before="40"/>
      <w:outlineLvl w:val="2"/>
    </w:pPr>
    <w:rPr>
      <w:rFonts w:asciiTheme="majorHAnsi" w:eastAsiaTheme="majorEastAsia" w:hAnsiTheme="majorHAnsi" w:cstheme="majorBidi"/>
      <w:color w:val="823407" w:themeColor="accent1" w:themeShade="7F"/>
      <w:sz w:val="24"/>
      <w:szCs w:val="24"/>
    </w:rPr>
  </w:style>
  <w:style w:type="paragraph" w:styleId="Heading4">
    <w:name w:val="heading 4"/>
    <w:basedOn w:val="Normal"/>
    <w:next w:val="Normal"/>
    <w:link w:val="Heading4Char"/>
    <w:uiPriority w:val="9"/>
    <w:unhideWhenUsed/>
    <w:rsid w:val="00A75A19"/>
    <w:pPr>
      <w:keepNext/>
      <w:keepLines/>
      <w:spacing w:before="40"/>
      <w:outlineLvl w:val="3"/>
    </w:pPr>
    <w:rPr>
      <w:rFonts w:asciiTheme="majorHAnsi" w:eastAsiaTheme="majorEastAsia" w:hAnsiTheme="majorHAnsi" w:cstheme="majorBidi"/>
      <w:i/>
      <w:iCs/>
      <w:color w:val="C44F0A" w:themeColor="accent1" w:themeShade="BF"/>
    </w:rPr>
  </w:style>
  <w:style w:type="paragraph" w:styleId="Heading5">
    <w:name w:val="heading 5"/>
    <w:basedOn w:val="Normal"/>
    <w:next w:val="Normal"/>
    <w:link w:val="Heading5Char"/>
    <w:uiPriority w:val="9"/>
    <w:unhideWhenUsed/>
    <w:rsid w:val="00A75A19"/>
    <w:pPr>
      <w:keepNext/>
      <w:keepLines/>
      <w:spacing w:before="40"/>
      <w:outlineLvl w:val="4"/>
    </w:pPr>
    <w:rPr>
      <w:rFonts w:asciiTheme="majorHAnsi" w:eastAsiaTheme="majorEastAsia" w:hAnsiTheme="majorHAnsi" w:cstheme="majorBidi"/>
      <w:color w:val="C44F0A" w:themeColor="accent1" w:themeShade="BF"/>
    </w:rPr>
  </w:style>
  <w:style w:type="paragraph" w:styleId="Heading6">
    <w:name w:val="heading 6"/>
    <w:basedOn w:val="Normal"/>
    <w:next w:val="Normal"/>
    <w:link w:val="Heading6Char"/>
    <w:uiPriority w:val="9"/>
    <w:unhideWhenUsed/>
    <w:qFormat/>
    <w:rsid w:val="00875275"/>
    <w:pPr>
      <w:keepNext/>
      <w:keepLines/>
      <w:spacing w:before="40"/>
      <w:outlineLvl w:val="5"/>
    </w:pPr>
    <w:rPr>
      <w:rFonts w:asciiTheme="majorHAnsi" w:eastAsiaTheme="majorEastAsia" w:hAnsiTheme="majorHAnsi" w:cstheme="majorBidi"/>
      <w:color w:val="8234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Body">
    <w:name w:val="SW Body"/>
    <w:basedOn w:val="Normal"/>
    <w:qFormat/>
    <w:rsid w:val="000F5554"/>
    <w:rPr>
      <w:rFonts w:cs="Arial"/>
    </w:rPr>
  </w:style>
  <w:style w:type="paragraph" w:customStyle="1" w:styleId="SWAddresssignoff">
    <w:name w:val="SW Address &amp; sign off"/>
    <w:basedOn w:val="SWBody"/>
    <w:rsid w:val="000F5554"/>
    <w:pPr>
      <w:spacing w:line="288" w:lineRule="auto"/>
    </w:pPr>
  </w:style>
  <w:style w:type="paragraph" w:customStyle="1" w:styleId="SWBody-white">
    <w:name w:val="SW Body - white"/>
    <w:basedOn w:val="Normal"/>
    <w:link w:val="SWBody-whiteChar"/>
    <w:rsid w:val="000F5554"/>
    <w:rPr>
      <w:rFonts w:cs="ArialMT"/>
      <w:color w:val="FFFFFF" w:themeColor="background1"/>
    </w:rPr>
  </w:style>
  <w:style w:type="character" w:customStyle="1" w:styleId="Heading1Char">
    <w:name w:val="Heading 1 Char"/>
    <w:basedOn w:val="DefaultParagraphFont"/>
    <w:link w:val="Heading1"/>
    <w:uiPriority w:val="9"/>
    <w:rsid w:val="00654ED7"/>
    <w:rPr>
      <w:rFonts w:asciiTheme="majorHAnsi" w:eastAsiaTheme="majorEastAsia" w:hAnsiTheme="majorHAnsi" w:cstheme="majorBidi"/>
      <w:color w:val="C44F0A" w:themeColor="accent1" w:themeShade="BF"/>
      <w:sz w:val="32"/>
      <w:szCs w:val="32"/>
    </w:rPr>
  </w:style>
  <w:style w:type="character" w:customStyle="1" w:styleId="SWBody-whiteChar">
    <w:name w:val="SW Body - white Char"/>
    <w:basedOn w:val="DefaultParagraphFont"/>
    <w:link w:val="SWBody-white"/>
    <w:rsid w:val="000F5554"/>
    <w:rPr>
      <w:rFonts w:cs="ArialMT"/>
      <w:color w:val="FFFFFF" w:themeColor="background1"/>
    </w:rPr>
  </w:style>
  <w:style w:type="paragraph" w:customStyle="1" w:styleId="SWBullet1">
    <w:name w:val="SW Bullet 1"/>
    <w:basedOn w:val="SWBody"/>
    <w:uiPriority w:val="1"/>
    <w:qFormat/>
    <w:rsid w:val="000F5554"/>
    <w:pPr>
      <w:numPr>
        <w:numId w:val="1"/>
      </w:numPr>
      <w:ind w:left="397" w:hanging="397"/>
    </w:pPr>
  </w:style>
  <w:style w:type="paragraph" w:customStyle="1" w:styleId="SWBullet1-white">
    <w:name w:val="SW Bullet 1 - white"/>
    <w:basedOn w:val="SWBullet1"/>
    <w:uiPriority w:val="2"/>
    <w:qFormat/>
    <w:rsid w:val="000F5554"/>
    <w:pPr>
      <w:numPr>
        <w:numId w:val="2"/>
      </w:numPr>
      <w:ind w:left="397" w:hanging="397"/>
    </w:pPr>
    <w:rPr>
      <w:color w:val="FFFFFF" w:themeColor="background1"/>
    </w:rPr>
  </w:style>
  <w:style w:type="paragraph" w:customStyle="1" w:styleId="SWBullet2">
    <w:name w:val="SW Bullet 2"/>
    <w:basedOn w:val="SWBullet1"/>
    <w:uiPriority w:val="1"/>
    <w:qFormat/>
    <w:rsid w:val="000F5554"/>
    <w:pPr>
      <w:numPr>
        <w:numId w:val="3"/>
      </w:numPr>
      <w:ind w:left="794" w:hanging="397"/>
    </w:pPr>
  </w:style>
  <w:style w:type="paragraph" w:customStyle="1" w:styleId="SWBullet2-white">
    <w:name w:val="SW Bullet 2 - white"/>
    <w:basedOn w:val="SWBullet2"/>
    <w:uiPriority w:val="2"/>
    <w:qFormat/>
    <w:rsid w:val="000F5554"/>
    <w:pPr>
      <w:numPr>
        <w:numId w:val="4"/>
      </w:numPr>
      <w:ind w:left="794" w:hanging="397"/>
    </w:pPr>
    <w:rPr>
      <w:color w:val="FFFFFF" w:themeColor="background1"/>
    </w:rPr>
  </w:style>
  <w:style w:type="paragraph" w:customStyle="1" w:styleId="SWBullet3">
    <w:name w:val="SW Bullet 3"/>
    <w:basedOn w:val="SWBullet1"/>
    <w:uiPriority w:val="1"/>
    <w:qFormat/>
    <w:rsid w:val="000F5554"/>
    <w:pPr>
      <w:numPr>
        <w:numId w:val="5"/>
      </w:numPr>
      <w:ind w:left="1191" w:hanging="397"/>
    </w:pPr>
  </w:style>
  <w:style w:type="paragraph" w:customStyle="1" w:styleId="SWBullet3-white">
    <w:name w:val="SW Bullet 3 - white"/>
    <w:basedOn w:val="SWBullet3"/>
    <w:qFormat/>
    <w:rsid w:val="000F5554"/>
    <w:pPr>
      <w:numPr>
        <w:numId w:val="6"/>
      </w:numPr>
      <w:ind w:left="1191" w:hanging="397"/>
    </w:pPr>
    <w:rPr>
      <w:color w:val="FFFFFF" w:themeColor="background1"/>
    </w:rPr>
  </w:style>
  <w:style w:type="paragraph" w:customStyle="1" w:styleId="SWContact">
    <w:name w:val="SW Contact"/>
    <w:basedOn w:val="Normal"/>
    <w:uiPriority w:val="8"/>
    <w:qFormat/>
    <w:rsid w:val="000F5554"/>
    <w:pPr>
      <w:spacing w:line="240" w:lineRule="atLeast"/>
    </w:pPr>
    <w:rPr>
      <w:rFonts w:ascii="Century Gothic" w:hAnsi="Century Gothic" w:cs="Arial"/>
      <w:color w:val="FFFFFF" w:themeColor="background1"/>
      <w:sz w:val="18"/>
      <w:szCs w:val="15"/>
      <w:lang w:val="en-GB"/>
    </w:rPr>
  </w:style>
  <w:style w:type="paragraph" w:customStyle="1" w:styleId="SWContactwebsite">
    <w:name w:val="SW Contact website"/>
    <w:basedOn w:val="Normal"/>
    <w:uiPriority w:val="8"/>
    <w:qFormat/>
    <w:rsid w:val="000F5554"/>
    <w:rPr>
      <w:rFonts w:cs="Arial"/>
      <w:szCs w:val="15"/>
    </w:rPr>
  </w:style>
  <w:style w:type="paragraph" w:styleId="TOC1">
    <w:name w:val="toc 1"/>
    <w:basedOn w:val="Normal"/>
    <w:next w:val="Normal"/>
    <w:autoRedefine/>
    <w:uiPriority w:val="39"/>
    <w:rsid w:val="000119FD"/>
    <w:pPr>
      <w:spacing w:after="100"/>
    </w:pPr>
    <w:rPr>
      <w:sz w:val="28"/>
    </w:rPr>
  </w:style>
  <w:style w:type="paragraph" w:styleId="TOC2">
    <w:name w:val="toc 2"/>
    <w:basedOn w:val="Normal"/>
    <w:next w:val="Normal"/>
    <w:autoRedefine/>
    <w:uiPriority w:val="39"/>
    <w:rsid w:val="000119FD"/>
    <w:pPr>
      <w:spacing w:after="100"/>
      <w:ind w:left="198"/>
    </w:pPr>
    <w:rPr>
      <w:sz w:val="24"/>
    </w:rPr>
  </w:style>
  <w:style w:type="paragraph" w:customStyle="1" w:styleId="SWCoverheading-white">
    <w:name w:val="SW Cover heading - white"/>
    <w:basedOn w:val="Normal"/>
    <w:link w:val="SWCoverheading-whiteChar"/>
    <w:uiPriority w:val="8"/>
    <w:qFormat/>
    <w:rsid w:val="000F5554"/>
    <w:pPr>
      <w:keepLines/>
      <w:spacing w:after="440" w:line="800" w:lineRule="atLeast"/>
      <w:outlineLvl w:val="0"/>
    </w:pPr>
    <w:rPr>
      <w:rFonts w:cstheme="majorHAnsi"/>
      <w:b/>
      <w:color w:val="FFFFFF" w:themeColor="background1"/>
      <w:sz w:val="72"/>
      <w:szCs w:val="60"/>
    </w:rPr>
  </w:style>
  <w:style w:type="character" w:customStyle="1" w:styleId="SWCoverheading-whiteChar">
    <w:name w:val="SW Cover heading - white Char"/>
    <w:basedOn w:val="DefaultParagraphFont"/>
    <w:link w:val="SWCoverheading-white"/>
    <w:uiPriority w:val="8"/>
    <w:rsid w:val="000F5554"/>
    <w:rPr>
      <w:rFonts w:cstheme="majorHAnsi"/>
      <w:b/>
      <w:color w:val="FFFFFF" w:themeColor="background1"/>
      <w:sz w:val="72"/>
      <w:szCs w:val="60"/>
    </w:rPr>
  </w:style>
  <w:style w:type="paragraph" w:customStyle="1" w:styleId="SWCoversubheading-white">
    <w:name w:val="SW Cover subheading - white"/>
    <w:basedOn w:val="SWCoverheading-white"/>
    <w:uiPriority w:val="8"/>
    <w:qFormat/>
    <w:rsid w:val="000F5554"/>
    <w:pPr>
      <w:spacing w:after="300" w:line="480" w:lineRule="atLeast"/>
    </w:pPr>
    <w:rPr>
      <w:rFonts w:cs="ArialMT"/>
      <w:sz w:val="56"/>
      <w:szCs w:val="32"/>
    </w:rPr>
  </w:style>
  <w:style w:type="paragraph" w:customStyle="1" w:styleId="SWCoversubheading-whitelvl2">
    <w:name w:val="SW Cover subheading - white lvl 2"/>
    <w:basedOn w:val="Normal"/>
    <w:rsid w:val="000F5554"/>
    <w:pPr>
      <w:tabs>
        <w:tab w:val="right" w:pos="9923"/>
        <w:tab w:val="left" w:pos="10008"/>
      </w:tabs>
      <w:spacing w:after="240"/>
    </w:pPr>
    <w:rPr>
      <w:rFonts w:cs="Arial"/>
      <w:color w:val="FFFFFF" w:themeColor="background1"/>
      <w:sz w:val="32"/>
      <w:szCs w:val="28"/>
    </w:rPr>
  </w:style>
  <w:style w:type="paragraph" w:customStyle="1" w:styleId="SWCVcontactdetails">
    <w:name w:val="SW CV contact details"/>
    <w:basedOn w:val="SWBody"/>
    <w:uiPriority w:val="8"/>
    <w:qFormat/>
    <w:rsid w:val="000F5554"/>
    <w:pPr>
      <w:spacing w:after="80"/>
    </w:pPr>
    <w:rPr>
      <w:szCs w:val="15"/>
    </w:rPr>
  </w:style>
  <w:style w:type="paragraph" w:customStyle="1" w:styleId="SWCVTitle">
    <w:name w:val="SW CV Title"/>
    <w:basedOn w:val="Normal"/>
    <w:uiPriority w:val="5"/>
    <w:qFormat/>
    <w:rsid w:val="000F5554"/>
    <w:pPr>
      <w:keepNext/>
      <w:keepLines/>
      <w:spacing w:line="320" w:lineRule="atLeast"/>
      <w:outlineLvl w:val="1"/>
    </w:pPr>
    <w:rPr>
      <w:rFonts w:cstheme="majorHAnsi"/>
      <w:b/>
      <w:bCs/>
      <w:color w:val="F37021" w:themeColor="accent1"/>
      <w:sz w:val="24"/>
      <w:szCs w:val="28"/>
    </w:rPr>
  </w:style>
  <w:style w:type="paragraph" w:customStyle="1" w:styleId="SWDisclaimer">
    <w:name w:val="SW Disclaimer"/>
    <w:uiPriority w:val="4"/>
    <w:qFormat/>
    <w:rsid w:val="000F5554"/>
    <w:pPr>
      <w:spacing w:line="200" w:lineRule="atLeast"/>
    </w:pPr>
    <w:rPr>
      <w:rFonts w:cs="ArialMT"/>
      <w:sz w:val="14"/>
      <w:szCs w:val="18"/>
    </w:rPr>
  </w:style>
  <w:style w:type="character" w:customStyle="1" w:styleId="SWFooter-white">
    <w:name w:val="SW Footer - white"/>
    <w:basedOn w:val="PageNumber"/>
    <w:uiPriority w:val="8"/>
    <w:rsid w:val="000F5554"/>
    <w:rPr>
      <w:color w:val="FFFFFF" w:themeColor="background1"/>
      <w:sz w:val="18"/>
      <w:szCs w:val="20"/>
    </w:rPr>
  </w:style>
  <w:style w:type="character" w:styleId="PageNumber">
    <w:name w:val="page number"/>
    <w:basedOn w:val="DefaultParagraphFont"/>
    <w:uiPriority w:val="99"/>
    <w:semiHidden/>
    <w:unhideWhenUsed/>
    <w:rsid w:val="000F5554"/>
  </w:style>
  <w:style w:type="character" w:customStyle="1" w:styleId="SWFooterSource">
    <w:name w:val="SW Footer &amp; Source"/>
    <w:basedOn w:val="DefaultParagraphFont"/>
    <w:uiPriority w:val="8"/>
    <w:qFormat/>
    <w:rsid w:val="000F5554"/>
    <w:rPr>
      <w:rFonts w:ascii="Arial" w:hAnsi="Arial"/>
      <w:b w:val="0"/>
      <w:i/>
      <w:sz w:val="18"/>
    </w:rPr>
  </w:style>
  <w:style w:type="paragraph" w:customStyle="1" w:styleId="SWFootnote">
    <w:name w:val="SW Footnote"/>
    <w:basedOn w:val="Normal"/>
    <w:qFormat/>
    <w:rsid w:val="000F5554"/>
    <w:pPr>
      <w:spacing w:after="80"/>
    </w:pPr>
    <w:rPr>
      <w:rFonts w:cs="Arial"/>
      <w:sz w:val="16"/>
    </w:rPr>
  </w:style>
  <w:style w:type="character" w:customStyle="1" w:styleId="Heading2Char">
    <w:name w:val="Heading 2 Char"/>
    <w:basedOn w:val="DefaultParagraphFont"/>
    <w:link w:val="Heading2"/>
    <w:uiPriority w:val="9"/>
    <w:rsid w:val="002B25C4"/>
    <w:rPr>
      <w:rFonts w:asciiTheme="majorHAnsi" w:eastAsiaTheme="majorEastAsia" w:hAnsiTheme="majorHAnsi" w:cstheme="majorBidi"/>
      <w:color w:val="C44F0A" w:themeColor="accent1" w:themeShade="BF"/>
      <w:sz w:val="26"/>
      <w:szCs w:val="26"/>
    </w:rPr>
  </w:style>
  <w:style w:type="paragraph" w:customStyle="1" w:styleId="SWHeading-pageheading">
    <w:name w:val="SW Heading - page heading"/>
    <w:basedOn w:val="SWBody"/>
    <w:next w:val="SWBody"/>
    <w:link w:val="SWHeading-pageheadingChar"/>
    <w:qFormat/>
    <w:rsid w:val="000F5554"/>
    <w:pPr>
      <w:spacing w:before="240" w:after="360" w:line="600" w:lineRule="atLeast"/>
      <w:outlineLvl w:val="0"/>
    </w:pPr>
    <w:rPr>
      <w:rFonts w:cstheme="majorHAnsi"/>
      <w:b/>
      <w:bCs/>
      <w:sz w:val="56"/>
      <w:szCs w:val="56"/>
    </w:rPr>
  </w:style>
  <w:style w:type="character" w:customStyle="1" w:styleId="SWHeading-pageheadingChar">
    <w:name w:val="SW Heading - page heading Char"/>
    <w:basedOn w:val="DefaultParagraphFont"/>
    <w:link w:val="SWHeading-pageheading"/>
    <w:rsid w:val="000F5554"/>
    <w:rPr>
      <w:rFonts w:cstheme="majorHAnsi"/>
      <w:b/>
      <w:bCs/>
      <w:sz w:val="56"/>
      <w:szCs w:val="56"/>
    </w:rPr>
  </w:style>
  <w:style w:type="paragraph" w:customStyle="1" w:styleId="SWHeading1-introtext">
    <w:name w:val="SW Heading 1 - intro text"/>
    <w:basedOn w:val="SWBody"/>
    <w:next w:val="SWBody"/>
    <w:qFormat/>
    <w:rsid w:val="000F5554"/>
    <w:pPr>
      <w:keepNext/>
      <w:keepLines/>
      <w:spacing w:before="240" w:after="360" w:line="320" w:lineRule="atLeast"/>
      <w:outlineLvl w:val="1"/>
    </w:pPr>
    <w:rPr>
      <w:rFonts w:cstheme="majorHAnsi"/>
      <w:b/>
      <w:bCs/>
      <w:color w:val="F37021" w:themeColor="accent1"/>
      <w:sz w:val="28"/>
      <w:szCs w:val="28"/>
    </w:rPr>
  </w:style>
  <w:style w:type="paragraph" w:customStyle="1" w:styleId="SWHeading2-blue">
    <w:name w:val="SW Heading 2 - blue"/>
    <w:basedOn w:val="Normal"/>
    <w:next w:val="SWBody-white"/>
    <w:qFormat/>
    <w:rsid w:val="000F5554"/>
    <w:pPr>
      <w:keepNext/>
      <w:keepLines/>
      <w:spacing w:before="240" w:after="240" w:line="280" w:lineRule="atLeast"/>
      <w:outlineLvl w:val="2"/>
    </w:pPr>
    <w:rPr>
      <w:rFonts w:cstheme="majorHAnsi"/>
      <w:b/>
      <w:sz w:val="24"/>
      <w:szCs w:val="24"/>
    </w:rPr>
  </w:style>
  <w:style w:type="paragraph" w:customStyle="1" w:styleId="SWHeading2-orange">
    <w:name w:val="SW Heading 2 - orange"/>
    <w:basedOn w:val="SWHeading2-blue"/>
    <w:next w:val="SWBody"/>
    <w:qFormat/>
    <w:rsid w:val="000F5554"/>
    <w:rPr>
      <w:color w:val="F37021" w:themeColor="accent1"/>
    </w:rPr>
  </w:style>
  <w:style w:type="paragraph" w:customStyle="1" w:styleId="SWHeading3-blue">
    <w:name w:val="SW Heading 3 - blue"/>
    <w:basedOn w:val="SWBody"/>
    <w:next w:val="SWBody"/>
    <w:qFormat/>
    <w:rsid w:val="000F5554"/>
    <w:pPr>
      <w:keepNext/>
      <w:keepLines/>
      <w:spacing w:before="200"/>
      <w:outlineLvl w:val="3"/>
    </w:pPr>
    <w:rPr>
      <w:rFonts w:cs="ArialMT"/>
      <w:b/>
      <w:sz w:val="22"/>
    </w:rPr>
  </w:style>
  <w:style w:type="paragraph" w:customStyle="1" w:styleId="SWHeading3-orange">
    <w:name w:val="SW Heading 3 - orange"/>
    <w:basedOn w:val="SWHeading3-blue"/>
    <w:qFormat/>
    <w:rsid w:val="000F5554"/>
    <w:rPr>
      <w:rFonts w:eastAsia="Arial"/>
      <w:color w:val="F37021" w:themeColor="accent1"/>
      <w:szCs w:val="17"/>
    </w:rPr>
  </w:style>
  <w:style w:type="paragraph" w:customStyle="1" w:styleId="SWHeading4-orange">
    <w:name w:val="SW Heading 4 - orange"/>
    <w:basedOn w:val="SWHeading3-orange"/>
    <w:next w:val="SWBody"/>
    <w:qFormat/>
    <w:rsid w:val="000F5554"/>
    <w:rPr>
      <w:sz w:val="20"/>
      <w:szCs w:val="20"/>
    </w:rPr>
  </w:style>
  <w:style w:type="paragraph" w:customStyle="1" w:styleId="SWLetterbullets-lvl2">
    <w:name w:val="SW Letter bullets - lvl 2"/>
    <w:basedOn w:val="Normal"/>
    <w:qFormat/>
    <w:rsid w:val="00992266"/>
    <w:pPr>
      <w:numPr>
        <w:numId w:val="7"/>
      </w:numPr>
      <w:ind w:left="794" w:hanging="397"/>
    </w:pPr>
  </w:style>
  <w:style w:type="paragraph" w:customStyle="1" w:styleId="SWMandarin-body">
    <w:name w:val="SW Mandarin - body"/>
    <w:basedOn w:val="SWBody"/>
    <w:qFormat/>
    <w:rsid w:val="000F5554"/>
    <w:pPr>
      <w:tabs>
        <w:tab w:val="left" w:pos="2410"/>
      </w:tabs>
    </w:pPr>
    <w:rPr>
      <w:rFonts w:ascii="KaiTi" w:eastAsia="KaiTi" w:hAnsi="KaiTi" w:cs="MS Gothic"/>
    </w:rPr>
  </w:style>
  <w:style w:type="paragraph" w:customStyle="1" w:styleId="SWMandarin-heading-pageheading">
    <w:name w:val="SW Mandarin - heading - page heading"/>
    <w:basedOn w:val="Normal"/>
    <w:qFormat/>
    <w:rsid w:val="000F5554"/>
    <w:pPr>
      <w:spacing w:before="240" w:after="360" w:line="600" w:lineRule="atLeast"/>
      <w:outlineLvl w:val="0"/>
    </w:pPr>
    <w:rPr>
      <w:rFonts w:ascii="KaiTi" w:eastAsia="KaiTi" w:hAnsi="KaiTi" w:cs="MS Gothic"/>
      <w:b/>
      <w:bCs/>
      <w:sz w:val="56"/>
      <w:szCs w:val="56"/>
    </w:rPr>
  </w:style>
  <w:style w:type="paragraph" w:customStyle="1" w:styleId="SWMandarin-heading2">
    <w:name w:val="SW Mandarin - heading 2"/>
    <w:basedOn w:val="SWHeading2-blue"/>
    <w:qFormat/>
    <w:rsid w:val="000F5554"/>
    <w:pPr>
      <w:tabs>
        <w:tab w:val="left" w:pos="2410"/>
      </w:tabs>
    </w:pPr>
    <w:rPr>
      <w:rFonts w:ascii="KaiTi" w:eastAsia="KaiTi" w:hAnsi="KaiTi"/>
    </w:rPr>
  </w:style>
  <w:style w:type="paragraph" w:customStyle="1" w:styleId="SWMandarin-heading3">
    <w:name w:val="SW Mandarin - heading 3"/>
    <w:basedOn w:val="SWHeading3-blue"/>
    <w:qFormat/>
    <w:rsid w:val="000F5554"/>
    <w:rPr>
      <w:rFonts w:ascii="KaiTi" w:eastAsia="KaiTi" w:hAnsi="KaiTi"/>
    </w:rPr>
  </w:style>
  <w:style w:type="paragraph" w:customStyle="1" w:styleId="SWNumbered-bodylvl1">
    <w:name w:val="SW Numbered - body lvl 1"/>
    <w:basedOn w:val="SWBullet1"/>
    <w:uiPriority w:val="2"/>
    <w:qFormat/>
    <w:rsid w:val="00992266"/>
    <w:pPr>
      <w:numPr>
        <w:numId w:val="8"/>
      </w:numPr>
      <w:ind w:left="567" w:hanging="567"/>
    </w:pPr>
  </w:style>
  <w:style w:type="paragraph" w:customStyle="1" w:styleId="SWMandarin-numbered-bodylvl1">
    <w:name w:val="SW Mandarin - numbered - body lvl 1"/>
    <w:basedOn w:val="SWNumbered-bodylvl1"/>
    <w:qFormat/>
    <w:rsid w:val="000F5554"/>
    <w:rPr>
      <w:rFonts w:ascii="KaiTi" w:eastAsia="KaiTi" w:hAnsi="KaiTi" w:cs="MS Gothic"/>
    </w:rPr>
  </w:style>
  <w:style w:type="paragraph" w:customStyle="1" w:styleId="SWNumbered-bodylvl2">
    <w:name w:val="SW Numbered - body lvl 2"/>
    <w:basedOn w:val="SWBody"/>
    <w:uiPriority w:val="2"/>
    <w:qFormat/>
    <w:rsid w:val="00992266"/>
    <w:pPr>
      <w:numPr>
        <w:ilvl w:val="1"/>
        <w:numId w:val="8"/>
      </w:numPr>
      <w:ind w:left="567" w:hanging="567"/>
    </w:pPr>
  </w:style>
  <w:style w:type="character" w:customStyle="1" w:styleId="Heading3Char">
    <w:name w:val="Heading 3 Char"/>
    <w:basedOn w:val="DefaultParagraphFont"/>
    <w:link w:val="Heading3"/>
    <w:uiPriority w:val="9"/>
    <w:rsid w:val="00A75A19"/>
    <w:rPr>
      <w:rFonts w:asciiTheme="majorHAnsi" w:eastAsiaTheme="majorEastAsia" w:hAnsiTheme="majorHAnsi" w:cstheme="majorBidi"/>
      <w:color w:val="823407" w:themeColor="accent1" w:themeShade="7F"/>
      <w:sz w:val="24"/>
      <w:szCs w:val="24"/>
    </w:rPr>
  </w:style>
  <w:style w:type="character" w:customStyle="1" w:styleId="Heading4Char">
    <w:name w:val="Heading 4 Char"/>
    <w:basedOn w:val="DefaultParagraphFont"/>
    <w:link w:val="Heading4"/>
    <w:uiPriority w:val="9"/>
    <w:rsid w:val="00A75A19"/>
    <w:rPr>
      <w:rFonts w:asciiTheme="majorHAnsi" w:eastAsiaTheme="majorEastAsia" w:hAnsiTheme="majorHAnsi" w:cstheme="majorBidi"/>
      <w:i/>
      <w:iCs/>
      <w:color w:val="C44F0A" w:themeColor="accent1" w:themeShade="BF"/>
      <w:sz w:val="20"/>
      <w:szCs w:val="22"/>
    </w:rPr>
  </w:style>
  <w:style w:type="paragraph" w:customStyle="1" w:styleId="SWNumbered-bodylvl3">
    <w:name w:val="SW Numbered - body lvl 3"/>
    <w:basedOn w:val="SWBody"/>
    <w:uiPriority w:val="2"/>
    <w:qFormat/>
    <w:rsid w:val="00992266"/>
    <w:pPr>
      <w:numPr>
        <w:ilvl w:val="2"/>
        <w:numId w:val="8"/>
      </w:numPr>
      <w:ind w:left="1134" w:hanging="567"/>
    </w:pPr>
  </w:style>
  <w:style w:type="paragraph" w:customStyle="1" w:styleId="SWNumbered-heading-orangelvl1">
    <w:name w:val="SW Numbered - heading - orange lvl 1"/>
    <w:basedOn w:val="SWNumbered-bodylvl1"/>
    <w:qFormat/>
    <w:rsid w:val="00992266"/>
    <w:pPr>
      <w:spacing w:before="200"/>
    </w:pPr>
    <w:rPr>
      <w:b/>
      <w:color w:val="F37021" w:themeColor="accent1"/>
      <w:sz w:val="24"/>
    </w:rPr>
  </w:style>
  <w:style w:type="paragraph" w:customStyle="1" w:styleId="SWNumbered-heading-bluelvl1">
    <w:name w:val="SW Numbered - heading - blue lvl 1"/>
    <w:basedOn w:val="SWNumbered-heading-orangelvl1"/>
    <w:qFormat/>
    <w:rsid w:val="000F5554"/>
    <w:rPr>
      <w:color w:val="203062" w:themeColor="text2"/>
    </w:rPr>
  </w:style>
  <w:style w:type="character" w:customStyle="1" w:styleId="Heading5Char">
    <w:name w:val="Heading 5 Char"/>
    <w:basedOn w:val="DefaultParagraphFont"/>
    <w:link w:val="Heading5"/>
    <w:uiPriority w:val="9"/>
    <w:rsid w:val="00A75A19"/>
    <w:rPr>
      <w:rFonts w:asciiTheme="majorHAnsi" w:eastAsiaTheme="majorEastAsia" w:hAnsiTheme="majorHAnsi" w:cstheme="majorBidi"/>
      <w:color w:val="C44F0A" w:themeColor="accent1" w:themeShade="BF"/>
      <w:sz w:val="20"/>
      <w:szCs w:val="22"/>
    </w:rPr>
  </w:style>
  <w:style w:type="paragraph" w:customStyle="1" w:styleId="SWNumbered-heading-orangelvl2">
    <w:name w:val="SW Numbered - heading - orange lvl 2"/>
    <w:basedOn w:val="Normal"/>
    <w:next w:val="SWBody"/>
    <w:rsid w:val="00992266"/>
    <w:pPr>
      <w:numPr>
        <w:ilvl w:val="1"/>
        <w:numId w:val="9"/>
      </w:numPr>
      <w:spacing w:before="200"/>
      <w:ind w:left="567" w:hanging="567"/>
    </w:pPr>
    <w:rPr>
      <w:b/>
      <w:color w:val="F37021" w:themeColor="accent1"/>
      <w:sz w:val="24"/>
      <w:szCs w:val="24"/>
    </w:rPr>
  </w:style>
  <w:style w:type="paragraph" w:customStyle="1" w:styleId="SWNumbered-heading-bluelvl2">
    <w:name w:val="SW Numbered - heading - blue lvl 2"/>
    <w:basedOn w:val="SWNumbered-heading-orangelvl2"/>
    <w:next w:val="SWBody"/>
    <w:rsid w:val="000F5554"/>
    <w:rPr>
      <w:color w:val="203062" w:themeColor="text2"/>
    </w:rPr>
  </w:style>
  <w:style w:type="character" w:customStyle="1" w:styleId="Heading6Char">
    <w:name w:val="Heading 6 Char"/>
    <w:basedOn w:val="DefaultParagraphFont"/>
    <w:link w:val="Heading6"/>
    <w:uiPriority w:val="9"/>
    <w:rsid w:val="00875275"/>
    <w:rPr>
      <w:rFonts w:asciiTheme="majorHAnsi" w:eastAsiaTheme="majorEastAsia" w:hAnsiTheme="majorHAnsi" w:cstheme="majorBidi"/>
      <w:color w:val="823407" w:themeColor="accent1" w:themeShade="7F"/>
      <w:sz w:val="20"/>
      <w:szCs w:val="22"/>
    </w:rPr>
  </w:style>
  <w:style w:type="paragraph" w:customStyle="1" w:styleId="SWNumbered-heading-bluelvl3">
    <w:name w:val="SW Numbered - heading - blue lvl 3"/>
    <w:basedOn w:val="SWNumbered-heading-orangelvl2"/>
    <w:qFormat/>
    <w:rsid w:val="00992266"/>
    <w:pPr>
      <w:numPr>
        <w:ilvl w:val="2"/>
      </w:numPr>
      <w:ind w:left="567" w:hanging="567"/>
    </w:pPr>
    <w:rPr>
      <w:color w:val="203062" w:themeColor="text2"/>
      <w:sz w:val="22"/>
      <w:szCs w:val="20"/>
    </w:rPr>
  </w:style>
  <w:style w:type="paragraph" w:customStyle="1" w:styleId="SWNumbered-pageheading">
    <w:name w:val="SW Numbered - page heading"/>
    <w:basedOn w:val="SWHeading-pageheading"/>
    <w:next w:val="SWBody"/>
    <w:rsid w:val="00992266"/>
    <w:pPr>
      <w:numPr>
        <w:numId w:val="9"/>
      </w:numPr>
      <w:ind w:left="567" w:hanging="567"/>
    </w:pPr>
    <w:rPr>
      <w:szCs w:val="40"/>
    </w:rPr>
  </w:style>
  <w:style w:type="paragraph" w:customStyle="1" w:styleId="SWQuotestyle">
    <w:name w:val="SW Quote style"/>
    <w:basedOn w:val="SWBody"/>
    <w:uiPriority w:val="3"/>
    <w:qFormat/>
    <w:rsid w:val="000F5554"/>
    <w:pPr>
      <w:ind w:left="567" w:right="560"/>
    </w:pPr>
    <w:rPr>
      <w:i/>
      <w:iCs/>
    </w:rPr>
  </w:style>
  <w:style w:type="paragraph" w:customStyle="1" w:styleId="SWTCsbody">
    <w:name w:val="SW T&amp;Cs body"/>
    <w:basedOn w:val="Normal"/>
    <w:qFormat/>
    <w:rsid w:val="000F5554"/>
    <w:rPr>
      <w:rFonts w:cs="ArialMT"/>
      <w:sz w:val="16"/>
      <w:szCs w:val="14"/>
      <w:lang w:eastAsia="ja-JP"/>
    </w:rPr>
  </w:style>
  <w:style w:type="paragraph" w:customStyle="1" w:styleId="SWTCsletteredbullets">
    <w:name w:val="SW T&amp;Cs lettered bullets"/>
    <w:basedOn w:val="Normal"/>
    <w:uiPriority w:val="11"/>
    <w:qFormat/>
    <w:rsid w:val="000F5554"/>
    <w:pPr>
      <w:numPr>
        <w:numId w:val="10"/>
      </w:numPr>
      <w:spacing w:line="259" w:lineRule="auto"/>
    </w:pPr>
    <w:rPr>
      <w:rFonts w:cs="ArialMT"/>
      <w:sz w:val="16"/>
      <w:szCs w:val="14"/>
    </w:rPr>
  </w:style>
  <w:style w:type="paragraph" w:customStyle="1" w:styleId="SWTCsnumberedheading">
    <w:name w:val="SW T&amp;Cs numbered heading"/>
    <w:basedOn w:val="Normal"/>
    <w:next w:val="Normal"/>
    <w:link w:val="SWTCsnumberedheadingChar"/>
    <w:uiPriority w:val="11"/>
    <w:qFormat/>
    <w:rsid w:val="00992266"/>
    <w:pPr>
      <w:numPr>
        <w:numId w:val="11"/>
      </w:numPr>
      <w:spacing w:line="240" w:lineRule="atLeast"/>
      <w:ind w:left="284" w:hanging="284"/>
    </w:pPr>
    <w:rPr>
      <w:rFonts w:cs="ArialMT"/>
      <w:b/>
      <w:szCs w:val="17"/>
    </w:rPr>
  </w:style>
  <w:style w:type="paragraph" w:customStyle="1" w:styleId="NoParagraphStyle">
    <w:name w:val="[No Paragraph Style]"/>
    <w:rsid w:val="003F034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SWTCsnumberedheadingChar">
    <w:name w:val="SW T&amp;Cs numbered heading Char"/>
    <w:basedOn w:val="DefaultParagraphFont"/>
    <w:link w:val="SWTCsnumberedheading"/>
    <w:uiPriority w:val="11"/>
    <w:rsid w:val="00992266"/>
    <w:rPr>
      <w:rFonts w:ascii="Times New Roman" w:eastAsia="Calibri" w:hAnsi="Times New Roman" w:cs="ArialMT"/>
      <w:b/>
      <w:color w:val="auto"/>
      <w:sz w:val="23"/>
      <w:szCs w:val="17"/>
      <w:lang w:eastAsia="en-US"/>
    </w:rPr>
  </w:style>
  <w:style w:type="paragraph" w:customStyle="1" w:styleId="SWTablebodytext">
    <w:name w:val="SW Table body text"/>
    <w:basedOn w:val="SWBody"/>
    <w:qFormat/>
    <w:rsid w:val="000F5554"/>
    <w:rPr>
      <w:lang w:val="en-US"/>
    </w:rPr>
  </w:style>
  <w:style w:type="paragraph" w:customStyle="1" w:styleId="SWTableheaderrow-white">
    <w:name w:val="SW Table header row - white"/>
    <w:basedOn w:val="SWBody-white"/>
    <w:next w:val="SWTablebodytext"/>
    <w:qFormat/>
    <w:rsid w:val="00992266"/>
    <w:pPr>
      <w:spacing w:before="40" w:after="40"/>
    </w:pPr>
    <w:rPr>
      <w:b/>
    </w:rPr>
  </w:style>
  <w:style w:type="table" w:customStyle="1" w:styleId="SWTable">
    <w:name w:val="SW Table"/>
    <w:basedOn w:val="TableNormal"/>
    <w:uiPriority w:val="99"/>
    <w:rsid w:val="00C214D9"/>
    <w:pPr>
      <w:spacing w:after="0" w:line="240" w:lineRule="auto"/>
    </w:pPr>
    <w:rPr>
      <w:color w:val="002060"/>
      <w:szCs w:val="18"/>
    </w:rPr>
    <w:tblPr>
      <w:tblBorders>
        <w:bottom w:val="single" w:sz="2" w:space="0" w:color="F37021" w:themeColor="accent1"/>
        <w:insideH w:val="single" w:sz="2" w:space="0" w:color="F37021" w:themeColor="accent1"/>
      </w:tblBorders>
      <w:tblCellMar>
        <w:top w:w="57" w:type="dxa"/>
        <w:bottom w:w="57" w:type="dxa"/>
      </w:tblCellMar>
    </w:tblPr>
    <w:tblStylePr w:type="firstRow">
      <w:pPr>
        <w:wordWrap/>
        <w:spacing w:line="264" w:lineRule="auto"/>
        <w:jc w:val="left"/>
      </w:pPr>
      <w:rPr>
        <w:rFonts w:asciiTheme="majorHAnsi" w:hAnsiTheme="majorHAnsi"/>
        <w:b/>
        <w:color w:val="FFFFFF" w:themeColor="background1"/>
        <w:sz w:val="22"/>
      </w:rPr>
      <w:tblPr/>
      <w:tcPr>
        <w:tcBorders>
          <w:top w:val="nil"/>
          <w:left w:val="nil"/>
          <w:bottom w:val="nil"/>
          <w:right w:val="nil"/>
          <w:insideH w:val="nil"/>
          <w:insideV w:val="nil"/>
          <w:tl2br w:val="nil"/>
          <w:tr2bl w:val="nil"/>
        </w:tcBorders>
        <w:shd w:val="clear" w:color="auto" w:fill="203062" w:themeFill="text2"/>
      </w:tcPr>
    </w:tblStylePr>
  </w:style>
  <w:style w:type="table" w:styleId="TableGrid">
    <w:name w:val="Table Grid"/>
    <w:basedOn w:val="TableNormal"/>
    <w:uiPriority w:val="59"/>
    <w:rsid w:val="009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0A3"/>
    <w:pPr>
      <w:tabs>
        <w:tab w:val="center" w:pos="4513"/>
        <w:tab w:val="right" w:pos="9026"/>
      </w:tabs>
    </w:pPr>
  </w:style>
  <w:style w:type="character" w:customStyle="1" w:styleId="HeaderChar">
    <w:name w:val="Header Char"/>
    <w:basedOn w:val="DefaultParagraphFont"/>
    <w:link w:val="Header"/>
    <w:uiPriority w:val="99"/>
    <w:rsid w:val="009460A3"/>
  </w:style>
  <w:style w:type="paragraph" w:styleId="Footer">
    <w:name w:val="footer"/>
    <w:basedOn w:val="Normal"/>
    <w:link w:val="FooterChar"/>
    <w:uiPriority w:val="99"/>
    <w:unhideWhenUsed/>
    <w:rsid w:val="009460A3"/>
    <w:pPr>
      <w:tabs>
        <w:tab w:val="center" w:pos="4513"/>
        <w:tab w:val="right" w:pos="9026"/>
      </w:tabs>
    </w:pPr>
  </w:style>
  <w:style w:type="character" w:customStyle="1" w:styleId="FooterChar">
    <w:name w:val="Footer Char"/>
    <w:basedOn w:val="DefaultParagraphFont"/>
    <w:link w:val="Footer"/>
    <w:uiPriority w:val="99"/>
    <w:rsid w:val="009460A3"/>
  </w:style>
  <w:style w:type="paragraph" w:styleId="NormalWeb">
    <w:name w:val="Normal (Web)"/>
    <w:basedOn w:val="Normal"/>
    <w:uiPriority w:val="99"/>
    <w:unhideWhenUsed/>
    <w:rsid w:val="008B0A8F"/>
    <w:pPr>
      <w:spacing w:before="100" w:beforeAutospacing="1" w:after="100" w:afterAutospacing="1"/>
      <w:jc w:val="left"/>
    </w:pPr>
    <w:rPr>
      <w:rFonts w:eastAsia="Times New Roman"/>
      <w:sz w:val="24"/>
      <w:szCs w:val="24"/>
      <w:lang w:eastAsia="zh-CN"/>
    </w:rPr>
  </w:style>
  <w:style w:type="paragraph" w:styleId="ListParagraph">
    <w:name w:val="List Paragraph"/>
    <w:basedOn w:val="Normal"/>
    <w:uiPriority w:val="72"/>
    <w:qFormat/>
    <w:rsid w:val="008B0A8F"/>
    <w:pPr>
      <w:ind w:left="720"/>
      <w:contextualSpacing/>
    </w:pPr>
  </w:style>
  <w:style w:type="character" w:styleId="CommentReference">
    <w:name w:val="annotation reference"/>
    <w:basedOn w:val="DefaultParagraphFont"/>
    <w:uiPriority w:val="99"/>
    <w:semiHidden/>
    <w:unhideWhenUsed/>
    <w:rsid w:val="003B3644"/>
    <w:rPr>
      <w:sz w:val="16"/>
      <w:szCs w:val="16"/>
    </w:rPr>
  </w:style>
  <w:style w:type="paragraph" w:styleId="CommentText">
    <w:name w:val="annotation text"/>
    <w:basedOn w:val="Normal"/>
    <w:link w:val="CommentTextChar"/>
    <w:uiPriority w:val="99"/>
    <w:unhideWhenUsed/>
    <w:rsid w:val="003B3644"/>
    <w:rPr>
      <w:sz w:val="20"/>
    </w:rPr>
  </w:style>
  <w:style w:type="character" w:customStyle="1" w:styleId="CommentTextChar">
    <w:name w:val="Comment Text Char"/>
    <w:basedOn w:val="DefaultParagraphFont"/>
    <w:link w:val="CommentText"/>
    <w:uiPriority w:val="99"/>
    <w:rsid w:val="003B3644"/>
    <w:rPr>
      <w:rFonts w:ascii="Times New Roman" w:eastAsia="Calibri" w:hAnsi="Times New Roman" w:cs="Times New Roman"/>
      <w:color w:val="auto"/>
      <w:lang w:eastAsia="en-US"/>
    </w:rPr>
  </w:style>
  <w:style w:type="paragraph" w:styleId="CommentSubject">
    <w:name w:val="annotation subject"/>
    <w:basedOn w:val="CommentText"/>
    <w:next w:val="CommentText"/>
    <w:link w:val="CommentSubjectChar"/>
    <w:uiPriority w:val="99"/>
    <w:semiHidden/>
    <w:unhideWhenUsed/>
    <w:rsid w:val="003B3644"/>
    <w:rPr>
      <w:b/>
      <w:bCs/>
    </w:rPr>
  </w:style>
  <w:style w:type="character" w:customStyle="1" w:styleId="CommentSubjectChar">
    <w:name w:val="Comment Subject Char"/>
    <w:basedOn w:val="CommentTextChar"/>
    <w:link w:val="CommentSubject"/>
    <w:uiPriority w:val="99"/>
    <w:semiHidden/>
    <w:rsid w:val="003B3644"/>
    <w:rPr>
      <w:rFonts w:ascii="Times New Roman" w:eastAsia="Calibri" w:hAnsi="Times New Roman" w:cs="Times New Roman"/>
      <w:b/>
      <w:bCs/>
      <w:color w:val="auto"/>
      <w:lang w:eastAsia="en-US"/>
    </w:rPr>
  </w:style>
  <w:style w:type="character" w:styleId="Hyperlink">
    <w:name w:val="Hyperlink"/>
    <w:basedOn w:val="DefaultParagraphFont"/>
    <w:uiPriority w:val="99"/>
    <w:unhideWhenUsed/>
    <w:rsid w:val="003B3644"/>
    <w:rPr>
      <w:color w:val="557DBF" w:themeColor="hyperlink"/>
      <w:u w:val="single"/>
    </w:rPr>
  </w:style>
  <w:style w:type="character" w:styleId="UnresolvedMention">
    <w:name w:val="Unresolved Mention"/>
    <w:basedOn w:val="DefaultParagraphFont"/>
    <w:uiPriority w:val="99"/>
    <w:semiHidden/>
    <w:unhideWhenUsed/>
    <w:rsid w:val="003B3644"/>
    <w:rPr>
      <w:color w:val="605E5C"/>
      <w:shd w:val="clear" w:color="auto" w:fill="E1DFDD"/>
    </w:rPr>
  </w:style>
  <w:style w:type="paragraph" w:customStyle="1" w:styleId="alignright">
    <w:name w:val="alignright"/>
    <w:basedOn w:val="Normal"/>
    <w:rsid w:val="001A1A2D"/>
    <w:pPr>
      <w:spacing w:before="100" w:beforeAutospacing="1" w:after="100" w:afterAutospacing="1"/>
      <w:jc w:val="left"/>
    </w:pPr>
    <w:rPr>
      <w:rFonts w:eastAsia="Times New Roman"/>
      <w:sz w:val="24"/>
      <w:szCs w:val="24"/>
      <w:lang w:eastAsia="zh-CN"/>
    </w:rPr>
  </w:style>
  <w:style w:type="table" w:styleId="PlainTable1">
    <w:name w:val="Plain Table 1"/>
    <w:basedOn w:val="TableNormal"/>
    <w:uiPriority w:val="41"/>
    <w:rsid w:val="001A1A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dnoteReference">
    <w:name w:val="endnote reference"/>
    <w:basedOn w:val="DefaultParagraphFont"/>
    <w:uiPriority w:val="99"/>
    <w:semiHidden/>
    <w:unhideWhenUsed/>
    <w:rsid w:val="00DB129A"/>
    <w:rPr>
      <w:vertAlign w:val="superscript"/>
    </w:rPr>
  </w:style>
  <w:style w:type="paragraph" w:styleId="Revision">
    <w:name w:val="Revision"/>
    <w:hidden/>
    <w:uiPriority w:val="99"/>
    <w:semiHidden/>
    <w:rsid w:val="002F6D5A"/>
    <w:pPr>
      <w:spacing w:after="0" w:line="240" w:lineRule="auto"/>
    </w:pPr>
    <w:rPr>
      <w:rFonts w:ascii="Times New Roman" w:eastAsia="Calibri" w:hAnsi="Times New Roman" w:cs="Times New Roman"/>
      <w:color w:val="auto"/>
      <w:sz w:val="23"/>
      <w:lang w:eastAsia="en-US"/>
    </w:rPr>
  </w:style>
  <w:style w:type="paragraph" w:styleId="FootnoteText">
    <w:name w:val="footnote text"/>
    <w:basedOn w:val="Normal"/>
    <w:link w:val="FootnoteTextChar"/>
    <w:uiPriority w:val="99"/>
    <w:semiHidden/>
    <w:unhideWhenUsed/>
    <w:rsid w:val="00BD5AA9"/>
    <w:pPr>
      <w:jc w:val="left"/>
    </w:pPr>
    <w:rPr>
      <w:rFonts w:ascii="Arial" w:eastAsia="SimSun" w:hAnsi="Arial" w:cstheme="minorHAnsi"/>
      <w:color w:val="203062" w:themeColor="text2"/>
      <w:sz w:val="20"/>
    </w:rPr>
  </w:style>
  <w:style w:type="character" w:customStyle="1" w:styleId="FootnoteTextChar">
    <w:name w:val="Footnote Text Char"/>
    <w:basedOn w:val="DefaultParagraphFont"/>
    <w:link w:val="FootnoteText"/>
    <w:uiPriority w:val="99"/>
    <w:semiHidden/>
    <w:rsid w:val="00BD5AA9"/>
    <w:rPr>
      <w:rFonts w:eastAsia="SimSun"/>
      <w:lang w:eastAsia="en-US"/>
    </w:rPr>
  </w:style>
  <w:style w:type="character" w:styleId="FootnoteReference">
    <w:name w:val="footnote reference"/>
    <w:basedOn w:val="DefaultParagraphFont"/>
    <w:uiPriority w:val="99"/>
    <w:semiHidden/>
    <w:unhideWhenUsed/>
    <w:rsid w:val="00BD5AA9"/>
    <w:rPr>
      <w:vertAlign w:val="superscript"/>
    </w:rPr>
  </w:style>
  <w:style w:type="character" w:styleId="Strong">
    <w:name w:val="Strong"/>
    <w:basedOn w:val="DefaultParagraphFont"/>
    <w:uiPriority w:val="22"/>
    <w:qFormat/>
    <w:rsid w:val="00FF702E"/>
    <w:rPr>
      <w:b/>
      <w:bCs/>
    </w:rPr>
  </w:style>
  <w:style w:type="character" w:styleId="Emphasis">
    <w:name w:val="Emphasis"/>
    <w:basedOn w:val="DefaultParagraphFont"/>
    <w:uiPriority w:val="20"/>
    <w:qFormat/>
    <w:rsid w:val="002C0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200">
      <w:bodyDiv w:val="1"/>
      <w:marLeft w:val="0"/>
      <w:marRight w:val="0"/>
      <w:marTop w:val="0"/>
      <w:marBottom w:val="0"/>
      <w:divBdr>
        <w:top w:val="none" w:sz="0" w:space="0" w:color="auto"/>
        <w:left w:val="none" w:sz="0" w:space="0" w:color="auto"/>
        <w:bottom w:val="none" w:sz="0" w:space="0" w:color="auto"/>
        <w:right w:val="none" w:sz="0" w:space="0" w:color="auto"/>
      </w:divBdr>
    </w:div>
    <w:div w:id="66809431">
      <w:bodyDiv w:val="1"/>
      <w:marLeft w:val="0"/>
      <w:marRight w:val="0"/>
      <w:marTop w:val="0"/>
      <w:marBottom w:val="0"/>
      <w:divBdr>
        <w:top w:val="none" w:sz="0" w:space="0" w:color="auto"/>
        <w:left w:val="none" w:sz="0" w:space="0" w:color="auto"/>
        <w:bottom w:val="none" w:sz="0" w:space="0" w:color="auto"/>
        <w:right w:val="none" w:sz="0" w:space="0" w:color="auto"/>
      </w:divBdr>
    </w:div>
    <w:div w:id="109084158">
      <w:bodyDiv w:val="1"/>
      <w:marLeft w:val="0"/>
      <w:marRight w:val="0"/>
      <w:marTop w:val="0"/>
      <w:marBottom w:val="0"/>
      <w:divBdr>
        <w:top w:val="none" w:sz="0" w:space="0" w:color="auto"/>
        <w:left w:val="none" w:sz="0" w:space="0" w:color="auto"/>
        <w:bottom w:val="none" w:sz="0" w:space="0" w:color="auto"/>
        <w:right w:val="none" w:sz="0" w:space="0" w:color="auto"/>
      </w:divBdr>
    </w:div>
    <w:div w:id="209726805">
      <w:bodyDiv w:val="1"/>
      <w:marLeft w:val="0"/>
      <w:marRight w:val="0"/>
      <w:marTop w:val="0"/>
      <w:marBottom w:val="0"/>
      <w:divBdr>
        <w:top w:val="none" w:sz="0" w:space="0" w:color="auto"/>
        <w:left w:val="none" w:sz="0" w:space="0" w:color="auto"/>
        <w:bottom w:val="none" w:sz="0" w:space="0" w:color="auto"/>
        <w:right w:val="none" w:sz="0" w:space="0" w:color="auto"/>
      </w:divBdr>
    </w:div>
    <w:div w:id="222066237">
      <w:bodyDiv w:val="1"/>
      <w:marLeft w:val="0"/>
      <w:marRight w:val="0"/>
      <w:marTop w:val="0"/>
      <w:marBottom w:val="0"/>
      <w:divBdr>
        <w:top w:val="none" w:sz="0" w:space="0" w:color="auto"/>
        <w:left w:val="none" w:sz="0" w:space="0" w:color="auto"/>
        <w:bottom w:val="none" w:sz="0" w:space="0" w:color="auto"/>
        <w:right w:val="none" w:sz="0" w:space="0" w:color="auto"/>
      </w:divBdr>
    </w:div>
    <w:div w:id="245310099">
      <w:bodyDiv w:val="1"/>
      <w:marLeft w:val="0"/>
      <w:marRight w:val="0"/>
      <w:marTop w:val="0"/>
      <w:marBottom w:val="0"/>
      <w:divBdr>
        <w:top w:val="none" w:sz="0" w:space="0" w:color="auto"/>
        <w:left w:val="none" w:sz="0" w:space="0" w:color="auto"/>
        <w:bottom w:val="none" w:sz="0" w:space="0" w:color="auto"/>
        <w:right w:val="none" w:sz="0" w:space="0" w:color="auto"/>
      </w:divBdr>
    </w:div>
    <w:div w:id="391856224">
      <w:bodyDiv w:val="1"/>
      <w:marLeft w:val="0"/>
      <w:marRight w:val="0"/>
      <w:marTop w:val="0"/>
      <w:marBottom w:val="0"/>
      <w:divBdr>
        <w:top w:val="none" w:sz="0" w:space="0" w:color="auto"/>
        <w:left w:val="none" w:sz="0" w:space="0" w:color="auto"/>
        <w:bottom w:val="none" w:sz="0" w:space="0" w:color="auto"/>
        <w:right w:val="none" w:sz="0" w:space="0" w:color="auto"/>
      </w:divBdr>
    </w:div>
    <w:div w:id="418139751">
      <w:bodyDiv w:val="1"/>
      <w:marLeft w:val="0"/>
      <w:marRight w:val="0"/>
      <w:marTop w:val="0"/>
      <w:marBottom w:val="0"/>
      <w:divBdr>
        <w:top w:val="none" w:sz="0" w:space="0" w:color="auto"/>
        <w:left w:val="none" w:sz="0" w:space="0" w:color="auto"/>
        <w:bottom w:val="none" w:sz="0" w:space="0" w:color="auto"/>
        <w:right w:val="none" w:sz="0" w:space="0" w:color="auto"/>
      </w:divBdr>
    </w:div>
    <w:div w:id="425619387">
      <w:bodyDiv w:val="1"/>
      <w:marLeft w:val="0"/>
      <w:marRight w:val="0"/>
      <w:marTop w:val="0"/>
      <w:marBottom w:val="0"/>
      <w:divBdr>
        <w:top w:val="none" w:sz="0" w:space="0" w:color="auto"/>
        <w:left w:val="none" w:sz="0" w:space="0" w:color="auto"/>
        <w:bottom w:val="none" w:sz="0" w:space="0" w:color="auto"/>
        <w:right w:val="none" w:sz="0" w:space="0" w:color="auto"/>
      </w:divBdr>
    </w:div>
    <w:div w:id="510341869">
      <w:bodyDiv w:val="1"/>
      <w:marLeft w:val="0"/>
      <w:marRight w:val="0"/>
      <w:marTop w:val="0"/>
      <w:marBottom w:val="0"/>
      <w:divBdr>
        <w:top w:val="none" w:sz="0" w:space="0" w:color="auto"/>
        <w:left w:val="none" w:sz="0" w:space="0" w:color="auto"/>
        <w:bottom w:val="none" w:sz="0" w:space="0" w:color="auto"/>
        <w:right w:val="none" w:sz="0" w:space="0" w:color="auto"/>
      </w:divBdr>
    </w:div>
    <w:div w:id="658196297">
      <w:bodyDiv w:val="1"/>
      <w:marLeft w:val="0"/>
      <w:marRight w:val="0"/>
      <w:marTop w:val="0"/>
      <w:marBottom w:val="0"/>
      <w:divBdr>
        <w:top w:val="none" w:sz="0" w:space="0" w:color="auto"/>
        <w:left w:val="none" w:sz="0" w:space="0" w:color="auto"/>
        <w:bottom w:val="none" w:sz="0" w:space="0" w:color="auto"/>
        <w:right w:val="none" w:sz="0" w:space="0" w:color="auto"/>
      </w:divBdr>
    </w:div>
    <w:div w:id="687490601">
      <w:bodyDiv w:val="1"/>
      <w:marLeft w:val="0"/>
      <w:marRight w:val="0"/>
      <w:marTop w:val="0"/>
      <w:marBottom w:val="0"/>
      <w:divBdr>
        <w:top w:val="none" w:sz="0" w:space="0" w:color="auto"/>
        <w:left w:val="none" w:sz="0" w:space="0" w:color="auto"/>
        <w:bottom w:val="none" w:sz="0" w:space="0" w:color="auto"/>
        <w:right w:val="none" w:sz="0" w:space="0" w:color="auto"/>
      </w:divBdr>
    </w:div>
    <w:div w:id="759065481">
      <w:bodyDiv w:val="1"/>
      <w:marLeft w:val="0"/>
      <w:marRight w:val="0"/>
      <w:marTop w:val="0"/>
      <w:marBottom w:val="0"/>
      <w:divBdr>
        <w:top w:val="none" w:sz="0" w:space="0" w:color="auto"/>
        <w:left w:val="none" w:sz="0" w:space="0" w:color="auto"/>
        <w:bottom w:val="none" w:sz="0" w:space="0" w:color="auto"/>
        <w:right w:val="none" w:sz="0" w:space="0" w:color="auto"/>
      </w:divBdr>
    </w:div>
    <w:div w:id="797069528">
      <w:bodyDiv w:val="1"/>
      <w:marLeft w:val="0"/>
      <w:marRight w:val="0"/>
      <w:marTop w:val="0"/>
      <w:marBottom w:val="0"/>
      <w:divBdr>
        <w:top w:val="none" w:sz="0" w:space="0" w:color="auto"/>
        <w:left w:val="none" w:sz="0" w:space="0" w:color="auto"/>
        <w:bottom w:val="none" w:sz="0" w:space="0" w:color="auto"/>
        <w:right w:val="none" w:sz="0" w:space="0" w:color="auto"/>
      </w:divBdr>
    </w:div>
    <w:div w:id="808784494">
      <w:bodyDiv w:val="1"/>
      <w:marLeft w:val="0"/>
      <w:marRight w:val="0"/>
      <w:marTop w:val="0"/>
      <w:marBottom w:val="0"/>
      <w:divBdr>
        <w:top w:val="none" w:sz="0" w:space="0" w:color="auto"/>
        <w:left w:val="none" w:sz="0" w:space="0" w:color="auto"/>
        <w:bottom w:val="none" w:sz="0" w:space="0" w:color="auto"/>
        <w:right w:val="none" w:sz="0" w:space="0" w:color="auto"/>
      </w:divBdr>
    </w:div>
    <w:div w:id="826752629">
      <w:bodyDiv w:val="1"/>
      <w:marLeft w:val="0"/>
      <w:marRight w:val="0"/>
      <w:marTop w:val="0"/>
      <w:marBottom w:val="0"/>
      <w:divBdr>
        <w:top w:val="none" w:sz="0" w:space="0" w:color="auto"/>
        <w:left w:val="none" w:sz="0" w:space="0" w:color="auto"/>
        <w:bottom w:val="none" w:sz="0" w:space="0" w:color="auto"/>
        <w:right w:val="none" w:sz="0" w:space="0" w:color="auto"/>
      </w:divBdr>
    </w:div>
    <w:div w:id="95394750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1078946201">
      <w:bodyDiv w:val="1"/>
      <w:marLeft w:val="0"/>
      <w:marRight w:val="0"/>
      <w:marTop w:val="0"/>
      <w:marBottom w:val="0"/>
      <w:divBdr>
        <w:top w:val="none" w:sz="0" w:space="0" w:color="auto"/>
        <w:left w:val="none" w:sz="0" w:space="0" w:color="auto"/>
        <w:bottom w:val="none" w:sz="0" w:space="0" w:color="auto"/>
        <w:right w:val="none" w:sz="0" w:space="0" w:color="auto"/>
      </w:divBdr>
    </w:div>
    <w:div w:id="1198543200">
      <w:bodyDiv w:val="1"/>
      <w:marLeft w:val="0"/>
      <w:marRight w:val="0"/>
      <w:marTop w:val="0"/>
      <w:marBottom w:val="0"/>
      <w:divBdr>
        <w:top w:val="none" w:sz="0" w:space="0" w:color="auto"/>
        <w:left w:val="none" w:sz="0" w:space="0" w:color="auto"/>
        <w:bottom w:val="none" w:sz="0" w:space="0" w:color="auto"/>
        <w:right w:val="none" w:sz="0" w:space="0" w:color="auto"/>
      </w:divBdr>
    </w:div>
    <w:div w:id="1205097968">
      <w:bodyDiv w:val="1"/>
      <w:marLeft w:val="0"/>
      <w:marRight w:val="0"/>
      <w:marTop w:val="0"/>
      <w:marBottom w:val="0"/>
      <w:divBdr>
        <w:top w:val="none" w:sz="0" w:space="0" w:color="auto"/>
        <w:left w:val="none" w:sz="0" w:space="0" w:color="auto"/>
        <w:bottom w:val="none" w:sz="0" w:space="0" w:color="auto"/>
        <w:right w:val="none" w:sz="0" w:space="0" w:color="auto"/>
      </w:divBdr>
    </w:div>
    <w:div w:id="1270118108">
      <w:bodyDiv w:val="1"/>
      <w:marLeft w:val="0"/>
      <w:marRight w:val="0"/>
      <w:marTop w:val="0"/>
      <w:marBottom w:val="0"/>
      <w:divBdr>
        <w:top w:val="none" w:sz="0" w:space="0" w:color="auto"/>
        <w:left w:val="none" w:sz="0" w:space="0" w:color="auto"/>
        <w:bottom w:val="none" w:sz="0" w:space="0" w:color="auto"/>
        <w:right w:val="none" w:sz="0" w:space="0" w:color="auto"/>
      </w:divBdr>
    </w:div>
    <w:div w:id="1274481593">
      <w:bodyDiv w:val="1"/>
      <w:marLeft w:val="0"/>
      <w:marRight w:val="0"/>
      <w:marTop w:val="0"/>
      <w:marBottom w:val="0"/>
      <w:divBdr>
        <w:top w:val="none" w:sz="0" w:space="0" w:color="auto"/>
        <w:left w:val="none" w:sz="0" w:space="0" w:color="auto"/>
        <w:bottom w:val="none" w:sz="0" w:space="0" w:color="auto"/>
        <w:right w:val="none" w:sz="0" w:space="0" w:color="auto"/>
      </w:divBdr>
    </w:div>
    <w:div w:id="1402753669">
      <w:bodyDiv w:val="1"/>
      <w:marLeft w:val="0"/>
      <w:marRight w:val="0"/>
      <w:marTop w:val="0"/>
      <w:marBottom w:val="0"/>
      <w:divBdr>
        <w:top w:val="none" w:sz="0" w:space="0" w:color="auto"/>
        <w:left w:val="none" w:sz="0" w:space="0" w:color="auto"/>
        <w:bottom w:val="none" w:sz="0" w:space="0" w:color="auto"/>
        <w:right w:val="none" w:sz="0" w:space="0" w:color="auto"/>
      </w:divBdr>
    </w:div>
    <w:div w:id="1437554535">
      <w:bodyDiv w:val="1"/>
      <w:marLeft w:val="0"/>
      <w:marRight w:val="0"/>
      <w:marTop w:val="0"/>
      <w:marBottom w:val="0"/>
      <w:divBdr>
        <w:top w:val="none" w:sz="0" w:space="0" w:color="auto"/>
        <w:left w:val="none" w:sz="0" w:space="0" w:color="auto"/>
        <w:bottom w:val="none" w:sz="0" w:space="0" w:color="auto"/>
        <w:right w:val="none" w:sz="0" w:space="0" w:color="auto"/>
      </w:divBdr>
    </w:div>
    <w:div w:id="1560243437">
      <w:bodyDiv w:val="1"/>
      <w:marLeft w:val="0"/>
      <w:marRight w:val="0"/>
      <w:marTop w:val="0"/>
      <w:marBottom w:val="0"/>
      <w:divBdr>
        <w:top w:val="none" w:sz="0" w:space="0" w:color="auto"/>
        <w:left w:val="none" w:sz="0" w:space="0" w:color="auto"/>
        <w:bottom w:val="none" w:sz="0" w:space="0" w:color="auto"/>
        <w:right w:val="none" w:sz="0" w:space="0" w:color="auto"/>
      </w:divBdr>
    </w:div>
    <w:div w:id="1563131837">
      <w:bodyDiv w:val="1"/>
      <w:marLeft w:val="0"/>
      <w:marRight w:val="0"/>
      <w:marTop w:val="0"/>
      <w:marBottom w:val="0"/>
      <w:divBdr>
        <w:top w:val="none" w:sz="0" w:space="0" w:color="auto"/>
        <w:left w:val="none" w:sz="0" w:space="0" w:color="auto"/>
        <w:bottom w:val="none" w:sz="0" w:space="0" w:color="auto"/>
        <w:right w:val="none" w:sz="0" w:space="0" w:color="auto"/>
      </w:divBdr>
    </w:div>
    <w:div w:id="1565480960">
      <w:bodyDiv w:val="1"/>
      <w:marLeft w:val="0"/>
      <w:marRight w:val="0"/>
      <w:marTop w:val="0"/>
      <w:marBottom w:val="0"/>
      <w:divBdr>
        <w:top w:val="none" w:sz="0" w:space="0" w:color="auto"/>
        <w:left w:val="none" w:sz="0" w:space="0" w:color="auto"/>
        <w:bottom w:val="none" w:sz="0" w:space="0" w:color="auto"/>
        <w:right w:val="none" w:sz="0" w:space="0" w:color="auto"/>
      </w:divBdr>
    </w:div>
    <w:div w:id="1714580132">
      <w:bodyDiv w:val="1"/>
      <w:marLeft w:val="0"/>
      <w:marRight w:val="0"/>
      <w:marTop w:val="0"/>
      <w:marBottom w:val="0"/>
      <w:divBdr>
        <w:top w:val="none" w:sz="0" w:space="0" w:color="auto"/>
        <w:left w:val="none" w:sz="0" w:space="0" w:color="auto"/>
        <w:bottom w:val="none" w:sz="0" w:space="0" w:color="auto"/>
        <w:right w:val="none" w:sz="0" w:space="0" w:color="auto"/>
      </w:divBdr>
    </w:div>
    <w:div w:id="1758134491">
      <w:bodyDiv w:val="1"/>
      <w:marLeft w:val="0"/>
      <w:marRight w:val="0"/>
      <w:marTop w:val="0"/>
      <w:marBottom w:val="0"/>
      <w:divBdr>
        <w:top w:val="none" w:sz="0" w:space="0" w:color="auto"/>
        <w:left w:val="none" w:sz="0" w:space="0" w:color="auto"/>
        <w:bottom w:val="none" w:sz="0" w:space="0" w:color="auto"/>
        <w:right w:val="none" w:sz="0" w:space="0" w:color="auto"/>
      </w:divBdr>
    </w:div>
    <w:div w:id="1797333127">
      <w:bodyDiv w:val="1"/>
      <w:marLeft w:val="0"/>
      <w:marRight w:val="0"/>
      <w:marTop w:val="0"/>
      <w:marBottom w:val="0"/>
      <w:divBdr>
        <w:top w:val="none" w:sz="0" w:space="0" w:color="auto"/>
        <w:left w:val="none" w:sz="0" w:space="0" w:color="auto"/>
        <w:bottom w:val="none" w:sz="0" w:space="0" w:color="auto"/>
        <w:right w:val="none" w:sz="0" w:space="0" w:color="auto"/>
      </w:divBdr>
    </w:div>
    <w:div w:id="1839535853">
      <w:bodyDiv w:val="1"/>
      <w:marLeft w:val="0"/>
      <w:marRight w:val="0"/>
      <w:marTop w:val="0"/>
      <w:marBottom w:val="0"/>
      <w:divBdr>
        <w:top w:val="none" w:sz="0" w:space="0" w:color="auto"/>
        <w:left w:val="none" w:sz="0" w:space="0" w:color="auto"/>
        <w:bottom w:val="none" w:sz="0" w:space="0" w:color="auto"/>
        <w:right w:val="none" w:sz="0" w:space="0" w:color="auto"/>
      </w:divBdr>
    </w:div>
    <w:div w:id="1859274421">
      <w:bodyDiv w:val="1"/>
      <w:marLeft w:val="0"/>
      <w:marRight w:val="0"/>
      <w:marTop w:val="0"/>
      <w:marBottom w:val="0"/>
      <w:divBdr>
        <w:top w:val="none" w:sz="0" w:space="0" w:color="auto"/>
        <w:left w:val="none" w:sz="0" w:space="0" w:color="auto"/>
        <w:bottom w:val="none" w:sz="0" w:space="0" w:color="auto"/>
        <w:right w:val="none" w:sz="0" w:space="0" w:color="auto"/>
      </w:divBdr>
    </w:div>
    <w:div w:id="1868374801">
      <w:bodyDiv w:val="1"/>
      <w:marLeft w:val="0"/>
      <w:marRight w:val="0"/>
      <w:marTop w:val="0"/>
      <w:marBottom w:val="0"/>
      <w:divBdr>
        <w:top w:val="none" w:sz="0" w:space="0" w:color="auto"/>
        <w:left w:val="none" w:sz="0" w:space="0" w:color="auto"/>
        <w:bottom w:val="none" w:sz="0" w:space="0" w:color="auto"/>
        <w:right w:val="none" w:sz="0" w:space="0" w:color="auto"/>
      </w:divBdr>
    </w:div>
    <w:div w:id="1890338045">
      <w:bodyDiv w:val="1"/>
      <w:marLeft w:val="0"/>
      <w:marRight w:val="0"/>
      <w:marTop w:val="0"/>
      <w:marBottom w:val="0"/>
      <w:divBdr>
        <w:top w:val="none" w:sz="0" w:space="0" w:color="auto"/>
        <w:left w:val="none" w:sz="0" w:space="0" w:color="auto"/>
        <w:bottom w:val="none" w:sz="0" w:space="0" w:color="auto"/>
        <w:right w:val="none" w:sz="0" w:space="0" w:color="auto"/>
      </w:divBdr>
    </w:div>
    <w:div w:id="1934629687">
      <w:bodyDiv w:val="1"/>
      <w:marLeft w:val="0"/>
      <w:marRight w:val="0"/>
      <w:marTop w:val="0"/>
      <w:marBottom w:val="0"/>
      <w:divBdr>
        <w:top w:val="none" w:sz="0" w:space="0" w:color="auto"/>
        <w:left w:val="none" w:sz="0" w:space="0" w:color="auto"/>
        <w:bottom w:val="none" w:sz="0" w:space="0" w:color="auto"/>
        <w:right w:val="none" w:sz="0" w:space="0" w:color="auto"/>
      </w:divBdr>
    </w:div>
    <w:div w:id="1960991308">
      <w:bodyDiv w:val="1"/>
      <w:marLeft w:val="0"/>
      <w:marRight w:val="0"/>
      <w:marTop w:val="0"/>
      <w:marBottom w:val="0"/>
      <w:divBdr>
        <w:top w:val="none" w:sz="0" w:space="0" w:color="auto"/>
        <w:left w:val="none" w:sz="0" w:space="0" w:color="auto"/>
        <w:bottom w:val="none" w:sz="0" w:space="0" w:color="auto"/>
        <w:right w:val="none" w:sz="0" w:space="0" w:color="auto"/>
      </w:divBdr>
    </w:div>
    <w:div w:id="2006516627">
      <w:bodyDiv w:val="1"/>
      <w:marLeft w:val="0"/>
      <w:marRight w:val="0"/>
      <w:marTop w:val="0"/>
      <w:marBottom w:val="0"/>
      <w:divBdr>
        <w:top w:val="none" w:sz="0" w:space="0" w:color="auto"/>
        <w:left w:val="none" w:sz="0" w:space="0" w:color="auto"/>
        <w:bottom w:val="none" w:sz="0" w:space="0" w:color="auto"/>
        <w:right w:val="none" w:sz="0" w:space="0" w:color="auto"/>
      </w:divBdr>
    </w:div>
    <w:div w:id="2077776053">
      <w:bodyDiv w:val="1"/>
      <w:marLeft w:val="0"/>
      <w:marRight w:val="0"/>
      <w:marTop w:val="0"/>
      <w:marBottom w:val="0"/>
      <w:divBdr>
        <w:top w:val="none" w:sz="0" w:space="0" w:color="auto"/>
        <w:left w:val="none" w:sz="0" w:space="0" w:color="auto"/>
        <w:bottom w:val="none" w:sz="0" w:space="0" w:color="auto"/>
        <w:right w:val="none" w:sz="0" w:space="0" w:color="auto"/>
      </w:divBdr>
    </w:div>
    <w:div w:id="2089424020">
      <w:bodyDiv w:val="1"/>
      <w:marLeft w:val="0"/>
      <w:marRight w:val="0"/>
      <w:marTop w:val="0"/>
      <w:marBottom w:val="0"/>
      <w:divBdr>
        <w:top w:val="none" w:sz="0" w:space="0" w:color="auto"/>
        <w:left w:val="none" w:sz="0" w:space="0" w:color="auto"/>
        <w:bottom w:val="none" w:sz="0" w:space="0" w:color="auto"/>
        <w:right w:val="none" w:sz="0" w:space="0" w:color="auto"/>
      </w:divBdr>
    </w:div>
    <w:div w:id="2112434259">
      <w:bodyDiv w:val="1"/>
      <w:marLeft w:val="0"/>
      <w:marRight w:val="0"/>
      <w:marTop w:val="0"/>
      <w:marBottom w:val="0"/>
      <w:divBdr>
        <w:top w:val="none" w:sz="0" w:space="0" w:color="auto"/>
        <w:left w:val="none" w:sz="0" w:space="0" w:color="auto"/>
        <w:bottom w:val="none" w:sz="0" w:space="0" w:color="auto"/>
        <w:right w:val="none" w:sz="0" w:space="0" w:color="auto"/>
      </w:divBdr>
    </w:div>
    <w:div w:id="21185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New_ShineWing">
  <a:themeElements>
    <a:clrScheme name="SW 2021">
      <a:dk1>
        <a:sysClr val="windowText" lastClr="000000"/>
      </a:dk1>
      <a:lt1>
        <a:sysClr val="window" lastClr="FFFFFF"/>
      </a:lt1>
      <a:dk2>
        <a:srgbClr val="203062"/>
      </a:dk2>
      <a:lt2>
        <a:srgbClr val="E7E6E6"/>
      </a:lt2>
      <a:accent1>
        <a:srgbClr val="F37021"/>
      </a:accent1>
      <a:accent2>
        <a:srgbClr val="4CBEA6"/>
      </a:accent2>
      <a:accent3>
        <a:srgbClr val="4273B2"/>
      </a:accent3>
      <a:accent4>
        <a:srgbClr val="7ED3F7"/>
      </a:accent4>
      <a:accent5>
        <a:srgbClr val="E61A50"/>
      </a:accent5>
      <a:accent6>
        <a:srgbClr val="CDD929"/>
      </a:accent6>
      <a:hlink>
        <a:srgbClr val="557DBF"/>
      </a:hlink>
      <a:folHlink>
        <a:srgbClr val="20306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a:spPr>
      <a:bodyPr rot="0" spcFirstLastPara="0" vertOverflow="overflow" horzOverflow="overflow" vert="horz" wrap="square" lIns="540000" tIns="540000" rIns="54000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201DC-B0AF-440E-ADEA-B4572DC14F34}"/>
</file>

<file path=customXml/itemProps2.xml><?xml version="1.0" encoding="utf-8"?>
<ds:datastoreItem xmlns:ds="http://schemas.openxmlformats.org/officeDocument/2006/customXml" ds:itemID="{50587C87-7D4E-4413-B3B8-76F22DACE80F}">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3.xml><?xml version="1.0" encoding="utf-8"?>
<ds:datastoreItem xmlns:ds="http://schemas.openxmlformats.org/officeDocument/2006/customXml" ds:itemID="{E8F60F5C-A5D0-4563-B35F-EB864B465890}">
  <ds:schemaRefs>
    <ds:schemaRef ds:uri="http://schemas.openxmlformats.org/officeDocument/2006/bibliography"/>
  </ds:schemaRefs>
</ds:datastoreItem>
</file>

<file path=customXml/itemProps4.xml><?xml version="1.0" encoding="utf-8"?>
<ds:datastoreItem xmlns:ds="http://schemas.openxmlformats.org/officeDocument/2006/customXml" ds:itemID="{AEA1BD7D-BE22-4936-93FB-194A6E608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2322</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Links>
    <vt:vector size="102" baseType="variant">
      <vt:variant>
        <vt:i4>7798817</vt:i4>
      </vt:variant>
      <vt:variant>
        <vt:i4>3</vt:i4>
      </vt:variant>
      <vt:variant>
        <vt:i4>0</vt:i4>
      </vt:variant>
      <vt:variant>
        <vt:i4>5</vt:i4>
      </vt:variant>
      <vt:variant>
        <vt:lpwstr>https://www.ato.gov.au/businesses-and-organisations/international-tax-for-business/in-detail/pricing/transfer-pricing/country-by-country-reporting/country-by-country-reporting-guidance/exemptions-including-administrative-relief</vt:lpwstr>
      </vt:variant>
      <vt:variant>
        <vt:lpwstr/>
      </vt:variant>
      <vt:variant>
        <vt:i4>8192022</vt:i4>
      </vt:variant>
      <vt:variant>
        <vt:i4>0</vt:i4>
      </vt:variant>
      <vt:variant>
        <vt:i4>0</vt:i4>
      </vt:variant>
      <vt:variant>
        <vt:i4>5</vt:i4>
      </vt:variant>
      <vt:variant>
        <vt:lpwstr>https://aasb.gov.au/admin/file/content105/c9/AASB10_07-15_ACOMPdec21_01-22.pdf</vt:lpwstr>
      </vt:variant>
      <vt:variant>
        <vt:lpwstr/>
      </vt:variant>
      <vt:variant>
        <vt:i4>4653056</vt:i4>
      </vt:variant>
      <vt:variant>
        <vt:i4>42</vt:i4>
      </vt:variant>
      <vt:variant>
        <vt:i4>0</vt:i4>
      </vt:variant>
      <vt:variant>
        <vt:i4>5</vt:i4>
      </vt:variant>
      <vt:variant>
        <vt:lpwstr>https://www.ato.gov.au/businesses-and-organisations/corporate-tax-measures-and-assurance/public-business-and-international/significant-global-entities/significant-global-entities-penalties</vt:lpwstr>
      </vt:variant>
      <vt:variant>
        <vt:lpwstr/>
      </vt:variant>
      <vt:variant>
        <vt:i4>4784217</vt:i4>
      </vt:variant>
      <vt:variant>
        <vt:i4>39</vt:i4>
      </vt:variant>
      <vt:variant>
        <vt:i4>0</vt:i4>
      </vt:variant>
      <vt:variant>
        <vt:i4>5</vt:i4>
      </vt:variant>
      <vt:variant>
        <vt:lpwstr>https://www.ato.gov.au/businesses-and-organisations/international-tax-for-business/in-detail/doing-business-in-australia-or-overseas/combating-multinational-tax-avoidance-a-targeted-anti-avoidance-law</vt:lpwstr>
      </vt:variant>
      <vt:variant>
        <vt:lpwstr/>
      </vt:variant>
      <vt:variant>
        <vt:i4>2424936</vt:i4>
      </vt:variant>
      <vt:variant>
        <vt:i4>36</vt:i4>
      </vt:variant>
      <vt:variant>
        <vt:i4>0</vt:i4>
      </vt:variant>
      <vt:variant>
        <vt:i4>5</vt:i4>
      </vt:variant>
      <vt:variant>
        <vt:lpwstr>https://www.ato.gov.au/forms-and-instructions/company-tax-return-2021-instructions/items-1-to-5/5-country-by-country-reporting-entities-gpfs-obligation</vt:lpwstr>
      </vt:variant>
      <vt:variant>
        <vt:lpwstr/>
      </vt:variant>
      <vt:variant>
        <vt:i4>720964</vt:i4>
      </vt:variant>
      <vt:variant>
        <vt:i4>33</vt:i4>
      </vt:variant>
      <vt:variant>
        <vt:i4>0</vt:i4>
      </vt:variant>
      <vt:variant>
        <vt:i4>5</vt:i4>
      </vt:variant>
      <vt:variant>
        <vt:lpwstr>https://www.oecd.org/tax/beps/beps-actions/action13/</vt:lpwstr>
      </vt:variant>
      <vt:variant>
        <vt:lpwstr/>
      </vt:variant>
      <vt:variant>
        <vt:i4>1769550</vt:i4>
      </vt:variant>
      <vt:variant>
        <vt:i4>30</vt:i4>
      </vt:variant>
      <vt:variant>
        <vt:i4>0</vt:i4>
      </vt:variant>
      <vt:variant>
        <vt:i4>5</vt:i4>
      </vt:variant>
      <vt:variant>
        <vt:lpwstr>https://www.ato.gov.au/businesses-and-organisations/international-tax-for-business/in-detail/pricing/transfer-pricing/country-by-country-reporting/country-by-country-reporting-guidance/master-file-instructions</vt:lpwstr>
      </vt:variant>
      <vt:variant>
        <vt:lpwstr>ato-Overview</vt:lpwstr>
      </vt:variant>
      <vt:variant>
        <vt:i4>3997759</vt:i4>
      </vt:variant>
      <vt:variant>
        <vt:i4>27</vt:i4>
      </vt:variant>
      <vt:variant>
        <vt:i4>0</vt:i4>
      </vt:variant>
      <vt:variant>
        <vt:i4>5</vt:i4>
      </vt:variant>
      <vt:variant>
        <vt:lpwstr>https://www.ato.gov.au/businesses-and-organisations/international-tax-for-business/in-detail/pricing/transfer-pricing/country-by-country-reporting/country-by-country-reporting-guidance/exemptions-including-administrative-relief</vt:lpwstr>
      </vt:variant>
      <vt:variant>
        <vt:lpwstr>ato-Administrativerelieflocalfile</vt:lpwstr>
      </vt:variant>
      <vt:variant>
        <vt:i4>3538978</vt:i4>
      </vt:variant>
      <vt:variant>
        <vt:i4>24</vt:i4>
      </vt:variant>
      <vt:variant>
        <vt:i4>0</vt:i4>
      </vt:variant>
      <vt:variant>
        <vt:i4>5</vt:i4>
      </vt:variant>
      <vt:variant>
        <vt:lpwstr>https://www.ato.gov.au/businesses-and-organisations/international-tax-for-business/in-detail/pricing/transfer-pricing/country-by-country-reporting/country-by-country-reporting-guidance/cbc-reporting-obligations?anchor=BK_1DeterminingwhetheryouhaveCbCreportin</vt:lpwstr>
      </vt:variant>
      <vt:variant>
        <vt:lpwstr>BK_1DeterminingwhetheryouhaveCbCreportin</vt:lpwstr>
      </vt:variant>
      <vt:variant>
        <vt:i4>720962</vt:i4>
      </vt:variant>
      <vt:variant>
        <vt:i4>21</vt:i4>
      </vt:variant>
      <vt:variant>
        <vt:i4>0</vt:i4>
      </vt:variant>
      <vt:variant>
        <vt:i4>5</vt:i4>
      </vt:variant>
      <vt:variant>
        <vt:lpwstr>https://www.ato.gov.au/businesses-and-organisations/international-tax-for-business/in-detail/pricing/transfer-pricing/country-by-country-reporting</vt:lpwstr>
      </vt:variant>
      <vt:variant>
        <vt:lpwstr>ato-CBCreportingobligations</vt:lpwstr>
      </vt:variant>
      <vt:variant>
        <vt:i4>327765</vt:i4>
      </vt:variant>
      <vt:variant>
        <vt:i4>18</vt:i4>
      </vt:variant>
      <vt:variant>
        <vt:i4>0</vt:i4>
      </vt:variant>
      <vt:variant>
        <vt:i4>5</vt:i4>
      </vt:variant>
      <vt:variant>
        <vt:lpwstr>https://www.ato.gov.au/businesses-and-organisations/corporate-tax-measures-and-assurance/public-business-and-international/country-by-country-reporting-entities</vt:lpwstr>
      </vt:variant>
      <vt:variant>
        <vt:lpwstr/>
      </vt:variant>
      <vt:variant>
        <vt:i4>4325465</vt:i4>
      </vt:variant>
      <vt:variant>
        <vt:i4>15</vt:i4>
      </vt:variant>
      <vt:variant>
        <vt:i4>0</vt:i4>
      </vt:variant>
      <vt:variant>
        <vt:i4>5</vt:i4>
      </vt:variant>
      <vt:variant>
        <vt:lpwstr>https://www.ato.gov.au/businesses-and-organisations/corporate-tax-measures-and-assurance/public-business-and-international/country-by-country-reporting-entities</vt:lpwstr>
      </vt:variant>
      <vt:variant>
        <vt:lpwstr>ato-Memberofagroupofentitiesconsolidatedforaccountingpurposes</vt:lpwstr>
      </vt:variant>
      <vt:variant>
        <vt:i4>4325465</vt:i4>
      </vt:variant>
      <vt:variant>
        <vt:i4>12</vt:i4>
      </vt:variant>
      <vt:variant>
        <vt:i4>0</vt:i4>
      </vt:variant>
      <vt:variant>
        <vt:i4>5</vt:i4>
      </vt:variant>
      <vt:variant>
        <vt:lpwstr>https://www.ato.gov.au/businesses-and-organisations/corporate-tax-measures-and-assurance/public-business-and-international/country-by-country-reporting-entities</vt:lpwstr>
      </vt:variant>
      <vt:variant>
        <vt:lpwstr>ato-Memberofagroupofentitiesconsolidatedforaccountingpurposes</vt:lpwstr>
      </vt:variant>
      <vt:variant>
        <vt:i4>589890</vt:i4>
      </vt:variant>
      <vt:variant>
        <vt:i4>9</vt:i4>
      </vt:variant>
      <vt:variant>
        <vt:i4>0</vt:i4>
      </vt:variant>
      <vt:variant>
        <vt:i4>5</vt:i4>
      </vt:variant>
      <vt:variant>
        <vt:lpwstr>https://www.ato.gov.au/businesses-and-organisations/international-tax-for-business/in-detail/pricing/transfer-pricing/country-by-country-reporting</vt:lpwstr>
      </vt:variant>
      <vt:variant>
        <vt:lpwstr>ato-WhatisCBCreporting</vt:lpwstr>
      </vt:variant>
      <vt:variant>
        <vt:i4>3735595</vt:i4>
      </vt:variant>
      <vt:variant>
        <vt:i4>6</vt:i4>
      </vt:variant>
      <vt:variant>
        <vt:i4>0</vt:i4>
      </vt:variant>
      <vt:variant>
        <vt:i4>5</vt:i4>
      </vt:variant>
      <vt:variant>
        <vt:lpwstr>https://www.ato.gov.au/businesses-and-organisations/corporate-tax-measures-and-assurance/public-business-and-international/significant-global-entities</vt:lpwstr>
      </vt:variant>
      <vt:variant>
        <vt:lpwstr>ato-Significantglobalentitydefinition</vt:lpwstr>
      </vt:variant>
      <vt:variant>
        <vt:i4>3735595</vt:i4>
      </vt:variant>
      <vt:variant>
        <vt:i4>3</vt:i4>
      </vt:variant>
      <vt:variant>
        <vt:i4>0</vt:i4>
      </vt:variant>
      <vt:variant>
        <vt:i4>5</vt:i4>
      </vt:variant>
      <vt:variant>
        <vt:lpwstr>https://www.ato.gov.au/businesses-and-organisations/corporate-tax-measures-and-assurance/public-business-and-international/significant-global-entities</vt:lpwstr>
      </vt:variant>
      <vt:variant>
        <vt:lpwstr>ato-Significantglobalentitydefinition</vt:lpwstr>
      </vt:variant>
      <vt:variant>
        <vt:i4>3735595</vt:i4>
      </vt:variant>
      <vt:variant>
        <vt:i4>0</vt:i4>
      </vt:variant>
      <vt:variant>
        <vt:i4>0</vt:i4>
      </vt:variant>
      <vt:variant>
        <vt:i4>5</vt:i4>
      </vt:variant>
      <vt:variant>
        <vt:lpwstr>https://www.ato.gov.au/businesses-and-organisations/corporate-tax-measures-and-assurance/public-business-and-international/significant-global-entities</vt:lpwstr>
      </vt:variant>
      <vt:variant>
        <vt:lpwstr>ato-Significantglobalentitydefinition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Ye</dc:creator>
  <cp:keywords/>
  <dc:description/>
  <cp:lastModifiedBy>Neville Birthisel</cp:lastModifiedBy>
  <cp:revision>2</cp:revision>
  <dcterms:created xsi:type="dcterms:W3CDTF">2024-06-04T22:58:00Z</dcterms:created>
  <dcterms:modified xsi:type="dcterms:W3CDTF">2024-06-04T22:58:00Z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a031079a-6793-4797-8df2-30b11ad4f00b</vt:lpwstr>
  </property>
  <property fmtid="{D5CDD505-2E9C-101B-9397-08002B2CF9AE}" pid="3" name="ContentTypeId">
    <vt:lpwstr>0x0101008F5A9D81AF7D0945897D1545DAB8AC40</vt:lpwstr>
  </property>
</Properties>
</file>