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3BFD" w14:textId="77777777" w:rsidR="00630B2C" w:rsidRPr="00D317FE" w:rsidRDefault="00630B2C" w:rsidP="006B2BCB">
      <w:pPr>
        <w:adjustRightInd w:val="0"/>
        <w:snapToGrid w:val="0"/>
        <w:spacing w:line="276" w:lineRule="auto"/>
        <w:rPr>
          <w:rFonts w:ascii="Arial" w:hAnsi="Arial" w:cs="Arial"/>
          <w:sz w:val="20"/>
        </w:rPr>
      </w:pPr>
      <w:r w:rsidRPr="00D317FE">
        <w:rPr>
          <w:rFonts w:ascii="Arial" w:hAnsi="Arial" w:cs="Arial"/>
          <w:sz w:val="20"/>
        </w:rPr>
        <w:t>[</w:t>
      </w:r>
      <w:r w:rsidRPr="0090351B">
        <w:rPr>
          <w:rFonts w:ascii="Arial" w:hAnsi="Arial" w:cs="Arial"/>
          <w:sz w:val="20"/>
          <w:highlight w:val="lightGray"/>
        </w:rPr>
        <w:t>Insert DD month YYYY</w:t>
      </w:r>
      <w:r w:rsidRPr="00D317FE">
        <w:rPr>
          <w:rFonts w:ascii="Arial" w:hAnsi="Arial" w:cs="Arial"/>
          <w:sz w:val="20"/>
        </w:rPr>
        <w:t>]</w:t>
      </w:r>
    </w:p>
    <w:p w14:paraId="603352F7" w14:textId="77777777" w:rsidR="00630B2C" w:rsidRPr="00D317FE" w:rsidRDefault="00630B2C" w:rsidP="006B2BCB">
      <w:pPr>
        <w:adjustRightInd w:val="0"/>
        <w:snapToGrid w:val="0"/>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9"/>
      </w:tblGrid>
      <w:tr w:rsidR="00630B2C" w:rsidRPr="00D317FE" w14:paraId="0207E27C" w14:textId="77777777" w:rsidTr="008C768D">
        <w:tc>
          <w:tcPr>
            <w:tcW w:w="9289" w:type="dxa"/>
            <w:tcBorders>
              <w:top w:val="nil"/>
              <w:left w:val="nil"/>
              <w:bottom w:val="nil"/>
              <w:right w:val="nil"/>
            </w:tcBorders>
          </w:tcPr>
          <w:p w14:paraId="2C02C9E3" w14:textId="77777777" w:rsidR="00630B2C" w:rsidRPr="00D317FE" w:rsidRDefault="00630B2C" w:rsidP="006B2BCB">
            <w:pPr>
              <w:adjustRightInd w:val="0"/>
              <w:snapToGrid w:val="0"/>
              <w:spacing w:line="276" w:lineRule="auto"/>
              <w:rPr>
                <w:rFonts w:ascii="Arial" w:hAnsi="Arial" w:cs="Arial"/>
                <w:b/>
                <w:bCs/>
                <w:sz w:val="20"/>
              </w:rPr>
            </w:pPr>
            <w:bookmarkStart w:id="0" w:name="Confidential"/>
            <w:bookmarkEnd w:id="0"/>
          </w:p>
        </w:tc>
      </w:tr>
    </w:tbl>
    <w:p w14:paraId="03885A6F" w14:textId="77777777" w:rsidR="00630B2C" w:rsidRPr="00D317FE" w:rsidRDefault="00630B2C" w:rsidP="006B2BCB">
      <w:pPr>
        <w:adjustRightInd w:val="0"/>
        <w:snapToGrid w:val="0"/>
        <w:spacing w:line="276" w:lineRule="auto"/>
        <w:rPr>
          <w:rFonts w:ascii="Arial" w:hAnsi="Arial" w:cs="Arial"/>
          <w:sz w:val="20"/>
        </w:rPr>
      </w:pPr>
      <w:bookmarkStart w:id="1" w:name="Name1"/>
      <w:bookmarkEnd w:id="1"/>
      <w:r w:rsidRPr="00D317FE">
        <w:rPr>
          <w:rFonts w:ascii="Arial" w:hAnsi="Arial" w:cs="Arial"/>
          <w:sz w:val="20"/>
        </w:rPr>
        <w:t>[</w:t>
      </w:r>
      <w:r w:rsidRPr="0090351B">
        <w:rPr>
          <w:rFonts w:ascii="Arial" w:hAnsi="Arial" w:cs="Arial"/>
          <w:sz w:val="20"/>
          <w:highlight w:val="lightGray"/>
        </w:rPr>
        <w:t>Insert client name</w:t>
      </w:r>
      <w:r w:rsidRPr="00D317FE">
        <w:rPr>
          <w:rFonts w:ascii="Arial" w:hAnsi="Arial" w:cs="Arial"/>
          <w:sz w:val="20"/>
        </w:rPr>
        <w:t>]</w:t>
      </w:r>
    </w:p>
    <w:p w14:paraId="21020E53" w14:textId="77777777" w:rsidR="00630B2C" w:rsidRPr="00D317FE" w:rsidRDefault="00630B2C" w:rsidP="006B2BCB">
      <w:pPr>
        <w:adjustRightInd w:val="0"/>
        <w:snapToGrid w:val="0"/>
        <w:spacing w:line="276" w:lineRule="auto"/>
        <w:rPr>
          <w:rFonts w:ascii="Arial" w:hAnsi="Arial" w:cs="Arial"/>
          <w:sz w:val="20"/>
        </w:rPr>
      </w:pPr>
      <w:bookmarkStart w:id="2" w:name="Position"/>
      <w:bookmarkEnd w:id="2"/>
      <w:r w:rsidRPr="00D317FE">
        <w:rPr>
          <w:rFonts w:ascii="Arial" w:hAnsi="Arial" w:cs="Arial"/>
          <w:sz w:val="20"/>
        </w:rPr>
        <w:t>[</w:t>
      </w:r>
      <w:r w:rsidRPr="0090351B">
        <w:rPr>
          <w:rFonts w:ascii="Arial" w:hAnsi="Arial" w:cs="Arial"/>
          <w:sz w:val="20"/>
          <w:highlight w:val="lightGray"/>
        </w:rPr>
        <w:t>Insert client position</w:t>
      </w:r>
      <w:r w:rsidRPr="00D317FE">
        <w:rPr>
          <w:rFonts w:ascii="Arial" w:hAnsi="Arial" w:cs="Arial"/>
          <w:sz w:val="20"/>
        </w:rPr>
        <w:t>]</w:t>
      </w:r>
    </w:p>
    <w:p w14:paraId="66EC40E2" w14:textId="77777777" w:rsidR="00630B2C" w:rsidRPr="00D317FE" w:rsidRDefault="00630B2C" w:rsidP="006B2BCB">
      <w:pPr>
        <w:adjustRightInd w:val="0"/>
        <w:snapToGrid w:val="0"/>
        <w:spacing w:line="276" w:lineRule="auto"/>
        <w:rPr>
          <w:rFonts w:ascii="Arial" w:hAnsi="Arial" w:cs="Arial"/>
          <w:sz w:val="20"/>
        </w:rPr>
      </w:pPr>
      <w:bookmarkStart w:id="3" w:name="Company1"/>
      <w:bookmarkEnd w:id="3"/>
      <w:r w:rsidRPr="00D317FE">
        <w:rPr>
          <w:rFonts w:ascii="Arial" w:hAnsi="Arial" w:cs="Arial"/>
          <w:sz w:val="20"/>
        </w:rPr>
        <w:t>[</w:t>
      </w:r>
      <w:r w:rsidRPr="0090351B">
        <w:rPr>
          <w:rFonts w:ascii="Arial" w:hAnsi="Arial" w:cs="Arial"/>
          <w:sz w:val="20"/>
          <w:highlight w:val="lightGray"/>
        </w:rPr>
        <w:t>Insert company name</w:t>
      </w:r>
      <w:r w:rsidRPr="00D317FE">
        <w:rPr>
          <w:rFonts w:ascii="Arial" w:hAnsi="Arial" w:cs="Arial"/>
          <w:sz w:val="20"/>
        </w:rPr>
        <w:t>]</w:t>
      </w:r>
    </w:p>
    <w:p w14:paraId="10821EA5" w14:textId="77777777" w:rsidR="00630B2C" w:rsidRPr="00D317FE" w:rsidRDefault="00630B2C" w:rsidP="006B2BCB">
      <w:pPr>
        <w:adjustRightInd w:val="0"/>
        <w:snapToGrid w:val="0"/>
        <w:spacing w:line="276" w:lineRule="auto"/>
        <w:rPr>
          <w:rFonts w:ascii="Arial" w:hAnsi="Arial" w:cs="Arial"/>
          <w:sz w:val="20"/>
        </w:rPr>
      </w:pPr>
      <w:bookmarkStart w:id="4" w:name="Address1"/>
      <w:bookmarkEnd w:id="4"/>
      <w:r w:rsidRPr="00D317FE">
        <w:rPr>
          <w:rFonts w:ascii="Arial" w:hAnsi="Arial" w:cs="Arial"/>
          <w:sz w:val="20"/>
        </w:rPr>
        <w:t>[</w:t>
      </w:r>
      <w:r w:rsidRPr="0090351B">
        <w:rPr>
          <w:rFonts w:ascii="Arial" w:hAnsi="Arial" w:cs="Arial"/>
          <w:sz w:val="20"/>
          <w:highlight w:val="lightGray"/>
        </w:rPr>
        <w:t>Insert company address]</w:t>
      </w:r>
    </w:p>
    <w:p w14:paraId="6ADE5763" w14:textId="77777777" w:rsidR="00630B2C" w:rsidRPr="00D317FE" w:rsidRDefault="00630B2C" w:rsidP="006B2BCB">
      <w:pPr>
        <w:adjustRightInd w:val="0"/>
        <w:snapToGrid w:val="0"/>
        <w:spacing w:line="276" w:lineRule="auto"/>
        <w:rPr>
          <w:rFonts w:ascii="Arial" w:hAnsi="Arial" w:cs="Arial"/>
          <w:sz w:val="20"/>
        </w:rPr>
      </w:pPr>
      <w:bookmarkStart w:id="5" w:name="Suburb"/>
      <w:bookmarkEnd w:id="5"/>
      <w:r w:rsidRPr="00D317FE">
        <w:rPr>
          <w:rFonts w:ascii="Arial" w:hAnsi="Arial" w:cs="Arial"/>
          <w:sz w:val="20"/>
        </w:rPr>
        <w:t>[</w:t>
      </w:r>
      <w:smartTag w:uri="urn:schemas-microsoft-com:office:smarttags" w:element="PlaceName">
        <w:r w:rsidRPr="0090351B">
          <w:rPr>
            <w:rFonts w:ascii="Arial" w:hAnsi="Arial" w:cs="Arial"/>
            <w:sz w:val="20"/>
            <w:highlight w:val="lightGray"/>
          </w:rPr>
          <w:t>Suburb</w:t>
        </w:r>
      </w:smartTag>
      <w:r w:rsidRPr="0090351B">
        <w:rPr>
          <w:rFonts w:ascii="Arial" w:hAnsi="Arial" w:cs="Arial"/>
          <w:sz w:val="20"/>
          <w:highlight w:val="lightGray"/>
        </w:rPr>
        <w:t xml:space="preserve"> </w:t>
      </w:r>
      <w:bookmarkStart w:id="6" w:name="State"/>
      <w:bookmarkEnd w:id="6"/>
      <w:r w:rsidRPr="0090351B">
        <w:rPr>
          <w:rFonts w:ascii="Arial" w:hAnsi="Arial" w:cs="Arial"/>
          <w:sz w:val="20"/>
          <w:highlight w:val="lightGray"/>
        </w:rPr>
        <w:t xml:space="preserve">state </w:t>
      </w:r>
      <w:bookmarkStart w:id="7" w:name="PostCode"/>
      <w:bookmarkEnd w:id="7"/>
      <w:r w:rsidRPr="0090351B">
        <w:rPr>
          <w:rFonts w:ascii="Arial" w:hAnsi="Arial" w:cs="Arial"/>
          <w:sz w:val="20"/>
          <w:highlight w:val="lightGray"/>
        </w:rPr>
        <w:t>postcode</w:t>
      </w:r>
      <w:r w:rsidRPr="00D317FE">
        <w:rPr>
          <w:rFonts w:ascii="Arial" w:hAnsi="Arial" w:cs="Arial"/>
          <w:sz w:val="20"/>
        </w:rPr>
        <w:t>]</w:t>
      </w:r>
    </w:p>
    <w:p w14:paraId="6ECB5AB0" w14:textId="77777777" w:rsidR="00630B2C" w:rsidRPr="00D317FE" w:rsidRDefault="00630B2C" w:rsidP="006B2BCB">
      <w:pPr>
        <w:adjustRightInd w:val="0"/>
        <w:snapToGrid w:val="0"/>
        <w:spacing w:line="276" w:lineRule="auto"/>
        <w:rPr>
          <w:rFonts w:ascii="Arial" w:hAnsi="Arial" w:cs="Arial"/>
          <w:sz w:val="20"/>
        </w:rPr>
      </w:pPr>
    </w:p>
    <w:p w14:paraId="0A62F72B" w14:textId="77777777" w:rsidR="00630B2C" w:rsidRPr="00D317FE" w:rsidRDefault="00630B2C" w:rsidP="006B2BCB">
      <w:pPr>
        <w:adjustRightInd w:val="0"/>
        <w:snapToGrid w:val="0"/>
        <w:spacing w:line="276" w:lineRule="auto"/>
        <w:rPr>
          <w:rFonts w:ascii="Arial" w:hAnsi="Arial" w:cs="Arial"/>
          <w:bCs/>
          <w:sz w:val="20"/>
        </w:rPr>
      </w:pPr>
    </w:p>
    <w:p w14:paraId="11B0EF63" w14:textId="77777777" w:rsidR="00630B2C" w:rsidRPr="00D317FE" w:rsidRDefault="00630B2C" w:rsidP="006B2BCB">
      <w:pPr>
        <w:adjustRightInd w:val="0"/>
        <w:snapToGrid w:val="0"/>
        <w:spacing w:line="276" w:lineRule="auto"/>
        <w:rPr>
          <w:rFonts w:ascii="Arial" w:hAnsi="Arial" w:cs="Arial"/>
          <w:sz w:val="20"/>
        </w:rPr>
      </w:pPr>
      <w:r w:rsidRPr="00D317FE">
        <w:rPr>
          <w:rFonts w:ascii="Arial" w:hAnsi="Arial" w:cs="Arial"/>
          <w:sz w:val="20"/>
        </w:rPr>
        <w:t xml:space="preserve">Dear </w:t>
      </w:r>
      <w:bookmarkStart w:id="8" w:name="Salutation"/>
      <w:bookmarkEnd w:id="8"/>
      <w:r w:rsidRPr="00D317FE">
        <w:rPr>
          <w:rFonts w:ascii="Arial" w:hAnsi="Arial" w:cs="Arial"/>
          <w:sz w:val="20"/>
        </w:rPr>
        <w:t>[</w:t>
      </w:r>
      <w:r w:rsidRPr="0090351B">
        <w:rPr>
          <w:rFonts w:ascii="Arial" w:hAnsi="Arial" w:cs="Arial"/>
          <w:sz w:val="20"/>
          <w:highlight w:val="lightGray"/>
        </w:rPr>
        <w:t>insert client name</w:t>
      </w:r>
      <w:r w:rsidRPr="00D317FE">
        <w:rPr>
          <w:rFonts w:ascii="Arial" w:hAnsi="Arial" w:cs="Arial"/>
          <w:sz w:val="20"/>
        </w:rPr>
        <w:t>]</w:t>
      </w:r>
      <w:r>
        <w:rPr>
          <w:rFonts w:ascii="Arial" w:hAnsi="Arial" w:cs="Arial"/>
          <w:sz w:val="20"/>
        </w:rPr>
        <w:t>,</w:t>
      </w:r>
    </w:p>
    <w:p w14:paraId="4BDC565F" w14:textId="77777777" w:rsidR="00630B2C" w:rsidRPr="00D317FE" w:rsidRDefault="00630B2C" w:rsidP="006B2BCB">
      <w:pPr>
        <w:adjustRightInd w:val="0"/>
        <w:snapToGrid w:val="0"/>
        <w:spacing w:line="276" w:lineRule="auto"/>
        <w:rPr>
          <w:sz w:val="20"/>
        </w:rPr>
      </w:pPr>
    </w:p>
    <w:p w14:paraId="5EEA5732" w14:textId="77777777" w:rsidR="00630B2C" w:rsidRPr="002C6FC6" w:rsidRDefault="00630B2C" w:rsidP="006B2BCB">
      <w:pPr>
        <w:adjustRightInd w:val="0"/>
        <w:snapToGrid w:val="0"/>
        <w:spacing w:line="276" w:lineRule="auto"/>
        <w:rPr>
          <w:rFonts w:ascii="Arial" w:hAnsi="Arial" w:cs="Arial"/>
          <w:b/>
          <w:bCs/>
          <w:sz w:val="21"/>
          <w:szCs w:val="21"/>
        </w:rPr>
      </w:pPr>
      <w:r w:rsidRPr="002C6FC6">
        <w:rPr>
          <w:rFonts w:ascii="Arial" w:hAnsi="Arial" w:cs="Arial"/>
          <w:b/>
          <w:bCs/>
          <w:sz w:val="21"/>
          <w:szCs w:val="21"/>
        </w:rPr>
        <w:t>Re:</w:t>
      </w:r>
      <w:r w:rsidRPr="002C6FC6">
        <w:rPr>
          <w:rFonts w:ascii="Arial" w:hAnsi="Arial" w:cs="Arial"/>
          <w:b/>
          <w:bCs/>
          <w:sz w:val="21"/>
          <w:szCs w:val="21"/>
        </w:rPr>
        <w:tab/>
      </w:r>
      <w:r w:rsidR="00D92BD0">
        <w:rPr>
          <w:rFonts w:ascii="Arial" w:hAnsi="Arial" w:cs="Arial"/>
          <w:b/>
          <w:sz w:val="21"/>
          <w:szCs w:val="21"/>
        </w:rPr>
        <w:t>R</w:t>
      </w:r>
      <w:r w:rsidRPr="002C6FC6">
        <w:rPr>
          <w:rFonts w:ascii="Arial" w:hAnsi="Arial" w:cs="Arial"/>
          <w:b/>
          <w:sz w:val="21"/>
          <w:szCs w:val="21"/>
        </w:rPr>
        <w:t xml:space="preserve">ecoupment </w:t>
      </w:r>
      <w:r w:rsidR="00D92BD0">
        <w:rPr>
          <w:rFonts w:ascii="Arial" w:hAnsi="Arial" w:cs="Arial"/>
          <w:b/>
          <w:sz w:val="21"/>
          <w:szCs w:val="21"/>
        </w:rPr>
        <w:t>of company tax losses</w:t>
      </w:r>
    </w:p>
    <w:p w14:paraId="5F200D74" w14:textId="77777777" w:rsidR="00630B2C" w:rsidRPr="00D317FE" w:rsidRDefault="00630B2C" w:rsidP="006B2BCB">
      <w:pPr>
        <w:adjustRightInd w:val="0"/>
        <w:snapToGrid w:val="0"/>
        <w:spacing w:line="276" w:lineRule="auto"/>
        <w:rPr>
          <w:rFonts w:ascii="Arial" w:hAnsi="Arial" w:cs="Arial"/>
          <w:sz w:val="20"/>
        </w:rPr>
      </w:pPr>
    </w:p>
    <w:p w14:paraId="6BB0F161" w14:textId="283886B8" w:rsidR="00630B2C" w:rsidRDefault="00630B2C" w:rsidP="006B2BCB">
      <w:pPr>
        <w:pStyle w:val="Msbody"/>
        <w:adjustRightInd w:val="0"/>
        <w:snapToGrid w:val="0"/>
        <w:spacing w:line="276" w:lineRule="auto"/>
        <w:rPr>
          <w:lang w:val="en-US"/>
        </w:rPr>
      </w:pPr>
      <w:r>
        <w:t xml:space="preserve">We note that at 30 June </w:t>
      </w:r>
      <w:r w:rsidR="00EC4791">
        <w:t>202</w:t>
      </w:r>
      <w:r w:rsidR="00BE6C33">
        <w:t>4</w:t>
      </w:r>
      <w:r>
        <w:t>, [</w:t>
      </w:r>
      <w:r w:rsidRPr="0090351B">
        <w:rPr>
          <w:highlight w:val="lightGray"/>
        </w:rPr>
        <w:t>insert company name</w:t>
      </w:r>
      <w:r w:rsidRPr="00D317FE">
        <w:t xml:space="preserve">] </w:t>
      </w:r>
      <w:r>
        <w:t>ha</w:t>
      </w:r>
      <w:r w:rsidR="00F47232">
        <w:t>s</w:t>
      </w:r>
      <w:r w:rsidRPr="00D317FE">
        <w:t xml:space="preserve"> carried forward revenue losses of $[</w:t>
      </w:r>
      <w:r w:rsidRPr="0090351B">
        <w:rPr>
          <w:highlight w:val="lightGray"/>
        </w:rPr>
        <w:t>insert amount</w:t>
      </w:r>
      <w:r w:rsidRPr="00D317FE">
        <w:t xml:space="preserve">] and capital losses of </w:t>
      </w:r>
      <w:r w:rsidRPr="0090351B">
        <w:rPr>
          <w:highlight w:val="lightGray"/>
        </w:rPr>
        <w:t>$[insert amount</w:t>
      </w:r>
      <w:r w:rsidRPr="00D317FE">
        <w:t>]</w:t>
      </w:r>
      <w:r w:rsidR="00EC79BC">
        <w:t>.</w:t>
      </w:r>
      <w:r w:rsidR="001670FB">
        <w:t xml:space="preserve"> </w:t>
      </w:r>
      <w:r w:rsidR="00176D48">
        <w:t>Further</w:t>
      </w:r>
      <w:r w:rsidR="00EC79BC">
        <w:t>,</w:t>
      </w:r>
      <w:r w:rsidR="001670FB">
        <w:t xml:space="preserve"> [</w:t>
      </w:r>
      <w:r w:rsidR="001670FB" w:rsidRPr="002E4EB9">
        <w:rPr>
          <w:highlight w:val="lightGray"/>
        </w:rPr>
        <w:t>insert company name</w:t>
      </w:r>
      <w:r w:rsidR="001670FB">
        <w:t>] is expecting to incur a revenue loss in the year ended 30 June 202</w:t>
      </w:r>
      <w:r w:rsidR="00BE6C33">
        <w:t>5</w:t>
      </w:r>
      <w:r w:rsidR="00EE4FBA" w:rsidRPr="00D317FE">
        <w:t>.</w:t>
      </w:r>
      <w:r w:rsidR="00EC79BC">
        <w:t xml:space="preserve"> [</w:t>
      </w:r>
      <w:r w:rsidR="00EC79BC" w:rsidRPr="00330998">
        <w:rPr>
          <w:highlight w:val="lightGray"/>
        </w:rPr>
        <w:t>delete if not applicable</w:t>
      </w:r>
      <w:r w:rsidR="00EC79BC">
        <w:t>]</w:t>
      </w:r>
    </w:p>
    <w:p w14:paraId="7E29190F" w14:textId="77777777" w:rsidR="00630B2C" w:rsidRDefault="00630B2C" w:rsidP="006B2BCB">
      <w:pPr>
        <w:pStyle w:val="Msbody"/>
        <w:adjustRightInd w:val="0"/>
        <w:snapToGrid w:val="0"/>
        <w:spacing w:line="276" w:lineRule="auto"/>
        <w:rPr>
          <w:lang w:val="en-US"/>
        </w:rPr>
      </w:pPr>
    </w:p>
    <w:p w14:paraId="09B35A5A" w14:textId="77777777" w:rsidR="00774127" w:rsidRPr="002C6FC6" w:rsidRDefault="00630B2C" w:rsidP="006B2BCB">
      <w:pPr>
        <w:pStyle w:val="BodyText"/>
        <w:adjustRightInd w:val="0"/>
        <w:snapToGrid w:val="0"/>
        <w:spacing w:line="276" w:lineRule="auto"/>
        <w:rPr>
          <w:rFonts w:ascii="Arial" w:hAnsi="Arial" w:cs="Arial"/>
          <w:b/>
          <w:sz w:val="20"/>
        </w:rPr>
      </w:pPr>
      <w:r w:rsidRPr="002C6FC6">
        <w:rPr>
          <w:rFonts w:ascii="Arial" w:hAnsi="Arial" w:cs="Arial"/>
          <w:b/>
          <w:sz w:val="20"/>
        </w:rPr>
        <w:t>Executive Summary</w:t>
      </w:r>
    </w:p>
    <w:p w14:paraId="409DD296" w14:textId="77777777" w:rsidR="00774127" w:rsidRDefault="00774127" w:rsidP="006B2BCB">
      <w:pPr>
        <w:pStyle w:val="BodyText"/>
        <w:adjustRightInd w:val="0"/>
        <w:snapToGrid w:val="0"/>
        <w:spacing w:line="276" w:lineRule="auto"/>
        <w:rPr>
          <w:rFonts w:ascii="Arial" w:hAnsi="Arial" w:cs="Arial"/>
          <w:sz w:val="20"/>
        </w:rPr>
      </w:pPr>
    </w:p>
    <w:p w14:paraId="01A49E8F" w14:textId="7D9D1C51" w:rsidR="00630B2C" w:rsidRDefault="00630B2C" w:rsidP="006B2BCB">
      <w:pPr>
        <w:pStyle w:val="BodyText"/>
        <w:adjustRightInd w:val="0"/>
        <w:snapToGrid w:val="0"/>
        <w:spacing w:line="276" w:lineRule="auto"/>
        <w:jc w:val="left"/>
        <w:rPr>
          <w:rFonts w:ascii="Arial" w:hAnsi="Arial" w:cs="Arial"/>
          <w:sz w:val="20"/>
        </w:rPr>
      </w:pPr>
      <w:r w:rsidRPr="00D317FE">
        <w:rPr>
          <w:rFonts w:ascii="Arial" w:hAnsi="Arial" w:cs="Arial"/>
          <w:sz w:val="20"/>
        </w:rPr>
        <w:t>For a company to carry forward</w:t>
      </w:r>
      <w:r>
        <w:rPr>
          <w:rFonts w:ascii="Arial" w:hAnsi="Arial" w:cs="Arial"/>
          <w:sz w:val="20"/>
        </w:rPr>
        <w:t xml:space="preserve"> and subsequently </w:t>
      </w:r>
      <w:proofErr w:type="spellStart"/>
      <w:r>
        <w:rPr>
          <w:rFonts w:ascii="Arial" w:hAnsi="Arial" w:cs="Arial"/>
          <w:sz w:val="20"/>
        </w:rPr>
        <w:t>utilise</w:t>
      </w:r>
      <w:proofErr w:type="spellEnd"/>
      <w:r>
        <w:rPr>
          <w:rFonts w:ascii="Arial" w:hAnsi="Arial" w:cs="Arial"/>
          <w:sz w:val="20"/>
        </w:rPr>
        <w:t xml:space="preserve"> revenue</w:t>
      </w:r>
      <w:r w:rsidRPr="00D317FE">
        <w:rPr>
          <w:rFonts w:ascii="Arial" w:hAnsi="Arial" w:cs="Arial"/>
          <w:sz w:val="20"/>
        </w:rPr>
        <w:t xml:space="preserve"> and capital losses, the company </w:t>
      </w:r>
      <w:r w:rsidR="00D62801">
        <w:rPr>
          <w:rFonts w:ascii="Arial" w:hAnsi="Arial" w:cs="Arial"/>
          <w:sz w:val="20"/>
        </w:rPr>
        <w:t xml:space="preserve">generally </w:t>
      </w:r>
      <w:r w:rsidRPr="00D317FE">
        <w:rPr>
          <w:rFonts w:ascii="Arial" w:hAnsi="Arial" w:cs="Arial"/>
          <w:sz w:val="20"/>
        </w:rPr>
        <w:t xml:space="preserve">needs to satisfy at least one of </w:t>
      </w:r>
      <w:r w:rsidR="00D41EE6">
        <w:rPr>
          <w:rFonts w:ascii="Arial" w:hAnsi="Arial" w:cs="Arial"/>
          <w:sz w:val="20"/>
        </w:rPr>
        <w:t xml:space="preserve">two </w:t>
      </w:r>
      <w:r>
        <w:rPr>
          <w:rFonts w:ascii="Arial" w:hAnsi="Arial" w:cs="Arial"/>
          <w:sz w:val="20"/>
        </w:rPr>
        <w:t>tests</w:t>
      </w:r>
      <w:r w:rsidR="006B2BCB">
        <w:rPr>
          <w:rFonts w:ascii="Arial" w:hAnsi="Arial" w:cs="Arial"/>
          <w:sz w:val="20"/>
        </w:rPr>
        <w:t xml:space="preserve"> in the year end</w:t>
      </w:r>
      <w:r w:rsidR="007B2131">
        <w:rPr>
          <w:rFonts w:ascii="Arial" w:hAnsi="Arial" w:cs="Arial"/>
          <w:sz w:val="20"/>
        </w:rPr>
        <w:t>ing</w:t>
      </w:r>
      <w:r w:rsidR="006B2BCB">
        <w:rPr>
          <w:rFonts w:ascii="Arial" w:hAnsi="Arial" w:cs="Arial"/>
          <w:sz w:val="20"/>
        </w:rPr>
        <w:t xml:space="preserve"> 30 June </w:t>
      </w:r>
      <w:r w:rsidR="0078427A">
        <w:rPr>
          <w:rFonts w:ascii="Arial" w:hAnsi="Arial" w:cs="Arial"/>
          <w:sz w:val="20"/>
        </w:rPr>
        <w:t>202</w:t>
      </w:r>
      <w:r w:rsidR="00E9032C">
        <w:rPr>
          <w:rFonts w:ascii="Arial" w:hAnsi="Arial" w:cs="Arial"/>
          <w:sz w:val="20"/>
        </w:rPr>
        <w:t>4</w:t>
      </w:r>
      <w:r w:rsidR="00176D48">
        <w:rPr>
          <w:rFonts w:ascii="Arial" w:hAnsi="Arial" w:cs="Arial"/>
          <w:sz w:val="20"/>
        </w:rPr>
        <w:t>. These are:</w:t>
      </w:r>
      <w:r w:rsidRPr="00D317FE">
        <w:rPr>
          <w:rFonts w:ascii="Arial" w:hAnsi="Arial" w:cs="Arial"/>
          <w:sz w:val="20"/>
        </w:rPr>
        <w:t xml:space="preserve"> </w:t>
      </w:r>
    </w:p>
    <w:p w14:paraId="2363942A" w14:textId="77777777" w:rsidR="00630B2C" w:rsidRPr="00D317FE" w:rsidRDefault="00630B2C" w:rsidP="006B2BCB">
      <w:pPr>
        <w:pStyle w:val="BodyText"/>
        <w:adjustRightInd w:val="0"/>
        <w:snapToGrid w:val="0"/>
        <w:spacing w:line="276" w:lineRule="auto"/>
        <w:rPr>
          <w:rFonts w:ascii="Arial" w:hAnsi="Arial" w:cs="Arial"/>
          <w:sz w:val="20"/>
        </w:rPr>
      </w:pPr>
    </w:p>
    <w:p w14:paraId="3E37DC49" w14:textId="4BAC5EEC" w:rsidR="00630B2C" w:rsidRDefault="00176D48" w:rsidP="006B2BCB">
      <w:pPr>
        <w:pStyle w:val="ListParagraph"/>
        <w:numPr>
          <w:ilvl w:val="0"/>
          <w:numId w:val="4"/>
        </w:numPr>
        <w:adjustRightInd w:val="0"/>
        <w:snapToGrid w:val="0"/>
        <w:spacing w:line="276" w:lineRule="auto"/>
        <w:contextualSpacing w:val="0"/>
        <w:jc w:val="left"/>
        <w:rPr>
          <w:rFonts w:ascii="Arial" w:hAnsi="Arial" w:cs="Arial"/>
          <w:sz w:val="20"/>
        </w:rPr>
      </w:pPr>
      <w:r>
        <w:rPr>
          <w:rFonts w:ascii="Arial" w:hAnsi="Arial" w:cs="Arial"/>
          <w:sz w:val="20"/>
        </w:rPr>
        <w:t>T</w:t>
      </w:r>
      <w:r w:rsidR="00630B2C">
        <w:rPr>
          <w:rFonts w:ascii="Arial" w:hAnsi="Arial" w:cs="Arial"/>
          <w:sz w:val="20"/>
        </w:rPr>
        <w:t>he c</w:t>
      </w:r>
      <w:r w:rsidR="00630B2C" w:rsidRPr="00D317FE">
        <w:rPr>
          <w:rFonts w:ascii="Arial" w:hAnsi="Arial" w:cs="Arial"/>
          <w:sz w:val="20"/>
        </w:rPr>
        <w:t xml:space="preserve">ontinuity </w:t>
      </w:r>
      <w:r w:rsidR="00630B2C">
        <w:rPr>
          <w:rFonts w:ascii="Arial" w:hAnsi="Arial" w:cs="Arial"/>
          <w:sz w:val="20"/>
        </w:rPr>
        <w:t>o</w:t>
      </w:r>
      <w:r w:rsidR="00630B2C" w:rsidRPr="00D317FE">
        <w:rPr>
          <w:rFonts w:ascii="Arial" w:hAnsi="Arial" w:cs="Arial"/>
          <w:sz w:val="20"/>
        </w:rPr>
        <w:t xml:space="preserve">f </w:t>
      </w:r>
      <w:r w:rsidR="00630B2C">
        <w:rPr>
          <w:rFonts w:ascii="Arial" w:hAnsi="Arial" w:cs="Arial"/>
          <w:sz w:val="20"/>
        </w:rPr>
        <w:t>o</w:t>
      </w:r>
      <w:r w:rsidR="00630B2C" w:rsidRPr="00D317FE">
        <w:rPr>
          <w:rFonts w:ascii="Arial" w:hAnsi="Arial" w:cs="Arial"/>
          <w:sz w:val="20"/>
        </w:rPr>
        <w:t xml:space="preserve">wnership </w:t>
      </w:r>
      <w:r w:rsidR="00630B2C">
        <w:rPr>
          <w:rFonts w:ascii="Arial" w:hAnsi="Arial" w:cs="Arial"/>
          <w:sz w:val="20"/>
        </w:rPr>
        <w:t>t</w:t>
      </w:r>
      <w:r w:rsidR="00630B2C" w:rsidRPr="00D317FE">
        <w:rPr>
          <w:rFonts w:ascii="Arial" w:hAnsi="Arial" w:cs="Arial"/>
          <w:sz w:val="20"/>
        </w:rPr>
        <w:t>est (</w:t>
      </w:r>
      <w:r w:rsidR="00630B2C" w:rsidRPr="00C76D80">
        <w:rPr>
          <w:rFonts w:ascii="Arial" w:hAnsi="Arial" w:cs="Arial"/>
          <w:b/>
          <w:bCs/>
          <w:sz w:val="20"/>
        </w:rPr>
        <w:t>COT</w:t>
      </w:r>
      <w:r w:rsidR="00630B2C" w:rsidRPr="00D317FE">
        <w:rPr>
          <w:rFonts w:ascii="Arial" w:hAnsi="Arial" w:cs="Arial"/>
          <w:sz w:val="20"/>
        </w:rPr>
        <w:t>)</w:t>
      </w:r>
      <w:r>
        <w:rPr>
          <w:rFonts w:ascii="Arial" w:hAnsi="Arial" w:cs="Arial"/>
          <w:sz w:val="20"/>
        </w:rPr>
        <w:t>.</w:t>
      </w:r>
      <w:r w:rsidR="00630B2C">
        <w:rPr>
          <w:rFonts w:ascii="Arial" w:hAnsi="Arial" w:cs="Arial"/>
          <w:sz w:val="20"/>
        </w:rPr>
        <w:t xml:space="preserve"> </w:t>
      </w:r>
    </w:p>
    <w:p w14:paraId="0C033E5A" w14:textId="20C5D4DF" w:rsidR="000469C8" w:rsidRDefault="00176D48" w:rsidP="006B2BCB">
      <w:pPr>
        <w:pStyle w:val="ListParagraph"/>
        <w:numPr>
          <w:ilvl w:val="0"/>
          <w:numId w:val="4"/>
        </w:numPr>
        <w:adjustRightInd w:val="0"/>
        <w:snapToGrid w:val="0"/>
        <w:spacing w:line="276" w:lineRule="auto"/>
        <w:contextualSpacing w:val="0"/>
        <w:jc w:val="left"/>
        <w:rPr>
          <w:rFonts w:ascii="Arial" w:hAnsi="Arial" w:cs="Arial"/>
          <w:sz w:val="20"/>
        </w:rPr>
      </w:pPr>
      <w:r>
        <w:rPr>
          <w:rFonts w:ascii="Arial" w:hAnsi="Arial" w:cs="Arial"/>
          <w:sz w:val="20"/>
        </w:rPr>
        <w:t>T</w:t>
      </w:r>
      <w:r w:rsidR="002C6FC6">
        <w:rPr>
          <w:rFonts w:ascii="Arial" w:hAnsi="Arial" w:cs="Arial"/>
          <w:sz w:val="20"/>
        </w:rPr>
        <w:t xml:space="preserve">he </w:t>
      </w:r>
      <w:r w:rsidR="00451D11">
        <w:rPr>
          <w:rFonts w:ascii="Arial" w:hAnsi="Arial" w:cs="Arial"/>
          <w:sz w:val="20"/>
        </w:rPr>
        <w:t>business continuity test</w:t>
      </w:r>
      <w:r w:rsidR="000469C8">
        <w:rPr>
          <w:rFonts w:ascii="Arial" w:hAnsi="Arial" w:cs="Arial"/>
          <w:sz w:val="20"/>
        </w:rPr>
        <w:t xml:space="preserve"> (</w:t>
      </w:r>
      <w:r w:rsidR="000469C8" w:rsidRPr="00491727">
        <w:rPr>
          <w:rFonts w:ascii="Arial" w:hAnsi="Arial" w:cs="Arial"/>
          <w:b/>
          <w:bCs/>
          <w:sz w:val="20"/>
        </w:rPr>
        <w:t>BCT</w:t>
      </w:r>
      <w:r w:rsidR="000469C8">
        <w:rPr>
          <w:rFonts w:ascii="Arial" w:hAnsi="Arial" w:cs="Arial"/>
          <w:sz w:val="20"/>
        </w:rPr>
        <w:t>)</w:t>
      </w:r>
      <w:r>
        <w:rPr>
          <w:rFonts w:ascii="Arial" w:hAnsi="Arial" w:cs="Arial"/>
          <w:sz w:val="20"/>
        </w:rPr>
        <w:t>,</w:t>
      </w:r>
      <w:r w:rsidR="000469C8">
        <w:rPr>
          <w:rFonts w:ascii="Arial" w:hAnsi="Arial" w:cs="Arial"/>
          <w:sz w:val="20"/>
        </w:rPr>
        <w:t xml:space="preserve"> which </w:t>
      </w:r>
      <w:r w:rsidR="005358D2">
        <w:rPr>
          <w:rFonts w:ascii="Arial" w:hAnsi="Arial" w:cs="Arial"/>
          <w:sz w:val="20"/>
        </w:rPr>
        <w:t>will be satisfied if the company</w:t>
      </w:r>
      <w:r w:rsidR="00E90D19">
        <w:rPr>
          <w:rFonts w:ascii="Arial" w:hAnsi="Arial" w:cs="Arial"/>
          <w:sz w:val="20"/>
        </w:rPr>
        <w:t xml:space="preserve"> passes either the</w:t>
      </w:r>
      <w:r w:rsidR="000469C8">
        <w:rPr>
          <w:rFonts w:ascii="Arial" w:hAnsi="Arial" w:cs="Arial"/>
          <w:sz w:val="20"/>
        </w:rPr>
        <w:t>:</w:t>
      </w:r>
    </w:p>
    <w:p w14:paraId="0D88D8DD" w14:textId="585A7BB9" w:rsidR="00D77C16" w:rsidRDefault="00451D11" w:rsidP="00491727">
      <w:pPr>
        <w:pStyle w:val="ListParagraph"/>
        <w:numPr>
          <w:ilvl w:val="1"/>
          <w:numId w:val="4"/>
        </w:numPr>
        <w:adjustRightInd w:val="0"/>
        <w:snapToGrid w:val="0"/>
        <w:spacing w:line="276" w:lineRule="auto"/>
        <w:contextualSpacing w:val="0"/>
        <w:jc w:val="left"/>
        <w:rPr>
          <w:rFonts w:ascii="Arial" w:hAnsi="Arial" w:cs="Arial"/>
          <w:sz w:val="20"/>
        </w:rPr>
      </w:pPr>
      <w:r>
        <w:rPr>
          <w:rFonts w:ascii="Arial" w:hAnsi="Arial" w:cs="Arial"/>
          <w:sz w:val="20"/>
        </w:rPr>
        <w:t xml:space="preserve">the </w:t>
      </w:r>
      <w:r w:rsidR="002C6FC6">
        <w:rPr>
          <w:rFonts w:ascii="Arial" w:hAnsi="Arial" w:cs="Arial"/>
          <w:sz w:val="20"/>
        </w:rPr>
        <w:t>same business</w:t>
      </w:r>
      <w:r w:rsidR="00DF7F2D">
        <w:rPr>
          <w:rFonts w:ascii="Arial" w:hAnsi="Arial" w:cs="Arial"/>
          <w:sz w:val="20"/>
        </w:rPr>
        <w:t xml:space="preserve"> test</w:t>
      </w:r>
      <w:r w:rsidR="0005227A">
        <w:rPr>
          <w:rFonts w:ascii="Arial" w:hAnsi="Arial" w:cs="Arial"/>
          <w:sz w:val="20"/>
        </w:rPr>
        <w:t xml:space="preserve"> (</w:t>
      </w:r>
      <w:r w:rsidR="0005227A">
        <w:rPr>
          <w:rFonts w:ascii="Arial" w:hAnsi="Arial" w:cs="Arial"/>
          <w:b/>
          <w:bCs/>
          <w:sz w:val="20"/>
        </w:rPr>
        <w:t>SBT</w:t>
      </w:r>
      <w:r w:rsidR="0005227A">
        <w:rPr>
          <w:rFonts w:ascii="Arial" w:hAnsi="Arial" w:cs="Arial"/>
          <w:sz w:val="20"/>
        </w:rPr>
        <w:t>)</w:t>
      </w:r>
      <w:r w:rsidR="004F5664">
        <w:rPr>
          <w:rFonts w:ascii="Arial" w:hAnsi="Arial" w:cs="Arial"/>
          <w:sz w:val="20"/>
        </w:rPr>
        <w:t>,</w:t>
      </w:r>
      <w:r w:rsidR="00D77C16">
        <w:rPr>
          <w:rFonts w:ascii="Arial" w:hAnsi="Arial" w:cs="Arial"/>
          <w:sz w:val="20"/>
        </w:rPr>
        <w:t xml:space="preserve"> or</w:t>
      </w:r>
    </w:p>
    <w:p w14:paraId="000AB760" w14:textId="32C7CC17" w:rsidR="00630B2C" w:rsidRPr="002C6FC6" w:rsidRDefault="00D77C16" w:rsidP="00491727">
      <w:pPr>
        <w:pStyle w:val="ListParagraph"/>
        <w:numPr>
          <w:ilvl w:val="1"/>
          <w:numId w:val="4"/>
        </w:numPr>
        <w:adjustRightInd w:val="0"/>
        <w:snapToGrid w:val="0"/>
        <w:spacing w:line="276" w:lineRule="auto"/>
        <w:contextualSpacing w:val="0"/>
        <w:jc w:val="left"/>
        <w:rPr>
          <w:rFonts w:ascii="Arial" w:hAnsi="Arial" w:cs="Arial"/>
          <w:sz w:val="20"/>
        </w:rPr>
      </w:pPr>
      <w:r>
        <w:rPr>
          <w:rFonts w:ascii="Arial" w:hAnsi="Arial" w:cs="Arial"/>
          <w:sz w:val="20"/>
        </w:rPr>
        <w:t>the similar business</w:t>
      </w:r>
      <w:r w:rsidR="00DF7F2D">
        <w:rPr>
          <w:rFonts w:ascii="Arial" w:hAnsi="Arial" w:cs="Arial"/>
          <w:sz w:val="20"/>
        </w:rPr>
        <w:t xml:space="preserve"> test</w:t>
      </w:r>
      <w:r w:rsidR="00176D48">
        <w:rPr>
          <w:rFonts w:ascii="Arial" w:hAnsi="Arial" w:cs="Arial"/>
          <w:sz w:val="20"/>
        </w:rPr>
        <w:t>.</w:t>
      </w:r>
      <w:r w:rsidR="00DC695F">
        <w:rPr>
          <w:rStyle w:val="FootnoteReference"/>
          <w:rFonts w:ascii="Arial" w:hAnsi="Arial" w:cs="Arial"/>
          <w:sz w:val="20"/>
        </w:rPr>
        <w:footnoteReference w:id="2"/>
      </w:r>
    </w:p>
    <w:p w14:paraId="36298763" w14:textId="22A97566" w:rsidR="006B2BCB" w:rsidRDefault="006B2BCB" w:rsidP="006B2BCB">
      <w:pPr>
        <w:keepLines/>
        <w:autoSpaceDE w:val="0"/>
        <w:autoSpaceDN w:val="0"/>
        <w:adjustRightInd w:val="0"/>
        <w:snapToGrid w:val="0"/>
        <w:spacing w:line="276" w:lineRule="auto"/>
        <w:rPr>
          <w:rFonts w:ascii="Arial" w:hAnsi="Arial" w:cs="Arial"/>
          <w:b/>
          <w:iCs/>
          <w:sz w:val="20"/>
          <w:lang w:eastAsia="en-AU"/>
        </w:rPr>
      </w:pPr>
    </w:p>
    <w:p w14:paraId="5A098CD1" w14:textId="40B71421" w:rsidR="0078427A" w:rsidRPr="002E4EB9" w:rsidRDefault="0078427A" w:rsidP="006B2BCB">
      <w:pPr>
        <w:keepLines/>
        <w:autoSpaceDE w:val="0"/>
        <w:autoSpaceDN w:val="0"/>
        <w:adjustRightInd w:val="0"/>
        <w:snapToGrid w:val="0"/>
        <w:spacing w:line="276" w:lineRule="auto"/>
        <w:rPr>
          <w:rFonts w:ascii="Arial" w:hAnsi="Arial" w:cs="Arial"/>
          <w:iCs/>
          <w:sz w:val="20"/>
          <w:lang w:eastAsia="en-AU"/>
        </w:rPr>
      </w:pPr>
      <w:r w:rsidRPr="002E4EB9">
        <w:rPr>
          <w:rFonts w:ascii="Arial" w:hAnsi="Arial" w:cs="Arial"/>
          <w:iCs/>
          <w:sz w:val="20"/>
          <w:lang w:eastAsia="en-AU"/>
        </w:rPr>
        <w:t>Each of these tests are discussed below.</w:t>
      </w:r>
    </w:p>
    <w:p w14:paraId="4A8C1B11" w14:textId="7BF73649" w:rsidR="0078427A" w:rsidRPr="002E4EB9" w:rsidRDefault="0078427A" w:rsidP="006B2BCB">
      <w:pPr>
        <w:keepLines/>
        <w:autoSpaceDE w:val="0"/>
        <w:autoSpaceDN w:val="0"/>
        <w:adjustRightInd w:val="0"/>
        <w:snapToGrid w:val="0"/>
        <w:spacing w:line="276" w:lineRule="auto"/>
        <w:rPr>
          <w:rFonts w:ascii="Arial" w:hAnsi="Arial" w:cs="Arial"/>
          <w:iCs/>
          <w:sz w:val="20"/>
          <w:lang w:eastAsia="en-AU"/>
        </w:rPr>
      </w:pPr>
    </w:p>
    <w:p w14:paraId="51DA3F5E" w14:textId="3CBDDE61" w:rsidR="0078427A" w:rsidRDefault="0078427A" w:rsidP="006B2BCB">
      <w:pPr>
        <w:keepLines/>
        <w:autoSpaceDE w:val="0"/>
        <w:autoSpaceDN w:val="0"/>
        <w:adjustRightInd w:val="0"/>
        <w:snapToGrid w:val="0"/>
        <w:spacing w:line="276" w:lineRule="auto"/>
        <w:rPr>
          <w:rFonts w:ascii="Arial" w:hAnsi="Arial" w:cs="Arial"/>
          <w:b/>
          <w:iCs/>
          <w:sz w:val="20"/>
          <w:lang w:eastAsia="en-AU"/>
        </w:rPr>
      </w:pPr>
    </w:p>
    <w:p w14:paraId="5B08F1EC" w14:textId="6F2F4F60" w:rsidR="0078427A" w:rsidRPr="0078427A" w:rsidRDefault="0078427A" w:rsidP="006B2BCB">
      <w:pPr>
        <w:keepLines/>
        <w:autoSpaceDE w:val="0"/>
        <w:autoSpaceDN w:val="0"/>
        <w:adjustRightInd w:val="0"/>
        <w:snapToGrid w:val="0"/>
        <w:spacing w:line="276" w:lineRule="auto"/>
        <w:rPr>
          <w:rFonts w:ascii="Arial" w:hAnsi="Arial" w:cs="Arial"/>
          <w:b/>
          <w:iCs/>
          <w:sz w:val="20"/>
          <w:lang w:eastAsia="en-AU"/>
        </w:rPr>
      </w:pPr>
      <w:r w:rsidRPr="0078427A">
        <w:rPr>
          <w:rFonts w:ascii="Arial" w:hAnsi="Arial" w:cs="Arial"/>
          <w:b/>
          <w:iCs/>
          <w:sz w:val="20"/>
          <w:lang w:eastAsia="en-AU"/>
        </w:rPr>
        <w:t>Carry forward and utilisation of losses</w:t>
      </w:r>
    </w:p>
    <w:p w14:paraId="05050D64" w14:textId="77777777" w:rsidR="0078427A" w:rsidRDefault="0078427A" w:rsidP="006B2BCB">
      <w:pPr>
        <w:keepLines/>
        <w:autoSpaceDE w:val="0"/>
        <w:autoSpaceDN w:val="0"/>
        <w:adjustRightInd w:val="0"/>
        <w:snapToGrid w:val="0"/>
        <w:spacing w:line="276" w:lineRule="auto"/>
        <w:rPr>
          <w:rFonts w:ascii="Arial" w:hAnsi="Arial" w:cs="Arial"/>
          <w:b/>
          <w:iCs/>
          <w:sz w:val="20"/>
          <w:lang w:eastAsia="en-AU"/>
        </w:rPr>
      </w:pPr>
    </w:p>
    <w:p w14:paraId="723BAC91" w14:textId="77777777" w:rsidR="00630B2C" w:rsidRPr="002C6FC6" w:rsidRDefault="00630B2C" w:rsidP="006B2BCB">
      <w:pPr>
        <w:keepLines/>
        <w:autoSpaceDE w:val="0"/>
        <w:autoSpaceDN w:val="0"/>
        <w:adjustRightInd w:val="0"/>
        <w:snapToGrid w:val="0"/>
        <w:spacing w:line="276" w:lineRule="auto"/>
        <w:rPr>
          <w:rFonts w:ascii="Arial" w:hAnsi="Arial" w:cs="Arial"/>
          <w:b/>
          <w:iCs/>
          <w:sz w:val="20"/>
          <w:lang w:eastAsia="en-AU"/>
        </w:rPr>
      </w:pPr>
      <w:r w:rsidRPr="002C6FC6">
        <w:rPr>
          <w:rFonts w:ascii="Arial" w:hAnsi="Arial" w:cs="Arial"/>
          <w:b/>
          <w:iCs/>
          <w:sz w:val="20"/>
          <w:lang w:eastAsia="en-AU"/>
        </w:rPr>
        <w:t>COT</w:t>
      </w:r>
    </w:p>
    <w:p w14:paraId="765828B7" w14:textId="77777777" w:rsidR="00630B2C" w:rsidRPr="00E67C2F" w:rsidRDefault="00630B2C" w:rsidP="006B2BCB">
      <w:pPr>
        <w:keepLines/>
        <w:autoSpaceDE w:val="0"/>
        <w:autoSpaceDN w:val="0"/>
        <w:adjustRightInd w:val="0"/>
        <w:snapToGrid w:val="0"/>
        <w:spacing w:line="276" w:lineRule="auto"/>
        <w:rPr>
          <w:rFonts w:ascii="Arial" w:hAnsi="Arial" w:cs="Arial"/>
          <w:iCs/>
          <w:sz w:val="20"/>
          <w:u w:val="single"/>
          <w:lang w:eastAsia="en-AU"/>
        </w:rPr>
      </w:pPr>
    </w:p>
    <w:p w14:paraId="00716A00" w14:textId="653C1283" w:rsidR="00D77C16" w:rsidRDefault="00630B2C" w:rsidP="006B2BCB">
      <w:pPr>
        <w:pStyle w:val="Msbody"/>
        <w:keepLines/>
        <w:autoSpaceDE w:val="0"/>
        <w:autoSpaceDN w:val="0"/>
        <w:adjustRightInd w:val="0"/>
        <w:snapToGrid w:val="0"/>
        <w:spacing w:line="276" w:lineRule="auto"/>
        <w:jc w:val="left"/>
      </w:pPr>
      <w:r>
        <w:t>Under the COT (</w:t>
      </w:r>
      <w:r w:rsidR="00FB1B3F">
        <w:t xml:space="preserve">contained in </w:t>
      </w:r>
      <w:r>
        <w:t>D</w:t>
      </w:r>
      <w:r w:rsidRPr="00D317FE">
        <w:t xml:space="preserve">ivision 165 of the </w:t>
      </w:r>
      <w:r w:rsidRPr="00D317FE">
        <w:rPr>
          <w:i/>
          <w:iCs/>
        </w:rPr>
        <w:t xml:space="preserve">Income Tax Assessment Act </w:t>
      </w:r>
      <w:r w:rsidRPr="00D92BD0">
        <w:rPr>
          <w:iCs/>
        </w:rPr>
        <w:t>1997</w:t>
      </w:r>
      <w:r w:rsidRPr="00D317FE">
        <w:rPr>
          <w:i/>
          <w:iCs/>
        </w:rPr>
        <w:t xml:space="preserve"> </w:t>
      </w:r>
      <w:r w:rsidRPr="00D317FE">
        <w:t>(</w:t>
      </w:r>
      <w:r w:rsidR="00FB1B3F" w:rsidRPr="00330998">
        <w:rPr>
          <w:b/>
          <w:bCs/>
        </w:rPr>
        <w:t>ITAA 1997</w:t>
      </w:r>
      <w:r w:rsidRPr="00D317FE">
        <w:t>)</w:t>
      </w:r>
      <w:r>
        <w:t>)</w:t>
      </w:r>
      <w:r w:rsidRPr="00D317FE">
        <w:t>, shares carryin</w:t>
      </w:r>
      <w:r>
        <w:t>g more than 50</w:t>
      </w:r>
      <w:r w:rsidR="00FB1B3F">
        <w:t>%</w:t>
      </w:r>
      <w:r w:rsidR="0030257A">
        <w:t xml:space="preserve"> </w:t>
      </w:r>
      <w:r>
        <w:t>of all dividend</w:t>
      </w:r>
      <w:r w:rsidRPr="00D317FE">
        <w:t xml:space="preserve">, voting and capital rights must </w:t>
      </w:r>
      <w:r>
        <w:t xml:space="preserve">essentially </w:t>
      </w:r>
      <w:r w:rsidRPr="00D317FE">
        <w:t xml:space="preserve">be beneficially owned by the same </w:t>
      </w:r>
      <w:r w:rsidR="00D81391">
        <w:t>individuals or notional persons</w:t>
      </w:r>
      <w:r w:rsidR="00D81391" w:rsidRPr="00D317FE">
        <w:t xml:space="preserve"> </w:t>
      </w:r>
      <w:r w:rsidRPr="00D317FE">
        <w:t xml:space="preserve">at all times during the </w:t>
      </w:r>
      <w:r w:rsidR="00D92BD0">
        <w:t>‘</w:t>
      </w:r>
      <w:r w:rsidRPr="00D317FE">
        <w:t>ownership test period</w:t>
      </w:r>
      <w:r w:rsidR="00D92BD0">
        <w:t>’</w:t>
      </w:r>
      <w:r w:rsidR="00706A20">
        <w:t>.</w:t>
      </w:r>
      <w:r w:rsidR="00AA12DD">
        <w:rPr>
          <w:rStyle w:val="FootnoteReference"/>
        </w:rPr>
        <w:footnoteReference w:id="3"/>
      </w:r>
      <w:r w:rsidRPr="00D317FE">
        <w:t xml:space="preserve"> </w:t>
      </w:r>
      <w:r>
        <w:t>The ownership tes</w:t>
      </w:r>
      <w:r w:rsidR="006B2BCB">
        <w:t xml:space="preserve">t period </w:t>
      </w:r>
      <w:r>
        <w:t xml:space="preserve">starts at the beginning of the loss year and ends at the </w:t>
      </w:r>
      <w:r w:rsidR="006B2BCB">
        <w:t xml:space="preserve">end of the year of recoupment. </w:t>
      </w:r>
      <w:r>
        <w:t>Further, the majority underlying ownership must be satisfied in relation to the same shares</w:t>
      </w:r>
      <w:r w:rsidR="002A0E94">
        <w:t>,</w:t>
      </w:r>
      <w:r w:rsidR="00E03B3A">
        <w:t xml:space="preserve"> unless the </w:t>
      </w:r>
      <w:r w:rsidR="002A0E94">
        <w:t>‘</w:t>
      </w:r>
      <w:r w:rsidR="00E03B3A">
        <w:t>same share</w:t>
      </w:r>
      <w:r w:rsidR="00ED1185">
        <w:t xml:space="preserve"> same interest</w:t>
      </w:r>
      <w:r w:rsidR="002A0E94">
        <w:t>’</w:t>
      </w:r>
      <w:r w:rsidR="00ED1185">
        <w:t xml:space="preserve"> exemption in section 165-12(7) </w:t>
      </w:r>
      <w:r w:rsidR="00C6753E">
        <w:t>applies.</w:t>
      </w:r>
      <w:r>
        <w:t xml:space="preserve"> </w:t>
      </w:r>
    </w:p>
    <w:p w14:paraId="7CFB0B36" w14:textId="77777777" w:rsidR="00D77C16" w:rsidRDefault="00D77C16" w:rsidP="006B2BCB">
      <w:pPr>
        <w:pStyle w:val="Msbody"/>
        <w:keepLines/>
        <w:autoSpaceDE w:val="0"/>
        <w:autoSpaceDN w:val="0"/>
        <w:adjustRightInd w:val="0"/>
        <w:snapToGrid w:val="0"/>
        <w:spacing w:line="276" w:lineRule="auto"/>
        <w:jc w:val="left"/>
      </w:pPr>
    </w:p>
    <w:p w14:paraId="0F11E67A" w14:textId="2831EB2F" w:rsidR="00D77C16" w:rsidRDefault="00D77C16" w:rsidP="006B2BCB">
      <w:pPr>
        <w:pStyle w:val="Msbody"/>
        <w:keepLines/>
        <w:autoSpaceDE w:val="0"/>
        <w:autoSpaceDN w:val="0"/>
        <w:adjustRightInd w:val="0"/>
        <w:snapToGrid w:val="0"/>
        <w:spacing w:line="276" w:lineRule="auto"/>
        <w:jc w:val="left"/>
      </w:pPr>
      <w:r>
        <w:t>The tracing of such beneficial ownership can be done under a primary test where shares are beneficially owned directly by the individual shareholders in a company, or under an alternat</w:t>
      </w:r>
      <w:r w:rsidR="002A0E94">
        <w:t>ive</w:t>
      </w:r>
      <w:r>
        <w:t xml:space="preserve"> test where it is reasonable to assume that shares in a company are beneficially owned by individuals through an interposed company at any time during the ownership test period. </w:t>
      </w:r>
    </w:p>
    <w:p w14:paraId="3A55D6AB" w14:textId="0A192B3A" w:rsidR="00CE691B" w:rsidRDefault="00CE691B" w:rsidP="006B2BCB">
      <w:pPr>
        <w:pStyle w:val="Msbody"/>
        <w:keepLines/>
        <w:autoSpaceDE w:val="0"/>
        <w:autoSpaceDN w:val="0"/>
        <w:adjustRightInd w:val="0"/>
        <w:snapToGrid w:val="0"/>
        <w:spacing w:line="276" w:lineRule="auto"/>
        <w:jc w:val="left"/>
      </w:pPr>
    </w:p>
    <w:p w14:paraId="029C0007" w14:textId="48FEE0C6" w:rsidR="00CE691B" w:rsidRDefault="00CE691B" w:rsidP="006B2BCB">
      <w:pPr>
        <w:pStyle w:val="Msbody"/>
        <w:keepLines/>
        <w:autoSpaceDE w:val="0"/>
        <w:autoSpaceDN w:val="0"/>
        <w:adjustRightInd w:val="0"/>
        <w:snapToGrid w:val="0"/>
        <w:spacing w:line="276" w:lineRule="auto"/>
        <w:jc w:val="left"/>
      </w:pPr>
      <w:r>
        <w:lastRenderedPageBreak/>
        <w:t>For companies with discretionary trusts as shareholders, a single notional entity will be taken to beneficially own the shares held by the discretionary trust, provided a family trust election (</w:t>
      </w:r>
      <w:r w:rsidRPr="00C76D80">
        <w:rPr>
          <w:b/>
          <w:bCs/>
        </w:rPr>
        <w:t>FTE</w:t>
      </w:r>
      <w:r>
        <w:t xml:space="preserve">) has been made. If </w:t>
      </w:r>
      <w:r w:rsidR="002E2C6B">
        <w:t>an</w:t>
      </w:r>
      <w:r>
        <w:t xml:space="preserve"> FTE has not been made, the shares owned by the discretionary trust cannot be taken into account in determining if COT has been satisfied</w:t>
      </w:r>
      <w:r w:rsidR="00570D55">
        <w:t xml:space="preserve"> unless the discretionary trust satisfies the </w:t>
      </w:r>
      <w:r w:rsidR="002E4D0A">
        <w:t>alternative tests in Division 165-F of the ITAA 1997.</w:t>
      </w:r>
    </w:p>
    <w:p w14:paraId="34538B3D" w14:textId="77777777" w:rsidR="00D77C16" w:rsidRDefault="00D77C16" w:rsidP="006B2BCB">
      <w:pPr>
        <w:pStyle w:val="Msbody"/>
        <w:keepLines/>
        <w:autoSpaceDE w:val="0"/>
        <w:autoSpaceDN w:val="0"/>
        <w:adjustRightInd w:val="0"/>
        <w:snapToGrid w:val="0"/>
        <w:spacing w:line="276" w:lineRule="auto"/>
        <w:jc w:val="left"/>
      </w:pPr>
    </w:p>
    <w:p w14:paraId="2F1EE001" w14:textId="39071897" w:rsidR="00630B2C" w:rsidRDefault="00DC695F" w:rsidP="006B2BCB">
      <w:pPr>
        <w:pStyle w:val="Msbody"/>
        <w:keepLines/>
        <w:autoSpaceDE w:val="0"/>
        <w:autoSpaceDN w:val="0"/>
        <w:adjustRightInd w:val="0"/>
        <w:snapToGrid w:val="0"/>
        <w:spacing w:line="276" w:lineRule="auto"/>
        <w:jc w:val="left"/>
      </w:pPr>
      <w:r>
        <w:t>In addition</w:t>
      </w:r>
      <w:r w:rsidR="00D77C16">
        <w:t>, c</w:t>
      </w:r>
      <w:r w:rsidR="00630B2C">
        <w:t xml:space="preserve">ertain concessional COT </w:t>
      </w:r>
      <w:r w:rsidR="00D77C16">
        <w:t xml:space="preserve">tracing </w:t>
      </w:r>
      <w:r w:rsidR="00630B2C">
        <w:t>tests are available to widely held</w:t>
      </w:r>
      <w:r w:rsidR="00630B2C">
        <w:rPr>
          <w:lang w:val="en-US"/>
        </w:rPr>
        <w:t xml:space="preserve"> and/or listed companies</w:t>
      </w:r>
      <w:r w:rsidR="00AB4ABC">
        <w:rPr>
          <w:lang w:val="en-US"/>
        </w:rPr>
        <w:t xml:space="preserve"> under Division 166 of the ITAA 1997</w:t>
      </w:r>
      <w:r w:rsidR="00630B2C">
        <w:t>.</w:t>
      </w:r>
    </w:p>
    <w:p w14:paraId="4E845304" w14:textId="77777777" w:rsidR="00630B2C" w:rsidRDefault="00630B2C" w:rsidP="006B2BCB">
      <w:pPr>
        <w:pStyle w:val="Msbody"/>
        <w:keepLines/>
        <w:autoSpaceDE w:val="0"/>
        <w:autoSpaceDN w:val="0"/>
        <w:adjustRightInd w:val="0"/>
        <w:snapToGrid w:val="0"/>
        <w:spacing w:line="276" w:lineRule="auto"/>
      </w:pPr>
    </w:p>
    <w:p w14:paraId="3BCD6ECD" w14:textId="283CCC17" w:rsidR="00E90D19" w:rsidRPr="00E67C2F" w:rsidRDefault="00FF1BBB" w:rsidP="006B2BCB">
      <w:pPr>
        <w:pStyle w:val="Msbody"/>
        <w:keepLines/>
        <w:autoSpaceDE w:val="0"/>
        <w:autoSpaceDN w:val="0"/>
        <w:adjustRightInd w:val="0"/>
        <w:snapToGrid w:val="0"/>
        <w:spacing w:line="276" w:lineRule="auto"/>
        <w:rPr>
          <w:u w:val="single"/>
        </w:rPr>
      </w:pPr>
      <w:r>
        <w:rPr>
          <w:b/>
        </w:rPr>
        <w:t>BCT</w:t>
      </w:r>
    </w:p>
    <w:p w14:paraId="1A97172A" w14:textId="77777777" w:rsidR="00491727" w:rsidRDefault="00491727" w:rsidP="006B2BCB">
      <w:pPr>
        <w:pStyle w:val="BodyText"/>
        <w:adjustRightInd w:val="0"/>
        <w:snapToGrid w:val="0"/>
        <w:spacing w:line="276" w:lineRule="auto"/>
        <w:jc w:val="left"/>
        <w:rPr>
          <w:rFonts w:ascii="Arial" w:hAnsi="Arial" w:cs="Arial"/>
          <w:sz w:val="20"/>
        </w:rPr>
      </w:pPr>
    </w:p>
    <w:p w14:paraId="596EF40B" w14:textId="3C1E9F22" w:rsidR="00A33962" w:rsidRDefault="00630B2C" w:rsidP="006B2BCB">
      <w:pPr>
        <w:pStyle w:val="BodyText"/>
        <w:adjustRightInd w:val="0"/>
        <w:snapToGrid w:val="0"/>
        <w:spacing w:line="276" w:lineRule="auto"/>
        <w:jc w:val="left"/>
        <w:rPr>
          <w:rFonts w:ascii="Arial" w:hAnsi="Arial" w:cs="Arial"/>
          <w:sz w:val="20"/>
        </w:rPr>
      </w:pPr>
      <w:r>
        <w:rPr>
          <w:rFonts w:ascii="Arial" w:hAnsi="Arial" w:cs="Arial"/>
          <w:sz w:val="20"/>
        </w:rPr>
        <w:t>If</w:t>
      </w:r>
      <w:r w:rsidRPr="00D317FE">
        <w:rPr>
          <w:rFonts w:ascii="Arial" w:hAnsi="Arial" w:cs="Arial"/>
          <w:sz w:val="20"/>
        </w:rPr>
        <w:t xml:space="preserve"> a company fails to satisfy the COT, it may </w:t>
      </w:r>
      <w:r w:rsidR="0082383C">
        <w:rPr>
          <w:rFonts w:ascii="Arial" w:hAnsi="Arial" w:cs="Arial"/>
          <w:sz w:val="20"/>
        </w:rPr>
        <w:t>still</w:t>
      </w:r>
      <w:r w:rsidR="0082383C" w:rsidRPr="00D317FE">
        <w:rPr>
          <w:rFonts w:ascii="Arial" w:hAnsi="Arial" w:cs="Arial"/>
          <w:sz w:val="20"/>
        </w:rPr>
        <w:t xml:space="preserve"> </w:t>
      </w:r>
      <w:r w:rsidRPr="00D317FE">
        <w:rPr>
          <w:rFonts w:ascii="Arial" w:hAnsi="Arial" w:cs="Arial"/>
          <w:sz w:val="20"/>
        </w:rPr>
        <w:t>be allowed a deduction for prior year</w:t>
      </w:r>
      <w:r w:rsidR="00593E76">
        <w:rPr>
          <w:rFonts w:ascii="Arial" w:hAnsi="Arial" w:cs="Arial"/>
          <w:sz w:val="20"/>
        </w:rPr>
        <w:t xml:space="preserve"> income tax and capital</w:t>
      </w:r>
      <w:r w:rsidRPr="00D317FE">
        <w:rPr>
          <w:rFonts w:ascii="Arial" w:hAnsi="Arial" w:cs="Arial"/>
          <w:sz w:val="20"/>
        </w:rPr>
        <w:t xml:space="preserve"> losses if it satisfies the B</w:t>
      </w:r>
      <w:r w:rsidR="003A0D59">
        <w:rPr>
          <w:rFonts w:ascii="Arial" w:hAnsi="Arial" w:cs="Arial"/>
          <w:sz w:val="20"/>
        </w:rPr>
        <w:t>C</w:t>
      </w:r>
      <w:r w:rsidRPr="00D317FE">
        <w:rPr>
          <w:rFonts w:ascii="Arial" w:hAnsi="Arial" w:cs="Arial"/>
          <w:sz w:val="20"/>
        </w:rPr>
        <w:t>T</w:t>
      </w:r>
      <w:r w:rsidR="003A0D59">
        <w:rPr>
          <w:rFonts w:ascii="Arial" w:hAnsi="Arial" w:cs="Arial"/>
          <w:sz w:val="20"/>
        </w:rPr>
        <w:t xml:space="preserve"> </w:t>
      </w:r>
      <w:r>
        <w:rPr>
          <w:rFonts w:ascii="Arial" w:hAnsi="Arial" w:cs="Arial"/>
          <w:sz w:val="20"/>
        </w:rPr>
        <w:t>at</w:t>
      </w:r>
      <w:r w:rsidRPr="00D317FE">
        <w:rPr>
          <w:rFonts w:ascii="Arial" w:hAnsi="Arial" w:cs="Arial"/>
          <w:sz w:val="20"/>
        </w:rPr>
        <w:t xml:space="preserve"> the </w:t>
      </w:r>
      <w:r>
        <w:rPr>
          <w:rFonts w:ascii="Arial" w:hAnsi="Arial" w:cs="Arial"/>
          <w:sz w:val="20"/>
        </w:rPr>
        <w:t>time</w:t>
      </w:r>
      <w:r w:rsidRPr="00D317FE">
        <w:rPr>
          <w:rFonts w:ascii="Arial" w:hAnsi="Arial" w:cs="Arial"/>
          <w:sz w:val="20"/>
        </w:rPr>
        <w:t xml:space="preserve"> of recoupment</w:t>
      </w:r>
      <w:r>
        <w:rPr>
          <w:rFonts w:ascii="Arial" w:hAnsi="Arial" w:cs="Arial"/>
          <w:sz w:val="20"/>
        </w:rPr>
        <w:t>.</w:t>
      </w:r>
      <w:r w:rsidR="003A0D59">
        <w:rPr>
          <w:rFonts w:ascii="Arial" w:hAnsi="Arial" w:cs="Arial"/>
          <w:sz w:val="20"/>
        </w:rPr>
        <w:t xml:space="preserve"> The BCT </w:t>
      </w:r>
      <w:r w:rsidR="00A33962">
        <w:rPr>
          <w:rFonts w:ascii="Arial" w:hAnsi="Arial" w:cs="Arial"/>
          <w:sz w:val="20"/>
        </w:rPr>
        <w:t>will be satisfied if the company passes either of the following tests:</w:t>
      </w:r>
    </w:p>
    <w:p w14:paraId="6F77B06E" w14:textId="77777777" w:rsidR="00A33962" w:rsidRDefault="00A33962" w:rsidP="006B2BCB">
      <w:pPr>
        <w:pStyle w:val="BodyText"/>
        <w:adjustRightInd w:val="0"/>
        <w:snapToGrid w:val="0"/>
        <w:spacing w:line="276" w:lineRule="auto"/>
        <w:jc w:val="left"/>
        <w:rPr>
          <w:rFonts w:ascii="Arial" w:hAnsi="Arial" w:cs="Arial"/>
          <w:sz w:val="20"/>
        </w:rPr>
      </w:pPr>
    </w:p>
    <w:p w14:paraId="358AC809" w14:textId="1551FF1C" w:rsidR="009B67CE" w:rsidRDefault="00A33962" w:rsidP="00A33962">
      <w:pPr>
        <w:pStyle w:val="BodyText"/>
        <w:numPr>
          <w:ilvl w:val="0"/>
          <w:numId w:val="8"/>
        </w:numPr>
        <w:adjustRightInd w:val="0"/>
        <w:snapToGrid w:val="0"/>
        <w:spacing w:line="276" w:lineRule="auto"/>
        <w:jc w:val="left"/>
        <w:rPr>
          <w:rFonts w:ascii="Arial" w:hAnsi="Arial" w:cs="Arial"/>
          <w:sz w:val="20"/>
        </w:rPr>
      </w:pPr>
      <w:r>
        <w:rPr>
          <w:rFonts w:ascii="Arial" w:hAnsi="Arial" w:cs="Arial"/>
          <w:sz w:val="20"/>
        </w:rPr>
        <w:t xml:space="preserve">the </w:t>
      </w:r>
      <w:r w:rsidR="00FE792A">
        <w:rPr>
          <w:rFonts w:ascii="Arial" w:hAnsi="Arial" w:cs="Arial"/>
          <w:sz w:val="20"/>
        </w:rPr>
        <w:t>SBT</w:t>
      </w:r>
      <w:r w:rsidR="009B67CE">
        <w:rPr>
          <w:rFonts w:ascii="Arial" w:hAnsi="Arial" w:cs="Arial"/>
          <w:sz w:val="20"/>
        </w:rPr>
        <w:t xml:space="preserve"> or</w:t>
      </w:r>
    </w:p>
    <w:p w14:paraId="33448404" w14:textId="77777777" w:rsidR="00704721" w:rsidRDefault="009B67CE" w:rsidP="00A33962">
      <w:pPr>
        <w:pStyle w:val="BodyText"/>
        <w:numPr>
          <w:ilvl w:val="0"/>
          <w:numId w:val="8"/>
        </w:numPr>
        <w:adjustRightInd w:val="0"/>
        <w:snapToGrid w:val="0"/>
        <w:spacing w:line="276" w:lineRule="auto"/>
        <w:jc w:val="left"/>
        <w:rPr>
          <w:rFonts w:ascii="Arial" w:hAnsi="Arial" w:cs="Arial"/>
          <w:sz w:val="20"/>
        </w:rPr>
      </w:pPr>
      <w:r>
        <w:rPr>
          <w:rFonts w:ascii="Arial" w:hAnsi="Arial" w:cs="Arial"/>
          <w:sz w:val="20"/>
        </w:rPr>
        <w:t>the similar business test.</w:t>
      </w:r>
    </w:p>
    <w:p w14:paraId="31D8F292" w14:textId="77777777" w:rsidR="00704721" w:rsidRDefault="00704721" w:rsidP="00704721">
      <w:pPr>
        <w:pStyle w:val="BodyText"/>
        <w:adjustRightInd w:val="0"/>
        <w:snapToGrid w:val="0"/>
        <w:spacing w:line="276" w:lineRule="auto"/>
        <w:jc w:val="left"/>
        <w:rPr>
          <w:rFonts w:ascii="Arial" w:hAnsi="Arial" w:cs="Arial"/>
          <w:sz w:val="20"/>
        </w:rPr>
      </w:pPr>
    </w:p>
    <w:p w14:paraId="3D766140" w14:textId="62A13455" w:rsidR="00D77C16" w:rsidRDefault="00704721" w:rsidP="00704721">
      <w:pPr>
        <w:pStyle w:val="BodyText"/>
        <w:adjustRightInd w:val="0"/>
        <w:snapToGrid w:val="0"/>
        <w:spacing w:line="276" w:lineRule="auto"/>
        <w:jc w:val="left"/>
        <w:rPr>
          <w:rFonts w:ascii="Arial" w:hAnsi="Arial" w:cs="Arial"/>
          <w:sz w:val="20"/>
        </w:rPr>
      </w:pPr>
      <w:r>
        <w:rPr>
          <w:rFonts w:ascii="Arial" w:hAnsi="Arial" w:cs="Arial"/>
          <w:sz w:val="20"/>
        </w:rPr>
        <w:t>Importantly, the similar business test can only apply to losses that are incurred after 1 July 2015</w:t>
      </w:r>
      <w:r w:rsidR="0082383C">
        <w:rPr>
          <w:rFonts w:ascii="Arial" w:hAnsi="Arial" w:cs="Arial"/>
          <w:sz w:val="20"/>
        </w:rPr>
        <w:t>,</w:t>
      </w:r>
      <w:r>
        <w:rPr>
          <w:rFonts w:ascii="Arial" w:hAnsi="Arial" w:cs="Arial"/>
          <w:sz w:val="20"/>
        </w:rPr>
        <w:t xml:space="preserve"> </w:t>
      </w:r>
      <w:r w:rsidR="0082383C">
        <w:rPr>
          <w:rFonts w:ascii="Arial" w:hAnsi="Arial" w:cs="Arial"/>
          <w:sz w:val="20"/>
        </w:rPr>
        <w:t xml:space="preserve">while </w:t>
      </w:r>
      <w:r>
        <w:rPr>
          <w:rFonts w:ascii="Arial" w:hAnsi="Arial" w:cs="Arial"/>
          <w:sz w:val="20"/>
        </w:rPr>
        <w:t xml:space="preserve">the </w:t>
      </w:r>
      <w:r w:rsidR="00FE792A">
        <w:rPr>
          <w:rFonts w:ascii="Arial" w:hAnsi="Arial" w:cs="Arial"/>
          <w:sz w:val="20"/>
        </w:rPr>
        <w:t>SBT</w:t>
      </w:r>
      <w:r>
        <w:rPr>
          <w:rFonts w:ascii="Arial" w:hAnsi="Arial" w:cs="Arial"/>
          <w:sz w:val="20"/>
        </w:rPr>
        <w:t xml:space="preserve"> can apply to all income tax</w:t>
      </w:r>
      <w:r w:rsidR="00593E76">
        <w:rPr>
          <w:rFonts w:ascii="Arial" w:hAnsi="Arial" w:cs="Arial"/>
          <w:sz w:val="20"/>
        </w:rPr>
        <w:t xml:space="preserve"> and capital</w:t>
      </w:r>
      <w:r>
        <w:rPr>
          <w:rFonts w:ascii="Arial" w:hAnsi="Arial" w:cs="Arial"/>
          <w:sz w:val="20"/>
        </w:rPr>
        <w:t xml:space="preserve"> losses.</w:t>
      </w:r>
      <w:r w:rsidR="009B67CE">
        <w:rPr>
          <w:rFonts w:ascii="Arial" w:hAnsi="Arial" w:cs="Arial"/>
          <w:sz w:val="20"/>
        </w:rPr>
        <w:t xml:space="preserve"> </w:t>
      </w:r>
    </w:p>
    <w:p w14:paraId="7D44F9D8" w14:textId="77777777" w:rsidR="00100C7F" w:rsidRDefault="00100C7F" w:rsidP="006B2BCB">
      <w:pPr>
        <w:pStyle w:val="BodyText"/>
        <w:adjustRightInd w:val="0"/>
        <w:snapToGrid w:val="0"/>
        <w:spacing w:line="276" w:lineRule="auto"/>
        <w:jc w:val="left"/>
        <w:rPr>
          <w:rFonts w:ascii="Arial" w:hAnsi="Arial" w:cs="Arial"/>
          <w:sz w:val="20"/>
        </w:rPr>
      </w:pPr>
    </w:p>
    <w:p w14:paraId="57FC6050" w14:textId="132F861C" w:rsidR="00006DE6" w:rsidRDefault="00100C7F" w:rsidP="006B2BCB">
      <w:pPr>
        <w:pStyle w:val="BodyText"/>
        <w:adjustRightInd w:val="0"/>
        <w:snapToGrid w:val="0"/>
        <w:spacing w:line="276" w:lineRule="auto"/>
        <w:jc w:val="left"/>
        <w:rPr>
          <w:rFonts w:ascii="Arial" w:hAnsi="Arial" w:cs="Arial"/>
          <w:sz w:val="20"/>
        </w:rPr>
      </w:pPr>
      <w:r w:rsidRPr="00491727">
        <w:rPr>
          <w:rFonts w:ascii="Arial" w:hAnsi="Arial" w:cs="Arial"/>
          <w:sz w:val="20"/>
        </w:rPr>
        <w:t xml:space="preserve">The BCT must be satisfied throughout the </w:t>
      </w:r>
      <w:r w:rsidR="00D32A6B">
        <w:rPr>
          <w:rFonts w:ascii="Arial" w:hAnsi="Arial" w:cs="Arial"/>
          <w:sz w:val="20"/>
        </w:rPr>
        <w:t>‘</w:t>
      </w:r>
      <w:r w:rsidRPr="00491727">
        <w:rPr>
          <w:rFonts w:ascii="Arial" w:hAnsi="Arial" w:cs="Arial"/>
          <w:sz w:val="20"/>
        </w:rPr>
        <w:t>business continuity test period</w:t>
      </w:r>
      <w:r w:rsidR="00D32A6B">
        <w:rPr>
          <w:rFonts w:ascii="Arial" w:hAnsi="Arial" w:cs="Arial"/>
          <w:sz w:val="20"/>
        </w:rPr>
        <w:t>’</w:t>
      </w:r>
      <w:r w:rsidRPr="00491727">
        <w:rPr>
          <w:rFonts w:ascii="Arial" w:hAnsi="Arial" w:cs="Arial"/>
          <w:sz w:val="20"/>
        </w:rPr>
        <w:t xml:space="preserve"> which</w:t>
      </w:r>
      <w:r w:rsidR="00006DE6">
        <w:rPr>
          <w:rFonts w:ascii="Arial" w:hAnsi="Arial" w:cs="Arial"/>
          <w:sz w:val="20"/>
        </w:rPr>
        <w:t>:</w:t>
      </w:r>
    </w:p>
    <w:p w14:paraId="773E0FF5" w14:textId="77777777" w:rsidR="00006DE6" w:rsidRDefault="00006DE6" w:rsidP="006B2BCB">
      <w:pPr>
        <w:pStyle w:val="BodyText"/>
        <w:adjustRightInd w:val="0"/>
        <w:snapToGrid w:val="0"/>
        <w:spacing w:line="276" w:lineRule="auto"/>
        <w:jc w:val="left"/>
        <w:rPr>
          <w:rFonts w:ascii="Arial" w:hAnsi="Arial" w:cs="Arial"/>
          <w:sz w:val="20"/>
        </w:rPr>
      </w:pPr>
    </w:p>
    <w:p w14:paraId="6AE4CF85" w14:textId="47743FF6" w:rsidR="00006DE6" w:rsidRDefault="00100C7F" w:rsidP="00006DE6">
      <w:pPr>
        <w:pStyle w:val="BodyText"/>
        <w:numPr>
          <w:ilvl w:val="0"/>
          <w:numId w:val="9"/>
        </w:numPr>
        <w:adjustRightInd w:val="0"/>
        <w:snapToGrid w:val="0"/>
        <w:spacing w:line="276" w:lineRule="auto"/>
        <w:jc w:val="left"/>
        <w:rPr>
          <w:rFonts w:ascii="Arial" w:hAnsi="Arial" w:cs="Arial"/>
          <w:sz w:val="20"/>
        </w:rPr>
      </w:pPr>
      <w:r w:rsidRPr="00491727">
        <w:rPr>
          <w:rFonts w:ascii="Arial" w:hAnsi="Arial" w:cs="Arial"/>
          <w:sz w:val="20"/>
        </w:rPr>
        <w:t xml:space="preserve">ends at the end of the income year in which the loss is recouped and </w:t>
      </w:r>
    </w:p>
    <w:p w14:paraId="35E8DD72" w14:textId="77777777" w:rsidR="00006DE6" w:rsidRDefault="00100C7F" w:rsidP="00006DE6">
      <w:pPr>
        <w:pStyle w:val="BodyText"/>
        <w:numPr>
          <w:ilvl w:val="0"/>
          <w:numId w:val="9"/>
        </w:numPr>
        <w:adjustRightInd w:val="0"/>
        <w:snapToGrid w:val="0"/>
        <w:spacing w:line="276" w:lineRule="auto"/>
        <w:jc w:val="left"/>
        <w:rPr>
          <w:rFonts w:ascii="Arial" w:hAnsi="Arial" w:cs="Arial"/>
          <w:sz w:val="20"/>
        </w:rPr>
      </w:pPr>
      <w:r w:rsidRPr="00491727">
        <w:rPr>
          <w:rFonts w:ascii="Arial" w:hAnsi="Arial" w:cs="Arial"/>
          <w:sz w:val="20"/>
        </w:rPr>
        <w:t xml:space="preserve">begins at the test time. </w:t>
      </w:r>
    </w:p>
    <w:p w14:paraId="6F547DA6" w14:textId="77777777" w:rsidR="00006DE6" w:rsidRDefault="00006DE6" w:rsidP="005A587A">
      <w:pPr>
        <w:pStyle w:val="BodyText"/>
        <w:adjustRightInd w:val="0"/>
        <w:snapToGrid w:val="0"/>
        <w:spacing w:line="276" w:lineRule="auto"/>
        <w:ind w:left="780"/>
        <w:jc w:val="left"/>
        <w:rPr>
          <w:rFonts w:ascii="Arial" w:hAnsi="Arial" w:cs="Arial"/>
          <w:sz w:val="20"/>
        </w:rPr>
      </w:pPr>
    </w:p>
    <w:p w14:paraId="405098EE" w14:textId="15476759" w:rsidR="00630B2C" w:rsidRPr="00491727" w:rsidRDefault="00100C7F" w:rsidP="00006DE6">
      <w:pPr>
        <w:pStyle w:val="BodyText"/>
        <w:adjustRightInd w:val="0"/>
        <w:snapToGrid w:val="0"/>
        <w:spacing w:line="276" w:lineRule="auto"/>
        <w:jc w:val="left"/>
        <w:rPr>
          <w:rFonts w:ascii="Arial" w:hAnsi="Arial" w:cs="Arial"/>
          <w:sz w:val="20"/>
        </w:rPr>
      </w:pPr>
      <w:r w:rsidRPr="00491727">
        <w:rPr>
          <w:rFonts w:ascii="Arial" w:hAnsi="Arial" w:cs="Arial"/>
          <w:sz w:val="20"/>
        </w:rPr>
        <w:t xml:space="preserve">The test time commences </w:t>
      </w:r>
      <w:r w:rsidR="0057450A" w:rsidRPr="00491727">
        <w:rPr>
          <w:rFonts w:ascii="Arial" w:hAnsi="Arial" w:cs="Arial"/>
          <w:sz w:val="20"/>
        </w:rPr>
        <w:t>on</w:t>
      </w:r>
      <w:r w:rsidR="00AF61B4" w:rsidRPr="00491727">
        <w:rPr>
          <w:rFonts w:ascii="Arial" w:hAnsi="Arial" w:cs="Arial"/>
          <w:sz w:val="20"/>
        </w:rPr>
        <w:t xml:space="preserve"> </w:t>
      </w:r>
      <w:r w:rsidR="00DC695F" w:rsidRPr="00491727">
        <w:rPr>
          <w:rFonts w:ascii="Arial" w:hAnsi="Arial" w:cs="Arial"/>
          <w:sz w:val="20"/>
        </w:rPr>
        <w:t xml:space="preserve">the date </w:t>
      </w:r>
      <w:r w:rsidR="00630B2C" w:rsidRPr="00491727">
        <w:rPr>
          <w:rFonts w:ascii="Arial" w:hAnsi="Arial" w:cs="Arial"/>
          <w:sz w:val="20"/>
        </w:rPr>
        <w:t>on which the COT te</w:t>
      </w:r>
      <w:r w:rsidR="006B2BCB" w:rsidRPr="00491727">
        <w:rPr>
          <w:rFonts w:ascii="Arial" w:hAnsi="Arial" w:cs="Arial"/>
          <w:sz w:val="20"/>
        </w:rPr>
        <w:t xml:space="preserve">st is failed </w:t>
      </w:r>
      <w:r w:rsidR="00DC695F" w:rsidRPr="00491727">
        <w:rPr>
          <w:rFonts w:ascii="Arial" w:hAnsi="Arial" w:cs="Arial"/>
          <w:sz w:val="20"/>
        </w:rPr>
        <w:t xml:space="preserve">following a </w:t>
      </w:r>
      <w:r w:rsidR="00630B2C" w:rsidRPr="00491727">
        <w:rPr>
          <w:rFonts w:ascii="Arial" w:hAnsi="Arial" w:cs="Arial"/>
          <w:sz w:val="20"/>
        </w:rPr>
        <w:t>change in 50</w:t>
      </w:r>
      <w:r w:rsidR="00D7318F" w:rsidRPr="00491727">
        <w:rPr>
          <w:rFonts w:ascii="Arial" w:hAnsi="Arial" w:cs="Arial"/>
          <w:sz w:val="20"/>
        </w:rPr>
        <w:t>%</w:t>
      </w:r>
      <w:r w:rsidR="002A77F6" w:rsidRPr="00491727">
        <w:rPr>
          <w:rFonts w:ascii="Arial" w:hAnsi="Arial" w:cs="Arial"/>
          <w:sz w:val="20"/>
        </w:rPr>
        <w:t xml:space="preserve"> </w:t>
      </w:r>
      <w:r w:rsidR="00630B2C" w:rsidRPr="00491727">
        <w:rPr>
          <w:rFonts w:ascii="Arial" w:hAnsi="Arial" w:cs="Arial"/>
          <w:sz w:val="20"/>
        </w:rPr>
        <w:t xml:space="preserve">or more of the underlying beneficial ownership of shares </w:t>
      </w:r>
      <w:r w:rsidR="00DC695F" w:rsidRPr="00491727">
        <w:rPr>
          <w:rFonts w:ascii="Arial" w:hAnsi="Arial" w:cs="Arial"/>
          <w:sz w:val="20"/>
        </w:rPr>
        <w:t>in the company</w:t>
      </w:r>
      <w:r w:rsidRPr="00491727">
        <w:rPr>
          <w:rFonts w:ascii="Arial" w:hAnsi="Arial" w:cs="Arial"/>
          <w:sz w:val="20"/>
        </w:rPr>
        <w:t>.</w:t>
      </w:r>
      <w:r w:rsidR="00ED388E" w:rsidRPr="00491727">
        <w:rPr>
          <w:rFonts w:ascii="Arial" w:hAnsi="Arial" w:cs="Arial"/>
          <w:sz w:val="20"/>
        </w:rPr>
        <w:t xml:space="preserve"> However, for some companies, it may not be possible to show that COT was satisfied at any point in time, in which case the test time will be</w:t>
      </w:r>
      <w:r w:rsidR="009775DD" w:rsidRPr="00491727">
        <w:rPr>
          <w:rFonts w:ascii="Arial" w:hAnsi="Arial" w:cs="Arial"/>
          <w:sz w:val="20"/>
        </w:rPr>
        <w:t>:</w:t>
      </w:r>
    </w:p>
    <w:p w14:paraId="3D2E7117" w14:textId="77777777" w:rsidR="009775DD" w:rsidRDefault="009775DD" w:rsidP="006B2BCB">
      <w:pPr>
        <w:pStyle w:val="BodyText"/>
        <w:adjustRightInd w:val="0"/>
        <w:snapToGrid w:val="0"/>
        <w:spacing w:line="276" w:lineRule="auto"/>
        <w:jc w:val="left"/>
        <w:rPr>
          <w:rFonts w:ascii="Arial" w:hAnsi="Arial" w:cs="Arial"/>
          <w:sz w:val="20"/>
        </w:rPr>
      </w:pPr>
    </w:p>
    <w:p w14:paraId="65C47D75" w14:textId="3D343E47" w:rsidR="009775DD" w:rsidRDefault="009775DD" w:rsidP="009775DD">
      <w:pPr>
        <w:pStyle w:val="BodyText"/>
        <w:numPr>
          <w:ilvl w:val="0"/>
          <w:numId w:val="7"/>
        </w:numPr>
        <w:adjustRightInd w:val="0"/>
        <w:snapToGrid w:val="0"/>
        <w:spacing w:line="276" w:lineRule="auto"/>
        <w:jc w:val="left"/>
        <w:rPr>
          <w:rFonts w:ascii="Arial" w:hAnsi="Arial" w:cs="Arial"/>
          <w:sz w:val="20"/>
        </w:rPr>
      </w:pPr>
      <w:r>
        <w:rPr>
          <w:rFonts w:ascii="Arial" w:hAnsi="Arial" w:cs="Arial"/>
          <w:sz w:val="20"/>
        </w:rPr>
        <w:t>start of the loss year if the company is in existence throughout the entire loss year or</w:t>
      </w:r>
    </w:p>
    <w:p w14:paraId="0C9CC720" w14:textId="2557CD37" w:rsidR="009775DD" w:rsidRDefault="00045C38" w:rsidP="00491727">
      <w:pPr>
        <w:pStyle w:val="BodyText"/>
        <w:numPr>
          <w:ilvl w:val="0"/>
          <w:numId w:val="7"/>
        </w:numPr>
        <w:adjustRightInd w:val="0"/>
        <w:snapToGrid w:val="0"/>
        <w:spacing w:line="276" w:lineRule="auto"/>
        <w:jc w:val="left"/>
        <w:rPr>
          <w:rFonts w:ascii="Arial" w:hAnsi="Arial" w:cs="Arial"/>
          <w:sz w:val="20"/>
        </w:rPr>
      </w:pPr>
      <w:r>
        <w:rPr>
          <w:rFonts w:ascii="Arial" w:hAnsi="Arial" w:cs="Arial"/>
          <w:sz w:val="20"/>
        </w:rPr>
        <w:t>end of the loss year if the company comes into existence during the loss year.</w:t>
      </w:r>
    </w:p>
    <w:p w14:paraId="6F07B435" w14:textId="77777777" w:rsidR="00630B2C" w:rsidRPr="00D317FE" w:rsidRDefault="00630B2C" w:rsidP="006B2BCB">
      <w:pPr>
        <w:pStyle w:val="BodyText"/>
        <w:adjustRightInd w:val="0"/>
        <w:snapToGrid w:val="0"/>
        <w:spacing w:line="276" w:lineRule="auto"/>
        <w:jc w:val="left"/>
        <w:rPr>
          <w:rFonts w:ascii="Arial" w:hAnsi="Arial" w:cs="Arial"/>
          <w:sz w:val="20"/>
        </w:rPr>
      </w:pPr>
    </w:p>
    <w:p w14:paraId="2D066394" w14:textId="1634CB1D" w:rsidR="00100C7F" w:rsidRPr="00491727" w:rsidRDefault="00100C7F" w:rsidP="006B2BCB">
      <w:pPr>
        <w:pStyle w:val="BodyText"/>
        <w:adjustRightInd w:val="0"/>
        <w:snapToGrid w:val="0"/>
        <w:spacing w:line="276" w:lineRule="auto"/>
        <w:jc w:val="left"/>
        <w:rPr>
          <w:rFonts w:ascii="Arial" w:hAnsi="Arial" w:cs="Arial"/>
          <w:b/>
          <w:bCs/>
          <w:sz w:val="20"/>
        </w:rPr>
      </w:pPr>
      <w:r>
        <w:rPr>
          <w:rFonts w:ascii="Arial" w:hAnsi="Arial" w:cs="Arial"/>
          <w:b/>
          <w:bCs/>
          <w:sz w:val="20"/>
        </w:rPr>
        <w:t>Same</w:t>
      </w:r>
      <w:r w:rsidRPr="00491727">
        <w:rPr>
          <w:rFonts w:ascii="Arial" w:hAnsi="Arial" w:cs="Arial"/>
          <w:b/>
          <w:bCs/>
          <w:sz w:val="20"/>
        </w:rPr>
        <w:t xml:space="preserve"> business test</w:t>
      </w:r>
    </w:p>
    <w:p w14:paraId="28F511A9" w14:textId="77777777" w:rsidR="00100C7F" w:rsidRDefault="00100C7F" w:rsidP="006B2BCB">
      <w:pPr>
        <w:pStyle w:val="BodyText"/>
        <w:adjustRightInd w:val="0"/>
        <w:snapToGrid w:val="0"/>
        <w:spacing w:line="276" w:lineRule="auto"/>
        <w:jc w:val="left"/>
        <w:rPr>
          <w:rFonts w:ascii="Arial" w:hAnsi="Arial" w:cs="Arial"/>
          <w:sz w:val="20"/>
        </w:rPr>
      </w:pPr>
    </w:p>
    <w:p w14:paraId="1599359D" w14:textId="0044C962" w:rsidR="00630B2C" w:rsidRDefault="006B2BCB" w:rsidP="006B2BCB">
      <w:pPr>
        <w:pStyle w:val="BodyText"/>
        <w:adjustRightInd w:val="0"/>
        <w:snapToGrid w:val="0"/>
        <w:spacing w:line="276" w:lineRule="auto"/>
        <w:jc w:val="left"/>
        <w:rPr>
          <w:rFonts w:ascii="Arial" w:hAnsi="Arial" w:cs="Arial"/>
          <w:sz w:val="20"/>
        </w:rPr>
      </w:pPr>
      <w:r>
        <w:rPr>
          <w:rFonts w:ascii="Arial" w:hAnsi="Arial" w:cs="Arial"/>
          <w:sz w:val="20"/>
        </w:rPr>
        <w:t>F</w:t>
      </w:r>
      <w:r w:rsidR="00630B2C" w:rsidRPr="0030454D">
        <w:rPr>
          <w:rFonts w:ascii="Arial" w:hAnsi="Arial" w:cs="Arial"/>
          <w:sz w:val="20"/>
        </w:rPr>
        <w:t>or a company to pass the SBT and recoup a loss it must satisfy</w:t>
      </w:r>
      <w:r w:rsidR="00630B2C">
        <w:rPr>
          <w:rFonts w:ascii="Arial" w:hAnsi="Arial" w:cs="Arial"/>
          <w:sz w:val="20"/>
        </w:rPr>
        <w:t xml:space="preserve"> all</w:t>
      </w:r>
      <w:r w:rsidR="00630B2C" w:rsidRPr="0030454D">
        <w:rPr>
          <w:rFonts w:ascii="Arial" w:hAnsi="Arial" w:cs="Arial"/>
          <w:sz w:val="20"/>
        </w:rPr>
        <w:t xml:space="preserve"> the following conditions</w:t>
      </w:r>
      <w:r w:rsidR="008B15F6">
        <w:rPr>
          <w:rFonts w:ascii="Arial" w:hAnsi="Arial" w:cs="Arial"/>
          <w:sz w:val="20"/>
        </w:rPr>
        <w:t xml:space="preserve"> throughout the BCT test period</w:t>
      </w:r>
      <w:r w:rsidR="00630B2C" w:rsidRPr="0030454D">
        <w:rPr>
          <w:rFonts w:ascii="Arial" w:hAnsi="Arial" w:cs="Arial"/>
          <w:sz w:val="20"/>
        </w:rPr>
        <w:t>:</w:t>
      </w:r>
    </w:p>
    <w:p w14:paraId="31AA924A" w14:textId="77777777" w:rsidR="00630B2C" w:rsidRPr="0030454D" w:rsidRDefault="00630B2C" w:rsidP="006B2BCB">
      <w:pPr>
        <w:pStyle w:val="BodyText"/>
        <w:adjustRightInd w:val="0"/>
        <w:snapToGrid w:val="0"/>
        <w:spacing w:line="276" w:lineRule="auto"/>
        <w:rPr>
          <w:rFonts w:ascii="Arial" w:hAnsi="Arial" w:cs="Arial"/>
          <w:sz w:val="20"/>
        </w:rPr>
      </w:pPr>
    </w:p>
    <w:p w14:paraId="77BAFAF2" w14:textId="5CAD7CAD" w:rsidR="00630B2C" w:rsidRPr="00D317FE" w:rsidRDefault="00630B2C" w:rsidP="006B2BCB">
      <w:pPr>
        <w:pStyle w:val="ListParagraph"/>
        <w:numPr>
          <w:ilvl w:val="0"/>
          <w:numId w:val="2"/>
        </w:numPr>
        <w:tabs>
          <w:tab w:val="clear" w:pos="717"/>
        </w:tabs>
        <w:adjustRightInd w:val="0"/>
        <w:snapToGrid w:val="0"/>
        <w:spacing w:line="276" w:lineRule="auto"/>
        <w:ind w:left="714" w:hanging="357"/>
        <w:contextualSpacing w:val="0"/>
        <w:jc w:val="left"/>
        <w:rPr>
          <w:rFonts w:ascii="Arial" w:hAnsi="Arial" w:cs="Arial"/>
          <w:sz w:val="20"/>
        </w:rPr>
      </w:pPr>
      <w:r w:rsidRPr="002C6FC6">
        <w:rPr>
          <w:rFonts w:ascii="Arial" w:hAnsi="Arial" w:cs="Arial"/>
          <w:sz w:val="20"/>
          <w:lang w:val="en-US"/>
        </w:rPr>
        <w:t>the</w:t>
      </w:r>
      <w:r>
        <w:rPr>
          <w:rFonts w:ascii="Arial" w:hAnsi="Arial" w:cs="Arial"/>
          <w:sz w:val="20"/>
        </w:rPr>
        <w:t xml:space="preserve"> company must have </w:t>
      </w:r>
      <w:r w:rsidRPr="00D317FE">
        <w:rPr>
          <w:rFonts w:ascii="Arial" w:hAnsi="Arial" w:cs="Arial"/>
          <w:sz w:val="20"/>
        </w:rPr>
        <w:t xml:space="preserve">carried on the same business </w:t>
      </w:r>
      <w:r w:rsidR="00D77C16">
        <w:rPr>
          <w:rFonts w:ascii="Arial" w:hAnsi="Arial" w:cs="Arial"/>
          <w:sz w:val="20"/>
        </w:rPr>
        <w:t xml:space="preserve">at all times </w:t>
      </w:r>
      <w:r>
        <w:rPr>
          <w:rFonts w:ascii="Arial" w:hAnsi="Arial" w:cs="Arial"/>
          <w:sz w:val="20"/>
        </w:rPr>
        <w:t>throughout the</w:t>
      </w:r>
      <w:r w:rsidR="001D0D10">
        <w:rPr>
          <w:rFonts w:ascii="Arial" w:hAnsi="Arial" w:cs="Arial"/>
          <w:sz w:val="20"/>
        </w:rPr>
        <w:t xml:space="preserve"> bu</w:t>
      </w:r>
      <w:r w:rsidR="00006DE6">
        <w:rPr>
          <w:rFonts w:ascii="Arial" w:hAnsi="Arial" w:cs="Arial"/>
          <w:sz w:val="20"/>
        </w:rPr>
        <w:t>siness continuity</w:t>
      </w:r>
      <w:r>
        <w:rPr>
          <w:rFonts w:ascii="Arial" w:hAnsi="Arial" w:cs="Arial"/>
          <w:sz w:val="20"/>
        </w:rPr>
        <w:t xml:space="preserve"> test period</w:t>
      </w:r>
      <w:r w:rsidR="00DC695F">
        <w:rPr>
          <w:rFonts w:ascii="Arial" w:hAnsi="Arial" w:cs="Arial"/>
          <w:sz w:val="20"/>
        </w:rPr>
        <w:t xml:space="preserve"> that </w:t>
      </w:r>
      <w:r w:rsidR="00831D3A">
        <w:rPr>
          <w:rFonts w:ascii="Arial" w:hAnsi="Arial" w:cs="Arial"/>
          <w:sz w:val="20"/>
        </w:rPr>
        <w:t>it</w:t>
      </w:r>
      <w:r w:rsidR="00DC695F">
        <w:rPr>
          <w:rFonts w:ascii="Arial" w:hAnsi="Arial" w:cs="Arial"/>
          <w:sz w:val="20"/>
        </w:rPr>
        <w:t xml:space="preserve"> carried on immediately before the test time</w:t>
      </w:r>
    </w:p>
    <w:p w14:paraId="5B39FC7D" w14:textId="5AEBFBF7" w:rsidR="00630B2C" w:rsidRPr="00D317FE" w:rsidRDefault="00630B2C" w:rsidP="006B2BCB">
      <w:pPr>
        <w:pStyle w:val="ListParagraph"/>
        <w:numPr>
          <w:ilvl w:val="0"/>
          <w:numId w:val="2"/>
        </w:numPr>
        <w:tabs>
          <w:tab w:val="clear" w:pos="717"/>
        </w:tabs>
        <w:adjustRightInd w:val="0"/>
        <w:snapToGrid w:val="0"/>
        <w:spacing w:line="276" w:lineRule="auto"/>
        <w:ind w:left="714" w:hanging="357"/>
        <w:contextualSpacing w:val="0"/>
        <w:jc w:val="left"/>
        <w:rPr>
          <w:rFonts w:ascii="Arial" w:hAnsi="Arial" w:cs="Arial"/>
          <w:color w:val="000000"/>
          <w:sz w:val="20"/>
        </w:rPr>
      </w:pPr>
      <w:r w:rsidRPr="002C6FC6">
        <w:rPr>
          <w:rFonts w:ascii="Arial" w:hAnsi="Arial" w:cs="Arial"/>
          <w:sz w:val="20"/>
          <w:lang w:val="en-US"/>
        </w:rPr>
        <w:t>the</w:t>
      </w:r>
      <w:r>
        <w:rPr>
          <w:rFonts w:ascii="Arial" w:hAnsi="Arial" w:cs="Arial"/>
          <w:color w:val="000000"/>
          <w:sz w:val="20"/>
        </w:rPr>
        <w:t xml:space="preserve"> company must </w:t>
      </w:r>
      <w:r w:rsidR="006B2BCB">
        <w:rPr>
          <w:rFonts w:ascii="Arial" w:hAnsi="Arial" w:cs="Arial"/>
          <w:color w:val="000000"/>
          <w:sz w:val="20"/>
        </w:rPr>
        <w:t>have only derived</w:t>
      </w:r>
      <w:r w:rsidR="00100656">
        <w:rPr>
          <w:rFonts w:ascii="Arial" w:hAnsi="Arial" w:cs="Arial"/>
          <w:color w:val="000000"/>
          <w:sz w:val="20"/>
        </w:rPr>
        <w:t xml:space="preserve"> assessable</w:t>
      </w:r>
      <w:r w:rsidR="006B2BCB">
        <w:rPr>
          <w:rFonts w:ascii="Arial" w:hAnsi="Arial" w:cs="Arial"/>
          <w:color w:val="000000"/>
          <w:sz w:val="20"/>
        </w:rPr>
        <w:t xml:space="preserve"> income from business of a kind during the </w:t>
      </w:r>
      <w:r w:rsidR="00100656">
        <w:rPr>
          <w:rFonts w:ascii="Arial" w:hAnsi="Arial" w:cs="Arial"/>
          <w:sz w:val="20"/>
        </w:rPr>
        <w:t xml:space="preserve">business continuity </w:t>
      </w:r>
      <w:r w:rsidR="006B2BCB">
        <w:rPr>
          <w:rFonts w:ascii="Arial" w:hAnsi="Arial" w:cs="Arial"/>
          <w:color w:val="000000"/>
          <w:sz w:val="20"/>
        </w:rPr>
        <w:t>test period that it carried on before</w:t>
      </w:r>
      <w:r w:rsidRPr="00D317FE">
        <w:rPr>
          <w:rFonts w:ascii="Arial" w:hAnsi="Arial" w:cs="Arial"/>
          <w:color w:val="000000"/>
          <w:sz w:val="20"/>
        </w:rPr>
        <w:t xml:space="preserve"> the </w:t>
      </w:r>
      <w:r w:rsidR="006B2BCB">
        <w:rPr>
          <w:rFonts w:ascii="Arial" w:hAnsi="Arial" w:cs="Arial"/>
          <w:color w:val="000000"/>
          <w:sz w:val="20"/>
        </w:rPr>
        <w:t xml:space="preserve">change in </w:t>
      </w:r>
      <w:r w:rsidR="00BE17A6">
        <w:rPr>
          <w:rFonts w:ascii="Arial" w:hAnsi="Arial" w:cs="Arial"/>
          <w:color w:val="000000"/>
          <w:sz w:val="20"/>
        </w:rPr>
        <w:t xml:space="preserve">the beneficial </w:t>
      </w:r>
      <w:r w:rsidR="006B2BCB">
        <w:rPr>
          <w:rFonts w:ascii="Arial" w:hAnsi="Arial" w:cs="Arial"/>
          <w:color w:val="000000"/>
          <w:sz w:val="20"/>
        </w:rPr>
        <w:t>ownership</w:t>
      </w:r>
      <w:r w:rsidR="00BE17A6">
        <w:rPr>
          <w:rFonts w:ascii="Arial" w:hAnsi="Arial" w:cs="Arial"/>
          <w:color w:val="000000"/>
          <w:sz w:val="20"/>
        </w:rPr>
        <w:t xml:space="preserve"> or control</w:t>
      </w:r>
      <w:r w:rsidR="004F5664">
        <w:rPr>
          <w:rFonts w:ascii="Arial" w:hAnsi="Arial" w:cs="Arial"/>
          <w:color w:val="000000"/>
          <w:sz w:val="20"/>
        </w:rPr>
        <w:t>, and</w:t>
      </w:r>
    </w:p>
    <w:p w14:paraId="1470E9BE" w14:textId="150A3883" w:rsidR="00D77C16" w:rsidRDefault="00630B2C" w:rsidP="00D77C16">
      <w:pPr>
        <w:pStyle w:val="ListParagraph"/>
        <w:numPr>
          <w:ilvl w:val="0"/>
          <w:numId w:val="2"/>
        </w:numPr>
        <w:tabs>
          <w:tab w:val="clear" w:pos="717"/>
        </w:tabs>
        <w:adjustRightInd w:val="0"/>
        <w:snapToGrid w:val="0"/>
        <w:spacing w:line="276" w:lineRule="auto"/>
        <w:ind w:left="714" w:hanging="357"/>
        <w:contextualSpacing w:val="0"/>
        <w:jc w:val="left"/>
        <w:rPr>
          <w:rFonts w:ascii="Arial" w:hAnsi="Arial" w:cs="Arial"/>
          <w:color w:val="000000"/>
          <w:sz w:val="20"/>
        </w:rPr>
      </w:pPr>
      <w:r w:rsidRPr="00D77C16">
        <w:rPr>
          <w:rFonts w:ascii="Arial" w:hAnsi="Arial" w:cs="Arial"/>
          <w:sz w:val="20"/>
          <w:lang w:val="en-US"/>
        </w:rPr>
        <w:t>the</w:t>
      </w:r>
      <w:r w:rsidRPr="00D77C16">
        <w:rPr>
          <w:rFonts w:ascii="Arial" w:hAnsi="Arial" w:cs="Arial"/>
          <w:color w:val="000000"/>
          <w:sz w:val="20"/>
        </w:rPr>
        <w:t xml:space="preserve"> company must have only derived </w:t>
      </w:r>
      <w:r w:rsidR="00244CA7">
        <w:rPr>
          <w:rFonts w:ascii="Arial" w:hAnsi="Arial" w:cs="Arial"/>
          <w:color w:val="000000"/>
          <w:sz w:val="20"/>
        </w:rPr>
        <w:t xml:space="preserve">assessable </w:t>
      </w:r>
      <w:r w:rsidRPr="00D77C16">
        <w:rPr>
          <w:rFonts w:ascii="Arial" w:hAnsi="Arial" w:cs="Arial"/>
          <w:color w:val="000000"/>
          <w:sz w:val="20"/>
        </w:rPr>
        <w:t>income from transactions of a kind that it had entered into in th</w:t>
      </w:r>
      <w:r w:rsidR="006B2BCB" w:rsidRPr="00D77C16">
        <w:rPr>
          <w:rFonts w:ascii="Arial" w:hAnsi="Arial" w:cs="Arial"/>
          <w:color w:val="000000"/>
          <w:sz w:val="20"/>
        </w:rPr>
        <w:t>e course of its business operations</w:t>
      </w:r>
      <w:r w:rsidRPr="00D77C16">
        <w:rPr>
          <w:rFonts w:ascii="Arial" w:hAnsi="Arial" w:cs="Arial"/>
          <w:color w:val="000000"/>
          <w:sz w:val="20"/>
        </w:rPr>
        <w:t xml:space="preserve"> before the change</w:t>
      </w:r>
      <w:r w:rsidR="00BE17A6">
        <w:rPr>
          <w:rFonts w:ascii="Arial" w:hAnsi="Arial" w:cs="Arial"/>
          <w:color w:val="000000"/>
          <w:sz w:val="20"/>
        </w:rPr>
        <w:t xml:space="preserve"> the beneficial</w:t>
      </w:r>
      <w:r w:rsidRPr="00D77C16">
        <w:rPr>
          <w:rFonts w:ascii="Arial" w:hAnsi="Arial" w:cs="Arial"/>
          <w:color w:val="000000"/>
          <w:sz w:val="20"/>
        </w:rPr>
        <w:t xml:space="preserve"> of ownership</w:t>
      </w:r>
      <w:r w:rsidR="00BE17A6">
        <w:rPr>
          <w:rFonts w:ascii="Arial" w:hAnsi="Arial" w:cs="Arial"/>
          <w:color w:val="000000"/>
          <w:sz w:val="20"/>
        </w:rPr>
        <w:t xml:space="preserve"> or control</w:t>
      </w:r>
      <w:r w:rsidRPr="00D77C16">
        <w:rPr>
          <w:rFonts w:ascii="Arial" w:hAnsi="Arial" w:cs="Arial"/>
          <w:color w:val="000000"/>
          <w:sz w:val="20"/>
        </w:rPr>
        <w:t>.</w:t>
      </w:r>
    </w:p>
    <w:p w14:paraId="2AC6FA9D" w14:textId="77777777" w:rsidR="00D77C16" w:rsidRPr="00D77C16" w:rsidRDefault="00D77C16" w:rsidP="00D77C16">
      <w:pPr>
        <w:adjustRightInd w:val="0"/>
        <w:snapToGrid w:val="0"/>
        <w:spacing w:line="276" w:lineRule="auto"/>
        <w:ind w:left="357"/>
        <w:jc w:val="left"/>
        <w:rPr>
          <w:rFonts w:ascii="Arial" w:hAnsi="Arial" w:cs="Arial"/>
          <w:color w:val="000000"/>
          <w:sz w:val="20"/>
        </w:rPr>
      </w:pPr>
    </w:p>
    <w:p w14:paraId="44BDAEA5" w14:textId="092FDF11" w:rsidR="00B10718" w:rsidRDefault="00B10718" w:rsidP="00D77C16">
      <w:pPr>
        <w:adjustRightInd w:val="0"/>
        <w:snapToGrid w:val="0"/>
        <w:spacing w:line="276" w:lineRule="auto"/>
        <w:jc w:val="left"/>
        <w:rPr>
          <w:rFonts w:ascii="Arial" w:hAnsi="Arial" w:cs="Arial"/>
          <w:color w:val="000000"/>
          <w:sz w:val="20"/>
        </w:rPr>
      </w:pPr>
      <w:r>
        <w:rPr>
          <w:rFonts w:ascii="Arial" w:hAnsi="Arial" w:cs="Arial"/>
          <w:color w:val="000000"/>
          <w:sz w:val="20"/>
        </w:rPr>
        <w:t xml:space="preserve">Where the company </w:t>
      </w:r>
      <w:r w:rsidR="00F96E68">
        <w:rPr>
          <w:rFonts w:ascii="Arial" w:hAnsi="Arial" w:cs="Arial"/>
          <w:color w:val="000000"/>
          <w:sz w:val="20"/>
        </w:rPr>
        <w:t xml:space="preserve">will </w:t>
      </w:r>
      <w:r w:rsidR="00913A57">
        <w:rPr>
          <w:rFonts w:ascii="Arial" w:hAnsi="Arial" w:cs="Arial"/>
          <w:color w:val="000000"/>
          <w:sz w:val="20"/>
        </w:rPr>
        <w:t xml:space="preserve">not able to satisfy COT (for example, where the company is owned by a discretionary trust that has not made a family trust election), the above test </w:t>
      </w:r>
      <w:r w:rsidR="00F96E68">
        <w:rPr>
          <w:rFonts w:ascii="Arial" w:hAnsi="Arial" w:cs="Arial"/>
          <w:color w:val="000000"/>
          <w:sz w:val="20"/>
        </w:rPr>
        <w:t xml:space="preserve">will </w:t>
      </w:r>
      <w:r w:rsidR="00913A57">
        <w:rPr>
          <w:rFonts w:ascii="Arial" w:hAnsi="Arial" w:cs="Arial"/>
          <w:color w:val="000000"/>
          <w:sz w:val="20"/>
        </w:rPr>
        <w:t xml:space="preserve">need to be satisfied </w:t>
      </w:r>
      <w:r w:rsidR="002F4D65">
        <w:rPr>
          <w:rFonts w:ascii="Arial" w:hAnsi="Arial" w:cs="Arial"/>
          <w:color w:val="000000"/>
          <w:sz w:val="20"/>
        </w:rPr>
        <w:t>from the earlier of:</w:t>
      </w:r>
    </w:p>
    <w:p w14:paraId="5CDF67B7" w14:textId="6E7A5EE2" w:rsidR="002F4D65" w:rsidRDefault="002F4D65" w:rsidP="00D77C16">
      <w:pPr>
        <w:adjustRightInd w:val="0"/>
        <w:snapToGrid w:val="0"/>
        <w:spacing w:line="276" w:lineRule="auto"/>
        <w:jc w:val="left"/>
        <w:rPr>
          <w:rFonts w:ascii="Arial" w:hAnsi="Arial" w:cs="Arial"/>
          <w:color w:val="000000"/>
          <w:sz w:val="20"/>
        </w:rPr>
      </w:pPr>
    </w:p>
    <w:p w14:paraId="6797092C" w14:textId="6122BD5E" w:rsidR="002F4D65" w:rsidRDefault="002F4D65" w:rsidP="002F4D65">
      <w:pPr>
        <w:pStyle w:val="ListParagraph"/>
        <w:numPr>
          <w:ilvl w:val="0"/>
          <w:numId w:val="10"/>
        </w:numPr>
        <w:adjustRightInd w:val="0"/>
        <w:snapToGrid w:val="0"/>
        <w:spacing w:line="276" w:lineRule="auto"/>
        <w:jc w:val="left"/>
        <w:rPr>
          <w:rFonts w:ascii="Arial" w:hAnsi="Arial" w:cs="Arial"/>
          <w:color w:val="000000"/>
          <w:sz w:val="20"/>
        </w:rPr>
      </w:pPr>
      <w:r>
        <w:rPr>
          <w:rFonts w:ascii="Arial" w:hAnsi="Arial" w:cs="Arial"/>
          <w:color w:val="000000"/>
          <w:sz w:val="20"/>
        </w:rPr>
        <w:lastRenderedPageBreak/>
        <w:t>end of the first year the company comes into existence or</w:t>
      </w:r>
    </w:p>
    <w:p w14:paraId="42307489" w14:textId="0E5360B5" w:rsidR="002F4D65" w:rsidRDefault="002F4D65" w:rsidP="002F4D65">
      <w:pPr>
        <w:pStyle w:val="ListParagraph"/>
        <w:numPr>
          <w:ilvl w:val="0"/>
          <w:numId w:val="10"/>
        </w:numPr>
        <w:adjustRightInd w:val="0"/>
        <w:snapToGrid w:val="0"/>
        <w:spacing w:line="276" w:lineRule="auto"/>
        <w:jc w:val="left"/>
        <w:rPr>
          <w:rFonts w:ascii="Arial" w:hAnsi="Arial" w:cs="Arial"/>
          <w:color w:val="000000"/>
          <w:sz w:val="20"/>
        </w:rPr>
      </w:pPr>
      <w:r>
        <w:rPr>
          <w:rFonts w:ascii="Arial" w:hAnsi="Arial" w:cs="Arial"/>
          <w:color w:val="000000"/>
          <w:sz w:val="20"/>
        </w:rPr>
        <w:t>start of an income year where the company has made a loss</w:t>
      </w:r>
      <w:r w:rsidR="008C7F55">
        <w:rPr>
          <w:rFonts w:ascii="Arial" w:hAnsi="Arial" w:cs="Arial"/>
          <w:color w:val="000000"/>
          <w:sz w:val="20"/>
        </w:rPr>
        <w:t xml:space="preserve"> (excluding the first income year).</w:t>
      </w:r>
    </w:p>
    <w:p w14:paraId="2FB1AECF" w14:textId="77777777" w:rsidR="008C7F55" w:rsidRPr="005A587A" w:rsidRDefault="008C7F55" w:rsidP="008C7F55">
      <w:pPr>
        <w:adjustRightInd w:val="0"/>
        <w:snapToGrid w:val="0"/>
        <w:spacing w:line="276" w:lineRule="auto"/>
        <w:jc w:val="left"/>
        <w:rPr>
          <w:rFonts w:ascii="Arial" w:hAnsi="Arial" w:cs="Arial"/>
          <w:color w:val="000000"/>
          <w:sz w:val="20"/>
        </w:rPr>
      </w:pPr>
    </w:p>
    <w:p w14:paraId="7FE4EBDE" w14:textId="502F655A" w:rsidR="00D77C16" w:rsidRDefault="00630B2C" w:rsidP="00D77C16">
      <w:pPr>
        <w:adjustRightInd w:val="0"/>
        <w:snapToGrid w:val="0"/>
        <w:spacing w:line="276" w:lineRule="auto"/>
        <w:jc w:val="left"/>
        <w:rPr>
          <w:rFonts w:ascii="Arial" w:hAnsi="Arial" w:cs="Arial"/>
          <w:color w:val="000000"/>
          <w:sz w:val="20"/>
        </w:rPr>
      </w:pPr>
      <w:r w:rsidRPr="00D77C16">
        <w:rPr>
          <w:rFonts w:ascii="Arial" w:hAnsi="Arial" w:cs="Arial"/>
          <w:color w:val="000000"/>
          <w:sz w:val="20"/>
        </w:rPr>
        <w:t>Further details on the</w:t>
      </w:r>
      <w:r w:rsidR="00F96E68">
        <w:rPr>
          <w:rFonts w:ascii="Arial" w:hAnsi="Arial" w:cs="Arial"/>
          <w:color w:val="000000"/>
          <w:sz w:val="20"/>
        </w:rPr>
        <w:t xml:space="preserve"> Commissioner’s views on the</w:t>
      </w:r>
      <w:r w:rsidRPr="00D77C16">
        <w:rPr>
          <w:rFonts w:ascii="Arial" w:hAnsi="Arial" w:cs="Arial"/>
          <w:color w:val="000000"/>
          <w:sz w:val="20"/>
        </w:rPr>
        <w:t xml:space="preserve"> practical application of the SBT </w:t>
      </w:r>
      <w:r w:rsidR="00F96E68">
        <w:rPr>
          <w:rFonts w:ascii="Arial" w:hAnsi="Arial" w:cs="Arial"/>
          <w:color w:val="000000"/>
          <w:sz w:val="20"/>
        </w:rPr>
        <w:t>is in</w:t>
      </w:r>
      <w:r w:rsidRPr="00D77C16">
        <w:rPr>
          <w:rFonts w:ascii="Arial" w:hAnsi="Arial" w:cs="Arial"/>
          <w:color w:val="000000"/>
          <w:sz w:val="20"/>
        </w:rPr>
        <w:t xml:space="preserve"> Taxation Ruling TR 1999/9.</w:t>
      </w:r>
      <w:r w:rsidR="00D77C16" w:rsidRPr="00D77C16">
        <w:rPr>
          <w:rFonts w:ascii="Arial" w:hAnsi="Arial" w:cs="Arial"/>
          <w:color w:val="000000"/>
          <w:sz w:val="20"/>
        </w:rPr>
        <w:t xml:space="preserve"> </w:t>
      </w:r>
    </w:p>
    <w:p w14:paraId="664D4EF6" w14:textId="77777777" w:rsidR="003C2101" w:rsidRDefault="003C2101" w:rsidP="00D77C16">
      <w:pPr>
        <w:adjustRightInd w:val="0"/>
        <w:snapToGrid w:val="0"/>
        <w:spacing w:line="276" w:lineRule="auto"/>
        <w:jc w:val="left"/>
        <w:rPr>
          <w:rFonts w:ascii="Arial" w:hAnsi="Arial" w:cs="Arial"/>
          <w:color w:val="000000"/>
          <w:sz w:val="20"/>
        </w:rPr>
      </w:pPr>
    </w:p>
    <w:p w14:paraId="49C46A88" w14:textId="29658584" w:rsidR="003C2101" w:rsidRDefault="00F153D7" w:rsidP="003C2101">
      <w:pPr>
        <w:adjustRightInd w:val="0"/>
        <w:snapToGrid w:val="0"/>
        <w:spacing w:line="276" w:lineRule="auto"/>
        <w:jc w:val="left"/>
        <w:rPr>
          <w:rFonts w:ascii="Arial" w:hAnsi="Arial" w:cs="Arial"/>
          <w:sz w:val="20"/>
        </w:rPr>
      </w:pPr>
      <w:r>
        <w:rPr>
          <w:rFonts w:ascii="Arial" w:hAnsi="Arial" w:cs="Arial"/>
          <w:color w:val="000000"/>
          <w:sz w:val="20"/>
        </w:rPr>
        <w:t>T</w:t>
      </w:r>
      <w:r w:rsidR="003C2101">
        <w:rPr>
          <w:rFonts w:ascii="Arial" w:hAnsi="Arial" w:cs="Arial"/>
          <w:color w:val="000000"/>
          <w:sz w:val="20"/>
        </w:rPr>
        <w:t xml:space="preserve">he </w:t>
      </w:r>
      <w:r w:rsidR="00D77C16" w:rsidRPr="00D77C16">
        <w:rPr>
          <w:rFonts w:ascii="Arial" w:hAnsi="Arial" w:cs="Arial"/>
          <w:sz w:val="20"/>
        </w:rPr>
        <w:t xml:space="preserve">ruling </w:t>
      </w:r>
      <w:r w:rsidR="003C2101">
        <w:rPr>
          <w:rFonts w:ascii="Arial" w:hAnsi="Arial" w:cs="Arial"/>
          <w:sz w:val="20"/>
        </w:rPr>
        <w:t xml:space="preserve">provides </w:t>
      </w:r>
      <w:r w:rsidR="00D77C16" w:rsidRPr="00D77C16">
        <w:rPr>
          <w:rFonts w:ascii="Arial" w:hAnsi="Arial" w:cs="Arial"/>
          <w:sz w:val="20"/>
        </w:rPr>
        <w:t xml:space="preserve">that a company may contract or expand its activities without necessarily ceasing to carry on the same business. Accordingly, a company’s adoption of new compatible operations or its discarding of other operations will not </w:t>
      </w:r>
      <w:r w:rsidR="00D7318F">
        <w:rPr>
          <w:rFonts w:ascii="Arial" w:hAnsi="Arial" w:cs="Arial"/>
          <w:sz w:val="20"/>
        </w:rPr>
        <w:t xml:space="preserve">necessarily </w:t>
      </w:r>
      <w:r w:rsidR="00D77C16" w:rsidRPr="00D77C16">
        <w:rPr>
          <w:rFonts w:ascii="Arial" w:hAnsi="Arial" w:cs="Arial"/>
          <w:sz w:val="20"/>
        </w:rPr>
        <w:t>cause it to fail the SBT provided the business retains its identity. However, where there is a change in the essential character of the business the SBT will be failed</w:t>
      </w:r>
      <w:r w:rsidR="00E630D0">
        <w:rPr>
          <w:rFonts w:ascii="Arial" w:hAnsi="Arial" w:cs="Arial"/>
          <w:sz w:val="20"/>
        </w:rPr>
        <w:t>. For example,</w:t>
      </w:r>
      <w:r w:rsidR="00D77C16" w:rsidRPr="00D77C16">
        <w:rPr>
          <w:rFonts w:ascii="Arial" w:hAnsi="Arial" w:cs="Arial"/>
          <w:sz w:val="20"/>
        </w:rPr>
        <w:t xml:space="preserve"> where there </w:t>
      </w:r>
      <w:r w:rsidR="00E630D0">
        <w:rPr>
          <w:rFonts w:ascii="Arial" w:hAnsi="Arial" w:cs="Arial"/>
          <w:sz w:val="20"/>
        </w:rPr>
        <w:t>is</w:t>
      </w:r>
      <w:r w:rsidR="00E630D0" w:rsidRPr="00D77C16">
        <w:rPr>
          <w:rFonts w:ascii="Arial" w:hAnsi="Arial" w:cs="Arial"/>
          <w:sz w:val="20"/>
        </w:rPr>
        <w:t xml:space="preserve"> </w:t>
      </w:r>
      <w:r w:rsidR="00D77C16" w:rsidRPr="00D77C16">
        <w:rPr>
          <w:rFonts w:ascii="Arial" w:hAnsi="Arial" w:cs="Arial"/>
          <w:sz w:val="20"/>
        </w:rPr>
        <w:t>a sudden and dramatic change resulting in the acquisition or loss of activities on a considerable scale</w:t>
      </w:r>
      <w:r w:rsidR="003C2101">
        <w:rPr>
          <w:rFonts w:ascii="Arial" w:hAnsi="Arial" w:cs="Arial"/>
          <w:sz w:val="20"/>
        </w:rPr>
        <w:t>.</w:t>
      </w:r>
    </w:p>
    <w:p w14:paraId="6A639489" w14:textId="77777777" w:rsidR="003C2101" w:rsidRDefault="003C2101" w:rsidP="003C2101">
      <w:pPr>
        <w:adjustRightInd w:val="0"/>
        <w:snapToGrid w:val="0"/>
        <w:spacing w:line="276" w:lineRule="auto"/>
        <w:jc w:val="left"/>
        <w:rPr>
          <w:rFonts w:ascii="Arial" w:hAnsi="Arial" w:cs="Arial"/>
          <w:sz w:val="20"/>
        </w:rPr>
      </w:pPr>
    </w:p>
    <w:p w14:paraId="4CA54D9C" w14:textId="091D4B4D" w:rsidR="00DC695F" w:rsidRDefault="00630B2C" w:rsidP="00DC695F">
      <w:pPr>
        <w:adjustRightInd w:val="0"/>
        <w:snapToGrid w:val="0"/>
        <w:spacing w:line="276" w:lineRule="auto"/>
        <w:jc w:val="left"/>
        <w:rPr>
          <w:rFonts w:ascii="Arial" w:hAnsi="Arial" w:cs="Arial"/>
          <w:sz w:val="20"/>
        </w:rPr>
      </w:pPr>
      <w:r w:rsidRPr="003C2101">
        <w:rPr>
          <w:rFonts w:ascii="Arial" w:hAnsi="Arial" w:cs="Arial"/>
          <w:sz w:val="20"/>
        </w:rPr>
        <w:t xml:space="preserve">Anti-avoidance measures also apply to prevent companies entering into arrangements before a change in </w:t>
      </w:r>
      <w:r w:rsidR="00BE17A6">
        <w:rPr>
          <w:rFonts w:ascii="Arial" w:hAnsi="Arial" w:cs="Arial"/>
          <w:sz w:val="20"/>
        </w:rPr>
        <w:t xml:space="preserve">the beneficial </w:t>
      </w:r>
      <w:r w:rsidRPr="003C2101">
        <w:rPr>
          <w:rFonts w:ascii="Arial" w:hAnsi="Arial" w:cs="Arial"/>
          <w:sz w:val="20"/>
        </w:rPr>
        <w:t>ownership</w:t>
      </w:r>
      <w:r w:rsidR="00BE17A6">
        <w:rPr>
          <w:rFonts w:ascii="Arial" w:hAnsi="Arial" w:cs="Arial"/>
          <w:sz w:val="20"/>
        </w:rPr>
        <w:t xml:space="preserve"> or control</w:t>
      </w:r>
      <w:r w:rsidRPr="003C2101">
        <w:rPr>
          <w:rFonts w:ascii="Arial" w:hAnsi="Arial" w:cs="Arial"/>
          <w:sz w:val="20"/>
        </w:rPr>
        <w:t xml:space="preserve"> that are specifically implemented to ensure that the SBT will be met. Such arrangements include carrying on a business not previously carried on or entering into a transaction of a kind not previously entered into prior to the COT test being breached, which were undertaken for the purpose of complying with the SBT from the date on which there was a change in majority underlying beneficial ownership.</w:t>
      </w:r>
      <w:r w:rsidR="003C2101">
        <w:rPr>
          <w:rFonts w:ascii="Arial" w:hAnsi="Arial" w:cs="Arial"/>
          <w:sz w:val="20"/>
        </w:rPr>
        <w:t xml:space="preserve"> </w:t>
      </w:r>
    </w:p>
    <w:p w14:paraId="0F485783" w14:textId="6551F5FC" w:rsidR="00DC695F" w:rsidRDefault="00DC695F" w:rsidP="00DC695F">
      <w:pPr>
        <w:adjustRightInd w:val="0"/>
        <w:snapToGrid w:val="0"/>
        <w:spacing w:line="276" w:lineRule="auto"/>
        <w:jc w:val="left"/>
        <w:rPr>
          <w:rFonts w:ascii="Arial" w:hAnsi="Arial" w:cs="Arial"/>
          <w:sz w:val="20"/>
        </w:rPr>
      </w:pPr>
    </w:p>
    <w:p w14:paraId="5AD04495" w14:textId="77777777" w:rsidR="00DC695F" w:rsidRPr="003C2101" w:rsidRDefault="00DC695F" w:rsidP="00DC695F">
      <w:pPr>
        <w:adjustRightInd w:val="0"/>
        <w:snapToGrid w:val="0"/>
        <w:spacing w:line="276" w:lineRule="auto"/>
        <w:jc w:val="left"/>
        <w:rPr>
          <w:rFonts w:ascii="Arial" w:hAnsi="Arial" w:cs="Arial"/>
          <w:b/>
          <w:bCs/>
          <w:sz w:val="20"/>
        </w:rPr>
      </w:pPr>
      <w:r w:rsidRPr="003C2101">
        <w:rPr>
          <w:rFonts w:ascii="Arial" w:hAnsi="Arial" w:cs="Arial"/>
          <w:b/>
          <w:bCs/>
          <w:sz w:val="20"/>
        </w:rPr>
        <w:t>The similar business test</w:t>
      </w:r>
    </w:p>
    <w:p w14:paraId="020F3FB3" w14:textId="77777777" w:rsidR="00DC695F" w:rsidRDefault="00DC695F" w:rsidP="00DC695F">
      <w:pPr>
        <w:adjustRightInd w:val="0"/>
        <w:snapToGrid w:val="0"/>
        <w:spacing w:line="276" w:lineRule="auto"/>
        <w:jc w:val="left"/>
        <w:rPr>
          <w:rFonts w:ascii="Arial" w:hAnsi="Arial" w:cs="Arial"/>
          <w:sz w:val="20"/>
        </w:rPr>
      </w:pPr>
    </w:p>
    <w:p w14:paraId="3787E746" w14:textId="3AEB11BD" w:rsidR="00DC695F" w:rsidRPr="00DC695F" w:rsidRDefault="00DC695F" w:rsidP="00DC695F">
      <w:pPr>
        <w:adjustRightInd w:val="0"/>
        <w:snapToGrid w:val="0"/>
        <w:spacing w:line="276" w:lineRule="auto"/>
        <w:jc w:val="left"/>
        <w:rPr>
          <w:rFonts w:ascii="Arial" w:hAnsi="Arial" w:cs="Arial"/>
          <w:sz w:val="20"/>
        </w:rPr>
      </w:pPr>
      <w:r w:rsidRPr="00DC695F">
        <w:rPr>
          <w:rFonts w:ascii="Arial" w:hAnsi="Arial" w:cs="Arial"/>
          <w:sz w:val="20"/>
        </w:rPr>
        <w:t xml:space="preserve">Where a company does not satisfy either the COT or the SBT it may nonetheless be able to satisfy the similar </w:t>
      </w:r>
      <w:r w:rsidR="00831D3A">
        <w:rPr>
          <w:rFonts w:ascii="Arial" w:hAnsi="Arial" w:cs="Arial"/>
          <w:sz w:val="20"/>
        </w:rPr>
        <w:t>business</w:t>
      </w:r>
      <w:r w:rsidRPr="00DC695F">
        <w:rPr>
          <w:rFonts w:ascii="Arial" w:hAnsi="Arial" w:cs="Arial"/>
          <w:sz w:val="20"/>
        </w:rPr>
        <w:t xml:space="preserve"> test.</w:t>
      </w:r>
    </w:p>
    <w:p w14:paraId="71D2C065" w14:textId="1E17DE1F" w:rsidR="00F20E87" w:rsidRDefault="00F20E87" w:rsidP="00DC695F">
      <w:pPr>
        <w:adjustRightInd w:val="0"/>
        <w:snapToGrid w:val="0"/>
        <w:spacing w:line="276" w:lineRule="auto"/>
        <w:jc w:val="left"/>
        <w:rPr>
          <w:rFonts w:ascii="Arial" w:hAnsi="Arial" w:cs="Arial"/>
          <w:sz w:val="20"/>
        </w:rPr>
      </w:pPr>
    </w:p>
    <w:p w14:paraId="50370AD7" w14:textId="34EF0C46" w:rsidR="00F20E87" w:rsidRPr="00DC695F" w:rsidRDefault="00F20E87" w:rsidP="00DC695F">
      <w:pPr>
        <w:adjustRightInd w:val="0"/>
        <w:snapToGrid w:val="0"/>
        <w:spacing w:line="276" w:lineRule="auto"/>
        <w:jc w:val="left"/>
        <w:rPr>
          <w:rFonts w:ascii="Arial" w:hAnsi="Arial" w:cs="Arial"/>
          <w:sz w:val="20"/>
        </w:rPr>
      </w:pPr>
      <w:r>
        <w:rPr>
          <w:rFonts w:ascii="Arial" w:hAnsi="Arial" w:cs="Arial"/>
          <w:sz w:val="20"/>
        </w:rPr>
        <w:t>The similar business test applies to tax losses and net capital losses incurred for income years beginning on or after 1 July 2015.</w:t>
      </w:r>
    </w:p>
    <w:p w14:paraId="44D7A7CE" w14:textId="77777777" w:rsidR="003C2101" w:rsidRDefault="003C2101" w:rsidP="003C2101">
      <w:pPr>
        <w:adjustRightInd w:val="0"/>
        <w:snapToGrid w:val="0"/>
        <w:spacing w:line="276" w:lineRule="auto"/>
        <w:jc w:val="left"/>
        <w:rPr>
          <w:rFonts w:ascii="Arial" w:hAnsi="Arial" w:cs="Arial"/>
          <w:sz w:val="20"/>
        </w:rPr>
      </w:pPr>
    </w:p>
    <w:p w14:paraId="5179ACA7" w14:textId="4AEE76BC" w:rsidR="00F20E87" w:rsidRDefault="00F20E87" w:rsidP="003C2101">
      <w:pPr>
        <w:adjustRightInd w:val="0"/>
        <w:snapToGrid w:val="0"/>
        <w:spacing w:line="276" w:lineRule="auto"/>
        <w:jc w:val="left"/>
        <w:rPr>
          <w:rFonts w:ascii="Arial" w:hAnsi="Arial" w:cs="Arial"/>
          <w:sz w:val="20"/>
        </w:rPr>
      </w:pPr>
      <w:r>
        <w:rPr>
          <w:rFonts w:ascii="Arial" w:hAnsi="Arial" w:cs="Arial"/>
          <w:sz w:val="20"/>
        </w:rPr>
        <w:t xml:space="preserve">The similar business test broadly operates in a similar manner to the SBT but removes the negative limbs which causes the SBT to be failed if the taxpayer </w:t>
      </w:r>
      <w:r w:rsidR="00302EA7">
        <w:rPr>
          <w:rFonts w:ascii="Arial" w:hAnsi="Arial" w:cs="Arial"/>
          <w:sz w:val="20"/>
        </w:rPr>
        <w:t>derives assessable income from</w:t>
      </w:r>
      <w:r>
        <w:rPr>
          <w:rFonts w:ascii="Arial" w:hAnsi="Arial" w:cs="Arial"/>
          <w:sz w:val="20"/>
        </w:rPr>
        <w:t xml:space="preserve"> a new </w:t>
      </w:r>
      <w:r w:rsidR="0008402E">
        <w:rPr>
          <w:rFonts w:ascii="Arial" w:hAnsi="Arial" w:cs="Arial"/>
          <w:sz w:val="20"/>
        </w:rPr>
        <w:t xml:space="preserve">kind of </w:t>
      </w:r>
      <w:r>
        <w:rPr>
          <w:rFonts w:ascii="Arial" w:hAnsi="Arial" w:cs="Arial"/>
          <w:sz w:val="20"/>
        </w:rPr>
        <w:t>business or transaction.</w:t>
      </w:r>
    </w:p>
    <w:p w14:paraId="40E08B62" w14:textId="77777777" w:rsidR="00F20E87" w:rsidRDefault="00F20E87" w:rsidP="003C2101">
      <w:pPr>
        <w:adjustRightInd w:val="0"/>
        <w:snapToGrid w:val="0"/>
        <w:spacing w:line="276" w:lineRule="auto"/>
        <w:jc w:val="left"/>
        <w:rPr>
          <w:rFonts w:ascii="Arial" w:hAnsi="Arial" w:cs="Arial"/>
          <w:sz w:val="20"/>
        </w:rPr>
      </w:pPr>
    </w:p>
    <w:p w14:paraId="4014AA92" w14:textId="41951EFF" w:rsidR="00A22897" w:rsidRDefault="003C2101" w:rsidP="003C2101">
      <w:pPr>
        <w:adjustRightInd w:val="0"/>
        <w:snapToGrid w:val="0"/>
        <w:spacing w:line="276" w:lineRule="auto"/>
        <w:jc w:val="left"/>
        <w:rPr>
          <w:rFonts w:ascii="Arial" w:hAnsi="Arial" w:cs="Arial"/>
          <w:sz w:val="20"/>
        </w:rPr>
      </w:pPr>
      <w:r w:rsidRPr="003C2101">
        <w:rPr>
          <w:rFonts w:ascii="Arial" w:hAnsi="Arial" w:cs="Arial"/>
          <w:sz w:val="20"/>
        </w:rPr>
        <w:t xml:space="preserve">A company will satisfy the similar business test </w:t>
      </w:r>
      <w:r w:rsidR="00DC695F">
        <w:rPr>
          <w:rFonts w:ascii="Arial" w:hAnsi="Arial" w:cs="Arial"/>
          <w:sz w:val="20"/>
        </w:rPr>
        <w:t>(</w:t>
      </w:r>
      <w:r w:rsidR="00D7318F">
        <w:rPr>
          <w:rFonts w:ascii="Arial" w:hAnsi="Arial" w:cs="Arial"/>
          <w:sz w:val="20"/>
        </w:rPr>
        <w:t>contained in</w:t>
      </w:r>
      <w:r w:rsidR="00DC695F">
        <w:rPr>
          <w:rFonts w:ascii="Arial" w:hAnsi="Arial" w:cs="Arial"/>
          <w:sz w:val="20"/>
        </w:rPr>
        <w:t xml:space="preserve"> section 165-211 of the </w:t>
      </w:r>
      <w:r w:rsidR="00FB1B3F" w:rsidRPr="00EE185F">
        <w:rPr>
          <w:rFonts w:ascii="Arial" w:hAnsi="Arial" w:cs="Arial"/>
          <w:sz w:val="20"/>
        </w:rPr>
        <w:t>ITAA 1997</w:t>
      </w:r>
      <w:r w:rsidR="00DC695F">
        <w:rPr>
          <w:rFonts w:ascii="Arial" w:hAnsi="Arial" w:cs="Arial"/>
          <w:sz w:val="20"/>
        </w:rPr>
        <w:t xml:space="preserve">) </w:t>
      </w:r>
      <w:r w:rsidRPr="003C2101">
        <w:rPr>
          <w:rFonts w:ascii="Arial" w:hAnsi="Arial" w:cs="Arial"/>
          <w:sz w:val="20"/>
        </w:rPr>
        <w:t xml:space="preserve">if it carries on a similar business </w:t>
      </w:r>
      <w:r w:rsidR="00A22897">
        <w:rPr>
          <w:rFonts w:ascii="Arial" w:hAnsi="Arial" w:cs="Arial"/>
          <w:sz w:val="20"/>
        </w:rPr>
        <w:t xml:space="preserve">at all times </w:t>
      </w:r>
      <w:r w:rsidRPr="003C2101">
        <w:rPr>
          <w:rFonts w:ascii="Arial" w:hAnsi="Arial" w:cs="Arial"/>
          <w:sz w:val="20"/>
        </w:rPr>
        <w:t xml:space="preserve">in the year in which the loss is recouped to that carried on immediately before the </w:t>
      </w:r>
      <w:r w:rsidR="00DC695F">
        <w:rPr>
          <w:rFonts w:ascii="Arial" w:hAnsi="Arial" w:cs="Arial"/>
          <w:sz w:val="20"/>
        </w:rPr>
        <w:t>test time</w:t>
      </w:r>
      <w:r w:rsidRPr="003C2101">
        <w:rPr>
          <w:rFonts w:ascii="Arial" w:hAnsi="Arial" w:cs="Arial"/>
          <w:sz w:val="20"/>
        </w:rPr>
        <w:t>.</w:t>
      </w:r>
    </w:p>
    <w:p w14:paraId="047468D0" w14:textId="77777777" w:rsidR="00A22897" w:rsidRDefault="00A22897" w:rsidP="003C2101">
      <w:pPr>
        <w:adjustRightInd w:val="0"/>
        <w:snapToGrid w:val="0"/>
        <w:spacing w:line="276" w:lineRule="auto"/>
        <w:jc w:val="left"/>
        <w:rPr>
          <w:rFonts w:ascii="Arial" w:hAnsi="Arial" w:cs="Arial"/>
          <w:sz w:val="20"/>
        </w:rPr>
      </w:pPr>
    </w:p>
    <w:p w14:paraId="35DE5F5F" w14:textId="22F154A9" w:rsidR="003C2101" w:rsidRDefault="003C2101" w:rsidP="003C2101">
      <w:pPr>
        <w:adjustRightInd w:val="0"/>
        <w:snapToGrid w:val="0"/>
        <w:spacing w:line="276" w:lineRule="auto"/>
        <w:jc w:val="left"/>
        <w:rPr>
          <w:rFonts w:ascii="Arial" w:hAnsi="Arial" w:cs="Arial"/>
          <w:sz w:val="20"/>
          <w:lang w:eastAsia="en-AU"/>
        </w:rPr>
      </w:pPr>
      <w:r w:rsidRPr="003C2101">
        <w:rPr>
          <w:rFonts w:ascii="Arial" w:hAnsi="Arial" w:cs="Arial"/>
          <w:sz w:val="20"/>
          <w:lang w:eastAsia="en-AU"/>
        </w:rPr>
        <w:t xml:space="preserve">In working out whether a business carried on immediately before the test time (i.e. the former business) is </w:t>
      </w:r>
      <w:r w:rsidR="00831D3A">
        <w:rPr>
          <w:rFonts w:ascii="Arial" w:hAnsi="Arial" w:cs="Arial"/>
          <w:sz w:val="20"/>
          <w:lang w:eastAsia="en-AU"/>
        </w:rPr>
        <w:t>‘</w:t>
      </w:r>
      <w:r w:rsidRPr="003C2101">
        <w:rPr>
          <w:rFonts w:ascii="Arial" w:hAnsi="Arial" w:cs="Arial"/>
          <w:sz w:val="20"/>
          <w:lang w:eastAsia="en-AU"/>
        </w:rPr>
        <w:t>similar</w:t>
      </w:r>
      <w:r w:rsidR="00831D3A">
        <w:rPr>
          <w:rFonts w:ascii="Arial" w:hAnsi="Arial" w:cs="Arial"/>
          <w:sz w:val="20"/>
          <w:lang w:eastAsia="en-AU"/>
        </w:rPr>
        <w:t>’</w:t>
      </w:r>
      <w:r w:rsidRPr="003C2101">
        <w:rPr>
          <w:rFonts w:ascii="Arial" w:hAnsi="Arial" w:cs="Arial"/>
          <w:sz w:val="20"/>
          <w:lang w:eastAsia="en-AU"/>
        </w:rPr>
        <w:t xml:space="preserve"> to the business carried on throughout the income year in which the company wants to recoup the loss (i.e. the current business)</w:t>
      </w:r>
      <w:r w:rsidR="00D37F27">
        <w:rPr>
          <w:rFonts w:ascii="Arial" w:hAnsi="Arial" w:cs="Arial"/>
          <w:sz w:val="20"/>
          <w:lang w:eastAsia="en-AU"/>
        </w:rPr>
        <w:t>, the Commissioner provides his views in Law Companion Ruling LCR 2019/1. Relevantly, the Commissioner states that</w:t>
      </w:r>
      <w:r w:rsidRPr="003C2101">
        <w:rPr>
          <w:rFonts w:ascii="Arial" w:hAnsi="Arial" w:cs="Arial"/>
          <w:sz w:val="20"/>
          <w:lang w:eastAsia="en-AU"/>
        </w:rPr>
        <w:t xml:space="preserve"> it will be necessary to consider the following factors: </w:t>
      </w:r>
    </w:p>
    <w:p w14:paraId="51CB850C" w14:textId="77777777" w:rsidR="003C2101" w:rsidRDefault="003C2101" w:rsidP="003C2101">
      <w:pPr>
        <w:adjustRightInd w:val="0"/>
        <w:snapToGrid w:val="0"/>
        <w:spacing w:line="276" w:lineRule="auto"/>
        <w:jc w:val="left"/>
        <w:rPr>
          <w:rFonts w:ascii="Arial" w:hAnsi="Arial" w:cs="Arial"/>
          <w:sz w:val="20"/>
          <w:lang w:eastAsia="en-AU"/>
        </w:rPr>
      </w:pPr>
    </w:p>
    <w:p w14:paraId="615DD28D" w14:textId="68419AF5" w:rsidR="003C2101" w:rsidRDefault="003C2101" w:rsidP="003C2101">
      <w:pPr>
        <w:pStyle w:val="ListParagraph"/>
        <w:numPr>
          <w:ilvl w:val="0"/>
          <w:numId w:val="6"/>
        </w:numPr>
        <w:adjustRightInd w:val="0"/>
        <w:snapToGrid w:val="0"/>
        <w:spacing w:line="276" w:lineRule="auto"/>
        <w:jc w:val="left"/>
        <w:rPr>
          <w:rFonts w:ascii="Arial" w:hAnsi="Arial" w:cs="Arial"/>
          <w:sz w:val="20"/>
        </w:rPr>
      </w:pPr>
      <w:r>
        <w:rPr>
          <w:rFonts w:ascii="Arial" w:hAnsi="Arial" w:cs="Arial"/>
          <w:sz w:val="20"/>
        </w:rPr>
        <w:t>t</w:t>
      </w:r>
      <w:r w:rsidRPr="003C2101">
        <w:rPr>
          <w:rFonts w:ascii="Arial" w:hAnsi="Arial" w:cs="Arial"/>
          <w:sz w:val="20"/>
        </w:rPr>
        <w:t>he extent to which the assets (including goodwill) that are used in the current business to generate assessable income were also used in the former business to generate assessable income</w:t>
      </w:r>
    </w:p>
    <w:p w14:paraId="197A6FBB" w14:textId="610781BE" w:rsidR="003C2101" w:rsidRDefault="003C2101" w:rsidP="003C2101">
      <w:pPr>
        <w:pStyle w:val="ListParagraph"/>
        <w:numPr>
          <w:ilvl w:val="0"/>
          <w:numId w:val="6"/>
        </w:numPr>
        <w:adjustRightInd w:val="0"/>
        <w:snapToGrid w:val="0"/>
        <w:spacing w:line="276" w:lineRule="auto"/>
        <w:jc w:val="left"/>
        <w:rPr>
          <w:rFonts w:ascii="Arial" w:hAnsi="Arial" w:cs="Arial"/>
          <w:sz w:val="20"/>
        </w:rPr>
      </w:pPr>
      <w:r>
        <w:rPr>
          <w:rFonts w:ascii="Arial" w:hAnsi="Arial" w:cs="Arial"/>
          <w:sz w:val="20"/>
        </w:rPr>
        <w:t>t</w:t>
      </w:r>
      <w:r w:rsidRPr="003C2101">
        <w:rPr>
          <w:rFonts w:ascii="Arial" w:hAnsi="Arial" w:cs="Arial"/>
          <w:sz w:val="20"/>
        </w:rPr>
        <w:t>he extent to which the activities and operations for which the current business generates assessable income were also the activities and operations from which the former business generated assessable income</w:t>
      </w:r>
    </w:p>
    <w:p w14:paraId="420DFF46" w14:textId="10D2F5CE" w:rsidR="003C2101" w:rsidRDefault="003C2101" w:rsidP="003C2101">
      <w:pPr>
        <w:pStyle w:val="ListParagraph"/>
        <w:numPr>
          <w:ilvl w:val="0"/>
          <w:numId w:val="6"/>
        </w:numPr>
        <w:adjustRightInd w:val="0"/>
        <w:snapToGrid w:val="0"/>
        <w:spacing w:line="276" w:lineRule="auto"/>
        <w:jc w:val="left"/>
        <w:rPr>
          <w:rFonts w:ascii="Arial" w:hAnsi="Arial" w:cs="Arial"/>
          <w:sz w:val="20"/>
        </w:rPr>
      </w:pPr>
      <w:r>
        <w:rPr>
          <w:rFonts w:ascii="Arial" w:hAnsi="Arial" w:cs="Arial"/>
          <w:sz w:val="20"/>
        </w:rPr>
        <w:t>t</w:t>
      </w:r>
      <w:r w:rsidRPr="003C2101">
        <w:rPr>
          <w:rFonts w:ascii="Arial" w:hAnsi="Arial" w:cs="Arial"/>
          <w:sz w:val="20"/>
        </w:rPr>
        <w:t>he identity of the current business and the identity of the former business</w:t>
      </w:r>
      <w:r w:rsidR="00123DEF">
        <w:rPr>
          <w:rFonts w:ascii="Arial" w:hAnsi="Arial" w:cs="Arial"/>
          <w:sz w:val="20"/>
        </w:rPr>
        <w:t>, and</w:t>
      </w:r>
    </w:p>
    <w:p w14:paraId="0E6D94B9" w14:textId="72AB813A" w:rsidR="003C2101" w:rsidRDefault="003C2101" w:rsidP="003C2101">
      <w:pPr>
        <w:pStyle w:val="ListParagraph"/>
        <w:numPr>
          <w:ilvl w:val="0"/>
          <w:numId w:val="6"/>
        </w:numPr>
        <w:adjustRightInd w:val="0"/>
        <w:snapToGrid w:val="0"/>
        <w:spacing w:line="276" w:lineRule="auto"/>
        <w:jc w:val="left"/>
        <w:rPr>
          <w:rFonts w:ascii="Arial" w:hAnsi="Arial" w:cs="Arial"/>
          <w:sz w:val="20"/>
        </w:rPr>
      </w:pPr>
      <w:r>
        <w:rPr>
          <w:rFonts w:ascii="Arial" w:hAnsi="Arial" w:cs="Arial"/>
          <w:sz w:val="20"/>
        </w:rPr>
        <w:t>t</w:t>
      </w:r>
      <w:r w:rsidRPr="003C2101">
        <w:rPr>
          <w:rFonts w:ascii="Arial" w:hAnsi="Arial" w:cs="Arial"/>
          <w:sz w:val="20"/>
        </w:rPr>
        <w:t xml:space="preserve">he extent to which any changes to the former business resulted from the development or commercialisation of assets, products, processes, services or marketing or organisational methods of the former business. </w:t>
      </w:r>
    </w:p>
    <w:p w14:paraId="71743101" w14:textId="77777777" w:rsidR="003C2101" w:rsidRPr="003C2101" w:rsidRDefault="003C2101" w:rsidP="003C2101">
      <w:pPr>
        <w:adjustRightInd w:val="0"/>
        <w:snapToGrid w:val="0"/>
        <w:spacing w:line="276" w:lineRule="auto"/>
        <w:jc w:val="left"/>
        <w:rPr>
          <w:rFonts w:ascii="Arial" w:hAnsi="Arial" w:cs="Arial"/>
          <w:sz w:val="20"/>
        </w:rPr>
      </w:pPr>
    </w:p>
    <w:p w14:paraId="55A98493" w14:textId="3227E279" w:rsidR="00A22897" w:rsidRDefault="00A22897" w:rsidP="003C2101">
      <w:pPr>
        <w:adjustRightInd w:val="0"/>
        <w:snapToGrid w:val="0"/>
        <w:spacing w:line="276" w:lineRule="auto"/>
        <w:jc w:val="left"/>
        <w:rPr>
          <w:rFonts w:ascii="Arial" w:hAnsi="Arial" w:cs="Arial"/>
          <w:sz w:val="20"/>
        </w:rPr>
      </w:pPr>
      <w:r>
        <w:rPr>
          <w:rFonts w:ascii="Arial" w:hAnsi="Arial" w:cs="Arial"/>
          <w:sz w:val="20"/>
        </w:rPr>
        <w:t xml:space="preserve">As </w:t>
      </w:r>
      <w:r w:rsidR="006839CB">
        <w:rPr>
          <w:rFonts w:ascii="Arial" w:hAnsi="Arial" w:cs="Arial"/>
          <w:sz w:val="20"/>
        </w:rPr>
        <w:t>such,</w:t>
      </w:r>
      <w:r w:rsidR="0004571B">
        <w:rPr>
          <w:rFonts w:ascii="Arial" w:hAnsi="Arial" w:cs="Arial"/>
          <w:sz w:val="20"/>
        </w:rPr>
        <w:t xml:space="preserve"> the</w:t>
      </w:r>
      <w:r>
        <w:rPr>
          <w:rFonts w:ascii="Arial" w:hAnsi="Arial" w:cs="Arial"/>
          <w:sz w:val="20"/>
        </w:rPr>
        <w:t xml:space="preserve"> similar business test requires that the overall business in the year in which the loss is recouped must be sufficiently similar to the business carried on before </w:t>
      </w:r>
      <w:r w:rsidR="00A75C6D">
        <w:rPr>
          <w:rFonts w:ascii="Arial" w:hAnsi="Arial" w:cs="Arial"/>
          <w:sz w:val="20"/>
        </w:rPr>
        <w:t>the test time</w:t>
      </w:r>
      <w:r>
        <w:rPr>
          <w:rFonts w:ascii="Arial" w:hAnsi="Arial" w:cs="Arial"/>
          <w:sz w:val="20"/>
        </w:rPr>
        <w:t xml:space="preserve">. </w:t>
      </w:r>
      <w:r w:rsidR="0004571B">
        <w:rPr>
          <w:rFonts w:ascii="Arial" w:hAnsi="Arial" w:cs="Arial"/>
          <w:sz w:val="20"/>
        </w:rPr>
        <w:t>I</w:t>
      </w:r>
      <w:r>
        <w:rPr>
          <w:rFonts w:ascii="Arial" w:hAnsi="Arial" w:cs="Arial"/>
          <w:sz w:val="20"/>
        </w:rPr>
        <w:t xml:space="preserve">t may be difficult to satisfy the similar business test </w:t>
      </w:r>
      <w:r w:rsidR="00D7318F">
        <w:rPr>
          <w:rFonts w:ascii="Arial" w:hAnsi="Arial" w:cs="Arial"/>
          <w:sz w:val="20"/>
        </w:rPr>
        <w:t xml:space="preserve">if </w:t>
      </w:r>
      <w:r>
        <w:rPr>
          <w:rFonts w:ascii="Arial" w:hAnsi="Arial" w:cs="Arial"/>
          <w:sz w:val="20"/>
        </w:rPr>
        <w:t xml:space="preserve">substantial new business activities and transactions did not evolve from, and complement, the business carried on before the test time. In contrast, if a company develops a new product or function from the business activities already carried on, and this development opens up a new business opportunity or allows it to fill an existing gap in the market, the </w:t>
      </w:r>
      <w:r w:rsidR="00566DF2">
        <w:rPr>
          <w:rFonts w:ascii="Arial" w:hAnsi="Arial" w:cs="Arial"/>
          <w:sz w:val="20"/>
        </w:rPr>
        <w:t>company</w:t>
      </w:r>
      <w:r>
        <w:rPr>
          <w:rFonts w:ascii="Arial" w:hAnsi="Arial" w:cs="Arial"/>
          <w:sz w:val="20"/>
        </w:rPr>
        <w:t xml:space="preserve"> is likely to satisfy the similar business test. </w:t>
      </w:r>
    </w:p>
    <w:p w14:paraId="089D7E3C" w14:textId="0E60923C" w:rsidR="00A22897" w:rsidRDefault="00A22897" w:rsidP="003C2101">
      <w:pPr>
        <w:adjustRightInd w:val="0"/>
        <w:snapToGrid w:val="0"/>
        <w:spacing w:line="276" w:lineRule="auto"/>
        <w:jc w:val="left"/>
        <w:rPr>
          <w:rFonts w:ascii="Arial" w:hAnsi="Arial" w:cs="Arial"/>
          <w:sz w:val="20"/>
        </w:rPr>
      </w:pPr>
    </w:p>
    <w:p w14:paraId="29D6C7DD" w14:textId="4E5EB8A1" w:rsidR="00A22897" w:rsidRDefault="00A22897" w:rsidP="003C2101">
      <w:pPr>
        <w:adjustRightInd w:val="0"/>
        <w:snapToGrid w:val="0"/>
        <w:spacing w:line="276" w:lineRule="auto"/>
        <w:jc w:val="left"/>
        <w:rPr>
          <w:rFonts w:ascii="Arial" w:hAnsi="Arial" w:cs="Arial"/>
          <w:sz w:val="20"/>
        </w:rPr>
      </w:pPr>
      <w:r>
        <w:rPr>
          <w:rFonts w:ascii="Arial" w:hAnsi="Arial" w:cs="Arial"/>
          <w:sz w:val="20"/>
        </w:rPr>
        <w:t>Like the SBT there are integrity measures to prevent companies making changes to their business prior to the change in ownership or control the company which are only undertaken so the company can satisfy the similar business test after the change in ownership or control.</w:t>
      </w:r>
    </w:p>
    <w:p w14:paraId="40701A3D" w14:textId="77777777" w:rsidR="003C2101" w:rsidRDefault="003C2101" w:rsidP="003C2101"/>
    <w:p w14:paraId="41039A47" w14:textId="3F69C09C" w:rsidR="003C2101" w:rsidRPr="003C2101" w:rsidRDefault="003C2101" w:rsidP="003C2101">
      <w:pPr>
        <w:rPr>
          <w:rFonts w:ascii="Arial" w:hAnsi="Arial" w:cs="Arial"/>
          <w:b/>
          <w:bCs/>
          <w:sz w:val="20"/>
        </w:rPr>
      </w:pPr>
      <w:r w:rsidRPr="003C2101">
        <w:rPr>
          <w:rFonts w:ascii="Arial" w:hAnsi="Arial" w:cs="Arial"/>
          <w:b/>
          <w:bCs/>
          <w:sz w:val="20"/>
        </w:rPr>
        <w:t>Other considerations</w:t>
      </w:r>
    </w:p>
    <w:p w14:paraId="06BB1F43" w14:textId="285DA00E" w:rsidR="00630B2C" w:rsidRPr="00D317FE" w:rsidRDefault="00630B2C" w:rsidP="006B2BC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276" w:lineRule="auto"/>
        <w:jc w:val="left"/>
        <w:rPr>
          <w:sz w:val="20"/>
        </w:rPr>
      </w:pPr>
    </w:p>
    <w:p w14:paraId="53AAFC52" w14:textId="4675421D" w:rsidR="00630B2C" w:rsidRDefault="00630B2C" w:rsidP="006B2BCB">
      <w:pPr>
        <w:autoSpaceDE w:val="0"/>
        <w:autoSpaceDN w:val="0"/>
        <w:adjustRightInd w:val="0"/>
        <w:snapToGrid w:val="0"/>
        <w:spacing w:line="276" w:lineRule="auto"/>
        <w:jc w:val="left"/>
        <w:rPr>
          <w:rFonts w:ascii="Arial" w:hAnsi="Arial" w:cs="Arial"/>
          <w:color w:val="000000"/>
          <w:sz w:val="20"/>
          <w:lang w:eastAsia="en-AU"/>
        </w:rPr>
      </w:pPr>
      <w:r w:rsidRPr="00B176E3">
        <w:rPr>
          <w:rFonts w:ascii="Arial" w:hAnsi="Arial" w:cs="Arial"/>
          <w:color w:val="000000"/>
          <w:sz w:val="20"/>
          <w:lang w:eastAsia="en-AU"/>
        </w:rPr>
        <w:t xml:space="preserve">The </w:t>
      </w:r>
      <w:r>
        <w:rPr>
          <w:rFonts w:ascii="Arial" w:hAnsi="Arial" w:cs="Arial"/>
          <w:color w:val="000000"/>
          <w:sz w:val="20"/>
          <w:lang w:eastAsia="en-AU"/>
        </w:rPr>
        <w:t>p</w:t>
      </w:r>
      <w:r w:rsidRPr="00B176E3">
        <w:rPr>
          <w:rFonts w:ascii="Arial" w:hAnsi="Arial" w:cs="Arial"/>
          <w:color w:val="000000"/>
          <w:sz w:val="20"/>
          <w:lang w:eastAsia="en-AU"/>
        </w:rPr>
        <w:t xml:space="preserve">ublic </w:t>
      </w:r>
      <w:r>
        <w:rPr>
          <w:rFonts w:ascii="Arial" w:hAnsi="Arial" w:cs="Arial"/>
          <w:color w:val="000000"/>
          <w:sz w:val="20"/>
          <w:lang w:eastAsia="en-AU"/>
        </w:rPr>
        <w:t>o</w:t>
      </w:r>
      <w:r w:rsidRPr="00B176E3">
        <w:rPr>
          <w:rFonts w:ascii="Arial" w:hAnsi="Arial" w:cs="Arial"/>
          <w:color w:val="000000"/>
          <w:sz w:val="20"/>
          <w:lang w:eastAsia="en-AU"/>
        </w:rPr>
        <w:t>fficer</w:t>
      </w:r>
      <w:r w:rsidR="00C75770">
        <w:rPr>
          <w:rFonts w:ascii="Arial" w:hAnsi="Arial" w:cs="Arial"/>
          <w:color w:val="000000"/>
          <w:sz w:val="20"/>
          <w:lang w:eastAsia="en-AU"/>
        </w:rPr>
        <w:t xml:space="preserve"> of</w:t>
      </w:r>
      <w:r w:rsidRPr="00B176E3">
        <w:rPr>
          <w:rFonts w:ascii="Arial" w:hAnsi="Arial" w:cs="Arial"/>
          <w:color w:val="000000"/>
          <w:sz w:val="20"/>
          <w:lang w:eastAsia="en-AU"/>
        </w:rPr>
        <w:t xml:space="preserve"> </w:t>
      </w:r>
      <w:r>
        <w:rPr>
          <w:rFonts w:ascii="Arial" w:hAnsi="Arial" w:cs="Arial"/>
          <w:color w:val="000000"/>
          <w:sz w:val="20"/>
          <w:lang w:eastAsia="en-AU"/>
        </w:rPr>
        <w:t>[</w:t>
      </w:r>
      <w:r w:rsidRPr="00340B4C">
        <w:rPr>
          <w:rFonts w:ascii="Arial" w:hAnsi="Arial" w:cs="Arial"/>
          <w:sz w:val="20"/>
          <w:highlight w:val="lightGray"/>
        </w:rPr>
        <w:t>insert company name</w:t>
      </w:r>
      <w:r>
        <w:rPr>
          <w:rFonts w:ascii="Arial" w:hAnsi="Arial" w:cs="Arial"/>
          <w:color w:val="000000"/>
          <w:sz w:val="20"/>
          <w:lang w:eastAsia="en-AU"/>
        </w:rPr>
        <w:t>]</w:t>
      </w:r>
      <w:r w:rsidRPr="00B176E3">
        <w:rPr>
          <w:rFonts w:ascii="Arial" w:hAnsi="Arial" w:cs="Arial"/>
          <w:color w:val="000000"/>
          <w:sz w:val="20"/>
          <w:lang w:eastAsia="en-AU"/>
        </w:rPr>
        <w:t xml:space="preserve"> </w:t>
      </w:r>
      <w:r w:rsidR="00C75770" w:rsidRPr="00B176E3">
        <w:rPr>
          <w:rFonts w:ascii="Arial" w:hAnsi="Arial" w:cs="Arial"/>
          <w:color w:val="000000"/>
          <w:sz w:val="20"/>
          <w:lang w:eastAsia="en-AU"/>
        </w:rPr>
        <w:t xml:space="preserve">should be satisfied that </w:t>
      </w:r>
      <w:r w:rsidRPr="00B176E3">
        <w:rPr>
          <w:rFonts w:ascii="Arial" w:hAnsi="Arial" w:cs="Arial"/>
          <w:color w:val="000000"/>
          <w:sz w:val="20"/>
          <w:lang w:eastAsia="en-AU"/>
        </w:rPr>
        <w:t>the COT</w:t>
      </w:r>
      <w:r w:rsidR="00C75770">
        <w:rPr>
          <w:rFonts w:ascii="Arial" w:hAnsi="Arial" w:cs="Arial"/>
          <w:color w:val="000000"/>
          <w:sz w:val="20"/>
          <w:lang w:eastAsia="en-AU"/>
        </w:rPr>
        <w:t xml:space="preserve"> is satisfied</w:t>
      </w:r>
      <w:r w:rsidRPr="00B176E3">
        <w:rPr>
          <w:rFonts w:ascii="Arial" w:hAnsi="Arial" w:cs="Arial"/>
          <w:color w:val="000000"/>
          <w:sz w:val="20"/>
          <w:lang w:eastAsia="en-AU"/>
        </w:rPr>
        <w:t>, or failing that</w:t>
      </w:r>
      <w:r>
        <w:rPr>
          <w:rFonts w:ascii="Arial" w:hAnsi="Arial" w:cs="Arial"/>
          <w:color w:val="000000"/>
          <w:sz w:val="20"/>
          <w:lang w:eastAsia="en-AU"/>
        </w:rPr>
        <w:t xml:space="preserve">, </w:t>
      </w:r>
      <w:r w:rsidRPr="00B176E3">
        <w:rPr>
          <w:rFonts w:ascii="Arial" w:hAnsi="Arial" w:cs="Arial"/>
          <w:color w:val="000000"/>
          <w:sz w:val="20"/>
          <w:lang w:eastAsia="en-AU"/>
        </w:rPr>
        <w:t>the SBT</w:t>
      </w:r>
      <w:r w:rsidR="00831D3A">
        <w:rPr>
          <w:rFonts w:ascii="Arial" w:hAnsi="Arial" w:cs="Arial"/>
          <w:color w:val="000000"/>
          <w:sz w:val="20"/>
          <w:lang w:eastAsia="en-AU"/>
        </w:rPr>
        <w:t xml:space="preserve"> or similar business test</w:t>
      </w:r>
      <w:r w:rsidR="00C75770">
        <w:rPr>
          <w:rFonts w:ascii="Arial" w:hAnsi="Arial" w:cs="Arial"/>
          <w:color w:val="000000"/>
          <w:sz w:val="20"/>
          <w:lang w:eastAsia="en-AU"/>
        </w:rPr>
        <w:t xml:space="preserve"> is satisfied</w:t>
      </w:r>
      <w:r>
        <w:rPr>
          <w:rFonts w:ascii="Arial" w:hAnsi="Arial" w:cs="Arial"/>
          <w:color w:val="000000"/>
          <w:sz w:val="20"/>
          <w:lang w:eastAsia="en-AU"/>
        </w:rPr>
        <w:t>,</w:t>
      </w:r>
      <w:r w:rsidRPr="00B176E3">
        <w:rPr>
          <w:rFonts w:ascii="Arial" w:hAnsi="Arial" w:cs="Arial"/>
          <w:color w:val="000000"/>
          <w:sz w:val="20"/>
          <w:lang w:eastAsia="en-AU"/>
        </w:rPr>
        <w:t xml:space="preserve"> in order to carry forward and recoup</w:t>
      </w:r>
      <w:r>
        <w:rPr>
          <w:rFonts w:ascii="Arial" w:hAnsi="Arial" w:cs="Arial"/>
          <w:color w:val="000000"/>
          <w:sz w:val="20"/>
          <w:lang w:eastAsia="en-AU"/>
        </w:rPr>
        <w:t xml:space="preserve"> the</w:t>
      </w:r>
      <w:r w:rsidRPr="00B176E3">
        <w:rPr>
          <w:rFonts w:ascii="Arial" w:hAnsi="Arial" w:cs="Arial"/>
          <w:color w:val="000000"/>
          <w:sz w:val="20"/>
          <w:lang w:eastAsia="en-AU"/>
        </w:rPr>
        <w:t xml:space="preserve"> prior year </w:t>
      </w:r>
      <w:r>
        <w:rPr>
          <w:rFonts w:ascii="Arial" w:hAnsi="Arial" w:cs="Arial"/>
          <w:color w:val="000000"/>
          <w:sz w:val="20"/>
          <w:lang w:eastAsia="en-AU"/>
        </w:rPr>
        <w:t>revenue and capital</w:t>
      </w:r>
      <w:r w:rsidRPr="00B176E3">
        <w:rPr>
          <w:rFonts w:ascii="Arial" w:hAnsi="Arial" w:cs="Arial"/>
          <w:color w:val="000000"/>
          <w:sz w:val="20"/>
          <w:lang w:eastAsia="en-AU"/>
        </w:rPr>
        <w:t xml:space="preserve"> losses.</w:t>
      </w:r>
    </w:p>
    <w:p w14:paraId="619EAB5B" w14:textId="77777777" w:rsidR="00630B2C" w:rsidRDefault="00630B2C" w:rsidP="006B2BCB">
      <w:pPr>
        <w:autoSpaceDE w:val="0"/>
        <w:autoSpaceDN w:val="0"/>
        <w:adjustRightInd w:val="0"/>
        <w:snapToGrid w:val="0"/>
        <w:spacing w:line="276" w:lineRule="auto"/>
        <w:jc w:val="left"/>
        <w:rPr>
          <w:rFonts w:ascii="Arial" w:hAnsi="Arial" w:cs="Arial"/>
          <w:color w:val="000000"/>
          <w:sz w:val="20"/>
          <w:lang w:eastAsia="en-AU"/>
        </w:rPr>
      </w:pPr>
    </w:p>
    <w:p w14:paraId="1F20AC89" w14:textId="1994C38F" w:rsidR="00630B2C" w:rsidRDefault="00630B2C" w:rsidP="006B2BCB">
      <w:pPr>
        <w:autoSpaceDE w:val="0"/>
        <w:autoSpaceDN w:val="0"/>
        <w:adjustRightInd w:val="0"/>
        <w:snapToGrid w:val="0"/>
        <w:spacing w:line="276" w:lineRule="auto"/>
        <w:jc w:val="left"/>
        <w:rPr>
          <w:rFonts w:ascii="Arial" w:hAnsi="Arial" w:cs="Arial"/>
          <w:color w:val="000000"/>
          <w:sz w:val="20"/>
          <w:lang w:eastAsia="en-AU"/>
        </w:rPr>
      </w:pPr>
      <w:r>
        <w:rPr>
          <w:rFonts w:ascii="Arial" w:hAnsi="Arial" w:cs="Arial"/>
          <w:color w:val="000000"/>
          <w:sz w:val="20"/>
          <w:lang w:eastAsia="en-AU"/>
        </w:rPr>
        <w:t>We note also that where a company fails the COT</w:t>
      </w:r>
      <w:r w:rsidR="003B3540">
        <w:rPr>
          <w:rFonts w:ascii="Arial" w:hAnsi="Arial" w:cs="Arial"/>
          <w:color w:val="000000"/>
          <w:sz w:val="20"/>
          <w:lang w:eastAsia="en-AU"/>
        </w:rPr>
        <w:t xml:space="preserve"> and the BCT</w:t>
      </w:r>
      <w:r w:rsidR="00831D3A">
        <w:rPr>
          <w:rFonts w:ascii="Arial" w:hAnsi="Arial" w:cs="Arial"/>
          <w:color w:val="000000"/>
          <w:sz w:val="20"/>
          <w:lang w:eastAsia="en-AU"/>
        </w:rPr>
        <w:t xml:space="preserve"> </w:t>
      </w:r>
      <w:r>
        <w:rPr>
          <w:rFonts w:ascii="Arial" w:hAnsi="Arial" w:cs="Arial"/>
          <w:color w:val="000000"/>
          <w:sz w:val="20"/>
          <w:lang w:eastAsia="en-AU"/>
        </w:rPr>
        <w:t>during a year, special rules</w:t>
      </w:r>
      <w:r w:rsidR="00CE691B">
        <w:rPr>
          <w:rFonts w:ascii="Arial" w:hAnsi="Arial" w:cs="Arial"/>
          <w:color w:val="000000"/>
          <w:sz w:val="20"/>
          <w:lang w:eastAsia="en-AU"/>
        </w:rPr>
        <w:t xml:space="preserve"> in Subdivision 165-B of the </w:t>
      </w:r>
      <w:r w:rsidR="00CE691B" w:rsidRPr="00C76D80">
        <w:rPr>
          <w:rFonts w:ascii="Arial" w:hAnsi="Arial" w:cs="Arial"/>
          <w:iCs/>
          <w:color w:val="000000"/>
          <w:sz w:val="20"/>
          <w:lang w:eastAsia="en-AU"/>
        </w:rPr>
        <w:t>ITAA 1997</w:t>
      </w:r>
      <w:r w:rsidR="00CE691B">
        <w:rPr>
          <w:rFonts w:ascii="Arial" w:hAnsi="Arial" w:cs="Arial"/>
          <w:i/>
          <w:color w:val="000000"/>
          <w:sz w:val="20"/>
          <w:lang w:eastAsia="en-AU"/>
        </w:rPr>
        <w:t xml:space="preserve"> </w:t>
      </w:r>
      <w:r>
        <w:rPr>
          <w:rFonts w:ascii="Arial" w:hAnsi="Arial" w:cs="Arial"/>
          <w:color w:val="000000"/>
          <w:sz w:val="20"/>
          <w:lang w:eastAsia="en-AU"/>
        </w:rPr>
        <w:t>will apply to determine</w:t>
      </w:r>
      <w:r w:rsidR="00953CBB">
        <w:rPr>
          <w:rFonts w:ascii="Arial" w:hAnsi="Arial" w:cs="Arial"/>
          <w:color w:val="000000"/>
          <w:sz w:val="20"/>
          <w:lang w:eastAsia="en-AU"/>
        </w:rPr>
        <w:t xml:space="preserve"> the taxable income and tax loss</w:t>
      </w:r>
      <w:r w:rsidR="007A3B47">
        <w:rPr>
          <w:rFonts w:ascii="Arial" w:hAnsi="Arial" w:cs="Arial"/>
          <w:color w:val="000000"/>
          <w:sz w:val="20"/>
          <w:lang w:eastAsia="en-AU"/>
        </w:rPr>
        <w:t xml:space="preserve"> for the income year. </w:t>
      </w:r>
    </w:p>
    <w:p w14:paraId="4387BB84" w14:textId="77777777" w:rsidR="00630B2C" w:rsidRDefault="00630B2C" w:rsidP="006B2BCB">
      <w:pPr>
        <w:autoSpaceDE w:val="0"/>
        <w:autoSpaceDN w:val="0"/>
        <w:adjustRightInd w:val="0"/>
        <w:snapToGrid w:val="0"/>
        <w:spacing w:line="276" w:lineRule="auto"/>
        <w:jc w:val="left"/>
        <w:rPr>
          <w:rFonts w:ascii="Arial" w:hAnsi="Arial" w:cs="Arial"/>
          <w:color w:val="000000"/>
          <w:sz w:val="20"/>
          <w:lang w:eastAsia="en-AU"/>
        </w:rPr>
      </w:pPr>
    </w:p>
    <w:p w14:paraId="67E7E363" w14:textId="2615C8E2" w:rsidR="00630B2C" w:rsidRDefault="00630B2C" w:rsidP="006B2BCB">
      <w:pPr>
        <w:adjustRightInd w:val="0"/>
        <w:snapToGrid w:val="0"/>
        <w:spacing w:line="276" w:lineRule="auto"/>
        <w:jc w:val="left"/>
        <w:rPr>
          <w:rFonts w:ascii="Arial" w:hAnsi="Arial" w:cs="Arial"/>
          <w:bCs/>
          <w:sz w:val="20"/>
        </w:rPr>
      </w:pPr>
      <w:r>
        <w:rPr>
          <w:rFonts w:ascii="Arial" w:hAnsi="Arial" w:cs="Arial"/>
          <w:bCs/>
          <w:sz w:val="20"/>
        </w:rPr>
        <w:t>You should note that capital losses may only be offset against future capital gains. In contrast, revenue losses may be applied against both revenue profits and capital gains.</w:t>
      </w:r>
    </w:p>
    <w:p w14:paraId="2CC843B2" w14:textId="5FA4BE42" w:rsidR="000B5630" w:rsidRDefault="000B5630" w:rsidP="006B2BCB">
      <w:pPr>
        <w:adjustRightInd w:val="0"/>
        <w:snapToGrid w:val="0"/>
        <w:spacing w:line="276" w:lineRule="auto"/>
        <w:jc w:val="left"/>
        <w:rPr>
          <w:rFonts w:ascii="Arial" w:hAnsi="Arial" w:cs="Arial"/>
          <w:bCs/>
          <w:sz w:val="20"/>
        </w:rPr>
      </w:pPr>
    </w:p>
    <w:p w14:paraId="4E23D3DA" w14:textId="10C14189" w:rsidR="000B5630" w:rsidRDefault="000B5630" w:rsidP="006B2BCB">
      <w:pPr>
        <w:adjustRightInd w:val="0"/>
        <w:snapToGrid w:val="0"/>
        <w:spacing w:line="276" w:lineRule="auto"/>
        <w:jc w:val="left"/>
        <w:rPr>
          <w:rFonts w:ascii="Arial" w:hAnsi="Arial" w:cs="Arial"/>
          <w:bCs/>
          <w:sz w:val="20"/>
        </w:rPr>
      </w:pPr>
      <w:r>
        <w:rPr>
          <w:rFonts w:ascii="Arial" w:hAnsi="Arial" w:cs="Arial"/>
          <w:bCs/>
          <w:sz w:val="20"/>
        </w:rPr>
        <w:t>We recommend that COT testing or SBT functional analysis be conducted to support the position taken in the tax return with respect to tax losses.</w:t>
      </w:r>
    </w:p>
    <w:p w14:paraId="460B362A" w14:textId="416EBA6E" w:rsidR="00630B2C" w:rsidRDefault="00630B2C" w:rsidP="006B2BCB">
      <w:pPr>
        <w:adjustRightInd w:val="0"/>
        <w:snapToGrid w:val="0"/>
        <w:spacing w:line="276" w:lineRule="auto"/>
        <w:jc w:val="left"/>
        <w:rPr>
          <w:rFonts w:ascii="Arial" w:hAnsi="Arial" w:cs="Arial"/>
          <w:bCs/>
          <w:sz w:val="20"/>
        </w:rPr>
      </w:pPr>
    </w:p>
    <w:p w14:paraId="3729C3FF" w14:textId="4E6516B0" w:rsidR="00630B2C" w:rsidRPr="002E4EB9" w:rsidRDefault="00630B2C" w:rsidP="002E4EB9">
      <w:pPr>
        <w:adjustRightInd w:val="0"/>
        <w:snapToGrid w:val="0"/>
        <w:spacing w:line="276" w:lineRule="auto"/>
        <w:jc w:val="left"/>
        <w:rPr>
          <w:rFonts w:ascii="Arial" w:hAnsi="Arial" w:cs="Arial"/>
          <w:sz w:val="20"/>
        </w:rPr>
      </w:pPr>
      <w:r>
        <w:rPr>
          <w:rFonts w:ascii="Arial" w:hAnsi="Arial" w:cs="Arial"/>
          <w:sz w:val="20"/>
        </w:rPr>
        <w:t>To arrange a meeting to further discuss the loss recoupment rules, please do not hesitate to contact me on [</w:t>
      </w:r>
      <w:r w:rsidRPr="0056677D">
        <w:rPr>
          <w:rFonts w:ascii="Arial" w:hAnsi="Arial" w:cs="Arial"/>
          <w:sz w:val="20"/>
          <w:highlight w:val="darkGray"/>
        </w:rPr>
        <w:t>insert telephone number of partner</w:t>
      </w:r>
      <w:r>
        <w:rPr>
          <w:rFonts w:ascii="Arial" w:hAnsi="Arial" w:cs="Arial"/>
          <w:sz w:val="20"/>
        </w:rPr>
        <w:t>].</w:t>
      </w:r>
    </w:p>
    <w:p w14:paraId="5850E633" w14:textId="77777777" w:rsidR="00630B2C" w:rsidRDefault="00630B2C" w:rsidP="006B2BCB">
      <w:pPr>
        <w:adjustRightInd w:val="0"/>
        <w:snapToGrid w:val="0"/>
        <w:spacing w:line="276" w:lineRule="auto"/>
        <w:jc w:val="left"/>
        <w:rPr>
          <w:rFonts w:ascii="Arial" w:hAnsi="Arial" w:cs="Arial"/>
          <w:b/>
          <w:bCs/>
          <w:sz w:val="20"/>
        </w:rPr>
      </w:pPr>
    </w:p>
    <w:p w14:paraId="329C2731" w14:textId="77777777" w:rsidR="00630B2C" w:rsidRDefault="00630B2C" w:rsidP="006B2BCB">
      <w:pPr>
        <w:adjustRightInd w:val="0"/>
        <w:snapToGrid w:val="0"/>
        <w:spacing w:line="276" w:lineRule="auto"/>
        <w:rPr>
          <w:rFonts w:ascii="Arial" w:hAnsi="Arial" w:cs="Arial"/>
          <w:bCs/>
          <w:sz w:val="20"/>
        </w:rPr>
      </w:pPr>
    </w:p>
    <w:p w14:paraId="2B985586" w14:textId="7E5549B8" w:rsidR="00630B2C" w:rsidRDefault="00630B2C" w:rsidP="006B2BCB">
      <w:pPr>
        <w:adjustRightInd w:val="0"/>
        <w:snapToGrid w:val="0"/>
        <w:spacing w:line="276" w:lineRule="auto"/>
        <w:rPr>
          <w:rFonts w:ascii="Arial" w:hAnsi="Arial" w:cs="Arial"/>
          <w:sz w:val="20"/>
        </w:rPr>
      </w:pPr>
      <w:bookmarkStart w:id="9" w:name="Signoff"/>
      <w:bookmarkEnd w:id="9"/>
      <w:r w:rsidRPr="001F5DA1">
        <w:rPr>
          <w:rFonts w:ascii="Arial" w:hAnsi="Arial" w:cs="Arial"/>
          <w:sz w:val="20"/>
        </w:rPr>
        <w:t>Yours faithfully</w:t>
      </w:r>
      <w:r>
        <w:rPr>
          <w:rFonts w:ascii="Arial" w:hAnsi="Arial" w:cs="Arial"/>
          <w:sz w:val="20"/>
        </w:rPr>
        <w:t>,</w:t>
      </w:r>
    </w:p>
    <w:p w14:paraId="28FA0F22" w14:textId="77777777" w:rsidR="00C76D80" w:rsidRPr="001F5DA1" w:rsidRDefault="00C76D80" w:rsidP="006B2BCB">
      <w:pPr>
        <w:adjustRightInd w:val="0"/>
        <w:snapToGrid w:val="0"/>
        <w:spacing w:line="276" w:lineRule="auto"/>
        <w:rPr>
          <w:rFonts w:ascii="Arial" w:hAnsi="Arial" w:cs="Arial"/>
          <w:sz w:val="20"/>
        </w:rPr>
      </w:pPr>
    </w:p>
    <w:p w14:paraId="55CE009C" w14:textId="77777777" w:rsidR="00630B2C" w:rsidRDefault="00630B2C" w:rsidP="006B2BCB">
      <w:pPr>
        <w:adjustRightInd w:val="0"/>
        <w:snapToGrid w:val="0"/>
        <w:spacing w:line="276" w:lineRule="auto"/>
        <w:rPr>
          <w:rFonts w:ascii="Arial" w:hAnsi="Arial" w:cs="Arial"/>
          <w:b/>
          <w:bCs/>
          <w:sz w:val="20"/>
        </w:rPr>
      </w:pPr>
      <w:bookmarkStart w:id="10" w:name="Partner"/>
      <w:bookmarkEnd w:id="10"/>
      <w:r>
        <w:rPr>
          <w:rFonts w:ascii="Arial" w:hAnsi="Arial" w:cs="Arial"/>
          <w:b/>
          <w:bCs/>
          <w:sz w:val="20"/>
          <w:highlight w:val="lightGray"/>
        </w:rPr>
        <w:t>[</w:t>
      </w:r>
      <w:r w:rsidRPr="0090351B">
        <w:rPr>
          <w:rFonts w:ascii="Arial" w:hAnsi="Arial" w:cs="Arial"/>
          <w:b/>
          <w:bCs/>
          <w:sz w:val="20"/>
          <w:highlight w:val="lightGray"/>
        </w:rPr>
        <w:t>Insert partner name</w:t>
      </w:r>
      <w:r>
        <w:rPr>
          <w:rFonts w:ascii="Arial" w:hAnsi="Arial" w:cs="Arial"/>
          <w:b/>
          <w:bCs/>
          <w:sz w:val="20"/>
        </w:rPr>
        <w:t>]</w:t>
      </w:r>
    </w:p>
    <w:p w14:paraId="6266527F" w14:textId="77777777" w:rsidR="00692D26" w:rsidRDefault="00692D26" w:rsidP="006B2BCB">
      <w:pPr>
        <w:adjustRightInd w:val="0"/>
        <w:snapToGrid w:val="0"/>
        <w:spacing w:line="276" w:lineRule="auto"/>
      </w:pPr>
      <w:bookmarkStart w:id="11" w:name="ConfidBlurb"/>
      <w:bookmarkStart w:id="12" w:name="top"/>
      <w:bookmarkEnd w:id="11"/>
      <w:bookmarkEnd w:id="12"/>
    </w:p>
    <w:sectPr w:rsidR="00692D26" w:rsidSect="008C768D">
      <w:pgSz w:w="11909" w:h="16834" w:code="9"/>
      <w:pgMar w:top="1440" w:right="1440" w:bottom="1440" w:left="1440" w:header="720" w:footer="72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74B53" w14:textId="77777777" w:rsidR="00E4422B" w:rsidRDefault="00E4422B" w:rsidP="00E96277">
      <w:r>
        <w:separator/>
      </w:r>
    </w:p>
  </w:endnote>
  <w:endnote w:type="continuationSeparator" w:id="0">
    <w:p w14:paraId="000AAC68" w14:textId="77777777" w:rsidR="00E4422B" w:rsidRDefault="00E4422B" w:rsidP="00E96277">
      <w:r>
        <w:continuationSeparator/>
      </w:r>
    </w:p>
  </w:endnote>
  <w:endnote w:type="continuationNotice" w:id="1">
    <w:p w14:paraId="64BB64B5" w14:textId="77777777" w:rsidR="00E4422B" w:rsidRDefault="00E44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DE470" w14:textId="77777777" w:rsidR="00E4422B" w:rsidRDefault="00E4422B" w:rsidP="00E96277">
      <w:r>
        <w:separator/>
      </w:r>
    </w:p>
  </w:footnote>
  <w:footnote w:type="continuationSeparator" w:id="0">
    <w:p w14:paraId="68D50DF2" w14:textId="77777777" w:rsidR="00E4422B" w:rsidRDefault="00E4422B" w:rsidP="00E96277">
      <w:r>
        <w:continuationSeparator/>
      </w:r>
    </w:p>
  </w:footnote>
  <w:footnote w:type="continuationNotice" w:id="1">
    <w:p w14:paraId="170F2F2C" w14:textId="77777777" w:rsidR="00E4422B" w:rsidRDefault="00E4422B"/>
  </w:footnote>
  <w:footnote w:id="2">
    <w:p w14:paraId="62605F44" w14:textId="4D845BDF" w:rsidR="00DC695F" w:rsidRPr="00DC695F" w:rsidRDefault="00DC695F">
      <w:pPr>
        <w:pStyle w:val="FootnoteText"/>
        <w:rPr>
          <w:rFonts w:ascii="Arial" w:hAnsi="Arial" w:cs="Arial"/>
          <w:sz w:val="16"/>
          <w:szCs w:val="16"/>
        </w:rPr>
      </w:pPr>
      <w:r>
        <w:rPr>
          <w:rStyle w:val="FootnoteReference"/>
        </w:rPr>
        <w:footnoteRef/>
      </w:r>
      <w:r>
        <w:t xml:space="preserve"> </w:t>
      </w:r>
      <w:r w:rsidRPr="00DC695F">
        <w:rPr>
          <w:rFonts w:ascii="Arial" w:hAnsi="Arial" w:cs="Arial"/>
          <w:sz w:val="16"/>
          <w:szCs w:val="16"/>
        </w:rPr>
        <w:t>The similar business test only applies to tax losses and capital losses incurred in income years commencing on or after 1 July 2015.</w:t>
      </w:r>
    </w:p>
  </w:footnote>
  <w:footnote w:id="3">
    <w:p w14:paraId="649E89FB" w14:textId="7D444D11" w:rsidR="00AA12DD" w:rsidRPr="00AA12DD" w:rsidRDefault="00AA12DD">
      <w:pPr>
        <w:pStyle w:val="FootnoteText"/>
        <w:rPr>
          <w:rFonts w:ascii="Arial" w:hAnsi="Arial" w:cs="Arial"/>
          <w:sz w:val="16"/>
          <w:szCs w:val="16"/>
        </w:rPr>
      </w:pPr>
      <w:r w:rsidRPr="00AA12DD">
        <w:rPr>
          <w:rStyle w:val="FootnoteReference"/>
          <w:rFonts w:ascii="Arial" w:hAnsi="Arial" w:cs="Arial"/>
        </w:rPr>
        <w:footnoteRef/>
      </w:r>
      <w:r>
        <w:t xml:space="preserve"> </w:t>
      </w:r>
      <w:r w:rsidRPr="00AA12DD">
        <w:rPr>
          <w:rFonts w:ascii="Arial" w:hAnsi="Arial" w:cs="Arial"/>
          <w:sz w:val="16"/>
          <w:szCs w:val="16"/>
        </w:rPr>
        <w:t>The COT</w:t>
      </w:r>
      <w:r w:rsidRPr="00AA12DD">
        <w:t xml:space="preserve"> </w:t>
      </w:r>
      <w:r w:rsidRPr="00AA12DD">
        <w:rPr>
          <w:rFonts w:ascii="Arial" w:hAnsi="Arial" w:cs="Arial"/>
          <w:sz w:val="16"/>
          <w:szCs w:val="16"/>
        </w:rPr>
        <w:t>allow</w:t>
      </w:r>
      <w:r w:rsidR="0030257A">
        <w:rPr>
          <w:rFonts w:ascii="Arial" w:hAnsi="Arial" w:cs="Arial"/>
          <w:sz w:val="16"/>
          <w:szCs w:val="16"/>
        </w:rPr>
        <w:t>s</w:t>
      </w:r>
      <w:r w:rsidRPr="00AA12DD">
        <w:rPr>
          <w:rFonts w:ascii="Arial" w:hAnsi="Arial" w:cs="Arial"/>
          <w:sz w:val="16"/>
          <w:szCs w:val="16"/>
        </w:rPr>
        <w:t xml:space="preserve"> companies with unequal rights to dividends, capital distributions or voting power to satisfy the COT where certain conditions relating to unequal share structures are met under Division 167 of the </w:t>
      </w:r>
      <w:r w:rsidRPr="00EE185F">
        <w:rPr>
          <w:rFonts w:ascii="Arial" w:hAnsi="Arial" w:cs="Arial"/>
          <w:sz w:val="16"/>
          <w:szCs w:val="16"/>
        </w:rPr>
        <w:t>ITAA 1997</w:t>
      </w:r>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309C"/>
    <w:multiLevelType w:val="hybridMultilevel"/>
    <w:tmpl w:val="1E004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C7365E"/>
    <w:multiLevelType w:val="hybridMultilevel"/>
    <w:tmpl w:val="EDCE892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F271706"/>
    <w:multiLevelType w:val="hybridMultilevel"/>
    <w:tmpl w:val="F5B01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6F5CA3"/>
    <w:multiLevelType w:val="hybridMultilevel"/>
    <w:tmpl w:val="B094A1D0"/>
    <w:lvl w:ilvl="0" w:tplc="0C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4" w15:restartNumberingAfterBreak="0">
    <w:nsid w:val="3B9E60BE"/>
    <w:multiLevelType w:val="hybridMultilevel"/>
    <w:tmpl w:val="CF9AE9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930537"/>
    <w:multiLevelType w:val="hybridMultilevel"/>
    <w:tmpl w:val="87429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CB33A9"/>
    <w:multiLevelType w:val="hybridMultilevel"/>
    <w:tmpl w:val="ECE6FBF0"/>
    <w:lvl w:ilvl="0" w:tplc="4D10C5AC">
      <w:start w:val="1"/>
      <w:numFmt w:val="decimal"/>
      <w:lvlText w:val="%1."/>
      <w:lvlJc w:val="left"/>
      <w:pPr>
        <w:ind w:left="717" w:hanging="360"/>
      </w:pPr>
      <w:rPr>
        <w:rFonts w:hint="default"/>
      </w:r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7" w15:restartNumberingAfterBreak="0">
    <w:nsid w:val="728E11C2"/>
    <w:multiLevelType w:val="hybridMultilevel"/>
    <w:tmpl w:val="FC4A4440"/>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8" w15:restartNumberingAfterBreak="0">
    <w:nsid w:val="7C6A3A35"/>
    <w:multiLevelType w:val="hybridMultilevel"/>
    <w:tmpl w:val="656E9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9067FC"/>
    <w:multiLevelType w:val="hybridMultilevel"/>
    <w:tmpl w:val="06540C28"/>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num w:numId="1" w16cid:durableId="923146190">
    <w:abstractNumId w:val="3"/>
  </w:num>
  <w:num w:numId="2" w16cid:durableId="2003385258">
    <w:abstractNumId w:val="7"/>
  </w:num>
  <w:num w:numId="3" w16cid:durableId="102500774">
    <w:abstractNumId w:val="4"/>
  </w:num>
  <w:num w:numId="4" w16cid:durableId="1634823552">
    <w:abstractNumId w:val="6"/>
  </w:num>
  <w:num w:numId="5" w16cid:durableId="634142804">
    <w:abstractNumId w:val="2"/>
  </w:num>
  <w:num w:numId="6" w16cid:durableId="1245915366">
    <w:abstractNumId w:val="0"/>
  </w:num>
  <w:num w:numId="7" w16cid:durableId="741101286">
    <w:abstractNumId w:val="5"/>
  </w:num>
  <w:num w:numId="8" w16cid:durableId="1437287475">
    <w:abstractNumId w:val="9"/>
  </w:num>
  <w:num w:numId="9" w16cid:durableId="790515100">
    <w:abstractNumId w:val="1"/>
  </w:num>
  <w:num w:numId="10" w16cid:durableId="7778765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79FA15-BEC0-42E4-87BB-5983F55C3460}"/>
    <w:docVar w:name="dgnword-eventsink" w:val="1658051511504"/>
  </w:docVars>
  <w:rsids>
    <w:rsidRoot w:val="00630B2C"/>
    <w:rsid w:val="00006DE6"/>
    <w:rsid w:val="000402F8"/>
    <w:rsid w:val="0004571B"/>
    <w:rsid w:val="00045C38"/>
    <w:rsid w:val="000469C8"/>
    <w:rsid w:val="00051953"/>
    <w:rsid w:val="0005227A"/>
    <w:rsid w:val="0008402E"/>
    <w:rsid w:val="00084705"/>
    <w:rsid w:val="000A5AE7"/>
    <w:rsid w:val="000B5630"/>
    <w:rsid w:val="000D0D64"/>
    <w:rsid w:val="000D6925"/>
    <w:rsid w:val="000E3579"/>
    <w:rsid w:val="00100656"/>
    <w:rsid w:val="00100C7F"/>
    <w:rsid w:val="00107404"/>
    <w:rsid w:val="001170D2"/>
    <w:rsid w:val="00123DEF"/>
    <w:rsid w:val="00147C98"/>
    <w:rsid w:val="00164138"/>
    <w:rsid w:val="001670FB"/>
    <w:rsid w:val="00174F28"/>
    <w:rsid w:val="00176D48"/>
    <w:rsid w:val="001D0D10"/>
    <w:rsid w:val="002165B5"/>
    <w:rsid w:val="00216FE3"/>
    <w:rsid w:val="0022603C"/>
    <w:rsid w:val="00234BC6"/>
    <w:rsid w:val="00244CA7"/>
    <w:rsid w:val="002A0E94"/>
    <w:rsid w:val="002A5E2B"/>
    <w:rsid w:val="002A77F6"/>
    <w:rsid w:val="002B2C30"/>
    <w:rsid w:val="002C6EC1"/>
    <w:rsid w:val="002C6FC6"/>
    <w:rsid w:val="002D34B2"/>
    <w:rsid w:val="002E2C6B"/>
    <w:rsid w:val="002E4D0A"/>
    <w:rsid w:val="002E4EB9"/>
    <w:rsid w:val="002F4D65"/>
    <w:rsid w:val="0030257A"/>
    <w:rsid w:val="00302EA7"/>
    <w:rsid w:val="00305005"/>
    <w:rsid w:val="00307B44"/>
    <w:rsid w:val="00330998"/>
    <w:rsid w:val="00333E69"/>
    <w:rsid w:val="00336455"/>
    <w:rsid w:val="003652C5"/>
    <w:rsid w:val="003658F4"/>
    <w:rsid w:val="003705DC"/>
    <w:rsid w:val="0038565A"/>
    <w:rsid w:val="003869D5"/>
    <w:rsid w:val="003A0D59"/>
    <w:rsid w:val="003B3540"/>
    <w:rsid w:val="003C2101"/>
    <w:rsid w:val="003D7E86"/>
    <w:rsid w:val="00410B54"/>
    <w:rsid w:val="0043093B"/>
    <w:rsid w:val="00447C7D"/>
    <w:rsid w:val="00447EA5"/>
    <w:rsid w:val="00451D11"/>
    <w:rsid w:val="00491727"/>
    <w:rsid w:val="004939D6"/>
    <w:rsid w:val="004E103C"/>
    <w:rsid w:val="004F5664"/>
    <w:rsid w:val="005358D2"/>
    <w:rsid w:val="005404B0"/>
    <w:rsid w:val="0056677D"/>
    <w:rsid w:val="00566DF2"/>
    <w:rsid w:val="00570D55"/>
    <w:rsid w:val="0057450A"/>
    <w:rsid w:val="00593E76"/>
    <w:rsid w:val="005965EC"/>
    <w:rsid w:val="005A587A"/>
    <w:rsid w:val="006062A3"/>
    <w:rsid w:val="0063019B"/>
    <w:rsid w:val="00630B2C"/>
    <w:rsid w:val="006414F7"/>
    <w:rsid w:val="00672F79"/>
    <w:rsid w:val="00673638"/>
    <w:rsid w:val="006839CB"/>
    <w:rsid w:val="00692D26"/>
    <w:rsid w:val="006B2BCB"/>
    <w:rsid w:val="006B3078"/>
    <w:rsid w:val="006D5652"/>
    <w:rsid w:val="00704721"/>
    <w:rsid w:val="00706A20"/>
    <w:rsid w:val="00712B02"/>
    <w:rsid w:val="00774127"/>
    <w:rsid w:val="00776B48"/>
    <w:rsid w:val="0078427A"/>
    <w:rsid w:val="00793C14"/>
    <w:rsid w:val="00797B1B"/>
    <w:rsid w:val="007A3004"/>
    <w:rsid w:val="007A3B47"/>
    <w:rsid w:val="007B2131"/>
    <w:rsid w:val="007B683D"/>
    <w:rsid w:val="007F7BAA"/>
    <w:rsid w:val="008216D8"/>
    <w:rsid w:val="0082383C"/>
    <w:rsid w:val="00831D3A"/>
    <w:rsid w:val="008352E7"/>
    <w:rsid w:val="00850110"/>
    <w:rsid w:val="00881AD1"/>
    <w:rsid w:val="008859D9"/>
    <w:rsid w:val="008A1A5C"/>
    <w:rsid w:val="008A4356"/>
    <w:rsid w:val="008B0379"/>
    <w:rsid w:val="008B15F6"/>
    <w:rsid w:val="008B4E3D"/>
    <w:rsid w:val="008C20B4"/>
    <w:rsid w:val="008C768D"/>
    <w:rsid w:val="008C7F55"/>
    <w:rsid w:val="008E6BFE"/>
    <w:rsid w:val="00913A57"/>
    <w:rsid w:val="00926696"/>
    <w:rsid w:val="009473C8"/>
    <w:rsid w:val="00953CBB"/>
    <w:rsid w:val="009775DD"/>
    <w:rsid w:val="009800E6"/>
    <w:rsid w:val="009B086D"/>
    <w:rsid w:val="009B67CE"/>
    <w:rsid w:val="009C14BF"/>
    <w:rsid w:val="009D0BC3"/>
    <w:rsid w:val="009F23D1"/>
    <w:rsid w:val="00A22897"/>
    <w:rsid w:val="00A33962"/>
    <w:rsid w:val="00A75C6D"/>
    <w:rsid w:val="00A86CA6"/>
    <w:rsid w:val="00AA12DD"/>
    <w:rsid w:val="00AB2C7D"/>
    <w:rsid w:val="00AB4ABC"/>
    <w:rsid w:val="00AF61B4"/>
    <w:rsid w:val="00B04D31"/>
    <w:rsid w:val="00B10718"/>
    <w:rsid w:val="00B7701D"/>
    <w:rsid w:val="00B917FF"/>
    <w:rsid w:val="00B923B3"/>
    <w:rsid w:val="00BA7AF6"/>
    <w:rsid w:val="00BB602A"/>
    <w:rsid w:val="00BE17A6"/>
    <w:rsid w:val="00BE6C33"/>
    <w:rsid w:val="00C278C2"/>
    <w:rsid w:val="00C6753E"/>
    <w:rsid w:val="00C75770"/>
    <w:rsid w:val="00C76D80"/>
    <w:rsid w:val="00C903E1"/>
    <w:rsid w:val="00CA6037"/>
    <w:rsid w:val="00CB526A"/>
    <w:rsid w:val="00CB7F7D"/>
    <w:rsid w:val="00CC352A"/>
    <w:rsid w:val="00CD0907"/>
    <w:rsid w:val="00CD1A85"/>
    <w:rsid w:val="00CE2033"/>
    <w:rsid w:val="00CE691B"/>
    <w:rsid w:val="00D254BE"/>
    <w:rsid w:val="00D32A6B"/>
    <w:rsid w:val="00D3691F"/>
    <w:rsid w:val="00D36A41"/>
    <w:rsid w:val="00D37F27"/>
    <w:rsid w:val="00D41EE6"/>
    <w:rsid w:val="00D62801"/>
    <w:rsid w:val="00D7318F"/>
    <w:rsid w:val="00D77C16"/>
    <w:rsid w:val="00D81391"/>
    <w:rsid w:val="00D92BD0"/>
    <w:rsid w:val="00DA65F7"/>
    <w:rsid w:val="00DB4543"/>
    <w:rsid w:val="00DC3CD2"/>
    <w:rsid w:val="00DC695F"/>
    <w:rsid w:val="00DD5DE5"/>
    <w:rsid w:val="00DF496A"/>
    <w:rsid w:val="00DF51E2"/>
    <w:rsid w:val="00DF7F2D"/>
    <w:rsid w:val="00E007CE"/>
    <w:rsid w:val="00E03B3A"/>
    <w:rsid w:val="00E17CE6"/>
    <w:rsid w:val="00E40B9D"/>
    <w:rsid w:val="00E4422B"/>
    <w:rsid w:val="00E558E0"/>
    <w:rsid w:val="00E605D6"/>
    <w:rsid w:val="00E60E75"/>
    <w:rsid w:val="00E630D0"/>
    <w:rsid w:val="00E7077A"/>
    <w:rsid w:val="00E9032C"/>
    <w:rsid w:val="00E90D19"/>
    <w:rsid w:val="00E96277"/>
    <w:rsid w:val="00EB2F12"/>
    <w:rsid w:val="00EB3CC5"/>
    <w:rsid w:val="00EC422F"/>
    <w:rsid w:val="00EC4791"/>
    <w:rsid w:val="00EC5DCE"/>
    <w:rsid w:val="00EC79BC"/>
    <w:rsid w:val="00ED1185"/>
    <w:rsid w:val="00ED388E"/>
    <w:rsid w:val="00EE185F"/>
    <w:rsid w:val="00EE3AEA"/>
    <w:rsid w:val="00EE4FBA"/>
    <w:rsid w:val="00F0750F"/>
    <w:rsid w:val="00F153D7"/>
    <w:rsid w:val="00F15D3D"/>
    <w:rsid w:val="00F20E87"/>
    <w:rsid w:val="00F2409D"/>
    <w:rsid w:val="00F2466C"/>
    <w:rsid w:val="00F40F91"/>
    <w:rsid w:val="00F44C9C"/>
    <w:rsid w:val="00F47232"/>
    <w:rsid w:val="00F56F6A"/>
    <w:rsid w:val="00F56F92"/>
    <w:rsid w:val="00F640D6"/>
    <w:rsid w:val="00F67788"/>
    <w:rsid w:val="00F7229D"/>
    <w:rsid w:val="00F72A78"/>
    <w:rsid w:val="00F83822"/>
    <w:rsid w:val="00F92AA4"/>
    <w:rsid w:val="00F96E68"/>
    <w:rsid w:val="00FB1B3F"/>
    <w:rsid w:val="00FE557F"/>
    <w:rsid w:val="00FE792A"/>
    <w:rsid w:val="00FF0E8C"/>
    <w:rsid w:val="00FF1BBB"/>
    <w:rsid w:val="00FF6B3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50"/>
    <o:shapelayout v:ext="edit">
      <o:idmap v:ext="edit" data="2"/>
    </o:shapelayout>
  </w:shapeDefaults>
  <w:decimalSymbol w:val="."/>
  <w:listSeparator w:val=","/>
  <w14:docId w14:val="00913AA7"/>
  <w15:docId w15:val="{6D3BEFC9-2049-4DB2-8F6F-457A2FC6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2C"/>
    <w:pPr>
      <w:spacing w:after="0" w:line="240" w:lineRule="auto"/>
      <w:jc w:val="both"/>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body">
    <w:name w:val="Ms body"/>
    <w:basedOn w:val="Normal"/>
    <w:link w:val="MsbodyChar"/>
    <w:rsid w:val="00630B2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0"/>
    </w:rPr>
  </w:style>
  <w:style w:type="character" w:customStyle="1" w:styleId="MsbodyChar">
    <w:name w:val="Ms body Char"/>
    <w:link w:val="Msbody"/>
    <w:locked/>
    <w:rsid w:val="00630B2C"/>
    <w:rPr>
      <w:rFonts w:ascii="Arial" w:eastAsia="Times New Roman" w:hAnsi="Arial" w:cs="Times New Roman"/>
      <w:sz w:val="20"/>
      <w:szCs w:val="20"/>
    </w:rPr>
  </w:style>
  <w:style w:type="paragraph" w:styleId="BodyText">
    <w:name w:val="Body Text"/>
    <w:basedOn w:val="Normal"/>
    <w:link w:val="BodyTextChar"/>
    <w:rsid w:val="00630B2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lang w:val="en-US"/>
    </w:rPr>
  </w:style>
  <w:style w:type="character" w:customStyle="1" w:styleId="BodyTextChar">
    <w:name w:val="Body Text Char"/>
    <w:basedOn w:val="DefaultParagraphFont"/>
    <w:link w:val="BodyText"/>
    <w:rsid w:val="00630B2C"/>
    <w:rPr>
      <w:rFonts w:ascii="Times New Roman" w:eastAsia="Times New Roman" w:hAnsi="Times New Roman" w:cs="Times New Roman"/>
      <w:sz w:val="23"/>
      <w:szCs w:val="20"/>
      <w:lang w:val="en-US"/>
    </w:rPr>
  </w:style>
  <w:style w:type="paragraph" w:customStyle="1" w:styleId="MSHFBody">
    <w:name w:val="MSHF Body"/>
    <w:basedOn w:val="Normal"/>
    <w:rsid w:val="00630B2C"/>
  </w:style>
  <w:style w:type="paragraph" w:styleId="BalloonText">
    <w:name w:val="Balloon Text"/>
    <w:basedOn w:val="Normal"/>
    <w:link w:val="BalloonTextChar"/>
    <w:uiPriority w:val="99"/>
    <w:semiHidden/>
    <w:unhideWhenUsed/>
    <w:rsid w:val="00630B2C"/>
    <w:rPr>
      <w:rFonts w:ascii="Tahoma" w:hAnsi="Tahoma" w:cs="Tahoma"/>
      <w:sz w:val="16"/>
      <w:szCs w:val="16"/>
    </w:rPr>
  </w:style>
  <w:style w:type="character" w:customStyle="1" w:styleId="BalloonTextChar">
    <w:name w:val="Balloon Text Char"/>
    <w:basedOn w:val="DefaultParagraphFont"/>
    <w:link w:val="BalloonText"/>
    <w:uiPriority w:val="99"/>
    <w:semiHidden/>
    <w:rsid w:val="00630B2C"/>
    <w:rPr>
      <w:rFonts w:ascii="Tahoma" w:eastAsia="Times New Roman" w:hAnsi="Tahoma" w:cs="Tahoma"/>
      <w:sz w:val="16"/>
      <w:szCs w:val="16"/>
    </w:rPr>
  </w:style>
  <w:style w:type="paragraph" w:styleId="ListParagraph">
    <w:name w:val="List Paragraph"/>
    <w:basedOn w:val="Normal"/>
    <w:uiPriority w:val="34"/>
    <w:qFormat/>
    <w:rsid w:val="00630B2C"/>
    <w:pPr>
      <w:ind w:left="720"/>
      <w:contextualSpacing/>
    </w:pPr>
  </w:style>
  <w:style w:type="paragraph" w:styleId="Header">
    <w:name w:val="header"/>
    <w:basedOn w:val="Normal"/>
    <w:link w:val="HeaderChar"/>
    <w:uiPriority w:val="99"/>
    <w:unhideWhenUsed/>
    <w:rsid w:val="00E96277"/>
    <w:pPr>
      <w:tabs>
        <w:tab w:val="center" w:pos="4513"/>
        <w:tab w:val="right" w:pos="9026"/>
      </w:tabs>
    </w:pPr>
  </w:style>
  <w:style w:type="character" w:customStyle="1" w:styleId="HeaderChar">
    <w:name w:val="Header Char"/>
    <w:basedOn w:val="DefaultParagraphFont"/>
    <w:link w:val="Header"/>
    <w:uiPriority w:val="99"/>
    <w:rsid w:val="00E96277"/>
    <w:rPr>
      <w:rFonts w:ascii="Times New Roman" w:eastAsia="Times New Roman" w:hAnsi="Times New Roman" w:cs="Times New Roman"/>
      <w:sz w:val="23"/>
      <w:szCs w:val="20"/>
    </w:rPr>
  </w:style>
  <w:style w:type="paragraph" w:styleId="Footer">
    <w:name w:val="footer"/>
    <w:basedOn w:val="Normal"/>
    <w:link w:val="FooterChar"/>
    <w:uiPriority w:val="99"/>
    <w:unhideWhenUsed/>
    <w:rsid w:val="00E96277"/>
    <w:pPr>
      <w:tabs>
        <w:tab w:val="center" w:pos="4513"/>
        <w:tab w:val="right" w:pos="9026"/>
      </w:tabs>
    </w:pPr>
  </w:style>
  <w:style w:type="character" w:customStyle="1" w:styleId="FooterChar">
    <w:name w:val="Footer Char"/>
    <w:basedOn w:val="DefaultParagraphFont"/>
    <w:link w:val="Footer"/>
    <w:uiPriority w:val="99"/>
    <w:rsid w:val="00E96277"/>
    <w:rPr>
      <w:rFonts w:ascii="Times New Roman" w:eastAsia="Times New Roman" w:hAnsi="Times New Roman" w:cs="Times New Roman"/>
      <w:sz w:val="23"/>
      <w:szCs w:val="20"/>
    </w:rPr>
  </w:style>
  <w:style w:type="paragraph" w:styleId="FootnoteText">
    <w:name w:val="footnote text"/>
    <w:basedOn w:val="Normal"/>
    <w:link w:val="FootnoteTextChar"/>
    <w:uiPriority w:val="99"/>
    <w:semiHidden/>
    <w:unhideWhenUsed/>
    <w:rsid w:val="00AA12DD"/>
    <w:rPr>
      <w:sz w:val="20"/>
    </w:rPr>
  </w:style>
  <w:style w:type="character" w:customStyle="1" w:styleId="FootnoteTextChar">
    <w:name w:val="Footnote Text Char"/>
    <w:basedOn w:val="DefaultParagraphFont"/>
    <w:link w:val="FootnoteText"/>
    <w:uiPriority w:val="99"/>
    <w:semiHidden/>
    <w:rsid w:val="00AA12D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12DD"/>
    <w:rPr>
      <w:vertAlign w:val="superscript"/>
    </w:rPr>
  </w:style>
  <w:style w:type="paragraph" w:styleId="Revision">
    <w:name w:val="Revision"/>
    <w:hidden/>
    <w:uiPriority w:val="99"/>
    <w:semiHidden/>
    <w:rsid w:val="000E3579"/>
    <w:pPr>
      <w:spacing w:after="0" w:line="240" w:lineRule="auto"/>
    </w:pPr>
    <w:rPr>
      <w:rFonts w:ascii="Times New Roman" w:eastAsia="Times New Roman" w:hAnsi="Times New Roman" w:cs="Times New Roman"/>
      <w:sz w:val="23"/>
      <w:szCs w:val="20"/>
    </w:rPr>
  </w:style>
  <w:style w:type="character" w:styleId="CommentReference">
    <w:name w:val="annotation reference"/>
    <w:basedOn w:val="DefaultParagraphFont"/>
    <w:uiPriority w:val="99"/>
    <w:semiHidden/>
    <w:unhideWhenUsed/>
    <w:rsid w:val="00926696"/>
    <w:rPr>
      <w:sz w:val="16"/>
      <w:szCs w:val="16"/>
    </w:rPr>
  </w:style>
  <w:style w:type="paragraph" w:styleId="CommentText">
    <w:name w:val="annotation text"/>
    <w:basedOn w:val="Normal"/>
    <w:link w:val="CommentTextChar"/>
    <w:uiPriority w:val="99"/>
    <w:unhideWhenUsed/>
    <w:rsid w:val="00926696"/>
    <w:rPr>
      <w:sz w:val="20"/>
    </w:rPr>
  </w:style>
  <w:style w:type="character" w:customStyle="1" w:styleId="CommentTextChar">
    <w:name w:val="Comment Text Char"/>
    <w:basedOn w:val="DefaultParagraphFont"/>
    <w:link w:val="CommentText"/>
    <w:uiPriority w:val="99"/>
    <w:rsid w:val="009266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6696"/>
    <w:rPr>
      <w:b/>
      <w:bCs/>
    </w:rPr>
  </w:style>
  <w:style w:type="character" w:customStyle="1" w:styleId="CommentSubjectChar">
    <w:name w:val="Comment Subject Char"/>
    <w:basedOn w:val="CommentTextChar"/>
    <w:link w:val="CommentSubject"/>
    <w:uiPriority w:val="99"/>
    <w:semiHidden/>
    <w:rsid w:val="0092669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06A20"/>
    <w:rPr>
      <w:color w:val="0000FF" w:themeColor="hyperlink"/>
      <w:u w:val="single"/>
    </w:rPr>
  </w:style>
  <w:style w:type="character" w:styleId="UnresolvedMention">
    <w:name w:val="Unresolved Mention"/>
    <w:basedOn w:val="DefaultParagraphFont"/>
    <w:uiPriority w:val="99"/>
    <w:semiHidden/>
    <w:unhideWhenUsed/>
    <w:rsid w:val="00706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5A9D81AF7D0945897D1545DAB8AC40" ma:contentTypeVersion="18" ma:contentTypeDescription="Create a new document." ma:contentTypeScope="" ma:versionID="7e633b5e395f17681a9467ccd3376aa7">
  <xsd:schema xmlns:xsd="http://www.w3.org/2001/XMLSchema" xmlns:xs="http://www.w3.org/2001/XMLSchema" xmlns:p="http://schemas.microsoft.com/office/2006/metadata/properties" xmlns:ns2="39ed55d2-3a9f-488e-9f42-badea94ced75" xmlns:ns3="578650bc-d3bd-45ec-8d6b-107bc1020dba" targetNamespace="http://schemas.microsoft.com/office/2006/metadata/properties" ma:root="true" ma:fieldsID="67fc04745be243f5a1b20019e4cb02be" ns2:_="" ns3:_="">
    <xsd:import namespace="39ed55d2-3a9f-488e-9f42-badea94ced75"/>
    <xsd:import namespace="578650bc-d3bd-45ec-8d6b-107bc1020d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d55d2-3a9f-488e-9f42-badea94ce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acf229-91ff-4a8f-a471-366b53c01d1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8650bc-d3bd-45ec-8d6b-107bc1020d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7c4dc9-bc86-4add-a000-f67272469127}" ma:internalName="TaxCatchAll" ma:showField="CatchAllData" ma:web="578650bc-d3bd-45ec-8d6b-107bc1020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78650bc-d3bd-45ec-8d6b-107bc1020dba" xsi:nil="true"/>
    <lcf76f155ced4ddcb4097134ff3c332f xmlns="39ed55d2-3a9f-488e-9f42-badea94ced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ABB640-F591-4AEA-92D2-BB1C7AF517DB}">
  <ds:schemaRefs>
    <ds:schemaRef ds:uri="http://schemas.openxmlformats.org/officeDocument/2006/bibliography"/>
  </ds:schemaRefs>
</ds:datastoreItem>
</file>

<file path=customXml/itemProps2.xml><?xml version="1.0" encoding="utf-8"?>
<ds:datastoreItem xmlns:ds="http://schemas.openxmlformats.org/officeDocument/2006/customXml" ds:itemID="{2F340F23-74F3-4A44-BBF6-602978B2CD10}">
  <ds:schemaRefs>
    <ds:schemaRef ds:uri="http://schemas.microsoft.com/sharepoint/v3/contenttype/forms"/>
  </ds:schemaRefs>
</ds:datastoreItem>
</file>

<file path=customXml/itemProps3.xml><?xml version="1.0" encoding="utf-8"?>
<ds:datastoreItem xmlns:ds="http://schemas.openxmlformats.org/officeDocument/2006/customXml" ds:itemID="{E8256AD6-43E5-41FB-979D-CF48FC562713}"/>
</file>

<file path=customXml/itemProps4.xml><?xml version="1.0" encoding="utf-8"?>
<ds:datastoreItem xmlns:ds="http://schemas.openxmlformats.org/officeDocument/2006/customXml" ds:itemID="{0C068D4E-E446-453D-94D5-30782CE47C7E}">
  <ds:schemaRefs>
    <ds:schemaRef ds:uri="http://schemas.microsoft.com/office/2006/metadata/properties"/>
    <ds:schemaRef ds:uri="http://schemas.microsoft.com/office/infopath/2007/PartnerControls"/>
    <ds:schemaRef ds:uri="70302223-c54b-4550-8ee9-092c6b9c08d4"/>
    <ds:schemaRef ds:uri="149a938d-5178-4880-bee6-c99a533f2b6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Recoupment of company tax losses client letter</vt:lpstr>
    </vt:vector>
  </TitlesOfParts>
  <Company>CPA Australia</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Recoupment of company tax losses client letter</dc:title>
  <dc:subject/>
  <dc:creator>Michelle Webb</dc:creator>
  <cp:keywords>loss recoupment, client letters, capital losses, COT, SBT, continuation of ownership test, same business test</cp:keywords>
  <cp:lastModifiedBy>Neville Birthisel</cp:lastModifiedBy>
  <cp:revision>2</cp:revision>
  <cp:lastPrinted>2019-06-27T07:13:00Z</cp:lastPrinted>
  <dcterms:created xsi:type="dcterms:W3CDTF">2024-06-04T23:12:00Z</dcterms:created>
  <dcterms:modified xsi:type="dcterms:W3CDTF">2024-06-04T23:12:00Z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0x0101008F5A9D81AF7D0945897D1545DAB8AC40</vt:lpwstr>
  </property>
</Properties>
</file>