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5739A2F8" w:rsidR="003E4D00" w:rsidRPr="00734B65" w:rsidRDefault="00805EDD" w:rsidP="00734B65">
      <w:pPr>
        <w:pStyle w:val="Title"/>
      </w:pPr>
      <w:bookmarkStart w:id="0" w:name="_Hlk120616378"/>
      <w:r>
        <w:t>Transfer Pricing Guide</w:t>
      </w:r>
    </w:p>
    <w:p w14:paraId="797E4143" w14:textId="592DF2E9"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even" r:id="rId8"/>
          <w:headerReference w:type="default" r:id="rId9"/>
          <w:footerReference w:type="even" r:id="rId10"/>
          <w:footerReference w:type="default" r:id="rId11"/>
          <w:headerReference w:type="first" r:id="rId12"/>
          <w:footerReference w:type="first" r:id="rId13"/>
          <w:pgSz w:w="11906" w:h="16838" w:code="9"/>
          <w:pgMar w:top="1701" w:right="964" w:bottom="1701" w:left="964" w:header="737" w:footer="680" w:gutter="0"/>
          <w:cols w:space="708"/>
          <w:vAlign w:val="center"/>
          <w:docGrid w:linePitch="360"/>
        </w:sectPr>
      </w:pPr>
    </w:p>
    <w:p w14:paraId="4D4709E9" w14:textId="095977F1" w:rsidR="00836A62" w:rsidRDefault="002B0DD4" w:rsidP="00A45C97">
      <w:pPr>
        <w:pStyle w:val="Heading1"/>
      </w:pPr>
      <w:r>
        <w:lastRenderedPageBreak/>
        <w:t>Transfer Pricing</w:t>
      </w:r>
      <w:r w:rsidR="00836A62">
        <w:t xml:space="preserve"> Guide </w:t>
      </w:r>
      <w:bookmarkStart w:id="1" w:name="_Hlk124511622"/>
    </w:p>
    <w:p w14:paraId="04395139" w14:textId="27B3AE5F" w:rsidR="00836A62" w:rsidRDefault="00836A62" w:rsidP="00836A62">
      <w:r>
        <w:t xml:space="preserve">The information is based on legislation current as </w:t>
      </w:r>
      <w:proofErr w:type="gramStart"/>
      <w:r>
        <w:t>at</w:t>
      </w:r>
      <w:proofErr w:type="gramEnd"/>
      <w:r w:rsidR="00A45C97">
        <w:t xml:space="preserve"> </w:t>
      </w:r>
      <w:r w:rsidR="00640BC5">
        <w:t>30 November 2023</w:t>
      </w:r>
      <w:r w:rsidR="005142BD">
        <w:t>.</w:t>
      </w:r>
      <w:r>
        <w:t xml:space="preserve"> </w:t>
      </w:r>
    </w:p>
    <w:p w14:paraId="28FD5023" w14:textId="77777777" w:rsidR="00836A62" w:rsidRDefault="00836A62" w:rsidP="00836A62">
      <w:pPr>
        <w:rPr>
          <w:b/>
          <w:bCs/>
        </w:rPr>
      </w:pPr>
    </w:p>
    <w:tbl>
      <w:tblPr>
        <w:tblW w:w="0" w:type="auto"/>
        <w:tblInd w:w="108" w:type="dxa"/>
        <w:tblCellMar>
          <w:left w:w="0" w:type="dxa"/>
          <w:right w:w="0" w:type="dxa"/>
        </w:tblCellMar>
        <w:tblLook w:val="04A0" w:firstRow="1" w:lastRow="0" w:firstColumn="1" w:lastColumn="0" w:noHBand="0" w:noVBand="1"/>
      </w:tblPr>
      <w:tblGrid>
        <w:gridCol w:w="1271"/>
        <w:gridCol w:w="626"/>
        <w:gridCol w:w="4313"/>
        <w:gridCol w:w="1316"/>
        <w:gridCol w:w="578"/>
        <w:gridCol w:w="1746"/>
      </w:tblGrid>
      <w:tr w:rsidR="003B59B4" w14:paraId="7E3ACA82" w14:textId="77777777" w:rsidTr="002D2260">
        <w:tc>
          <w:tcPr>
            <w:tcW w:w="1897"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BFA7769" w14:textId="77777777" w:rsidR="003B59B4" w:rsidRDefault="003B59B4" w:rsidP="00044177">
            <w:pPr>
              <w:spacing w:before="0"/>
              <w:contextualSpacing/>
              <w:rPr>
                <w:rFonts w:cs="Arial"/>
                <w:b/>
                <w:bCs/>
                <w:color w:val="FFFFFF" w:themeColor="background1"/>
              </w:rPr>
            </w:pPr>
            <w:r>
              <w:rPr>
                <w:rFonts w:cs="Arial"/>
                <w:b/>
                <w:bCs/>
                <w:color w:val="FFFFFF" w:themeColor="background1"/>
              </w:rPr>
              <w:t>Document Title</w:t>
            </w:r>
          </w:p>
        </w:tc>
        <w:tc>
          <w:tcPr>
            <w:tcW w:w="4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3E669" w14:textId="28273426" w:rsidR="003B59B4" w:rsidRDefault="003B59B4" w:rsidP="00044177">
            <w:pPr>
              <w:spacing w:before="0" w:after="0"/>
              <w:contextualSpacing/>
              <w:rPr>
                <w:rFonts w:cs="Arial"/>
                <w:color w:val="auto"/>
              </w:rPr>
            </w:pPr>
            <w:r w:rsidRPr="003B59B4">
              <w:rPr>
                <w:rFonts w:cs="Arial"/>
              </w:rPr>
              <w:t>Transfer Pricing Guide</w:t>
            </w:r>
          </w:p>
        </w:tc>
        <w:tc>
          <w:tcPr>
            <w:tcW w:w="1894"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06B403C" w14:textId="77777777" w:rsidR="003B59B4" w:rsidRDefault="003B59B4" w:rsidP="00044177">
            <w:pPr>
              <w:spacing w:before="0" w:after="0"/>
              <w:contextualSpacing/>
              <w:rPr>
                <w:rFonts w:cs="Arial"/>
              </w:rPr>
            </w:pPr>
            <w:r>
              <w:rPr>
                <w:rFonts w:cs="Arial"/>
                <w:b/>
                <w:bCs/>
                <w:color w:val="FFFFFF" w:themeColor="background1"/>
              </w:rPr>
              <w:t>Version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BFB76" w14:textId="3335484E" w:rsidR="003B59B4" w:rsidRDefault="00321C2E" w:rsidP="00044177">
            <w:pPr>
              <w:spacing w:before="0" w:after="0"/>
              <w:contextualSpacing/>
            </w:pPr>
            <w:r>
              <w:t>2</w:t>
            </w:r>
          </w:p>
        </w:tc>
      </w:tr>
      <w:tr w:rsidR="003B59B4" w14:paraId="2B6990AF" w14:textId="77777777" w:rsidTr="002D2260">
        <w:tc>
          <w:tcPr>
            <w:tcW w:w="1897"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077EC1E"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Effective Date</w:t>
            </w:r>
          </w:p>
        </w:tc>
        <w:tc>
          <w:tcPr>
            <w:tcW w:w="7953"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3A9FD5D" w14:textId="44ABDFA1" w:rsidR="003B59B4" w:rsidRDefault="004B730F" w:rsidP="00044177">
            <w:pPr>
              <w:spacing w:before="0" w:after="0"/>
              <w:contextualSpacing/>
              <w:rPr>
                <w:rFonts w:cs="Arial"/>
                <w:color w:val="auto"/>
              </w:rPr>
            </w:pPr>
            <w:r>
              <w:rPr>
                <w:rFonts w:cs="Arial"/>
                <w:color w:val="auto"/>
              </w:rPr>
              <w:t xml:space="preserve">25 </w:t>
            </w:r>
            <w:r w:rsidR="003B59B4">
              <w:rPr>
                <w:rFonts w:cs="Arial"/>
                <w:color w:val="auto"/>
              </w:rPr>
              <w:t xml:space="preserve">January </w:t>
            </w:r>
            <w:r w:rsidR="00321C2E">
              <w:rPr>
                <w:rFonts w:cs="Arial"/>
                <w:color w:val="auto"/>
              </w:rPr>
              <w:t>2024</w:t>
            </w:r>
          </w:p>
        </w:tc>
      </w:tr>
      <w:tr w:rsidR="003B59B4" w14:paraId="01E0692C" w14:textId="77777777" w:rsidTr="002D2260">
        <w:tc>
          <w:tcPr>
            <w:tcW w:w="1271" w:type="dxa"/>
            <w:tcBorders>
              <w:top w:val="single" w:sz="8" w:space="0" w:color="auto"/>
              <w:left w:val="single" w:sz="8" w:space="0" w:color="auto"/>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0BE05063"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Version #</w:t>
            </w:r>
          </w:p>
        </w:tc>
        <w:tc>
          <w:tcPr>
            <w:tcW w:w="6255" w:type="dxa"/>
            <w:gridSpan w:val="3"/>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37788C07"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Change Description</w:t>
            </w:r>
          </w:p>
        </w:tc>
        <w:tc>
          <w:tcPr>
            <w:tcW w:w="2324" w:type="dxa"/>
            <w:gridSpan w:val="2"/>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26A0CCE0" w14:textId="77777777" w:rsidR="003B59B4" w:rsidRDefault="003B59B4" w:rsidP="00044177">
            <w:pPr>
              <w:spacing w:before="0" w:after="0"/>
              <w:contextualSpacing/>
              <w:rPr>
                <w:rFonts w:cs="Arial"/>
                <w:b/>
                <w:bCs/>
                <w:color w:val="FFFFFF" w:themeColor="background1"/>
              </w:rPr>
            </w:pPr>
            <w:r>
              <w:rPr>
                <w:rFonts w:cs="Arial"/>
                <w:b/>
                <w:bCs/>
                <w:color w:val="FFFFFF" w:themeColor="background1"/>
              </w:rPr>
              <w:t>Introduced</w:t>
            </w:r>
          </w:p>
        </w:tc>
      </w:tr>
      <w:tr w:rsidR="003B59B4" w14:paraId="4AEAF0EE" w14:textId="77777777" w:rsidTr="002D2260">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F6E84" w14:textId="77777777" w:rsidR="003B59B4" w:rsidRDefault="003B59B4" w:rsidP="00044177">
            <w:pPr>
              <w:spacing w:before="0" w:after="0"/>
              <w:contextualSpacing/>
              <w:rPr>
                <w:rFonts w:cs="Arial"/>
                <w:color w:val="auto"/>
              </w:rPr>
            </w:pPr>
            <w:r>
              <w:rPr>
                <w:rFonts w:cs="Arial"/>
              </w:rPr>
              <w:t>1</w:t>
            </w:r>
          </w:p>
        </w:tc>
        <w:tc>
          <w:tcPr>
            <w:tcW w:w="625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F73E7" w14:textId="77777777" w:rsidR="003B59B4" w:rsidRDefault="003B59B4" w:rsidP="00044177">
            <w:pPr>
              <w:spacing w:before="0" w:after="0"/>
              <w:contextualSpacing/>
              <w:rPr>
                <w:rFonts w:cs="Arial"/>
              </w:rPr>
            </w:pPr>
            <w:r>
              <w:rPr>
                <w:rFonts w:cs="Arial"/>
              </w:rPr>
              <w:t>Original document</w:t>
            </w:r>
          </w:p>
        </w:tc>
        <w:tc>
          <w:tcPr>
            <w:tcW w:w="23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E4D5F" w14:textId="4EADCCA5" w:rsidR="003B59B4" w:rsidRDefault="003B59B4" w:rsidP="00044177">
            <w:pPr>
              <w:spacing w:before="0" w:after="0"/>
              <w:contextualSpacing/>
              <w:rPr>
                <w:rFonts w:cs="Arial"/>
              </w:rPr>
            </w:pPr>
            <w:r>
              <w:rPr>
                <w:rFonts w:cs="Arial"/>
              </w:rPr>
              <w:t>January 2023</w:t>
            </w:r>
          </w:p>
        </w:tc>
      </w:tr>
      <w:tr w:rsidR="002D2260" w14:paraId="413B486E" w14:textId="77777777" w:rsidTr="002D2260">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E9FD9" w14:textId="718DA7A1" w:rsidR="002D2260" w:rsidRDefault="002D2260" w:rsidP="00044177">
            <w:pPr>
              <w:spacing w:before="0" w:after="0"/>
              <w:contextualSpacing/>
              <w:rPr>
                <w:rFonts w:cs="Arial"/>
              </w:rPr>
            </w:pPr>
            <w:r>
              <w:rPr>
                <w:rFonts w:cs="Arial"/>
              </w:rPr>
              <w:t>2</w:t>
            </w:r>
          </w:p>
        </w:tc>
        <w:tc>
          <w:tcPr>
            <w:tcW w:w="625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737D9" w14:textId="65F83ECD" w:rsidR="002D2260" w:rsidRDefault="002D2260" w:rsidP="00044177">
            <w:pPr>
              <w:spacing w:before="0" w:after="0"/>
              <w:contextualSpacing/>
              <w:rPr>
                <w:rFonts w:cs="Arial"/>
              </w:rPr>
            </w:pPr>
            <w:r w:rsidRPr="002D2260">
              <w:rPr>
                <w:rFonts w:cs="Arial"/>
              </w:rPr>
              <w:t>Updated for technical currency</w:t>
            </w:r>
          </w:p>
        </w:tc>
        <w:tc>
          <w:tcPr>
            <w:tcW w:w="23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66EF4" w14:textId="252F085D" w:rsidR="002D2260" w:rsidRDefault="002D2260" w:rsidP="00044177">
            <w:pPr>
              <w:spacing w:before="0" w:after="0"/>
              <w:contextualSpacing/>
              <w:rPr>
                <w:rFonts w:cs="Arial"/>
              </w:rPr>
            </w:pPr>
            <w:r w:rsidRPr="002D2260">
              <w:rPr>
                <w:rFonts w:cs="Arial"/>
              </w:rPr>
              <w:t>January 2024</w:t>
            </w:r>
          </w:p>
        </w:tc>
      </w:tr>
    </w:tbl>
    <w:p w14:paraId="5895CB50" w14:textId="77777777" w:rsidR="00836A62" w:rsidRDefault="00836A62" w:rsidP="00836A62">
      <w:pPr>
        <w:rPr>
          <w:b/>
          <w:bCs/>
        </w:rPr>
      </w:pPr>
    </w:p>
    <w:p w14:paraId="227675CF" w14:textId="77777777" w:rsidR="00836A62" w:rsidRDefault="00836A62" w:rsidP="00836A62">
      <w:pPr>
        <w:rPr>
          <w:b/>
          <w:bCs/>
        </w:rPr>
      </w:pPr>
    </w:p>
    <w:p w14:paraId="7A6BEDA8" w14:textId="77777777" w:rsidR="00836A62" w:rsidRDefault="00836A62" w:rsidP="00836A62">
      <w:pPr>
        <w:rPr>
          <w:b/>
          <w:bCs/>
        </w:rPr>
      </w:pPr>
    </w:p>
    <w:p w14:paraId="23AAABBC" w14:textId="77777777" w:rsidR="00836A62" w:rsidRDefault="00836A62" w:rsidP="00836A62">
      <w:pPr>
        <w:rPr>
          <w:b/>
          <w:bCs/>
        </w:rPr>
      </w:pPr>
    </w:p>
    <w:p w14:paraId="09DD465F" w14:textId="3E6A9F44" w:rsidR="00836A62" w:rsidRDefault="00836A62" w:rsidP="00836A62">
      <w:pPr>
        <w:rPr>
          <w:b/>
          <w:bCs/>
        </w:rPr>
      </w:pPr>
    </w:p>
    <w:p w14:paraId="1B6CD962" w14:textId="0977A8AA" w:rsidR="005142BD" w:rsidRDefault="005142BD" w:rsidP="00836A62">
      <w:pPr>
        <w:rPr>
          <w:b/>
          <w:bCs/>
        </w:rPr>
      </w:pPr>
    </w:p>
    <w:p w14:paraId="4E8E24E6" w14:textId="03476E80" w:rsidR="005142BD" w:rsidRDefault="005142BD" w:rsidP="00836A62">
      <w:pPr>
        <w:rPr>
          <w:b/>
          <w:bCs/>
        </w:rPr>
      </w:pPr>
    </w:p>
    <w:p w14:paraId="6666DDF8" w14:textId="281B24D3" w:rsidR="005142BD" w:rsidRDefault="005142BD" w:rsidP="00836A62">
      <w:pPr>
        <w:rPr>
          <w:b/>
          <w:bCs/>
        </w:rPr>
      </w:pPr>
    </w:p>
    <w:p w14:paraId="3460684D" w14:textId="503152D3" w:rsidR="005142BD" w:rsidRDefault="005142BD" w:rsidP="00836A62">
      <w:pPr>
        <w:rPr>
          <w:b/>
          <w:bCs/>
        </w:rPr>
      </w:pPr>
    </w:p>
    <w:p w14:paraId="0F4347F7" w14:textId="33BE2355" w:rsidR="005142BD" w:rsidRDefault="005142BD" w:rsidP="00836A62">
      <w:pPr>
        <w:rPr>
          <w:b/>
          <w:bCs/>
        </w:rPr>
      </w:pPr>
    </w:p>
    <w:p w14:paraId="205E4447" w14:textId="7DF13943" w:rsidR="005142BD" w:rsidRDefault="005142BD" w:rsidP="00836A62">
      <w:pPr>
        <w:rPr>
          <w:b/>
          <w:bCs/>
        </w:rPr>
      </w:pPr>
    </w:p>
    <w:p w14:paraId="2A2EAA7D" w14:textId="575679B9" w:rsidR="005142BD" w:rsidRDefault="005142BD" w:rsidP="00836A62">
      <w:pPr>
        <w:rPr>
          <w:b/>
          <w:bCs/>
        </w:rPr>
      </w:pPr>
    </w:p>
    <w:p w14:paraId="2B889F80" w14:textId="46497779" w:rsidR="005142BD" w:rsidRDefault="005142BD" w:rsidP="00836A62">
      <w:pPr>
        <w:rPr>
          <w:b/>
          <w:bCs/>
        </w:rPr>
      </w:pPr>
    </w:p>
    <w:p w14:paraId="0B792A70" w14:textId="63B02BD4" w:rsidR="005142BD" w:rsidRDefault="005142BD" w:rsidP="00836A62">
      <w:pPr>
        <w:rPr>
          <w:b/>
          <w:bCs/>
        </w:rPr>
      </w:pPr>
    </w:p>
    <w:p w14:paraId="788E3E27" w14:textId="603D0EE0" w:rsidR="005142BD" w:rsidRDefault="005142BD" w:rsidP="00836A62">
      <w:pPr>
        <w:rPr>
          <w:b/>
          <w:bCs/>
        </w:rPr>
      </w:pPr>
    </w:p>
    <w:p w14:paraId="7940719A" w14:textId="77777777" w:rsidR="005142BD" w:rsidRDefault="005142BD" w:rsidP="00836A62">
      <w:pPr>
        <w:rPr>
          <w:b/>
          <w:bCs/>
        </w:rPr>
      </w:pPr>
    </w:p>
    <w:p w14:paraId="3B747694" w14:textId="56186FBC" w:rsidR="00836A62" w:rsidRPr="003B59B4" w:rsidRDefault="00836A62" w:rsidP="00836A62">
      <w:pPr>
        <w:rPr>
          <w:b/>
          <w:bCs/>
        </w:rPr>
      </w:pPr>
      <w:r w:rsidRPr="00E664B9">
        <w:rPr>
          <w:b/>
          <w:bCs/>
        </w:rPr>
        <w:t xml:space="preserve">About the author </w:t>
      </w:r>
      <w:r w:rsidR="003B59B4">
        <w:rPr>
          <w:b/>
          <w:bCs/>
        </w:rPr>
        <w:br/>
      </w:r>
      <w:r>
        <w:t xml:space="preserve">This </w:t>
      </w:r>
      <w:r w:rsidR="00F336EF">
        <w:t>guide</w:t>
      </w:r>
      <w:r>
        <w:t xml:space="preserve"> was prepared by Baker Tilly Staples Rodway on behalf of </w:t>
      </w:r>
      <w:r w:rsidRPr="00E44A67">
        <w:t>CPA Australia</w:t>
      </w:r>
      <w:r>
        <w:t>.</w:t>
      </w:r>
    </w:p>
    <w:p w14:paraId="7DF5EDFE" w14:textId="77777777" w:rsidR="00836A62" w:rsidRPr="00C90867" w:rsidRDefault="00836A62" w:rsidP="00836A62">
      <w:pPr>
        <w:rPr>
          <w:sz w:val="17"/>
          <w:szCs w:val="17"/>
        </w:rPr>
      </w:pPr>
    </w:p>
    <w:p w14:paraId="5ADC967A" w14:textId="71802A56" w:rsidR="00836A62" w:rsidRPr="003B59B4" w:rsidRDefault="00836A62" w:rsidP="00F336EF">
      <w:pPr>
        <w:rPr>
          <w:b/>
          <w:bCs/>
        </w:rPr>
      </w:pPr>
      <w:r w:rsidRPr="00E664B9">
        <w:rPr>
          <w:b/>
          <w:bCs/>
        </w:rPr>
        <w:t>Disclaimer</w:t>
      </w:r>
      <w:r w:rsidR="003B59B4">
        <w:rPr>
          <w:b/>
          <w:bCs/>
        </w:rPr>
        <w:br/>
      </w:r>
      <w:r w:rsidRPr="00E664B9">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E664B9">
        <w:t>viewers</w:t>
      </w:r>
      <w:proofErr w:type="gramEnd"/>
      <w:r w:rsidRPr="00E664B9">
        <w:t xml:space="preserve"> and users are advised to undertake their own research or to seek professional advice to keep abreast of any reforms and developments in the law. To the extent permitted by applicable law, CPA Australia, its employees, </w:t>
      </w:r>
      <w:proofErr w:type="gramStart"/>
      <w:r w:rsidRPr="00E664B9">
        <w:t>agents</w:t>
      </w:r>
      <w:proofErr w:type="gramEnd"/>
      <w:r w:rsidRPr="00E664B9">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bookmarkEnd w:id="1"/>
    <w:p w14:paraId="7209F785" w14:textId="414ED998" w:rsidR="00805EDD" w:rsidRPr="00F2646E" w:rsidRDefault="00805EDD" w:rsidP="00836A62">
      <w:pPr>
        <w:pStyle w:val="Heading1"/>
      </w:pPr>
      <w:r w:rsidRPr="00F2646E">
        <w:lastRenderedPageBreak/>
        <w:t xml:space="preserve">What is </w:t>
      </w:r>
      <w:r w:rsidR="008D1EB3">
        <w:t>T</w:t>
      </w:r>
      <w:r w:rsidRPr="00F2646E">
        <w:t>ransfer Pricing?</w:t>
      </w:r>
    </w:p>
    <w:p w14:paraId="0145BAD2" w14:textId="20BD0DCF" w:rsidR="00805EDD" w:rsidRDefault="00805EDD" w:rsidP="008D1EB3">
      <w:r>
        <w:t xml:space="preserve">New Zealand’s </w:t>
      </w:r>
      <w:r w:rsidR="008D023D">
        <w:t>t</w:t>
      </w:r>
      <w:r w:rsidR="008D023D" w:rsidRPr="003D196E">
        <w:t xml:space="preserve">ransfer </w:t>
      </w:r>
      <w:r w:rsidRPr="003D196E">
        <w:t>pricing rules</w:t>
      </w:r>
      <w:r>
        <w:t xml:space="preserve"> are codified in the Income Tax Act 2007 (</w:t>
      </w:r>
      <w:r w:rsidRPr="00070B05">
        <w:rPr>
          <w:b/>
          <w:bCs/>
        </w:rPr>
        <w:t>the Act</w:t>
      </w:r>
      <w:r>
        <w:t>)</w:t>
      </w:r>
      <w:r>
        <w:rPr>
          <w:rStyle w:val="FootnoteReference"/>
        </w:rPr>
        <w:footnoteReference w:id="2"/>
      </w:r>
      <w:r>
        <w:t>.  Put simply, they</w:t>
      </w:r>
      <w:r w:rsidRPr="003D196E">
        <w:t xml:space="preserve"> require cross-border transactions</w:t>
      </w:r>
      <w:r>
        <w:t xml:space="preserve"> between associated persons</w:t>
      </w:r>
      <w:r w:rsidRPr="003D196E">
        <w:t xml:space="preserve"> to be conducted on an arm’s-length basi</w:t>
      </w:r>
      <w:r>
        <w:t>s.  In turn, this should assist in</w:t>
      </w:r>
      <w:r w:rsidRPr="003D196E">
        <w:t xml:space="preserve"> ensuring t</w:t>
      </w:r>
      <w:r>
        <w:t xml:space="preserve">he assessable income </w:t>
      </w:r>
      <w:r w:rsidRPr="003D196E">
        <w:t xml:space="preserve">reported by </w:t>
      </w:r>
      <w:r>
        <w:t>the New Zealand</w:t>
      </w:r>
      <w:r w:rsidRPr="003D196E">
        <w:t xml:space="preserve"> member of a multinational </w:t>
      </w:r>
      <w:r>
        <w:t>group</w:t>
      </w:r>
      <w:r w:rsidRPr="003D196E">
        <w:t xml:space="preserve"> reflect</w:t>
      </w:r>
      <w:r>
        <w:t>s</w:t>
      </w:r>
      <w:r w:rsidRPr="003D196E">
        <w:t xml:space="preserve"> economic</w:t>
      </w:r>
      <w:r>
        <w:t xml:space="preserve"> reality.</w:t>
      </w:r>
      <w:r w:rsidRPr="003D196E">
        <w:t xml:space="preserve"> </w:t>
      </w:r>
    </w:p>
    <w:p w14:paraId="47ABE542" w14:textId="6AAF2BDF" w:rsidR="00805EDD" w:rsidRDefault="00805EDD" w:rsidP="00805EDD">
      <w:r>
        <w:t>For most CPA Australia members, transfer pricing needs to be considered in respect of the following cross border transactions:</w:t>
      </w:r>
    </w:p>
    <w:p w14:paraId="2886E4ED" w14:textId="77777777" w:rsidR="00805EDD" w:rsidRDefault="00805EDD" w:rsidP="008D1EB3">
      <w:pPr>
        <w:pStyle w:val="ListNumber"/>
        <w:numPr>
          <w:ilvl w:val="0"/>
          <w:numId w:val="35"/>
        </w:numPr>
        <w:ind w:left="993"/>
      </w:pPr>
      <w:r>
        <w:t>loans</w:t>
      </w:r>
    </w:p>
    <w:p w14:paraId="5A092AAB" w14:textId="77777777" w:rsidR="00805EDD" w:rsidRDefault="00805EDD" w:rsidP="008D1EB3">
      <w:pPr>
        <w:pStyle w:val="ListNumber"/>
        <w:numPr>
          <w:ilvl w:val="0"/>
          <w:numId w:val="35"/>
        </w:numPr>
        <w:ind w:left="993"/>
      </w:pPr>
      <w:r>
        <w:t>returns made by overseas owned import distributors</w:t>
      </w:r>
    </w:p>
    <w:p w14:paraId="7044519E" w14:textId="1564C1B7" w:rsidR="00805EDD" w:rsidRDefault="00805EDD" w:rsidP="008D1EB3">
      <w:pPr>
        <w:pStyle w:val="ListNumber"/>
        <w:numPr>
          <w:ilvl w:val="0"/>
          <w:numId w:val="35"/>
        </w:numPr>
        <w:ind w:left="993"/>
      </w:pPr>
      <w:r>
        <w:t>management fees</w:t>
      </w:r>
      <w:r w:rsidR="00C35628">
        <w:t>.</w:t>
      </w:r>
    </w:p>
    <w:p w14:paraId="0BA792AE" w14:textId="77777777" w:rsidR="0073012D" w:rsidRDefault="0073012D" w:rsidP="0073012D">
      <w:pPr>
        <w:pStyle w:val="ListNumber"/>
        <w:numPr>
          <w:ilvl w:val="0"/>
          <w:numId w:val="0"/>
        </w:numPr>
        <w:ind w:left="357" w:hanging="357"/>
      </w:pPr>
    </w:p>
    <w:p w14:paraId="51AF88D7" w14:textId="0B78E098" w:rsidR="008D1EB3" w:rsidRDefault="00805EDD" w:rsidP="00805EDD">
      <w:r>
        <w:t>We comment on each of these below.</w:t>
      </w:r>
    </w:p>
    <w:p w14:paraId="374CE064" w14:textId="77777777" w:rsidR="002B0DD4" w:rsidRDefault="002B0DD4" w:rsidP="00805EDD"/>
    <w:p w14:paraId="492EA2AE" w14:textId="17D27857" w:rsidR="008D1EB3" w:rsidRPr="008D1EB3" w:rsidRDefault="008D1EB3" w:rsidP="00836A62">
      <w:pPr>
        <w:pStyle w:val="Heading2"/>
      </w:pPr>
      <w:r w:rsidRPr="005954B2">
        <w:t>Loans</w:t>
      </w:r>
      <w:r>
        <w:t xml:space="preserve"> &amp; Advances</w:t>
      </w:r>
    </w:p>
    <w:p w14:paraId="01B4A298" w14:textId="67AE6D45" w:rsidR="008D1EB3" w:rsidRDefault="008D1EB3" w:rsidP="008D1EB3">
      <w:r>
        <w:t>The advancing of money (either from or to the non-resident entity) should be conducted on arm’s length terms.  Thus, the issue arises as to what is a sufficient interest rate charge.</w:t>
      </w:r>
    </w:p>
    <w:p w14:paraId="4D9C4AEE" w14:textId="0AA7C031" w:rsidR="008D1EB3" w:rsidRDefault="008D1EB3" w:rsidP="008D1EB3">
      <w:r>
        <w:t>The Act makes a distinction between cross border loans that are under or over $NZ</w:t>
      </w:r>
      <w:r w:rsidR="008D023D">
        <w:t xml:space="preserve"> </w:t>
      </w:r>
      <w:r>
        <w:t>10 million.</w:t>
      </w:r>
    </w:p>
    <w:p w14:paraId="387CC410" w14:textId="32927C08" w:rsidR="008D1EB3" w:rsidRDefault="008D1EB3" w:rsidP="008D1EB3">
      <w:r w:rsidRPr="005954B2">
        <w:t xml:space="preserve">For </w:t>
      </w:r>
      <w:r>
        <w:t xml:space="preserve">loans under $NZ 10 million </w:t>
      </w:r>
      <w:r w:rsidRPr="006D4C8F">
        <w:t>(in aggregate)</w:t>
      </w:r>
      <w:r>
        <w:t>,</w:t>
      </w:r>
      <w:r w:rsidRPr="005954B2">
        <w:t xml:space="preserve"> </w:t>
      </w:r>
      <w:r>
        <w:t>Inland Revenue allow</w:t>
      </w:r>
      <w:r w:rsidR="00A77683">
        <w:t>s</w:t>
      </w:r>
      <w:r>
        <w:t xml:space="preserve"> the New Zealand taxpayer to apply a safe harbour rate.  Inland Revenue</w:t>
      </w:r>
      <w:r w:rsidRPr="005954B2">
        <w:t xml:space="preserve"> currently consider </w:t>
      </w:r>
      <w:r w:rsidR="00AE47A2">
        <w:t xml:space="preserve">175 </w:t>
      </w:r>
      <w:r w:rsidRPr="005954B2">
        <w:t>basis points (</w:t>
      </w:r>
      <w:r w:rsidR="00AE47A2">
        <w:t>1.75</w:t>
      </w:r>
      <w:r w:rsidRPr="005954B2">
        <w:t>%) over the relevant base indicator is broadly indicative of an arm's length rate</w:t>
      </w:r>
      <w:r w:rsidR="003D5E2C">
        <w:rPr>
          <w:rStyle w:val="FootnoteReference"/>
        </w:rPr>
        <w:footnoteReference w:id="3"/>
      </w:r>
      <w:r>
        <w:t>.  This assumes</w:t>
      </w:r>
      <w:r w:rsidRPr="005954B2">
        <w:t xml:space="preserve"> </w:t>
      </w:r>
      <w:r>
        <w:t>that there isn’t already</w:t>
      </w:r>
      <w:r w:rsidRPr="005954B2">
        <w:t xml:space="preserve"> a readily available market rate for </w:t>
      </w:r>
      <w:r>
        <w:t>the</w:t>
      </w:r>
      <w:r w:rsidRPr="005954B2">
        <w:t xml:space="preserve"> debt instrument with similar terms and risk characteristics.</w:t>
      </w:r>
    </w:p>
    <w:p w14:paraId="659CA05F" w14:textId="5AA6ABA8" w:rsidR="008D1EB3" w:rsidRDefault="008D1EB3" w:rsidP="008D1EB3">
      <w:r>
        <w:t>The margin is reviewed on an annual basis by Inland Revenue (therefore, there is a need to ensure the interest rate is reviewed annually).  Historic rates can be found on Inland Revenue’s website</w:t>
      </w:r>
      <w:r>
        <w:rPr>
          <w:rStyle w:val="FootnoteReference"/>
        </w:rPr>
        <w:footnoteReference w:id="4"/>
      </w:r>
      <w:r>
        <w:t>.</w:t>
      </w:r>
    </w:p>
    <w:p w14:paraId="44C156DF" w14:textId="77777777" w:rsidR="008D1EB3" w:rsidRDefault="008D1EB3" w:rsidP="008D1EB3">
      <w:r>
        <w:t xml:space="preserve">For loans </w:t>
      </w:r>
      <w:proofErr w:type="gramStart"/>
      <w:r>
        <w:t>in excess of</w:t>
      </w:r>
      <w:proofErr w:type="gramEnd"/>
      <w:r>
        <w:t xml:space="preserve"> $NZ 10 million, the amount of additional analysis to be undertaken by the New Zealand taxpayer is significantly greater.  </w:t>
      </w:r>
      <w:proofErr w:type="gramStart"/>
      <w:r>
        <w:t>In particular, there</w:t>
      </w:r>
      <w:proofErr w:type="gramEnd"/>
      <w:r>
        <w:t xml:space="preserve"> may be a need to obtain a credit rating and in turn, calculate a rate of interest based on the underlying credit rating. Terms and conditions related to the loan that don’t reflect normal market terms must be ignored.  </w:t>
      </w:r>
    </w:p>
    <w:p w14:paraId="258BA6BC" w14:textId="3AE5E9CA" w:rsidR="008D1EB3" w:rsidRDefault="008D1EB3" w:rsidP="008D1EB3">
      <w:r>
        <w:t>Traditional benchmarking may still be possible when the borrower and lender are considered a low BEPS risk</w:t>
      </w:r>
      <w:r>
        <w:rPr>
          <w:rStyle w:val="FootnoteReference"/>
        </w:rPr>
        <w:footnoteReference w:id="5"/>
      </w:r>
      <w:r>
        <w:t>.  It is strongly recommended that specialist advice is sought for loans exceeding (in aggregate) $NZ 10 million</w:t>
      </w:r>
      <w:r w:rsidR="002B0DD4">
        <w:t>.</w:t>
      </w:r>
    </w:p>
    <w:p w14:paraId="2146BA56" w14:textId="77777777" w:rsidR="002B0DD4" w:rsidRDefault="002B0DD4" w:rsidP="008D1EB3"/>
    <w:p w14:paraId="52BDDD69" w14:textId="2C4FBF73" w:rsidR="008D1EB3" w:rsidRPr="008D1EB3" w:rsidRDefault="008D1EB3" w:rsidP="00836A62">
      <w:pPr>
        <w:pStyle w:val="Heading2"/>
      </w:pPr>
      <w:r w:rsidRPr="007F7562">
        <w:t>Returns made by New Zealand import</w:t>
      </w:r>
      <w:r>
        <w:t xml:space="preserve"> wholesale</w:t>
      </w:r>
      <w:r w:rsidRPr="007F7562">
        <w:t xml:space="preserve"> distributors</w:t>
      </w:r>
    </w:p>
    <w:p w14:paraId="58E3D431" w14:textId="0B3BC4EC" w:rsidR="008D1EB3" w:rsidRDefault="008D1EB3" w:rsidP="007E7E5E">
      <w:r>
        <w:t xml:space="preserve">Inland Revenue have provided a safe harbour that applies to </w:t>
      </w:r>
      <w:proofErr w:type="gramStart"/>
      <w:r>
        <w:t>the majority of</w:t>
      </w:r>
      <w:proofErr w:type="gramEnd"/>
      <w:r>
        <w:t xml:space="preserve"> New Zealand’s import distributors</w:t>
      </w:r>
      <w:r>
        <w:rPr>
          <w:rStyle w:val="FootnoteReference"/>
        </w:rPr>
        <w:footnoteReference w:id="6"/>
      </w:r>
      <w:r>
        <w:t>. Specially, qualifying distributors will be considered a low transfer pricing risk (with no further benchmarking required) if they have</w:t>
      </w:r>
      <w:r w:rsidRPr="008C2305">
        <w:t xml:space="preserve"> a weighted average earnings-before-interest-tax-and-exceptional-items (EBITE) ratio of 3% or greater</w:t>
      </w:r>
      <w:r>
        <w:t xml:space="preserve">.  This assumes </w:t>
      </w:r>
      <w:r w:rsidRPr="008C2305">
        <w:t>the absence of readily available transactional data for</w:t>
      </w:r>
      <w:r>
        <w:t xml:space="preserve"> that </w:t>
      </w:r>
      <w:proofErr w:type="gramStart"/>
      <w:r>
        <w:t>particular taxpayer</w:t>
      </w:r>
      <w:proofErr w:type="gramEnd"/>
      <w:r>
        <w:t xml:space="preserve"> (for example, the existence of </w:t>
      </w:r>
      <w:r w:rsidRPr="008C2305">
        <w:t>comparable market data for distributors operating with similar risk characteristics</w:t>
      </w:r>
      <w:r>
        <w:t>)</w:t>
      </w:r>
      <w:r w:rsidRPr="008C2305">
        <w:t>. </w:t>
      </w:r>
    </w:p>
    <w:p w14:paraId="0EFE35C7" w14:textId="77777777" w:rsidR="00CE34C8" w:rsidRDefault="00CE34C8" w:rsidP="008D1EB3"/>
    <w:p w14:paraId="60D5A7CE" w14:textId="665A7D72" w:rsidR="00CE34C8" w:rsidRDefault="00CE34C8" w:rsidP="00836A62">
      <w:pPr>
        <w:pStyle w:val="Heading2"/>
      </w:pPr>
      <w:proofErr w:type="gramStart"/>
      <w:r w:rsidRPr="00EF1C91">
        <w:t>Service Related</w:t>
      </w:r>
      <w:proofErr w:type="gramEnd"/>
      <w:r w:rsidRPr="00EF1C91">
        <w:t xml:space="preserve"> payments</w:t>
      </w:r>
    </w:p>
    <w:p w14:paraId="562FA0D4" w14:textId="33A6FE6C" w:rsidR="00CE34C8" w:rsidRDefault="00CE34C8" w:rsidP="00CE34C8">
      <w:proofErr w:type="gramStart"/>
      <w:r>
        <w:t>Service related</w:t>
      </w:r>
      <w:proofErr w:type="gramEnd"/>
      <w:r>
        <w:t xml:space="preserve"> payments (including management fees) are a common feature in New Zealand, in particular, where a subsidiary might be highly dependent upon assistance from overseas.  </w:t>
      </w:r>
    </w:p>
    <w:p w14:paraId="4D3C362A" w14:textId="51753074" w:rsidR="00CE34C8" w:rsidRDefault="00CE34C8" w:rsidP="00CE34C8">
      <w:r>
        <w:t xml:space="preserve">To assist taxpayers from a compliance perspective, Inland Revenue have introduced a simplification measure to assist with the charging of </w:t>
      </w:r>
      <w:proofErr w:type="gramStart"/>
      <w:r>
        <w:t>service related</w:t>
      </w:r>
      <w:proofErr w:type="gramEnd"/>
      <w:r>
        <w:t xml:space="preserve"> payments.  Specifically, low value intra-group services can be charged at cost with a 5% margin without the need for additional benchmarking.  There is no $ threshold for applying a 5% margin. </w:t>
      </w:r>
    </w:p>
    <w:p w14:paraId="29207958" w14:textId="27F167E1" w:rsidR="00CE34C8" w:rsidRPr="00517BC7" w:rsidRDefault="00CE34C8" w:rsidP="00CE34C8">
      <w:r>
        <w:t xml:space="preserve">The simplification measure does not apply to all services but rather, those that are considered low value. Specially, </w:t>
      </w:r>
      <w:r w:rsidRPr="00517BC7">
        <w:t>qualifying services</w:t>
      </w:r>
      <w:r>
        <w:t xml:space="preserve"> must meet the following criteria</w:t>
      </w:r>
      <w:r w:rsidRPr="00517BC7">
        <w:t>: </w:t>
      </w:r>
    </w:p>
    <w:p w14:paraId="5DDBEF5F" w14:textId="77777777" w:rsidR="00CE34C8" w:rsidRPr="00517BC7" w:rsidRDefault="00CE34C8" w:rsidP="007E7E5E">
      <w:pPr>
        <w:pStyle w:val="ListBullet"/>
        <w:ind w:left="709"/>
      </w:pPr>
      <w:r w:rsidRPr="00517BC7">
        <w:t>are supportive in nature </w:t>
      </w:r>
    </w:p>
    <w:p w14:paraId="597AF783" w14:textId="77777777" w:rsidR="00CE34C8" w:rsidRPr="00517BC7" w:rsidRDefault="00CE34C8" w:rsidP="007E7E5E">
      <w:pPr>
        <w:pStyle w:val="ListBullet"/>
        <w:ind w:left="709"/>
      </w:pPr>
      <w:r w:rsidRPr="00517BC7">
        <w:t>are not part of the core business activity of the multinational group </w:t>
      </w:r>
    </w:p>
    <w:p w14:paraId="186750AF" w14:textId="61351594" w:rsidR="00CE34C8" w:rsidRDefault="00CE34C8" w:rsidP="00CE34C8">
      <w:pPr>
        <w:pStyle w:val="ListBullet"/>
        <w:ind w:left="709"/>
      </w:pPr>
      <w:r w:rsidRPr="00517BC7">
        <w:t>do not involve unique and valuable intangibles, or the assumption or control of significant risk by the service provider</w:t>
      </w:r>
      <w:r w:rsidR="00EF2DD2">
        <w:t>.</w:t>
      </w:r>
    </w:p>
    <w:p w14:paraId="4C89AE73" w14:textId="77777777" w:rsidR="005142BD" w:rsidRDefault="005142BD" w:rsidP="005142BD">
      <w:pPr>
        <w:pStyle w:val="ListBullet"/>
        <w:numPr>
          <w:ilvl w:val="0"/>
          <w:numId w:val="0"/>
        </w:numPr>
        <w:ind w:left="709"/>
      </w:pPr>
    </w:p>
    <w:p w14:paraId="1880CF3B" w14:textId="4843B1A1" w:rsidR="00CE34C8" w:rsidRPr="00CE34C8" w:rsidRDefault="00CE34C8" w:rsidP="005142BD">
      <w:pPr>
        <w:pStyle w:val="Heading2"/>
      </w:pPr>
      <w:r w:rsidRPr="00B17E5A">
        <w:t>Inland Revenue Checklist</w:t>
      </w:r>
    </w:p>
    <w:p w14:paraId="6C1B1DD0" w14:textId="584C530D" w:rsidR="00CE34C8" w:rsidRDefault="00CE34C8" w:rsidP="00CE34C8">
      <w:r>
        <w:t>The following checklist from Inland Revenue is particularly useful when reviewing related party charges from a transfer pricing perspective:</w:t>
      </w:r>
    </w:p>
    <w:p w14:paraId="6E521998" w14:textId="189DF246" w:rsidR="0073012D" w:rsidRDefault="004B730F" w:rsidP="00CE34C8">
      <w:pPr>
        <w:rPr>
          <w:rStyle w:val="Hyperlink"/>
        </w:rPr>
      </w:pPr>
      <w:hyperlink r:id="rId14" w:history="1">
        <w:r w:rsidR="00CE34C8" w:rsidRPr="00677F73">
          <w:rPr>
            <w:rStyle w:val="Hyperlink"/>
          </w:rPr>
          <w:t>Service charges (ird.govt.nz)</w:t>
        </w:r>
      </w:hyperlink>
    </w:p>
    <w:p w14:paraId="7E641369" w14:textId="77777777" w:rsidR="005142BD" w:rsidRPr="0073012D" w:rsidRDefault="005142BD" w:rsidP="00CE34C8">
      <w:pPr>
        <w:rPr>
          <w:color w:val="0A5CC7" w:themeColor="accent3"/>
          <w:u w:val="single"/>
        </w:rPr>
      </w:pPr>
    </w:p>
    <w:p w14:paraId="14EAAD6E" w14:textId="1DD17153" w:rsidR="00CE34C8" w:rsidRDefault="00CE34C8" w:rsidP="005142BD">
      <w:pPr>
        <w:pStyle w:val="Heading2"/>
      </w:pPr>
      <w:r w:rsidRPr="00BC5A87">
        <w:t>Further Information</w:t>
      </w:r>
    </w:p>
    <w:p w14:paraId="7774766B" w14:textId="0A0C1F25" w:rsidR="008D1EB3" w:rsidRDefault="00CE34C8" w:rsidP="00CE34C8">
      <w:r>
        <w:t>Additional information can be obtained via Inland Revenue’s website</w:t>
      </w:r>
      <w:r>
        <w:rPr>
          <w:rStyle w:val="FootnoteReference"/>
        </w:rPr>
        <w:footnoteReference w:id="7"/>
      </w:r>
      <w:r>
        <w:t xml:space="preserve"> or by contacting a specialist transfer pricing advisor.</w:t>
      </w:r>
      <w:bookmarkEnd w:id="0"/>
    </w:p>
    <w:sectPr w:rsidR="008D1EB3" w:rsidSect="00A16FBB">
      <w:headerReference w:type="default" r:id="rId15"/>
      <w:footerReference w:type="default" r:id="rId1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A0BE" w14:textId="77777777" w:rsidR="00DA2850" w:rsidRDefault="00DA2850" w:rsidP="001D0AFC">
      <w:r>
        <w:separator/>
      </w:r>
    </w:p>
    <w:p w14:paraId="07588E24" w14:textId="77777777" w:rsidR="00DA2850" w:rsidRDefault="00DA2850"/>
    <w:p w14:paraId="6B51AAE1" w14:textId="77777777" w:rsidR="00DA2850" w:rsidRDefault="00DA2850"/>
  </w:endnote>
  <w:endnote w:type="continuationSeparator" w:id="0">
    <w:p w14:paraId="4D4D2BCC" w14:textId="77777777" w:rsidR="00DA2850" w:rsidRDefault="00DA2850" w:rsidP="001D0AFC">
      <w:r>
        <w:continuationSeparator/>
      </w:r>
    </w:p>
    <w:p w14:paraId="24961A50" w14:textId="77777777" w:rsidR="00DA2850" w:rsidRDefault="00DA2850"/>
    <w:p w14:paraId="2D7C2370" w14:textId="77777777" w:rsidR="00DA2850" w:rsidRDefault="00DA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E288" w14:textId="77777777" w:rsidR="00AA399B" w:rsidRDefault="00AA3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FF5" w14:textId="77777777" w:rsidR="00AA399B" w:rsidRDefault="00AA3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D8F1" w14:textId="77777777" w:rsidR="00AA399B" w:rsidRDefault="00AA39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3FF6" w14:textId="77777777" w:rsidR="00DA2850" w:rsidRDefault="00DA2850" w:rsidP="001D0AFC"/>
  </w:footnote>
  <w:footnote w:type="continuationSeparator" w:id="0">
    <w:p w14:paraId="5A113DAA" w14:textId="77777777" w:rsidR="00DA2850" w:rsidRDefault="00DA2850" w:rsidP="001D0AFC"/>
  </w:footnote>
  <w:footnote w:type="continuationNotice" w:id="1">
    <w:p w14:paraId="1BF6D6A3" w14:textId="77777777" w:rsidR="00DA2850" w:rsidRDefault="00DA2850">
      <w:pPr>
        <w:spacing w:before="0" w:after="0"/>
      </w:pPr>
    </w:p>
  </w:footnote>
  <w:footnote w:id="2">
    <w:p w14:paraId="6C686376" w14:textId="1838E927" w:rsidR="00805EDD" w:rsidRPr="008D2976" w:rsidRDefault="00805EDD" w:rsidP="008D2976">
      <w:pPr>
        <w:pStyle w:val="FootnoteText"/>
      </w:pPr>
      <w:r w:rsidRPr="008D2976">
        <w:rPr>
          <w:rStyle w:val="FootnoteReference"/>
          <w:vertAlign w:val="baseline"/>
        </w:rPr>
        <w:footnoteRef/>
      </w:r>
      <w:r w:rsidRPr="008D2976">
        <w:t xml:space="preserve"> Refer sub-parts GB and GC of the Act.</w:t>
      </w:r>
    </w:p>
  </w:footnote>
  <w:footnote w:id="3">
    <w:p w14:paraId="38AD09E9" w14:textId="16EA9984" w:rsidR="003D5E2C" w:rsidRDefault="003D5E2C">
      <w:pPr>
        <w:pStyle w:val="FootnoteText"/>
      </w:pPr>
      <w:r w:rsidRPr="003D5E2C">
        <w:rPr>
          <w:rStyle w:val="FootnoteReference"/>
          <w:vertAlign w:val="baseline"/>
        </w:rPr>
        <w:footnoteRef/>
      </w:r>
      <w:r w:rsidRPr="003D5E2C">
        <w:rPr>
          <w:rStyle w:val="FootnoteReference"/>
          <w:vertAlign w:val="baseline"/>
        </w:rPr>
        <w:t xml:space="preserve"> Inland</w:t>
      </w:r>
      <w:r w:rsidRPr="003D5E2C">
        <w:t xml:space="preserve"> Revenue’s next review for small term loans is scheduled for 30 June 2024.</w:t>
      </w:r>
    </w:p>
  </w:footnote>
  <w:footnote w:id="4">
    <w:p w14:paraId="392E3016" w14:textId="77777777" w:rsidR="008D1EB3" w:rsidRDefault="008D1EB3" w:rsidP="008D2976">
      <w:pPr>
        <w:pStyle w:val="FootnoteText"/>
      </w:pPr>
      <w:r w:rsidRPr="008D2976">
        <w:rPr>
          <w:rStyle w:val="FootnoteReference"/>
          <w:vertAlign w:val="baseline"/>
        </w:rPr>
        <w:footnoteRef/>
      </w:r>
      <w:r w:rsidRPr="008D2976">
        <w:t xml:space="preserve"> </w:t>
      </w:r>
      <w:hyperlink r:id="rId1" w:history="1">
        <w:r w:rsidRPr="008D2976">
          <w:rPr>
            <w:rStyle w:val="Hyperlink"/>
            <w:color w:val="090D46" w:themeColor="text1"/>
            <w:u w:val="none"/>
          </w:rPr>
          <w:t>Simplification measures for transfer pricing (ird.govt.nz)</w:t>
        </w:r>
      </w:hyperlink>
      <w:r>
        <w:t xml:space="preserve"> </w:t>
      </w:r>
    </w:p>
  </w:footnote>
  <w:footnote w:id="5">
    <w:p w14:paraId="7D78A29A" w14:textId="68788EEF" w:rsidR="00CE34C8" w:rsidRDefault="008D1EB3" w:rsidP="00B37B19">
      <w:pPr>
        <w:pStyle w:val="FootnoteText"/>
      </w:pPr>
      <w:r w:rsidRPr="008D2976">
        <w:footnoteRef/>
      </w:r>
      <w:r>
        <w:t xml:space="preserve"> </w:t>
      </w:r>
      <w:r w:rsidR="00B37B19">
        <w:t>For the purpose</w:t>
      </w:r>
      <w:r w:rsidR="008D2976">
        <w:t>s</w:t>
      </w:r>
      <w:r w:rsidR="00B37B19">
        <w:t xml:space="preserve"> of the restricted transfer pricing rules, a New Zealand-resident borrower will be considered a high BEPS risk when at least one of two factors are present.</w:t>
      </w:r>
    </w:p>
    <w:p w14:paraId="4DEB5819" w14:textId="2762FA8E" w:rsidR="00B37B19" w:rsidRDefault="00B37B19" w:rsidP="00B37B19">
      <w:pPr>
        <w:pStyle w:val="FootnoteText"/>
        <w:numPr>
          <w:ilvl w:val="0"/>
          <w:numId w:val="38"/>
        </w:numPr>
      </w:pPr>
      <w:r>
        <w:t xml:space="preserve">It has a high New Zealand group debt percentage. </w:t>
      </w:r>
      <w:r w:rsidR="008D2976">
        <w:t>Generally</w:t>
      </w:r>
      <w:r>
        <w:t>, this is where its debt percentage</w:t>
      </w:r>
      <w:r w:rsidR="008D2976">
        <w:t>, as measured for thin capitalisation purposes is greater than 40%, unless its ratio is within 100% of its world-wide group where relevant.</w:t>
      </w:r>
    </w:p>
    <w:p w14:paraId="2EEAA392" w14:textId="65B3062F" w:rsidR="00945BDA" w:rsidRDefault="008D2976" w:rsidP="00945BDA">
      <w:pPr>
        <w:pStyle w:val="FootnoteText"/>
        <w:numPr>
          <w:ilvl w:val="0"/>
          <w:numId w:val="38"/>
        </w:numPr>
      </w:pPr>
      <w:r>
        <w:t>The borrowing is from a low tax rate jurisdiction that is different from the ultimate parent. That is, a borrowing from a lender resident in a country where the interest is subject to a lower than 15% tax rat</w:t>
      </w:r>
      <w:r w:rsidR="000662ED">
        <w:t xml:space="preserve">e. </w:t>
      </w:r>
    </w:p>
    <w:p w14:paraId="5AA640F0" w14:textId="3A1D4384" w:rsidR="00945BDA" w:rsidRDefault="00945BDA" w:rsidP="002D2260">
      <w:pPr>
        <w:pStyle w:val="FootnoteText"/>
      </w:pPr>
    </w:p>
  </w:footnote>
  <w:footnote w:id="6">
    <w:p w14:paraId="37504DD8" w14:textId="77777777" w:rsidR="008D1EB3" w:rsidRPr="008D2976" w:rsidRDefault="008D1EB3" w:rsidP="008D2976">
      <w:pPr>
        <w:pStyle w:val="FootnoteText"/>
      </w:pPr>
      <w:r w:rsidRPr="008D2976">
        <w:rPr>
          <w:rStyle w:val="FootnoteReference"/>
          <w:vertAlign w:val="baseline"/>
        </w:rPr>
        <w:footnoteRef/>
      </w:r>
      <w:r w:rsidRPr="008D2976">
        <w:t xml:space="preserve"> Overseas owned import distributors with an annual turnover of under $NZ 30 million</w:t>
      </w:r>
    </w:p>
  </w:footnote>
  <w:footnote w:id="7">
    <w:p w14:paraId="0E137B2D" w14:textId="77777777" w:rsidR="00CE34C8" w:rsidRDefault="00CE34C8" w:rsidP="008D2976">
      <w:pPr>
        <w:pStyle w:val="FootnoteText"/>
      </w:pPr>
      <w:r w:rsidRPr="008D2976">
        <w:rPr>
          <w:rStyle w:val="FootnoteReference"/>
          <w:vertAlign w:val="baseline"/>
        </w:rPr>
        <w:footnoteRef/>
      </w:r>
      <w:r w:rsidRPr="008D2976">
        <w:t xml:space="preserve"> https://www.ird.govt.nz/international-tax/business/transfer-pricing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52DE" w14:textId="77777777" w:rsidR="00AA399B" w:rsidRDefault="00AA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CAE5" w14:textId="77777777" w:rsidR="00AA399B" w:rsidRDefault="00AA39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552ECCBC" w:rsidR="003B7348" w:rsidRPr="00693244" w:rsidRDefault="004B730F" w:rsidP="00693244">
    <w:pPr>
      <w:pStyle w:val="Header"/>
    </w:pPr>
    <w:r>
      <w:fldChar w:fldCharType="begin"/>
    </w:r>
    <w:r>
      <w:instrText xml:space="preserve"> STYLEREF  Title  \* MERGEFORMAT </w:instrText>
    </w:r>
    <w:r>
      <w:fldChar w:fldCharType="separate"/>
    </w:r>
    <w:r>
      <w:rPr>
        <w:noProof/>
      </w:rPr>
      <w:t>Transfer Pricing Guide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080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0393E19"/>
    <w:multiLevelType w:val="hybridMultilevel"/>
    <w:tmpl w:val="A8B0E06E"/>
    <w:lvl w:ilvl="0" w:tplc="1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5AB1EC2"/>
    <w:multiLevelType w:val="multilevel"/>
    <w:tmpl w:val="7C868EFC"/>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842265"/>
    <w:multiLevelType w:val="hybridMultilevel"/>
    <w:tmpl w:val="73062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B059FD"/>
    <w:multiLevelType w:val="multilevel"/>
    <w:tmpl w:val="0BD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0" w15:restartNumberingAfterBreak="0">
    <w:nsid w:val="78D60C43"/>
    <w:multiLevelType w:val="hybridMultilevel"/>
    <w:tmpl w:val="5672B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87794570">
    <w:abstractNumId w:val="9"/>
  </w:num>
  <w:num w:numId="2" w16cid:durableId="537400608">
    <w:abstractNumId w:val="9"/>
  </w:num>
  <w:num w:numId="3" w16cid:durableId="716513334">
    <w:abstractNumId w:val="8"/>
  </w:num>
  <w:num w:numId="4" w16cid:durableId="1715345635">
    <w:abstractNumId w:val="8"/>
  </w:num>
  <w:num w:numId="5" w16cid:durableId="2062746613">
    <w:abstractNumId w:val="9"/>
  </w:num>
  <w:num w:numId="6" w16cid:durableId="907223787">
    <w:abstractNumId w:val="8"/>
  </w:num>
  <w:num w:numId="7" w16cid:durableId="465126115">
    <w:abstractNumId w:val="19"/>
  </w:num>
  <w:num w:numId="8" w16cid:durableId="1979721941">
    <w:abstractNumId w:val="7"/>
  </w:num>
  <w:num w:numId="9" w16cid:durableId="1793402802">
    <w:abstractNumId w:val="19"/>
  </w:num>
  <w:num w:numId="10" w16cid:durableId="955912695">
    <w:abstractNumId w:val="6"/>
  </w:num>
  <w:num w:numId="11" w16cid:durableId="818113961">
    <w:abstractNumId w:val="19"/>
  </w:num>
  <w:num w:numId="12" w16cid:durableId="268705034">
    <w:abstractNumId w:val="5"/>
  </w:num>
  <w:num w:numId="13" w16cid:durableId="1951161532">
    <w:abstractNumId w:val="19"/>
  </w:num>
  <w:num w:numId="14" w16cid:durableId="924414156">
    <w:abstractNumId w:val="4"/>
  </w:num>
  <w:num w:numId="15" w16cid:durableId="2047870221">
    <w:abstractNumId w:val="19"/>
  </w:num>
  <w:num w:numId="16" w16cid:durableId="491290616">
    <w:abstractNumId w:val="17"/>
  </w:num>
  <w:num w:numId="17" w16cid:durableId="1018890789">
    <w:abstractNumId w:val="3"/>
  </w:num>
  <w:num w:numId="18" w16cid:durableId="1444808408">
    <w:abstractNumId w:val="17"/>
  </w:num>
  <w:num w:numId="19" w16cid:durableId="1272786029">
    <w:abstractNumId w:val="2"/>
  </w:num>
  <w:num w:numId="20" w16cid:durableId="1877960435">
    <w:abstractNumId w:val="17"/>
  </w:num>
  <w:num w:numId="21" w16cid:durableId="230504923">
    <w:abstractNumId w:val="1"/>
  </w:num>
  <w:num w:numId="22" w16cid:durableId="94206206">
    <w:abstractNumId w:val="17"/>
  </w:num>
  <w:num w:numId="23" w16cid:durableId="1005940609">
    <w:abstractNumId w:val="0"/>
  </w:num>
  <w:num w:numId="24" w16cid:durableId="647249101">
    <w:abstractNumId w:val="17"/>
  </w:num>
  <w:num w:numId="25" w16cid:durableId="1746955189">
    <w:abstractNumId w:val="12"/>
  </w:num>
  <w:num w:numId="26" w16cid:durableId="337201672">
    <w:abstractNumId w:val="11"/>
  </w:num>
  <w:num w:numId="27" w16cid:durableId="1966230656">
    <w:abstractNumId w:val="18"/>
  </w:num>
  <w:num w:numId="28" w16cid:durableId="320237629">
    <w:abstractNumId w:val="19"/>
  </w:num>
  <w:num w:numId="29" w16cid:durableId="1971477566">
    <w:abstractNumId w:val="19"/>
  </w:num>
  <w:num w:numId="30" w16cid:durableId="2018922965">
    <w:abstractNumId w:val="19"/>
  </w:num>
  <w:num w:numId="31" w16cid:durableId="294530610">
    <w:abstractNumId w:val="19"/>
  </w:num>
  <w:num w:numId="32" w16cid:durableId="1086077570">
    <w:abstractNumId w:val="19"/>
  </w:num>
  <w:num w:numId="33" w16cid:durableId="903956152">
    <w:abstractNumId w:val="16"/>
  </w:num>
  <w:num w:numId="34" w16cid:durableId="874660061">
    <w:abstractNumId w:val="10"/>
  </w:num>
  <w:num w:numId="35" w16cid:durableId="1520315157">
    <w:abstractNumId w:val="13"/>
  </w:num>
  <w:num w:numId="36" w16cid:durableId="1753504093">
    <w:abstractNumId w:val="20"/>
  </w:num>
  <w:num w:numId="37" w16cid:durableId="744886988">
    <w:abstractNumId w:val="15"/>
  </w:num>
  <w:num w:numId="38" w16cid:durableId="14418752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62ED"/>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73CA"/>
    <w:rsid w:val="00176A5E"/>
    <w:rsid w:val="00191178"/>
    <w:rsid w:val="00192329"/>
    <w:rsid w:val="00193699"/>
    <w:rsid w:val="00197C0E"/>
    <w:rsid w:val="00197E66"/>
    <w:rsid w:val="001A03FE"/>
    <w:rsid w:val="001A1669"/>
    <w:rsid w:val="001B026B"/>
    <w:rsid w:val="001B3928"/>
    <w:rsid w:val="001B7FA1"/>
    <w:rsid w:val="001C3D1B"/>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0DD4"/>
    <w:rsid w:val="002B16A7"/>
    <w:rsid w:val="002C2485"/>
    <w:rsid w:val="002C2769"/>
    <w:rsid w:val="002C2E1B"/>
    <w:rsid w:val="002D2260"/>
    <w:rsid w:val="002D62CE"/>
    <w:rsid w:val="002D7462"/>
    <w:rsid w:val="002E038B"/>
    <w:rsid w:val="002E1998"/>
    <w:rsid w:val="002E41A9"/>
    <w:rsid w:val="002E76B8"/>
    <w:rsid w:val="002E7DDC"/>
    <w:rsid w:val="002F2993"/>
    <w:rsid w:val="002F3404"/>
    <w:rsid w:val="002F6357"/>
    <w:rsid w:val="002F6F32"/>
    <w:rsid w:val="003004FA"/>
    <w:rsid w:val="00321C2E"/>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A0ACF"/>
    <w:rsid w:val="003A68CB"/>
    <w:rsid w:val="003B075A"/>
    <w:rsid w:val="003B551F"/>
    <w:rsid w:val="003B59B4"/>
    <w:rsid w:val="003B5FE6"/>
    <w:rsid w:val="003B7348"/>
    <w:rsid w:val="003D5D9E"/>
    <w:rsid w:val="003D5E2C"/>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37635"/>
    <w:rsid w:val="0044217F"/>
    <w:rsid w:val="00442A73"/>
    <w:rsid w:val="004624F7"/>
    <w:rsid w:val="004642D9"/>
    <w:rsid w:val="00466FF8"/>
    <w:rsid w:val="00467CE7"/>
    <w:rsid w:val="0047693B"/>
    <w:rsid w:val="00493C7F"/>
    <w:rsid w:val="00497959"/>
    <w:rsid w:val="004A0ED4"/>
    <w:rsid w:val="004A58E5"/>
    <w:rsid w:val="004A6A7C"/>
    <w:rsid w:val="004B730F"/>
    <w:rsid w:val="004C6084"/>
    <w:rsid w:val="004C768A"/>
    <w:rsid w:val="004E1DA0"/>
    <w:rsid w:val="004E57BF"/>
    <w:rsid w:val="004E691F"/>
    <w:rsid w:val="004F16FA"/>
    <w:rsid w:val="00500A1E"/>
    <w:rsid w:val="005060FF"/>
    <w:rsid w:val="00507DED"/>
    <w:rsid w:val="00512BE7"/>
    <w:rsid w:val="005138A5"/>
    <w:rsid w:val="005142BD"/>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0BC5"/>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012D"/>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847D5"/>
    <w:rsid w:val="0079323F"/>
    <w:rsid w:val="007A4AB4"/>
    <w:rsid w:val="007A63DD"/>
    <w:rsid w:val="007B5FB6"/>
    <w:rsid w:val="007B730B"/>
    <w:rsid w:val="007C68A4"/>
    <w:rsid w:val="007C7CAA"/>
    <w:rsid w:val="007D0908"/>
    <w:rsid w:val="007D1CC1"/>
    <w:rsid w:val="007D2303"/>
    <w:rsid w:val="007D287B"/>
    <w:rsid w:val="007D4414"/>
    <w:rsid w:val="007D7746"/>
    <w:rsid w:val="007E5E09"/>
    <w:rsid w:val="007E7E5E"/>
    <w:rsid w:val="007F11CC"/>
    <w:rsid w:val="007F1387"/>
    <w:rsid w:val="00803042"/>
    <w:rsid w:val="008038AA"/>
    <w:rsid w:val="00805838"/>
    <w:rsid w:val="00805EDD"/>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36A62"/>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023D"/>
    <w:rsid w:val="008D1C45"/>
    <w:rsid w:val="008D1EB3"/>
    <w:rsid w:val="008D2976"/>
    <w:rsid w:val="008D7966"/>
    <w:rsid w:val="008E0BDC"/>
    <w:rsid w:val="008E2748"/>
    <w:rsid w:val="009042B2"/>
    <w:rsid w:val="009173AC"/>
    <w:rsid w:val="009322DD"/>
    <w:rsid w:val="00932857"/>
    <w:rsid w:val="0093688A"/>
    <w:rsid w:val="00945BD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97"/>
    <w:rsid w:val="00A45CA9"/>
    <w:rsid w:val="00A474EB"/>
    <w:rsid w:val="00A554CC"/>
    <w:rsid w:val="00A60798"/>
    <w:rsid w:val="00A61353"/>
    <w:rsid w:val="00A637AD"/>
    <w:rsid w:val="00A640ED"/>
    <w:rsid w:val="00A72917"/>
    <w:rsid w:val="00A738DB"/>
    <w:rsid w:val="00A76331"/>
    <w:rsid w:val="00A77683"/>
    <w:rsid w:val="00A80C22"/>
    <w:rsid w:val="00A83619"/>
    <w:rsid w:val="00A852B5"/>
    <w:rsid w:val="00A856E6"/>
    <w:rsid w:val="00A91389"/>
    <w:rsid w:val="00A96F4F"/>
    <w:rsid w:val="00A97EE7"/>
    <w:rsid w:val="00AA399B"/>
    <w:rsid w:val="00AB0D0F"/>
    <w:rsid w:val="00AB3114"/>
    <w:rsid w:val="00AB3E03"/>
    <w:rsid w:val="00AC2041"/>
    <w:rsid w:val="00AD16EE"/>
    <w:rsid w:val="00AD374F"/>
    <w:rsid w:val="00AE47A2"/>
    <w:rsid w:val="00AE5EDF"/>
    <w:rsid w:val="00AE6670"/>
    <w:rsid w:val="00AF74B0"/>
    <w:rsid w:val="00B0201E"/>
    <w:rsid w:val="00B0751F"/>
    <w:rsid w:val="00B17487"/>
    <w:rsid w:val="00B23442"/>
    <w:rsid w:val="00B36484"/>
    <w:rsid w:val="00B37B19"/>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3AEC"/>
    <w:rsid w:val="00BD5D57"/>
    <w:rsid w:val="00BE29D9"/>
    <w:rsid w:val="00BE2DF2"/>
    <w:rsid w:val="00BE6AD3"/>
    <w:rsid w:val="00BF2A1B"/>
    <w:rsid w:val="00BF34A4"/>
    <w:rsid w:val="00BF4A9C"/>
    <w:rsid w:val="00C042AF"/>
    <w:rsid w:val="00C10D9D"/>
    <w:rsid w:val="00C115C2"/>
    <w:rsid w:val="00C1257C"/>
    <w:rsid w:val="00C213C2"/>
    <w:rsid w:val="00C23CC0"/>
    <w:rsid w:val="00C24FE9"/>
    <w:rsid w:val="00C328CC"/>
    <w:rsid w:val="00C33F20"/>
    <w:rsid w:val="00C35628"/>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4C8"/>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0489"/>
    <w:rsid w:val="00D56DE4"/>
    <w:rsid w:val="00D63855"/>
    <w:rsid w:val="00D67892"/>
    <w:rsid w:val="00D7119E"/>
    <w:rsid w:val="00D76340"/>
    <w:rsid w:val="00D85656"/>
    <w:rsid w:val="00D97F78"/>
    <w:rsid w:val="00DA0378"/>
    <w:rsid w:val="00DA2850"/>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EF2DD2"/>
    <w:rsid w:val="00F07E01"/>
    <w:rsid w:val="00F12B0C"/>
    <w:rsid w:val="00F135E4"/>
    <w:rsid w:val="00F15375"/>
    <w:rsid w:val="00F15CD5"/>
    <w:rsid w:val="00F16393"/>
    <w:rsid w:val="00F20C42"/>
    <w:rsid w:val="00F21764"/>
    <w:rsid w:val="00F336EF"/>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B72D9"/>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semiHidden/>
    <w:unhideWhenUsed/>
    <w:rsid w:val="00C5647F"/>
    <w:rPr>
      <w:vertAlign w:val="superscript"/>
    </w:rPr>
  </w:style>
  <w:style w:type="paragraph" w:styleId="FootnoteText">
    <w:name w:val="footnote text"/>
    <w:basedOn w:val="Normal"/>
    <w:link w:val="FootnoteTextChar"/>
    <w:qFormat/>
    <w:rsid w:val="005447DF"/>
    <w:pPr>
      <w:spacing w:before="160" w:after="0"/>
      <w:contextualSpacing/>
    </w:pPr>
    <w:rPr>
      <w:sz w:val="18"/>
    </w:rPr>
  </w:style>
  <w:style w:type="character" w:customStyle="1" w:styleId="FootnoteTextChar">
    <w:name w:val="Footnote Text Char"/>
    <w:basedOn w:val="DefaultParagraphFont"/>
    <w:link w:val="FootnoteText"/>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805EDD"/>
    <w:pPr>
      <w:spacing w:before="0" w:after="0"/>
      <w:ind w:left="720"/>
      <w:contextualSpacing/>
      <w:jc w:val="both"/>
    </w:pPr>
    <w:rPr>
      <w:rFonts w:ascii="Verdana" w:hAnsi="Verdana"/>
      <w:color w:val="auto"/>
      <w:sz w:val="20"/>
      <w:szCs w:val="24"/>
      <w:lang w:val="en-NZ"/>
    </w:rPr>
  </w:style>
  <w:style w:type="paragraph" w:styleId="Revision">
    <w:name w:val="Revision"/>
    <w:hidden/>
    <w:uiPriority w:val="99"/>
    <w:semiHidden/>
    <w:rsid w:val="008D023D"/>
    <w:pPr>
      <w:spacing w:before="0" w:after="0"/>
    </w:pPr>
  </w:style>
  <w:style w:type="character" w:styleId="CommentReference">
    <w:name w:val="annotation reference"/>
    <w:basedOn w:val="DefaultParagraphFont"/>
    <w:uiPriority w:val="99"/>
    <w:semiHidden/>
    <w:unhideWhenUsed/>
    <w:rsid w:val="00836A62"/>
    <w:rPr>
      <w:sz w:val="16"/>
      <w:szCs w:val="16"/>
    </w:rPr>
  </w:style>
  <w:style w:type="paragraph" w:styleId="CommentText">
    <w:name w:val="annotation text"/>
    <w:basedOn w:val="Normal"/>
    <w:link w:val="CommentTextChar"/>
    <w:uiPriority w:val="99"/>
    <w:semiHidden/>
    <w:unhideWhenUsed/>
    <w:rsid w:val="00836A62"/>
    <w:rPr>
      <w:sz w:val="20"/>
      <w:szCs w:val="20"/>
    </w:rPr>
  </w:style>
  <w:style w:type="character" w:customStyle="1" w:styleId="CommentTextChar">
    <w:name w:val="Comment Text Char"/>
    <w:basedOn w:val="DefaultParagraphFont"/>
    <w:link w:val="CommentText"/>
    <w:uiPriority w:val="99"/>
    <w:semiHidden/>
    <w:rsid w:val="00836A62"/>
    <w:rPr>
      <w:sz w:val="20"/>
      <w:szCs w:val="20"/>
    </w:rPr>
  </w:style>
  <w:style w:type="paragraph" w:styleId="CommentSubject">
    <w:name w:val="annotation subject"/>
    <w:basedOn w:val="CommentText"/>
    <w:next w:val="CommentText"/>
    <w:link w:val="CommentSubjectChar"/>
    <w:uiPriority w:val="99"/>
    <w:semiHidden/>
    <w:unhideWhenUsed/>
    <w:rsid w:val="00836A62"/>
    <w:rPr>
      <w:b/>
      <w:bCs/>
    </w:rPr>
  </w:style>
  <w:style w:type="character" w:customStyle="1" w:styleId="CommentSubjectChar">
    <w:name w:val="Comment Subject Char"/>
    <w:basedOn w:val="CommentTextChar"/>
    <w:link w:val="CommentSubject"/>
    <w:uiPriority w:val="99"/>
    <w:semiHidden/>
    <w:rsid w:val="00836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rd.govt.nz/international-tax/business/transfer-pricing/practice-issues/service-charge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international-tax/business/transfer-pricing/simplification-meas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6</cp:revision>
  <dcterms:created xsi:type="dcterms:W3CDTF">2023-12-18T23:58:00Z</dcterms:created>
  <dcterms:modified xsi:type="dcterms:W3CDTF">2024-01-24T07:44:00Z</dcterms:modified>
</cp:coreProperties>
</file>