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22C1F58D" w:rsidR="003E4D00" w:rsidRPr="00734B65" w:rsidRDefault="00116DD4" w:rsidP="00734B65">
      <w:pPr>
        <w:pStyle w:val="Title"/>
      </w:pPr>
      <w:r>
        <w:t xml:space="preserve">2024 </w:t>
      </w:r>
      <w:r w:rsidR="00341942">
        <w:t xml:space="preserve">Tax </w:t>
      </w:r>
      <w:r w:rsidR="00437E98">
        <w:t>Guide</w:t>
      </w:r>
    </w:p>
    <w:p w14:paraId="797E4143" w14:textId="05F5EF1A" w:rsidR="006B0C33" w:rsidRDefault="00341942" w:rsidP="005446A8">
      <w:pPr>
        <w:pStyle w:val="Subtitle"/>
      </w:pPr>
      <w:r>
        <w:t xml:space="preserve">New Issues </w:t>
      </w:r>
      <w:r w:rsidR="00314869">
        <w:t>a</w:t>
      </w:r>
      <w:r>
        <w:t xml:space="preserve">rising in </w:t>
      </w:r>
      <w:r w:rsidR="00116DD4">
        <w:t>2024</w:t>
      </w: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2692FB6B" w14:textId="7969B659" w:rsidR="007D0908" w:rsidRDefault="00116DD4" w:rsidP="00341942">
      <w:pPr>
        <w:pStyle w:val="Heading1"/>
      </w:pPr>
      <w:r>
        <w:lastRenderedPageBreak/>
        <w:t xml:space="preserve">2024 </w:t>
      </w:r>
      <w:r w:rsidR="00082918">
        <w:t xml:space="preserve">Tax Guide / </w:t>
      </w:r>
      <w:r w:rsidR="00164D20">
        <w:t xml:space="preserve">New </w:t>
      </w:r>
      <w:r w:rsidR="00377435">
        <w:t>I</w:t>
      </w:r>
      <w:r w:rsidR="00164D20">
        <w:t xml:space="preserve">ssues </w:t>
      </w:r>
      <w:r w:rsidR="00377435">
        <w:t>A</w:t>
      </w:r>
      <w:r w:rsidR="00164D20">
        <w:t xml:space="preserve">rising </w:t>
      </w:r>
      <w:r w:rsidR="00377435">
        <w:t>G</w:t>
      </w:r>
      <w:r w:rsidR="00164D20">
        <w:t>uide</w:t>
      </w:r>
    </w:p>
    <w:p w14:paraId="5494D275" w14:textId="678574D5" w:rsidR="00341942" w:rsidRDefault="00341942" w:rsidP="00341942">
      <w:pPr>
        <w:pStyle w:val="Heading2"/>
      </w:pPr>
      <w:r>
        <w:t xml:space="preserve">New issues arising in </w:t>
      </w:r>
      <w:r w:rsidR="00116DD4">
        <w:t>2024</w:t>
      </w:r>
    </w:p>
    <w:p w14:paraId="315BF54A" w14:textId="05DFFD01" w:rsidR="00341942" w:rsidRDefault="00341942" w:rsidP="00341942">
      <w:r>
        <w:t xml:space="preserve">The following </w:t>
      </w:r>
      <w:r w:rsidR="00437E98">
        <w:t xml:space="preserve">guide </w:t>
      </w:r>
      <w:r>
        <w:t xml:space="preserve">is designed to assist members attempting to identify material changes to New Zealand tax legislation that take effect from the </w:t>
      </w:r>
      <w:r w:rsidR="00116DD4">
        <w:t xml:space="preserve">2024 </w:t>
      </w:r>
      <w:r>
        <w:t>income year.</w:t>
      </w:r>
    </w:p>
    <w:p w14:paraId="2377C8A5" w14:textId="455933FD" w:rsidR="00082918" w:rsidRDefault="00082918" w:rsidP="00341942"/>
    <w:p w14:paraId="29B9EAE2" w14:textId="7CF9B8DF" w:rsidR="00082918" w:rsidRDefault="00377435" w:rsidP="00341942">
      <w:r w:rsidRPr="00377435">
        <w:t xml:space="preserve">This information is current as at </w:t>
      </w:r>
      <w:r w:rsidR="00116DD4">
        <w:t>30 November 2023</w:t>
      </w:r>
      <w:r w:rsidRPr="00377435">
        <w:t>.</w:t>
      </w:r>
    </w:p>
    <w:p w14:paraId="7FE99F73" w14:textId="4097062C" w:rsidR="00082918" w:rsidRDefault="00082918" w:rsidP="00341942"/>
    <w:p w14:paraId="7CD4A883" w14:textId="0551A454" w:rsidR="00082918" w:rsidRDefault="00082918" w:rsidP="00341942"/>
    <w:p w14:paraId="2819CC03" w14:textId="00B449FD" w:rsidR="00082918" w:rsidRDefault="00082918" w:rsidP="00341942"/>
    <w:p w14:paraId="1F87198C" w14:textId="1CEBD0E7" w:rsidR="00082918" w:rsidRDefault="00082918" w:rsidP="00341942"/>
    <w:p w14:paraId="1DB9E003" w14:textId="7ED383C1" w:rsidR="00082918" w:rsidRDefault="00082918" w:rsidP="00341942"/>
    <w:p w14:paraId="13726F33" w14:textId="2820BEF0" w:rsidR="00082918" w:rsidRDefault="00082918" w:rsidP="00341942"/>
    <w:p w14:paraId="0B49B4A3" w14:textId="25A39494" w:rsidR="00082918" w:rsidRDefault="00082918" w:rsidP="00341942"/>
    <w:p w14:paraId="6F083F9A" w14:textId="77777777" w:rsidR="00377435" w:rsidRDefault="00377435" w:rsidP="00377435">
      <w:pPr>
        <w:rPr>
          <w:b/>
          <w:bCs/>
        </w:rPr>
      </w:pPr>
    </w:p>
    <w:p w14:paraId="1262552F" w14:textId="77777777" w:rsidR="00377435" w:rsidRDefault="00377435" w:rsidP="00377435">
      <w:pPr>
        <w:rPr>
          <w:b/>
          <w:bCs/>
        </w:rPr>
      </w:pPr>
    </w:p>
    <w:p w14:paraId="54ED3992" w14:textId="77777777" w:rsidR="00377435" w:rsidRDefault="00377435" w:rsidP="00377435">
      <w:pPr>
        <w:rPr>
          <w:b/>
          <w:bCs/>
        </w:rPr>
      </w:pPr>
    </w:p>
    <w:p w14:paraId="79681DC2" w14:textId="77777777" w:rsidR="00377435" w:rsidRDefault="00377435" w:rsidP="00377435">
      <w:pPr>
        <w:rPr>
          <w:b/>
          <w:bCs/>
        </w:rPr>
      </w:pPr>
    </w:p>
    <w:p w14:paraId="088E7334" w14:textId="77777777" w:rsidR="00377435" w:rsidRDefault="00377435" w:rsidP="00377435">
      <w:pPr>
        <w:rPr>
          <w:b/>
          <w:bCs/>
        </w:rPr>
      </w:pPr>
    </w:p>
    <w:p w14:paraId="2D6188EA" w14:textId="77777777" w:rsidR="00377435" w:rsidRDefault="00377435" w:rsidP="00377435">
      <w:pPr>
        <w:rPr>
          <w:b/>
          <w:bCs/>
        </w:rPr>
      </w:pPr>
    </w:p>
    <w:p w14:paraId="32028F61" w14:textId="77777777" w:rsidR="00377435" w:rsidRDefault="00377435" w:rsidP="00377435">
      <w:pPr>
        <w:rPr>
          <w:b/>
          <w:bCs/>
        </w:rPr>
      </w:pPr>
    </w:p>
    <w:p w14:paraId="59815A85" w14:textId="77777777" w:rsidR="00377435" w:rsidRDefault="00377435" w:rsidP="00377435">
      <w:pPr>
        <w:rPr>
          <w:b/>
          <w:bCs/>
        </w:rPr>
      </w:pPr>
    </w:p>
    <w:p w14:paraId="40C3F5A9" w14:textId="77777777" w:rsidR="00377435" w:rsidRDefault="00377435" w:rsidP="00377435">
      <w:pPr>
        <w:rPr>
          <w:b/>
          <w:bCs/>
        </w:rPr>
      </w:pPr>
    </w:p>
    <w:p w14:paraId="7D8E73C2" w14:textId="38B41DAD" w:rsidR="00377435" w:rsidRPr="00CA12CE" w:rsidRDefault="00377435" w:rsidP="00377435">
      <w:pPr>
        <w:rPr>
          <w:b/>
          <w:bCs/>
        </w:rPr>
      </w:pPr>
      <w:r>
        <w:rPr>
          <w:b/>
          <w:bCs/>
        </w:rPr>
        <w:t xml:space="preserve">About the author </w:t>
      </w:r>
      <w:r>
        <w:rPr>
          <w:b/>
          <w:bCs/>
        </w:rPr>
        <w:br/>
      </w:r>
      <w:r w:rsidRPr="00CA12CE">
        <w:t>This checklist was prepared by Baker Tilly Staples Rodway on behalf of CPA Australia.</w:t>
      </w:r>
    </w:p>
    <w:p w14:paraId="77063A18" w14:textId="7C9D6B72" w:rsidR="00082918" w:rsidRPr="00377435" w:rsidRDefault="00377435" w:rsidP="00341942">
      <w:pPr>
        <w:rPr>
          <w:b/>
        </w:rPr>
      </w:pPr>
      <w:r>
        <w:rPr>
          <w:b/>
        </w:rPr>
        <w:br/>
      </w:r>
      <w:r w:rsidRPr="00CA12CE">
        <w:rPr>
          <w:b/>
        </w:rPr>
        <w:t>Disclaimer</w:t>
      </w:r>
      <w:r>
        <w:rPr>
          <w:b/>
        </w:rPr>
        <w:br/>
      </w:r>
      <w:r w:rsidRPr="00CA12CE">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w:t>
      </w:r>
      <w:r w:rsidR="001A2607">
        <w:t>ls.</w:t>
      </w:r>
    </w:p>
    <w:p w14:paraId="35ECA7C3" w14:textId="77777777" w:rsidR="001714F9" w:rsidRDefault="001714F9" w:rsidP="001714F9">
      <w:pPr>
        <w:pStyle w:val="Heading3"/>
      </w:pPr>
      <w:r>
        <w:lastRenderedPageBreak/>
        <w:t>Trust Tax Rate</w:t>
      </w:r>
    </w:p>
    <w:p w14:paraId="52ECB49D" w14:textId="77777777" w:rsidR="001714F9" w:rsidRDefault="001714F9" w:rsidP="001714F9">
      <w:r>
        <w:t>Under a Bill currently before Parliament, from 1 April 2024, the tax rate for trustee income will be increased from 33% to 39%</w:t>
      </w:r>
      <w:r>
        <w:rPr>
          <w:rStyle w:val="FootnoteReference"/>
        </w:rPr>
        <w:footnoteReference w:id="2"/>
      </w:r>
      <w:r>
        <w:t>.  In addition, the rate of tax payable on beneficiary income distributed to corporate beneficiaries will be increased to 39%</w:t>
      </w:r>
      <w:r>
        <w:rPr>
          <w:rStyle w:val="FootnoteReference"/>
        </w:rPr>
        <w:footnoteReference w:id="3"/>
      </w:r>
      <w:r>
        <w:t>, with such distributions being treated as available capital distribution and not imputed earnings</w:t>
      </w:r>
      <w:r>
        <w:rPr>
          <w:rStyle w:val="FootnoteReference"/>
        </w:rPr>
        <w:footnoteReference w:id="4"/>
      </w:r>
      <w:r>
        <w:t>.</w:t>
      </w:r>
    </w:p>
    <w:p w14:paraId="1E3684B4" w14:textId="15416070" w:rsidR="0017345B" w:rsidRDefault="0017345B" w:rsidP="001714F9">
      <w:r>
        <w:t>These proposals would also see deceased estates subject to tax at the individual marginal tax rates for the first twelve months after the death of the deceased individual</w:t>
      </w:r>
      <w:r w:rsidR="00F610D8">
        <w:rPr>
          <w:rStyle w:val="FootnoteReference"/>
        </w:rPr>
        <w:footnoteReference w:id="5"/>
      </w:r>
      <w:r>
        <w:t xml:space="preserve">.  </w:t>
      </w:r>
      <w:r w:rsidR="00A9104E">
        <w:t>Additionally, trusts established for the benefit of disabled persons would also be subject to tax at the individual marginal tax rates</w:t>
      </w:r>
      <w:r w:rsidR="00F610D8">
        <w:rPr>
          <w:rStyle w:val="FootnoteReference"/>
        </w:rPr>
        <w:footnoteReference w:id="6"/>
      </w:r>
      <w:r w:rsidR="00A9104E">
        <w:t>.</w:t>
      </w:r>
    </w:p>
    <w:p w14:paraId="595C57D5" w14:textId="1B6436E4" w:rsidR="00AA77DF" w:rsidRDefault="00AA77DF" w:rsidP="00AA77DF">
      <w:pPr>
        <w:pStyle w:val="Heading3"/>
      </w:pPr>
      <w:r>
        <w:t>Weather Events Relief</w:t>
      </w:r>
    </w:p>
    <w:p w14:paraId="59945D0B" w14:textId="05F8EB2A" w:rsidR="00AA77DF" w:rsidRDefault="00AA77DF" w:rsidP="00AA77DF">
      <w:r>
        <w:t xml:space="preserve">Under a Bill currently before Parliament, taxpayers who were impacted by the North Island </w:t>
      </w:r>
      <w:r w:rsidR="003B6B06">
        <w:t xml:space="preserve">flooding </w:t>
      </w:r>
      <w:r>
        <w:t>events in January and February 2023 (Cyclone Hale, Auckland Anniversary Floods and Cyclone Gabrielle) will be eligible for relief.  The relief will be similar to that offered following the Christchurch and Kaikoura earthquakes in 2011 and 2016 respectively, and will consist of</w:t>
      </w:r>
      <w:r w:rsidR="00212B47">
        <w:t>, among other things</w:t>
      </w:r>
      <w:r>
        <w:t>:</w:t>
      </w:r>
    </w:p>
    <w:p w14:paraId="1362C2A0" w14:textId="6440AAB8" w:rsidR="00AA77DF" w:rsidRDefault="00AA77DF" w:rsidP="00AA77DF">
      <w:pPr>
        <w:pStyle w:val="ListParagraph"/>
        <w:numPr>
          <w:ilvl w:val="0"/>
          <w:numId w:val="38"/>
        </w:numPr>
      </w:pPr>
      <w:r>
        <w:t xml:space="preserve">Roll-over relief on </w:t>
      </w:r>
      <w:r w:rsidR="005230A2">
        <w:t xml:space="preserve">any assets destroyed by the events and for which a replacement is purchased prior to </w:t>
      </w:r>
      <w:r w:rsidR="003B6B06">
        <w:t>the 202</w:t>
      </w:r>
      <w:r w:rsidR="0055646D">
        <w:t>7</w:t>
      </w:r>
      <w:r w:rsidR="003B6B06">
        <w:t>-2</w:t>
      </w:r>
      <w:r w:rsidR="0055646D">
        <w:t>8</w:t>
      </w:r>
      <w:r w:rsidR="003B6B06">
        <w:t xml:space="preserve"> income year</w:t>
      </w:r>
      <w:r w:rsidR="00833227">
        <w:rPr>
          <w:rStyle w:val="FootnoteReference"/>
        </w:rPr>
        <w:footnoteReference w:id="7"/>
      </w:r>
      <w:r w:rsidR="00833227">
        <w:t>.</w:t>
      </w:r>
    </w:p>
    <w:p w14:paraId="589B3C3F" w14:textId="7E3B8D0A" w:rsidR="00212B47" w:rsidRDefault="00212B47" w:rsidP="00AA77DF">
      <w:pPr>
        <w:pStyle w:val="ListParagraph"/>
        <w:numPr>
          <w:ilvl w:val="0"/>
          <w:numId w:val="38"/>
        </w:numPr>
      </w:pPr>
      <w:r>
        <w:t>The ability to disregard business disruption resulting from the events when considering whether a nexus exists between expenditure occurred and income-earning activit</w:t>
      </w:r>
      <w:r w:rsidR="007C1F1F">
        <w:t>ies</w:t>
      </w:r>
      <w:r w:rsidR="00833227">
        <w:rPr>
          <w:rStyle w:val="FootnoteReference"/>
        </w:rPr>
        <w:footnoteReference w:id="8"/>
      </w:r>
      <w:r w:rsidR="00833227">
        <w:t>.</w:t>
      </w:r>
    </w:p>
    <w:p w14:paraId="555FB458" w14:textId="546CBCC6" w:rsidR="00212B47" w:rsidRDefault="00212B47" w:rsidP="00E90BA6">
      <w:pPr>
        <w:pStyle w:val="ListParagraph"/>
        <w:numPr>
          <w:ilvl w:val="0"/>
          <w:numId w:val="38"/>
        </w:numPr>
      </w:pPr>
      <w:r>
        <w:t>The ability to continue claiming depreciation deductions where access to depreciable property was temporarily restricted due to the events</w:t>
      </w:r>
      <w:r w:rsidR="00833227">
        <w:rPr>
          <w:rStyle w:val="FootnoteReference"/>
        </w:rPr>
        <w:footnoteReference w:id="9"/>
      </w:r>
      <w:r w:rsidR="009C0972">
        <w:t>.</w:t>
      </w:r>
    </w:p>
    <w:p w14:paraId="03C55141" w14:textId="563A0EDE" w:rsidR="00AA77DF" w:rsidRDefault="003B6B06" w:rsidP="00AA77DF">
      <w:r>
        <w:t>Specific adjustments will be required to ensure the relief is correctly accounted for.</w:t>
      </w:r>
      <w:r w:rsidR="0055646D">
        <w:t xml:space="preserve">  A notice of election will need to be lodged with Inland Revenue where roll-over relief is </w:t>
      </w:r>
      <w:r w:rsidR="009C0972">
        <w:t>sought</w:t>
      </w:r>
      <w:r w:rsidR="00D423C4">
        <w:rPr>
          <w:rStyle w:val="FootnoteReference"/>
        </w:rPr>
        <w:footnoteReference w:id="10"/>
      </w:r>
      <w:r w:rsidR="009C0972">
        <w:t>.</w:t>
      </w:r>
    </w:p>
    <w:p w14:paraId="75B3FF6A" w14:textId="6D63EE61" w:rsidR="009761EC" w:rsidRDefault="009761EC" w:rsidP="009761EC">
      <w:pPr>
        <w:pStyle w:val="Heading3"/>
      </w:pPr>
      <w:r>
        <w:t xml:space="preserve">Interest Deductibility on Residential </w:t>
      </w:r>
      <w:r w:rsidR="00406B04">
        <w:t>Rental Properties</w:t>
      </w:r>
    </w:p>
    <w:p w14:paraId="155A7BE6" w14:textId="572ABA46" w:rsidR="009761EC" w:rsidRDefault="00406B04" w:rsidP="009761EC">
      <w:pPr>
        <w:rPr>
          <w:lang w:val="en-NZ"/>
        </w:rPr>
      </w:pPr>
      <w:r>
        <w:rPr>
          <w:lang w:val="en-NZ"/>
        </w:rPr>
        <w:t xml:space="preserve">Under the </w:t>
      </w:r>
      <w:r w:rsidR="00083CBF">
        <w:rPr>
          <w:lang w:val="en-NZ"/>
        </w:rPr>
        <w:t>government’s coalition agreement, interest deductibility on residential rental properties will be gradually restored, with 60% deductibility in the 2023/24 year, 80% deductibility in the 2024/25 year and 100% in the 2025/26 year</w:t>
      </w:r>
      <w:r w:rsidR="009761EC">
        <w:rPr>
          <w:lang w:val="en-NZ"/>
        </w:rPr>
        <w:t>.</w:t>
      </w:r>
      <w:r w:rsidR="00B0086F">
        <w:rPr>
          <w:lang w:val="en-NZ"/>
        </w:rPr>
        <w:t xml:space="preserve">  </w:t>
      </w:r>
      <w:r w:rsidR="006534BF">
        <w:rPr>
          <w:lang w:val="en-NZ"/>
        </w:rPr>
        <w:t>Further details will not be clear until a Bill is introduced to Parliament.</w:t>
      </w:r>
    </w:p>
    <w:p w14:paraId="0F379295" w14:textId="77777777" w:rsidR="00A52BB0" w:rsidRDefault="00A52BB0" w:rsidP="00A52BB0">
      <w:pPr>
        <w:pStyle w:val="Heading3"/>
      </w:pPr>
      <w:r>
        <w:t>GST on Platform Economy</w:t>
      </w:r>
    </w:p>
    <w:p w14:paraId="61FF28D5" w14:textId="77777777" w:rsidR="00A52BB0" w:rsidRDefault="00A52BB0" w:rsidP="00A52BB0">
      <w:r>
        <w:t xml:space="preserve">From 1 April 2024, platforms such as Uber and Airbnb will be required to account for GST directly to their customers.  Under the rules, the platforms will be required to charge 15% GST, of which 6.5% will </w:t>
      </w:r>
      <w:r>
        <w:lastRenderedPageBreak/>
        <w:t>go to Inland Revenue and the remaining 8.5% will go to the underlying supplier (the driver, homeowner and similar) in lieu of the ability to claim GST on inputs.</w:t>
      </w:r>
    </w:p>
    <w:p w14:paraId="14CE50E4" w14:textId="77777777" w:rsidR="00A52BB0" w:rsidRDefault="00A52BB0" w:rsidP="00A52BB0">
      <w:r>
        <w:t>Large scale accommodation suppliers (minimum 2,000 nights per annum) will be able to elect to continue to be subject to the standard rules, with responsibility for accounting for GST falling on them and not the platform.</w:t>
      </w:r>
    </w:p>
    <w:p w14:paraId="4A0208AE" w14:textId="77777777" w:rsidR="00A52BB0" w:rsidRDefault="00A52BB0" w:rsidP="00A52BB0">
      <w:r>
        <w:t>The underlying supplier will still need to account for GST where their supplies exceed $60,000 per annum.</w:t>
      </w:r>
    </w:p>
    <w:p w14:paraId="4B13CA7C" w14:textId="0B76C14E" w:rsidR="00A52BB0" w:rsidRPr="00E50043" w:rsidRDefault="00A52BB0" w:rsidP="00A52BB0">
      <w:pPr>
        <w:rPr>
          <w:i/>
          <w:iCs/>
        </w:rPr>
      </w:pPr>
      <w:r w:rsidRPr="00E50043">
        <w:rPr>
          <w:i/>
          <w:iCs/>
        </w:rPr>
        <w:t xml:space="preserve">Note: During the election campaign, National promised to repeal these provisions. </w:t>
      </w:r>
      <w:r w:rsidR="00632DD1">
        <w:rPr>
          <w:i/>
          <w:iCs/>
        </w:rPr>
        <w:t>They have since announced that these changes will proceed as initially planned, and these provisions will not be repealed.</w:t>
      </w:r>
      <w:r w:rsidRPr="00E50043">
        <w:rPr>
          <w:i/>
          <w:iCs/>
        </w:rPr>
        <w:t xml:space="preserve"> </w:t>
      </w:r>
    </w:p>
    <w:p w14:paraId="1B13D027" w14:textId="77777777" w:rsidR="00F610D8" w:rsidRDefault="00F610D8" w:rsidP="00F610D8">
      <w:pPr>
        <w:pStyle w:val="Heading3"/>
      </w:pPr>
      <w:r>
        <w:t>Incoming Government</w:t>
      </w:r>
    </w:p>
    <w:p w14:paraId="449BC05A" w14:textId="3F742637" w:rsidR="009761EC" w:rsidRDefault="00F610D8" w:rsidP="00F610D8">
      <w:pPr>
        <w:rPr>
          <w:lang w:val="en-NZ"/>
        </w:rPr>
      </w:pPr>
      <w:r>
        <w:rPr>
          <w:lang w:val="en-NZ"/>
        </w:rPr>
        <w:t>Following the election on 14 October 2023, the government has changed from a Labour-led government to a National-led government</w:t>
      </w:r>
      <w:r w:rsidR="00804D7D">
        <w:rPr>
          <w:lang w:val="en-NZ"/>
        </w:rPr>
        <w:t xml:space="preserve">, with a coalition between National, ACT and New Zealand First </w:t>
      </w:r>
      <w:r w:rsidR="00B642E5">
        <w:rPr>
          <w:lang w:val="en-NZ"/>
        </w:rPr>
        <w:t>signed on 24 November 2023.</w:t>
      </w:r>
      <w:r w:rsidR="009761EC">
        <w:rPr>
          <w:lang w:val="en-NZ"/>
        </w:rPr>
        <w:t xml:space="preserve">  Several policies promised during the election campaign including </w:t>
      </w:r>
      <w:r>
        <w:rPr>
          <w:lang w:val="en-NZ"/>
        </w:rPr>
        <w:t>removal of the ability to claim a depreciation deduction on commercial buildings,</w:t>
      </w:r>
      <w:r w:rsidR="00632DD1">
        <w:rPr>
          <w:lang w:val="en-NZ"/>
        </w:rPr>
        <w:t xml:space="preserve"> and</w:t>
      </w:r>
      <w:r>
        <w:rPr>
          <w:lang w:val="en-NZ"/>
        </w:rPr>
        <w:t xml:space="preserve"> reduction of the bright-line period to two years</w:t>
      </w:r>
      <w:r w:rsidR="009761EC">
        <w:rPr>
          <w:lang w:val="en-NZ"/>
        </w:rPr>
        <w:t xml:space="preserve"> appear likely to progress under the coalition agreement.  Specific details will not be clear until a Bill is introduced to Parliament.</w:t>
      </w:r>
    </w:p>
    <w:p w14:paraId="0D9F18AB" w14:textId="77777777" w:rsidR="00D81DE7" w:rsidRPr="00D66795" w:rsidRDefault="00D81DE7" w:rsidP="00D81DE7"/>
    <w:sectPr w:rsidR="00D81DE7" w:rsidRPr="00D66795" w:rsidSect="00A16FBB">
      <w:headerReference w:type="default" r:id="rId12"/>
      <w:footerReference w:type="default" r:id="rId1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634D" w14:textId="77777777" w:rsidR="001B3CEC" w:rsidRDefault="001B3CEC" w:rsidP="001D0AFC">
      <w:r>
        <w:separator/>
      </w:r>
    </w:p>
    <w:p w14:paraId="33715139" w14:textId="77777777" w:rsidR="001B3CEC" w:rsidRDefault="001B3CEC"/>
    <w:p w14:paraId="1D45BFCA" w14:textId="77777777" w:rsidR="001B3CEC" w:rsidRDefault="001B3CEC"/>
  </w:endnote>
  <w:endnote w:type="continuationSeparator" w:id="0">
    <w:p w14:paraId="599E67B5" w14:textId="77777777" w:rsidR="001B3CEC" w:rsidRDefault="001B3CEC" w:rsidP="001D0AFC">
      <w:r>
        <w:continuationSeparator/>
      </w:r>
    </w:p>
    <w:p w14:paraId="2CFD7348" w14:textId="77777777" w:rsidR="001B3CEC" w:rsidRDefault="001B3CEC"/>
    <w:p w14:paraId="123C538C" w14:textId="77777777" w:rsidR="001B3CEC" w:rsidRDefault="001B3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D95D" w14:textId="77777777" w:rsidR="001B3CEC" w:rsidRDefault="001B3CEC" w:rsidP="001D0AFC"/>
  </w:footnote>
  <w:footnote w:type="continuationSeparator" w:id="0">
    <w:p w14:paraId="588E085B" w14:textId="77777777" w:rsidR="001B3CEC" w:rsidRDefault="001B3CEC" w:rsidP="001D0AFC"/>
  </w:footnote>
  <w:footnote w:type="continuationNotice" w:id="1">
    <w:p w14:paraId="3E7A3387" w14:textId="77777777" w:rsidR="001B3CEC" w:rsidRDefault="001B3CEC">
      <w:pPr>
        <w:spacing w:before="0" w:after="0"/>
      </w:pPr>
    </w:p>
  </w:footnote>
  <w:footnote w:id="2">
    <w:p w14:paraId="25A61B8D" w14:textId="77777777" w:rsidR="001714F9" w:rsidRPr="00346BDD" w:rsidRDefault="001714F9" w:rsidP="001714F9">
      <w:pPr>
        <w:pStyle w:val="FootnoteText"/>
        <w:rPr>
          <w:lang w:val="en-US"/>
        </w:rPr>
      </w:pPr>
      <w:r>
        <w:rPr>
          <w:rStyle w:val="FootnoteReference"/>
        </w:rPr>
        <w:footnoteRef/>
      </w:r>
      <w:r>
        <w:t xml:space="preserve"> </w:t>
      </w:r>
      <w:r>
        <w:rPr>
          <w:lang w:val="en-US"/>
        </w:rPr>
        <w:t>Clause 62 Taxation (Annual Rates for 2023-24, Multinational Tax, and Remedial Matters) Bill. When enacted, Schedule 1 Income Tax Act 2007.</w:t>
      </w:r>
    </w:p>
  </w:footnote>
  <w:footnote w:id="3">
    <w:p w14:paraId="707BB2FB" w14:textId="77777777" w:rsidR="001714F9" w:rsidRPr="00346BDD" w:rsidRDefault="001714F9" w:rsidP="001714F9">
      <w:pPr>
        <w:pStyle w:val="FootnoteText"/>
        <w:rPr>
          <w:lang w:val="en-US"/>
        </w:rPr>
      </w:pPr>
      <w:r>
        <w:rPr>
          <w:rStyle w:val="FootnoteReference"/>
        </w:rPr>
        <w:footnoteRef/>
      </w:r>
      <w:r>
        <w:t xml:space="preserve"> </w:t>
      </w:r>
      <w:r>
        <w:rPr>
          <w:lang w:val="en-US"/>
        </w:rPr>
        <w:t xml:space="preserve">Clause 35 Taxation (Annual Rates for 2023-24, Multinational </w:t>
      </w:r>
      <w:r>
        <w:rPr>
          <w:lang w:val="en-US"/>
        </w:rPr>
        <w:tab/>
        <w:t>Tax, and Remedial Matters) Bill. When enacted, section HC 17(3) Income Tax Act 2007.</w:t>
      </w:r>
    </w:p>
  </w:footnote>
  <w:footnote w:id="4">
    <w:p w14:paraId="548E4151" w14:textId="77777777" w:rsidR="001714F9" w:rsidRPr="00346BDD" w:rsidRDefault="001714F9" w:rsidP="001714F9">
      <w:pPr>
        <w:pStyle w:val="FootnoteText"/>
        <w:rPr>
          <w:lang w:val="en-US"/>
        </w:rPr>
      </w:pPr>
      <w:r>
        <w:rPr>
          <w:rStyle w:val="FootnoteReference"/>
        </w:rPr>
        <w:footnoteRef/>
      </w:r>
      <w:r>
        <w:t xml:space="preserve"> </w:t>
      </w:r>
      <w:r>
        <w:rPr>
          <w:lang w:val="en-US"/>
        </w:rPr>
        <w:t>Clause 10 Taxation (Annual Rates for 2023-24, Multinational Tax, and Remedial Matters) Bill. When enacted, section CD 44(7)(dc) Income Tax Act 2007.</w:t>
      </w:r>
    </w:p>
  </w:footnote>
  <w:footnote w:id="5">
    <w:p w14:paraId="331A11A3" w14:textId="4D89FF0D" w:rsidR="00F610D8" w:rsidRPr="00E90BA6" w:rsidRDefault="00F610D8">
      <w:pPr>
        <w:pStyle w:val="FootnoteText"/>
        <w:rPr>
          <w:lang w:val="en-US"/>
        </w:rPr>
      </w:pPr>
      <w:r>
        <w:rPr>
          <w:rStyle w:val="FootnoteReference"/>
        </w:rPr>
        <w:footnoteRef/>
      </w:r>
      <w:r>
        <w:t xml:space="preserve"> </w:t>
      </w:r>
      <w:r>
        <w:rPr>
          <w:lang w:val="en-US"/>
        </w:rPr>
        <w:t>Clause 33 Taxation (Annual Rates for 2023-24, Multinational Tax, and Remedial Matters) Bill. When enacted, section HC 8B Income Tax Act 2007.</w:t>
      </w:r>
    </w:p>
  </w:footnote>
  <w:footnote w:id="6">
    <w:p w14:paraId="081D7378" w14:textId="2B496A50" w:rsidR="00F610D8" w:rsidRPr="00E90BA6" w:rsidRDefault="00F610D8">
      <w:pPr>
        <w:pStyle w:val="FootnoteText"/>
        <w:rPr>
          <w:lang w:val="en-US"/>
        </w:rPr>
      </w:pPr>
      <w:r>
        <w:rPr>
          <w:rStyle w:val="FootnoteReference"/>
        </w:rPr>
        <w:footnoteRef/>
      </w:r>
      <w:r>
        <w:t xml:space="preserve"> </w:t>
      </w:r>
      <w:r>
        <w:rPr>
          <w:lang w:val="en-US"/>
        </w:rPr>
        <w:t>Clause 39 Taxation (Annual Rates for 2023-24, Multinational Tax, and Remedial Matters) Bill. When enacted, section HC 39 Income Tax Act 2007.</w:t>
      </w:r>
    </w:p>
  </w:footnote>
  <w:footnote w:id="7">
    <w:p w14:paraId="7C1D13B4" w14:textId="19355CCA" w:rsidR="00833227" w:rsidRPr="00E90BA6" w:rsidRDefault="00833227">
      <w:pPr>
        <w:pStyle w:val="FootnoteText"/>
        <w:rPr>
          <w:lang w:val="en-US"/>
        </w:rPr>
      </w:pPr>
      <w:r>
        <w:rPr>
          <w:rStyle w:val="FootnoteReference"/>
        </w:rPr>
        <w:footnoteRef/>
      </w:r>
      <w:r>
        <w:t xml:space="preserve"> </w:t>
      </w:r>
      <w:r>
        <w:rPr>
          <w:lang w:val="en-US"/>
        </w:rPr>
        <w:t>Clause 26 Taxation (Annual Rates for 2023-24, Multinational Tax, and Remedial Matters) Bill. When enacted, section EZ 23BE Income Tax Act 2007.</w:t>
      </w:r>
    </w:p>
  </w:footnote>
  <w:footnote w:id="8">
    <w:p w14:paraId="52A36D42" w14:textId="195F3908" w:rsidR="00833227" w:rsidRPr="00E90BA6" w:rsidRDefault="00833227">
      <w:pPr>
        <w:pStyle w:val="FootnoteText"/>
        <w:rPr>
          <w:lang w:val="en-US"/>
        </w:rPr>
      </w:pPr>
      <w:r>
        <w:rPr>
          <w:rStyle w:val="FootnoteReference"/>
        </w:rPr>
        <w:footnoteRef/>
      </w:r>
      <w:r>
        <w:t xml:space="preserve"> Clause 22 Taxation (Annual Rates for 2023-24, Multinational Tax, and Remedial Matters) Bill. When enacted, section DZ 20B Income Tax Act 2007.</w:t>
      </w:r>
    </w:p>
  </w:footnote>
  <w:footnote w:id="9">
    <w:p w14:paraId="0D3218C0" w14:textId="3CE348CB" w:rsidR="00833227" w:rsidRPr="00E90BA6" w:rsidRDefault="00833227">
      <w:pPr>
        <w:pStyle w:val="FootnoteText"/>
        <w:rPr>
          <w:lang w:val="en-US"/>
        </w:rPr>
      </w:pPr>
      <w:r>
        <w:rPr>
          <w:rStyle w:val="FootnoteReference"/>
        </w:rPr>
        <w:footnoteRef/>
      </w:r>
      <w:r>
        <w:t xml:space="preserve"> </w:t>
      </w:r>
      <w:r>
        <w:rPr>
          <w:lang w:val="en-US"/>
        </w:rPr>
        <w:t xml:space="preserve">Clause 27 Taxation (Annual Rates for 2023-24, Multinational </w:t>
      </w:r>
      <w:r w:rsidR="00907E14">
        <w:rPr>
          <w:lang w:val="en-US"/>
        </w:rPr>
        <w:t>Tax, and Remedial Matters) Bill. When enacted, section EZ 85 Income Tax Act 2007.</w:t>
      </w:r>
    </w:p>
  </w:footnote>
  <w:footnote w:id="10">
    <w:p w14:paraId="0C593790" w14:textId="2C8C24DA" w:rsidR="00D423C4" w:rsidRPr="00E90BA6" w:rsidRDefault="00D423C4">
      <w:pPr>
        <w:pStyle w:val="FootnoteText"/>
        <w:rPr>
          <w:lang w:val="en-US"/>
        </w:rPr>
      </w:pPr>
      <w:r>
        <w:rPr>
          <w:rStyle w:val="FootnoteReference"/>
        </w:rPr>
        <w:footnoteRef/>
      </w:r>
      <w:r>
        <w:t xml:space="preserve"> </w:t>
      </w:r>
      <w:r w:rsidR="00AE7768">
        <w:rPr>
          <w:lang w:val="en-US"/>
        </w:rPr>
        <w:t>Clause 26 Taxation (Annual Rates for 2023-24, Multinational Tax, and Remedial Matters) Bill. When enacted, section EZ 23B3(10) Income Tax Act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3471C537" w:rsidR="003B7348" w:rsidRPr="00693244" w:rsidRDefault="003B7348" w:rsidP="00693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2B0B7E77"/>
    <w:multiLevelType w:val="hybridMultilevel"/>
    <w:tmpl w:val="C58C0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EA4D11"/>
    <w:multiLevelType w:val="hybridMultilevel"/>
    <w:tmpl w:val="90906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B63547"/>
    <w:multiLevelType w:val="multilevel"/>
    <w:tmpl w:val="392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E738AB"/>
    <w:multiLevelType w:val="hybridMultilevel"/>
    <w:tmpl w:val="5BBE0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D152F2"/>
    <w:multiLevelType w:val="hybridMultilevel"/>
    <w:tmpl w:val="BC769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285621351">
    <w:abstractNumId w:val="9"/>
  </w:num>
  <w:num w:numId="2" w16cid:durableId="631911525">
    <w:abstractNumId w:val="9"/>
  </w:num>
  <w:num w:numId="3" w16cid:durableId="1992051056">
    <w:abstractNumId w:val="8"/>
  </w:num>
  <w:num w:numId="4" w16cid:durableId="67924292">
    <w:abstractNumId w:val="8"/>
  </w:num>
  <w:num w:numId="5" w16cid:durableId="953251598">
    <w:abstractNumId w:val="9"/>
  </w:num>
  <w:num w:numId="6" w16cid:durableId="110706903">
    <w:abstractNumId w:val="8"/>
  </w:num>
  <w:num w:numId="7" w16cid:durableId="527060397">
    <w:abstractNumId w:val="20"/>
  </w:num>
  <w:num w:numId="8" w16cid:durableId="7222013">
    <w:abstractNumId w:val="7"/>
  </w:num>
  <w:num w:numId="9" w16cid:durableId="333917186">
    <w:abstractNumId w:val="20"/>
  </w:num>
  <w:num w:numId="10" w16cid:durableId="2001500504">
    <w:abstractNumId w:val="6"/>
  </w:num>
  <w:num w:numId="11" w16cid:durableId="94592009">
    <w:abstractNumId w:val="20"/>
  </w:num>
  <w:num w:numId="12" w16cid:durableId="980771528">
    <w:abstractNumId w:val="5"/>
  </w:num>
  <w:num w:numId="13" w16cid:durableId="398092760">
    <w:abstractNumId w:val="20"/>
  </w:num>
  <w:num w:numId="14" w16cid:durableId="441536265">
    <w:abstractNumId w:val="4"/>
  </w:num>
  <w:num w:numId="15" w16cid:durableId="1834180680">
    <w:abstractNumId w:val="20"/>
  </w:num>
  <w:num w:numId="16" w16cid:durableId="334000784">
    <w:abstractNumId w:val="16"/>
  </w:num>
  <w:num w:numId="17" w16cid:durableId="463887645">
    <w:abstractNumId w:val="3"/>
  </w:num>
  <w:num w:numId="18" w16cid:durableId="1357579365">
    <w:abstractNumId w:val="16"/>
  </w:num>
  <w:num w:numId="19" w16cid:durableId="737748156">
    <w:abstractNumId w:val="2"/>
  </w:num>
  <w:num w:numId="20" w16cid:durableId="411246717">
    <w:abstractNumId w:val="16"/>
  </w:num>
  <w:num w:numId="21" w16cid:durableId="1118841295">
    <w:abstractNumId w:val="1"/>
  </w:num>
  <w:num w:numId="22" w16cid:durableId="1720742290">
    <w:abstractNumId w:val="16"/>
  </w:num>
  <w:num w:numId="23" w16cid:durableId="971641720">
    <w:abstractNumId w:val="0"/>
  </w:num>
  <w:num w:numId="24" w16cid:durableId="696735418">
    <w:abstractNumId w:val="16"/>
  </w:num>
  <w:num w:numId="25" w16cid:durableId="2014063898">
    <w:abstractNumId w:val="11"/>
  </w:num>
  <w:num w:numId="26" w16cid:durableId="2051568529">
    <w:abstractNumId w:val="10"/>
  </w:num>
  <w:num w:numId="27" w16cid:durableId="1087967476">
    <w:abstractNumId w:val="19"/>
  </w:num>
  <w:num w:numId="28" w16cid:durableId="735476853">
    <w:abstractNumId w:val="20"/>
  </w:num>
  <w:num w:numId="29" w16cid:durableId="1932077952">
    <w:abstractNumId w:val="20"/>
  </w:num>
  <w:num w:numId="30" w16cid:durableId="86196749">
    <w:abstractNumId w:val="20"/>
  </w:num>
  <w:num w:numId="31" w16cid:durableId="1225987350">
    <w:abstractNumId w:val="20"/>
  </w:num>
  <w:num w:numId="32" w16cid:durableId="1373921778">
    <w:abstractNumId w:val="20"/>
  </w:num>
  <w:num w:numId="33" w16cid:durableId="9334957">
    <w:abstractNumId w:val="15"/>
  </w:num>
  <w:num w:numId="34" w16cid:durableId="1170099686">
    <w:abstractNumId w:val="12"/>
  </w:num>
  <w:num w:numId="35" w16cid:durableId="1059203634">
    <w:abstractNumId w:val="13"/>
  </w:num>
  <w:num w:numId="36" w16cid:durableId="2080051215">
    <w:abstractNumId w:val="14"/>
  </w:num>
  <w:num w:numId="37" w16cid:durableId="550851732">
    <w:abstractNumId w:val="18"/>
  </w:num>
  <w:num w:numId="38" w16cid:durableId="8092521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DateAndTim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27F1"/>
    <w:rsid w:val="00024813"/>
    <w:rsid w:val="000369EA"/>
    <w:rsid w:val="00036FE5"/>
    <w:rsid w:val="00037DE5"/>
    <w:rsid w:val="00041055"/>
    <w:rsid w:val="00042DA2"/>
    <w:rsid w:val="00045AB6"/>
    <w:rsid w:val="00053EBC"/>
    <w:rsid w:val="00054781"/>
    <w:rsid w:val="00056BC0"/>
    <w:rsid w:val="00057877"/>
    <w:rsid w:val="00061B61"/>
    <w:rsid w:val="000625DF"/>
    <w:rsid w:val="000635BC"/>
    <w:rsid w:val="000671C4"/>
    <w:rsid w:val="00074231"/>
    <w:rsid w:val="000760F4"/>
    <w:rsid w:val="00082918"/>
    <w:rsid w:val="00083CBF"/>
    <w:rsid w:val="000861C4"/>
    <w:rsid w:val="00086BC4"/>
    <w:rsid w:val="00091423"/>
    <w:rsid w:val="000949C8"/>
    <w:rsid w:val="000A1EF9"/>
    <w:rsid w:val="000A2A29"/>
    <w:rsid w:val="000A2E7B"/>
    <w:rsid w:val="000A72A7"/>
    <w:rsid w:val="000B5598"/>
    <w:rsid w:val="000B5729"/>
    <w:rsid w:val="000C088B"/>
    <w:rsid w:val="000C3CBB"/>
    <w:rsid w:val="000C7AB0"/>
    <w:rsid w:val="000D35C6"/>
    <w:rsid w:val="000D43A9"/>
    <w:rsid w:val="000D5770"/>
    <w:rsid w:val="000D71C3"/>
    <w:rsid w:val="000D7D92"/>
    <w:rsid w:val="000E4E04"/>
    <w:rsid w:val="000F2EDC"/>
    <w:rsid w:val="000F6579"/>
    <w:rsid w:val="000F6589"/>
    <w:rsid w:val="000F7769"/>
    <w:rsid w:val="000F7CD3"/>
    <w:rsid w:val="00100A2F"/>
    <w:rsid w:val="001049F6"/>
    <w:rsid w:val="00106F60"/>
    <w:rsid w:val="00112605"/>
    <w:rsid w:val="001141D0"/>
    <w:rsid w:val="00116DD4"/>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4D20"/>
    <w:rsid w:val="00170D12"/>
    <w:rsid w:val="001714F9"/>
    <w:rsid w:val="0017345B"/>
    <w:rsid w:val="00176A5E"/>
    <w:rsid w:val="00191178"/>
    <w:rsid w:val="00192329"/>
    <w:rsid w:val="00193699"/>
    <w:rsid w:val="0019476E"/>
    <w:rsid w:val="00197E66"/>
    <w:rsid w:val="001A03FE"/>
    <w:rsid w:val="001A1669"/>
    <w:rsid w:val="001A2607"/>
    <w:rsid w:val="001B026B"/>
    <w:rsid w:val="001B3928"/>
    <w:rsid w:val="001B3CEC"/>
    <w:rsid w:val="001B7FA1"/>
    <w:rsid w:val="001C48D8"/>
    <w:rsid w:val="001C5149"/>
    <w:rsid w:val="001C52C2"/>
    <w:rsid w:val="001D0AFC"/>
    <w:rsid w:val="001D6F21"/>
    <w:rsid w:val="001E0ADE"/>
    <w:rsid w:val="001E2C85"/>
    <w:rsid w:val="001E3A54"/>
    <w:rsid w:val="001E49C9"/>
    <w:rsid w:val="001E563E"/>
    <w:rsid w:val="001E5F8E"/>
    <w:rsid w:val="001E6F79"/>
    <w:rsid w:val="00202C71"/>
    <w:rsid w:val="002072F4"/>
    <w:rsid w:val="00210409"/>
    <w:rsid w:val="00211C5D"/>
    <w:rsid w:val="00212B47"/>
    <w:rsid w:val="0022078E"/>
    <w:rsid w:val="00226249"/>
    <w:rsid w:val="002320CE"/>
    <w:rsid w:val="00233385"/>
    <w:rsid w:val="00237F0F"/>
    <w:rsid w:val="00242034"/>
    <w:rsid w:val="0025134E"/>
    <w:rsid w:val="0025657A"/>
    <w:rsid w:val="00262769"/>
    <w:rsid w:val="002632B7"/>
    <w:rsid w:val="00272AAC"/>
    <w:rsid w:val="00291082"/>
    <w:rsid w:val="002958CD"/>
    <w:rsid w:val="00296ADC"/>
    <w:rsid w:val="00296B92"/>
    <w:rsid w:val="00297CB5"/>
    <w:rsid w:val="002A1211"/>
    <w:rsid w:val="002A12DA"/>
    <w:rsid w:val="002A1929"/>
    <w:rsid w:val="002A4903"/>
    <w:rsid w:val="002A4C97"/>
    <w:rsid w:val="002B16A7"/>
    <w:rsid w:val="002C2485"/>
    <w:rsid w:val="002C2769"/>
    <w:rsid w:val="002C2E1B"/>
    <w:rsid w:val="002D62CE"/>
    <w:rsid w:val="002D6370"/>
    <w:rsid w:val="002D7462"/>
    <w:rsid w:val="002E038B"/>
    <w:rsid w:val="002E1998"/>
    <w:rsid w:val="002E41A9"/>
    <w:rsid w:val="002E76B8"/>
    <w:rsid w:val="002E7DDC"/>
    <w:rsid w:val="002F2993"/>
    <w:rsid w:val="002F3404"/>
    <w:rsid w:val="002F6357"/>
    <w:rsid w:val="002F6F32"/>
    <w:rsid w:val="003004FA"/>
    <w:rsid w:val="00300F12"/>
    <w:rsid w:val="00314869"/>
    <w:rsid w:val="003233EA"/>
    <w:rsid w:val="00327D69"/>
    <w:rsid w:val="003300BD"/>
    <w:rsid w:val="00337255"/>
    <w:rsid w:val="00337769"/>
    <w:rsid w:val="00341942"/>
    <w:rsid w:val="003450AC"/>
    <w:rsid w:val="003454FB"/>
    <w:rsid w:val="00350D15"/>
    <w:rsid w:val="003577C5"/>
    <w:rsid w:val="0036434E"/>
    <w:rsid w:val="00371F4C"/>
    <w:rsid w:val="00377435"/>
    <w:rsid w:val="00380050"/>
    <w:rsid w:val="00387DEF"/>
    <w:rsid w:val="00393930"/>
    <w:rsid w:val="003A0ACF"/>
    <w:rsid w:val="003A68CB"/>
    <w:rsid w:val="003B075A"/>
    <w:rsid w:val="003B551F"/>
    <w:rsid w:val="003B5FE6"/>
    <w:rsid w:val="003B6B06"/>
    <w:rsid w:val="003B7348"/>
    <w:rsid w:val="003D06F2"/>
    <w:rsid w:val="003D5D9E"/>
    <w:rsid w:val="003E1AC6"/>
    <w:rsid w:val="003E4D00"/>
    <w:rsid w:val="003F4678"/>
    <w:rsid w:val="003F4A7B"/>
    <w:rsid w:val="003F6533"/>
    <w:rsid w:val="003F7948"/>
    <w:rsid w:val="004003DB"/>
    <w:rsid w:val="00401788"/>
    <w:rsid w:val="00406B04"/>
    <w:rsid w:val="00411636"/>
    <w:rsid w:val="00416267"/>
    <w:rsid w:val="00420AB3"/>
    <w:rsid w:val="00424589"/>
    <w:rsid w:val="004265BE"/>
    <w:rsid w:val="00431975"/>
    <w:rsid w:val="004332DC"/>
    <w:rsid w:val="00437E98"/>
    <w:rsid w:val="0044217F"/>
    <w:rsid w:val="00442A73"/>
    <w:rsid w:val="004624F7"/>
    <w:rsid w:val="004642D9"/>
    <w:rsid w:val="00466FF8"/>
    <w:rsid w:val="00467CE7"/>
    <w:rsid w:val="00493C7F"/>
    <w:rsid w:val="00497959"/>
    <w:rsid w:val="004A0ED4"/>
    <w:rsid w:val="004A58E5"/>
    <w:rsid w:val="004A6A7C"/>
    <w:rsid w:val="004C6084"/>
    <w:rsid w:val="004C768A"/>
    <w:rsid w:val="004D49AA"/>
    <w:rsid w:val="004E1DA0"/>
    <w:rsid w:val="004E691F"/>
    <w:rsid w:val="004F16FA"/>
    <w:rsid w:val="004F1FE1"/>
    <w:rsid w:val="00500A1E"/>
    <w:rsid w:val="005060FF"/>
    <w:rsid w:val="00507DED"/>
    <w:rsid w:val="005108B3"/>
    <w:rsid w:val="00512BE7"/>
    <w:rsid w:val="005138A5"/>
    <w:rsid w:val="00516AA3"/>
    <w:rsid w:val="005230A2"/>
    <w:rsid w:val="00530AB2"/>
    <w:rsid w:val="005316C5"/>
    <w:rsid w:val="00531DB6"/>
    <w:rsid w:val="00532BCB"/>
    <w:rsid w:val="005410C1"/>
    <w:rsid w:val="005446A8"/>
    <w:rsid w:val="005447DF"/>
    <w:rsid w:val="00546C82"/>
    <w:rsid w:val="005504AA"/>
    <w:rsid w:val="005559C1"/>
    <w:rsid w:val="0055646D"/>
    <w:rsid w:val="005635DD"/>
    <w:rsid w:val="0056463F"/>
    <w:rsid w:val="005646CD"/>
    <w:rsid w:val="0056489B"/>
    <w:rsid w:val="00574287"/>
    <w:rsid w:val="00582037"/>
    <w:rsid w:val="00584EA0"/>
    <w:rsid w:val="00586756"/>
    <w:rsid w:val="00593C4E"/>
    <w:rsid w:val="00594996"/>
    <w:rsid w:val="00595909"/>
    <w:rsid w:val="00596E3F"/>
    <w:rsid w:val="005A22A5"/>
    <w:rsid w:val="005A308E"/>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2DD1"/>
    <w:rsid w:val="006367D6"/>
    <w:rsid w:val="00640006"/>
    <w:rsid w:val="0064041E"/>
    <w:rsid w:val="00640B02"/>
    <w:rsid w:val="0064638E"/>
    <w:rsid w:val="006534BF"/>
    <w:rsid w:val="0065754D"/>
    <w:rsid w:val="00664625"/>
    <w:rsid w:val="0067422A"/>
    <w:rsid w:val="006804E9"/>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27F6"/>
    <w:rsid w:val="006E4968"/>
    <w:rsid w:val="006E546F"/>
    <w:rsid w:val="006E5981"/>
    <w:rsid w:val="006F0D69"/>
    <w:rsid w:val="006F39AB"/>
    <w:rsid w:val="006F7CB3"/>
    <w:rsid w:val="007023B2"/>
    <w:rsid w:val="007039A8"/>
    <w:rsid w:val="0070784B"/>
    <w:rsid w:val="00710947"/>
    <w:rsid w:val="00711370"/>
    <w:rsid w:val="00715031"/>
    <w:rsid w:val="007169BC"/>
    <w:rsid w:val="0071744F"/>
    <w:rsid w:val="00724B77"/>
    <w:rsid w:val="00732F33"/>
    <w:rsid w:val="00733215"/>
    <w:rsid w:val="00734B65"/>
    <w:rsid w:val="00735B82"/>
    <w:rsid w:val="00735C88"/>
    <w:rsid w:val="0074162B"/>
    <w:rsid w:val="007531C4"/>
    <w:rsid w:val="00754945"/>
    <w:rsid w:val="007577DB"/>
    <w:rsid w:val="00760E66"/>
    <w:rsid w:val="00766841"/>
    <w:rsid w:val="00770707"/>
    <w:rsid w:val="00773AE8"/>
    <w:rsid w:val="0077668B"/>
    <w:rsid w:val="007776CE"/>
    <w:rsid w:val="00780046"/>
    <w:rsid w:val="00780354"/>
    <w:rsid w:val="007819DD"/>
    <w:rsid w:val="00783B88"/>
    <w:rsid w:val="0079323F"/>
    <w:rsid w:val="007A4AB4"/>
    <w:rsid w:val="007A63DD"/>
    <w:rsid w:val="007B5FB6"/>
    <w:rsid w:val="007B730B"/>
    <w:rsid w:val="007C1F1F"/>
    <w:rsid w:val="007C68A4"/>
    <w:rsid w:val="007D0908"/>
    <w:rsid w:val="007D1CC1"/>
    <w:rsid w:val="007D2303"/>
    <w:rsid w:val="007D287B"/>
    <w:rsid w:val="007D4414"/>
    <w:rsid w:val="007D7746"/>
    <w:rsid w:val="007E5E09"/>
    <w:rsid w:val="007F11CC"/>
    <w:rsid w:val="007F1387"/>
    <w:rsid w:val="00803042"/>
    <w:rsid w:val="008038AA"/>
    <w:rsid w:val="00804D7D"/>
    <w:rsid w:val="00805838"/>
    <w:rsid w:val="008067CF"/>
    <w:rsid w:val="00806A1D"/>
    <w:rsid w:val="00810A60"/>
    <w:rsid w:val="00813D71"/>
    <w:rsid w:val="00814EB6"/>
    <w:rsid w:val="00814EEE"/>
    <w:rsid w:val="008223EF"/>
    <w:rsid w:val="00822E32"/>
    <w:rsid w:val="00823B41"/>
    <w:rsid w:val="00826D89"/>
    <w:rsid w:val="00830D20"/>
    <w:rsid w:val="00833227"/>
    <w:rsid w:val="0083418F"/>
    <w:rsid w:val="00834459"/>
    <w:rsid w:val="00834B0C"/>
    <w:rsid w:val="00835736"/>
    <w:rsid w:val="00835D56"/>
    <w:rsid w:val="00850FF3"/>
    <w:rsid w:val="008520E2"/>
    <w:rsid w:val="00853537"/>
    <w:rsid w:val="008603FF"/>
    <w:rsid w:val="008609BF"/>
    <w:rsid w:val="00861B5C"/>
    <w:rsid w:val="00862D9B"/>
    <w:rsid w:val="008806CE"/>
    <w:rsid w:val="0088797B"/>
    <w:rsid w:val="00896BFF"/>
    <w:rsid w:val="00896DBB"/>
    <w:rsid w:val="0089772F"/>
    <w:rsid w:val="008A1F47"/>
    <w:rsid w:val="008A4731"/>
    <w:rsid w:val="008B2C1F"/>
    <w:rsid w:val="008C20AC"/>
    <w:rsid w:val="008C21A4"/>
    <w:rsid w:val="008C3EF5"/>
    <w:rsid w:val="008D1C45"/>
    <w:rsid w:val="008D7966"/>
    <w:rsid w:val="008E0BDC"/>
    <w:rsid w:val="008E2748"/>
    <w:rsid w:val="0090019E"/>
    <w:rsid w:val="009042B2"/>
    <w:rsid w:val="00907E14"/>
    <w:rsid w:val="009173AC"/>
    <w:rsid w:val="009322DD"/>
    <w:rsid w:val="00932857"/>
    <w:rsid w:val="0093688A"/>
    <w:rsid w:val="00950E8B"/>
    <w:rsid w:val="0095480D"/>
    <w:rsid w:val="0096415D"/>
    <w:rsid w:val="00971499"/>
    <w:rsid w:val="009761EC"/>
    <w:rsid w:val="00982861"/>
    <w:rsid w:val="00987F2B"/>
    <w:rsid w:val="009939C2"/>
    <w:rsid w:val="009A0A7A"/>
    <w:rsid w:val="009A570A"/>
    <w:rsid w:val="009A7E7C"/>
    <w:rsid w:val="009B08C9"/>
    <w:rsid w:val="009B1256"/>
    <w:rsid w:val="009B4023"/>
    <w:rsid w:val="009C0972"/>
    <w:rsid w:val="009C1276"/>
    <w:rsid w:val="009C26D1"/>
    <w:rsid w:val="009D18FC"/>
    <w:rsid w:val="009D27F9"/>
    <w:rsid w:val="009D53D4"/>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2BB0"/>
    <w:rsid w:val="00A554CC"/>
    <w:rsid w:val="00A60798"/>
    <w:rsid w:val="00A61353"/>
    <w:rsid w:val="00A637AD"/>
    <w:rsid w:val="00A640ED"/>
    <w:rsid w:val="00A70199"/>
    <w:rsid w:val="00A72917"/>
    <w:rsid w:val="00A738DB"/>
    <w:rsid w:val="00A7494D"/>
    <w:rsid w:val="00A76331"/>
    <w:rsid w:val="00A80C22"/>
    <w:rsid w:val="00A83619"/>
    <w:rsid w:val="00A852B5"/>
    <w:rsid w:val="00A856E6"/>
    <w:rsid w:val="00A857A4"/>
    <w:rsid w:val="00A9004F"/>
    <w:rsid w:val="00A9104E"/>
    <w:rsid w:val="00A91389"/>
    <w:rsid w:val="00A96F4F"/>
    <w:rsid w:val="00A97EE7"/>
    <w:rsid w:val="00AA77DF"/>
    <w:rsid w:val="00AB0D0F"/>
    <w:rsid w:val="00AB3114"/>
    <w:rsid w:val="00AB3E03"/>
    <w:rsid w:val="00AB68E2"/>
    <w:rsid w:val="00AC2041"/>
    <w:rsid w:val="00AC71B0"/>
    <w:rsid w:val="00AD16EE"/>
    <w:rsid w:val="00AD374F"/>
    <w:rsid w:val="00AD475B"/>
    <w:rsid w:val="00AE5EDF"/>
    <w:rsid w:val="00AE6670"/>
    <w:rsid w:val="00AE7768"/>
    <w:rsid w:val="00AF74B0"/>
    <w:rsid w:val="00B0086F"/>
    <w:rsid w:val="00B0201E"/>
    <w:rsid w:val="00B0751F"/>
    <w:rsid w:val="00B12BEB"/>
    <w:rsid w:val="00B166A0"/>
    <w:rsid w:val="00B17487"/>
    <w:rsid w:val="00B23442"/>
    <w:rsid w:val="00B36484"/>
    <w:rsid w:val="00B561B6"/>
    <w:rsid w:val="00B577A5"/>
    <w:rsid w:val="00B642E5"/>
    <w:rsid w:val="00B6707F"/>
    <w:rsid w:val="00B67DE1"/>
    <w:rsid w:val="00B74B45"/>
    <w:rsid w:val="00B770FE"/>
    <w:rsid w:val="00B81FB3"/>
    <w:rsid w:val="00B86C42"/>
    <w:rsid w:val="00B91F81"/>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14B7"/>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0EBE"/>
    <w:rsid w:val="00C84E10"/>
    <w:rsid w:val="00C84F8D"/>
    <w:rsid w:val="00C860D1"/>
    <w:rsid w:val="00C92E87"/>
    <w:rsid w:val="00C94B3A"/>
    <w:rsid w:val="00C96C49"/>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423C4"/>
    <w:rsid w:val="00D56DE4"/>
    <w:rsid w:val="00D63855"/>
    <w:rsid w:val="00D66795"/>
    <w:rsid w:val="00D67892"/>
    <w:rsid w:val="00D7119E"/>
    <w:rsid w:val="00D76340"/>
    <w:rsid w:val="00D81DE7"/>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0BA6"/>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1B6E"/>
    <w:rsid w:val="00F36D7A"/>
    <w:rsid w:val="00F41EF2"/>
    <w:rsid w:val="00F45ABD"/>
    <w:rsid w:val="00F47F82"/>
    <w:rsid w:val="00F51473"/>
    <w:rsid w:val="00F52BFF"/>
    <w:rsid w:val="00F53E64"/>
    <w:rsid w:val="00F56218"/>
    <w:rsid w:val="00F56615"/>
    <w:rsid w:val="00F610D8"/>
    <w:rsid w:val="00F73511"/>
    <w:rsid w:val="00F75857"/>
    <w:rsid w:val="00F76366"/>
    <w:rsid w:val="00F82439"/>
    <w:rsid w:val="00FA1ED8"/>
    <w:rsid w:val="00FB67B6"/>
    <w:rsid w:val="00FB71C6"/>
    <w:rsid w:val="00FC3883"/>
    <w:rsid w:val="00FC6061"/>
    <w:rsid w:val="00FD6D96"/>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rsid w:val="00C80EBE"/>
    <w:pPr>
      <w:ind w:left="720"/>
      <w:contextualSpacing/>
    </w:pPr>
  </w:style>
  <w:style w:type="paragraph" w:styleId="Revision">
    <w:name w:val="Revision"/>
    <w:hidden/>
    <w:uiPriority w:val="99"/>
    <w:semiHidden/>
    <w:rsid w:val="00116DD4"/>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93662">
      <w:bodyDiv w:val="1"/>
      <w:marLeft w:val="0"/>
      <w:marRight w:val="0"/>
      <w:marTop w:val="0"/>
      <w:marBottom w:val="0"/>
      <w:divBdr>
        <w:top w:val="none" w:sz="0" w:space="0" w:color="auto"/>
        <w:left w:val="none" w:sz="0" w:space="0" w:color="auto"/>
        <w:bottom w:val="none" w:sz="0" w:space="0" w:color="auto"/>
        <w:right w:val="none" w:sz="0" w:space="0" w:color="auto"/>
      </w:divBdr>
    </w:div>
    <w:div w:id="18749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6" ma:contentTypeDescription="Create a new document." ma:contentTypeScope="" ma:versionID="bdd47ff2b933244075499172f56020d0">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296a65e44268f183dfa89a1ce5e1564a"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47513-B4F6-49F8-88A7-83AFF1D5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0C12C-4485-4D44-B271-3DB11800BEB4}">
  <ds:schemaRefs>
    <ds:schemaRef ds:uri="http://schemas.microsoft.com/office/2006/metadata/properties"/>
    <ds:schemaRef ds:uri="http://schemas.microsoft.com/office/infopath/2007/PartnerControls"/>
    <ds:schemaRef ds:uri="c3b28de0-d61c-416d-b4a4-327900c41459"/>
  </ds:schemaRefs>
</ds:datastoreItem>
</file>

<file path=customXml/itemProps3.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4.xml><?xml version="1.0" encoding="utf-8"?>
<ds:datastoreItem xmlns:ds="http://schemas.openxmlformats.org/officeDocument/2006/customXml" ds:itemID="{1E58A6A7-317C-4251-A539-4A6CD4286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5</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4</cp:revision>
  <dcterms:created xsi:type="dcterms:W3CDTF">2023-12-18T23:36:00Z</dcterms:created>
  <dcterms:modified xsi:type="dcterms:W3CDTF">2024-01-24T06:28:00Z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