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C85" w14:textId="77777777" w:rsidR="00A87F7A" w:rsidRPr="005E20FE" w:rsidRDefault="00501BEA">
      <w:pPr>
        <w:rPr>
          <w:rFonts w:ascii="Arial" w:hAnsi="Arial" w:cs="Arial"/>
          <w:szCs w:val="20"/>
        </w:rPr>
      </w:pPr>
      <w:r w:rsidRPr="005E20FE">
        <w:rPr>
          <w:rFonts w:ascii="Arial" w:hAnsi="Arial" w:cs="Arial"/>
          <w:szCs w:val="20"/>
        </w:rPr>
        <w:t>[</w:t>
      </w:r>
      <w:r w:rsidRPr="005E20FE">
        <w:rPr>
          <w:rFonts w:ascii="Arial" w:hAnsi="Arial" w:cs="Arial"/>
          <w:szCs w:val="20"/>
          <w:highlight w:val="lightGray"/>
        </w:rPr>
        <w:t>Insert DD Month YYYY</w:t>
      </w:r>
      <w:r w:rsidRPr="005E20FE">
        <w:rPr>
          <w:rFonts w:ascii="Arial" w:hAnsi="Arial"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A87F7A" w:rsidRPr="005E20FE" w14:paraId="63AC6CF6" w14:textId="77777777">
        <w:tc>
          <w:tcPr>
            <w:tcW w:w="9289" w:type="dxa"/>
            <w:tcBorders>
              <w:top w:val="nil"/>
              <w:left w:val="nil"/>
              <w:bottom w:val="nil"/>
              <w:right w:val="nil"/>
            </w:tcBorders>
          </w:tcPr>
          <w:p w14:paraId="2A88F85A" w14:textId="77777777" w:rsidR="00A87F7A" w:rsidRPr="005E20FE" w:rsidRDefault="00A87F7A">
            <w:pPr>
              <w:rPr>
                <w:rFonts w:ascii="Arial" w:hAnsi="Arial" w:cs="Arial"/>
                <w:b/>
                <w:bCs/>
                <w:szCs w:val="20"/>
              </w:rPr>
            </w:pPr>
            <w:bookmarkStart w:id="0" w:name="Confidential"/>
            <w:bookmarkEnd w:id="0"/>
          </w:p>
        </w:tc>
      </w:tr>
    </w:tbl>
    <w:p w14:paraId="68DCF228" w14:textId="77777777" w:rsidR="00A87F7A" w:rsidRPr="005E20FE" w:rsidRDefault="00501BEA">
      <w:pPr>
        <w:jc w:val="left"/>
        <w:rPr>
          <w:rFonts w:ascii="Arial" w:hAnsi="Arial" w:cs="Arial"/>
          <w:szCs w:val="20"/>
        </w:rPr>
      </w:pPr>
      <w:bookmarkStart w:id="1" w:name="Name1"/>
      <w:bookmarkEnd w:id="1"/>
      <w:r w:rsidRPr="005E20FE">
        <w:rPr>
          <w:rFonts w:ascii="Arial" w:hAnsi="Arial" w:cs="Arial"/>
          <w:szCs w:val="20"/>
        </w:rPr>
        <w:t>[</w:t>
      </w:r>
      <w:r w:rsidRPr="005E20FE">
        <w:rPr>
          <w:rFonts w:ascii="Arial" w:hAnsi="Arial" w:cs="Arial"/>
          <w:szCs w:val="20"/>
          <w:highlight w:val="lightGray"/>
        </w:rPr>
        <w:t>Insert Contact Person’s Name</w:t>
      </w:r>
      <w:r w:rsidRPr="005E20FE">
        <w:rPr>
          <w:rFonts w:ascii="Arial" w:hAnsi="Arial" w:cs="Arial"/>
          <w:szCs w:val="20"/>
        </w:rPr>
        <w:t>]</w:t>
      </w:r>
    </w:p>
    <w:p w14:paraId="7F42CBBC" w14:textId="77777777" w:rsidR="00A87F7A" w:rsidRPr="005E20FE" w:rsidRDefault="00501BEA">
      <w:pPr>
        <w:jc w:val="left"/>
        <w:rPr>
          <w:rFonts w:ascii="Arial" w:hAnsi="Arial" w:cs="Arial"/>
          <w:szCs w:val="20"/>
        </w:rPr>
      </w:pPr>
      <w:r w:rsidRPr="005E20FE">
        <w:rPr>
          <w:rFonts w:ascii="Arial" w:hAnsi="Arial" w:cs="Arial"/>
          <w:szCs w:val="20"/>
        </w:rPr>
        <w:t>[</w:t>
      </w:r>
      <w:r w:rsidRPr="005E20FE">
        <w:rPr>
          <w:rFonts w:ascii="Arial" w:hAnsi="Arial" w:cs="Arial"/>
          <w:szCs w:val="20"/>
          <w:highlight w:val="lightGray"/>
        </w:rPr>
        <w:t>Insert Company Name</w:t>
      </w:r>
      <w:r w:rsidRPr="005E20FE">
        <w:rPr>
          <w:rFonts w:ascii="Arial" w:hAnsi="Arial" w:cs="Arial"/>
          <w:szCs w:val="20"/>
        </w:rPr>
        <w:t>]</w:t>
      </w:r>
    </w:p>
    <w:p w14:paraId="408ED805" w14:textId="77777777" w:rsidR="00A87F7A" w:rsidRPr="005E20FE" w:rsidRDefault="00501BEA">
      <w:pPr>
        <w:jc w:val="left"/>
        <w:rPr>
          <w:rFonts w:ascii="Arial" w:hAnsi="Arial" w:cs="Arial"/>
          <w:szCs w:val="20"/>
        </w:rPr>
      </w:pPr>
      <w:bookmarkStart w:id="2" w:name="Position"/>
      <w:bookmarkStart w:id="3" w:name="Address1"/>
      <w:bookmarkEnd w:id="2"/>
      <w:bookmarkEnd w:id="3"/>
      <w:r w:rsidRPr="005E20FE">
        <w:rPr>
          <w:rFonts w:ascii="Arial" w:hAnsi="Arial" w:cs="Arial"/>
          <w:szCs w:val="20"/>
        </w:rPr>
        <w:t>[</w:t>
      </w:r>
      <w:r w:rsidRPr="005E20FE">
        <w:rPr>
          <w:rFonts w:ascii="Arial" w:hAnsi="Arial" w:cs="Arial"/>
          <w:szCs w:val="20"/>
          <w:highlight w:val="lightGray"/>
        </w:rPr>
        <w:t>Insert Company Address</w:t>
      </w:r>
      <w:r w:rsidRPr="005E20FE">
        <w:rPr>
          <w:rFonts w:ascii="Arial" w:hAnsi="Arial" w:cs="Arial"/>
          <w:szCs w:val="20"/>
        </w:rPr>
        <w:t>]</w:t>
      </w:r>
    </w:p>
    <w:p w14:paraId="430200DF" w14:textId="77777777" w:rsidR="00A87F7A" w:rsidRPr="005E20FE" w:rsidRDefault="00501BEA">
      <w:pPr>
        <w:jc w:val="left"/>
        <w:rPr>
          <w:rFonts w:ascii="Arial" w:hAnsi="Arial" w:cs="Arial"/>
          <w:szCs w:val="20"/>
          <w:highlight w:val="lightGray"/>
        </w:rPr>
      </w:pPr>
      <w:bookmarkStart w:id="4" w:name="Suburb"/>
      <w:bookmarkEnd w:id="4"/>
      <w:r w:rsidRPr="005E20FE">
        <w:rPr>
          <w:rFonts w:ascii="Arial" w:hAnsi="Arial" w:cs="Arial"/>
          <w:szCs w:val="20"/>
        </w:rPr>
        <w:t>[</w:t>
      </w:r>
      <w:r w:rsidRPr="005E20FE">
        <w:rPr>
          <w:rFonts w:ascii="Arial" w:hAnsi="Arial" w:cs="Arial"/>
          <w:szCs w:val="20"/>
          <w:highlight w:val="lightGray"/>
        </w:rPr>
        <w:t>Suburb</w:t>
      </w:r>
      <w:bookmarkStart w:id="5" w:name="State"/>
      <w:bookmarkStart w:id="6" w:name="PostCode"/>
      <w:bookmarkEnd w:id="5"/>
      <w:bookmarkEnd w:id="6"/>
      <w:r w:rsidRPr="005E20FE">
        <w:rPr>
          <w:rFonts w:ascii="Arial" w:hAnsi="Arial" w:cs="Arial"/>
          <w:szCs w:val="20"/>
        </w:rPr>
        <w:t>]</w:t>
      </w:r>
    </w:p>
    <w:p w14:paraId="3EE848AC" w14:textId="77777777" w:rsidR="00A87F7A" w:rsidRPr="005E20FE" w:rsidRDefault="00501BEA">
      <w:pPr>
        <w:jc w:val="left"/>
        <w:rPr>
          <w:rFonts w:ascii="Arial" w:hAnsi="Arial" w:cs="Arial"/>
          <w:szCs w:val="20"/>
        </w:rPr>
      </w:pPr>
      <w:r w:rsidRPr="005E20FE">
        <w:rPr>
          <w:rFonts w:ascii="Arial" w:hAnsi="Arial" w:cs="Arial"/>
          <w:szCs w:val="20"/>
        </w:rPr>
        <w:t>[</w:t>
      </w:r>
      <w:r w:rsidRPr="005E20FE">
        <w:rPr>
          <w:rFonts w:ascii="Arial" w:hAnsi="Arial" w:cs="Arial"/>
          <w:szCs w:val="20"/>
          <w:highlight w:val="lightGray"/>
        </w:rPr>
        <w:t>City, Post Code</w:t>
      </w:r>
      <w:r w:rsidRPr="005E20FE">
        <w:rPr>
          <w:rFonts w:ascii="Arial" w:hAnsi="Arial" w:cs="Arial"/>
          <w:szCs w:val="20"/>
        </w:rPr>
        <w:t>]</w:t>
      </w:r>
    </w:p>
    <w:p w14:paraId="7038CA45" w14:textId="77777777" w:rsidR="00A87F7A" w:rsidRPr="005E20FE" w:rsidRDefault="00A87F7A">
      <w:pPr>
        <w:jc w:val="left"/>
        <w:rPr>
          <w:rFonts w:ascii="Arial" w:hAnsi="Arial" w:cs="Arial"/>
          <w:szCs w:val="20"/>
        </w:rPr>
      </w:pPr>
    </w:p>
    <w:p w14:paraId="4DB4A676" w14:textId="77777777" w:rsidR="00A87F7A" w:rsidRPr="005E20FE" w:rsidRDefault="00A87F7A">
      <w:pPr>
        <w:jc w:val="left"/>
        <w:rPr>
          <w:rFonts w:ascii="Arial" w:hAnsi="Arial" w:cs="Arial"/>
          <w:bCs/>
          <w:szCs w:val="20"/>
        </w:rPr>
      </w:pPr>
    </w:p>
    <w:p w14:paraId="2662DE33" w14:textId="77777777" w:rsidR="00A87F7A" w:rsidRPr="005E20FE" w:rsidRDefault="00501BEA">
      <w:pPr>
        <w:jc w:val="left"/>
        <w:rPr>
          <w:rFonts w:ascii="Arial" w:hAnsi="Arial" w:cs="Arial"/>
          <w:szCs w:val="20"/>
        </w:rPr>
      </w:pPr>
      <w:r w:rsidRPr="005E20FE">
        <w:rPr>
          <w:rFonts w:ascii="Arial" w:hAnsi="Arial" w:cs="Arial"/>
          <w:szCs w:val="20"/>
        </w:rPr>
        <w:t xml:space="preserve">Dear </w:t>
      </w:r>
      <w:bookmarkStart w:id="7" w:name="Salutation"/>
      <w:bookmarkEnd w:id="7"/>
      <w:r w:rsidRPr="005E20FE">
        <w:rPr>
          <w:rFonts w:ascii="Arial" w:hAnsi="Arial" w:cs="Arial"/>
          <w:szCs w:val="20"/>
        </w:rPr>
        <w:t>[</w:t>
      </w:r>
      <w:r w:rsidRPr="005E20FE">
        <w:rPr>
          <w:rFonts w:ascii="Arial" w:hAnsi="Arial" w:cs="Arial"/>
          <w:szCs w:val="20"/>
          <w:highlight w:val="lightGray"/>
        </w:rPr>
        <w:t>Insert Client Name</w:t>
      </w:r>
      <w:r w:rsidRPr="005E20FE">
        <w:rPr>
          <w:rFonts w:ascii="Arial" w:hAnsi="Arial" w:cs="Arial"/>
          <w:szCs w:val="20"/>
        </w:rPr>
        <w:t>]</w:t>
      </w:r>
    </w:p>
    <w:p w14:paraId="39F3227E" w14:textId="77777777" w:rsidR="00A87F7A" w:rsidRDefault="00A87F7A">
      <w:pPr>
        <w:jc w:val="left"/>
        <w:rPr>
          <w:rFonts w:ascii="Arial" w:hAnsi="Arial" w:cs="Arial"/>
          <w:b/>
          <w:bCs/>
          <w:sz w:val="21"/>
          <w:szCs w:val="21"/>
        </w:rPr>
      </w:pPr>
    </w:p>
    <w:p w14:paraId="3F7F1F0E" w14:textId="77777777" w:rsidR="00A87F7A" w:rsidRDefault="00A87F7A">
      <w:pPr>
        <w:jc w:val="left"/>
        <w:rPr>
          <w:rFonts w:ascii="Arial" w:hAnsi="Arial" w:cs="Arial"/>
          <w:b/>
          <w:bCs/>
          <w:sz w:val="21"/>
          <w:szCs w:val="21"/>
        </w:rPr>
      </w:pPr>
    </w:p>
    <w:p w14:paraId="0AD7296A" w14:textId="77777777" w:rsidR="00A87F7A" w:rsidRDefault="00501BEA">
      <w:pPr>
        <w:jc w:val="left"/>
        <w:rPr>
          <w:rFonts w:ascii="Arial" w:hAnsi="Arial" w:cs="Arial"/>
          <w:b/>
          <w:bCs/>
          <w:sz w:val="21"/>
          <w:szCs w:val="21"/>
        </w:rPr>
      </w:pPr>
      <w:r>
        <w:rPr>
          <w:rFonts w:ascii="Arial" w:hAnsi="Arial" w:cs="Arial"/>
          <w:b/>
          <w:bCs/>
          <w:sz w:val="21"/>
          <w:szCs w:val="21"/>
        </w:rPr>
        <w:t>Re:</w:t>
      </w:r>
      <w:r>
        <w:rPr>
          <w:rFonts w:ascii="Arial" w:hAnsi="Arial" w:cs="Arial"/>
          <w:b/>
          <w:bCs/>
          <w:sz w:val="21"/>
          <w:szCs w:val="21"/>
        </w:rPr>
        <w:tab/>
      </w:r>
      <w:bookmarkStart w:id="8" w:name="Subject"/>
      <w:bookmarkEnd w:id="8"/>
      <w:r>
        <w:rPr>
          <w:rFonts w:ascii="Arial" w:hAnsi="Arial" w:cs="Arial"/>
          <w:b/>
          <w:bCs/>
          <w:sz w:val="21"/>
          <w:szCs w:val="21"/>
        </w:rPr>
        <w:t>[</w:t>
      </w:r>
      <w:r>
        <w:rPr>
          <w:rFonts w:ascii="Arial" w:hAnsi="Arial" w:cs="Arial"/>
          <w:b/>
          <w:bCs/>
          <w:sz w:val="21"/>
          <w:szCs w:val="21"/>
          <w:highlight w:val="lightGray"/>
        </w:rPr>
        <w:t>Insert Company</w:t>
      </w:r>
      <w:r>
        <w:rPr>
          <w:rFonts w:ascii="Arial" w:hAnsi="Arial" w:cs="Arial"/>
          <w:b/>
          <w:bCs/>
          <w:sz w:val="21"/>
          <w:szCs w:val="21"/>
        </w:rPr>
        <w:t>] Potential GST Issues</w:t>
      </w:r>
    </w:p>
    <w:p w14:paraId="7B5C8C5D" w14:textId="77777777" w:rsidR="00A87F7A" w:rsidRDefault="00A87F7A">
      <w:pPr>
        <w:rPr>
          <w:rFonts w:ascii="Arial" w:hAnsi="Arial" w:cs="Arial"/>
          <w:sz w:val="21"/>
          <w:szCs w:val="21"/>
        </w:rPr>
      </w:pPr>
    </w:p>
    <w:p w14:paraId="2881C938" w14:textId="06135ADF" w:rsidR="00A87F7A" w:rsidRPr="005E20FE" w:rsidRDefault="00501BEA" w:rsidP="005E20FE">
      <w:pPr>
        <w:spacing w:line="276" w:lineRule="auto"/>
        <w:jc w:val="left"/>
        <w:rPr>
          <w:rFonts w:ascii="Arial" w:hAnsi="Arial" w:cs="Arial"/>
          <w:szCs w:val="20"/>
        </w:rPr>
      </w:pPr>
      <w:r w:rsidRPr="005E20FE">
        <w:rPr>
          <w:rFonts w:ascii="Arial" w:hAnsi="Arial" w:cs="Arial"/>
          <w:szCs w:val="20"/>
        </w:rPr>
        <w:t xml:space="preserve">We are writing to you </w:t>
      </w:r>
      <w:proofErr w:type="gramStart"/>
      <w:r w:rsidR="00B418E7" w:rsidRPr="005E20FE">
        <w:rPr>
          <w:rFonts w:ascii="Arial" w:hAnsi="Arial" w:cs="Arial"/>
          <w:szCs w:val="20"/>
        </w:rPr>
        <w:t>in regard to</w:t>
      </w:r>
      <w:proofErr w:type="gramEnd"/>
      <w:r w:rsidRPr="005E20FE">
        <w:rPr>
          <w:rFonts w:ascii="Arial" w:hAnsi="Arial" w:cs="Arial"/>
          <w:szCs w:val="20"/>
        </w:rPr>
        <w:t xml:space="preserve"> [</w:t>
      </w:r>
      <w:r w:rsidRPr="005E20FE">
        <w:rPr>
          <w:rFonts w:ascii="Arial" w:hAnsi="Arial" w:cs="Arial"/>
          <w:szCs w:val="20"/>
          <w:highlight w:val="lightGray"/>
        </w:rPr>
        <w:t>insert company name</w:t>
      </w:r>
      <w:r w:rsidRPr="005E20FE">
        <w:rPr>
          <w:rFonts w:ascii="Arial" w:hAnsi="Arial" w:cs="Arial"/>
          <w:szCs w:val="20"/>
        </w:rPr>
        <w:t>]’s GST compliance in light</w:t>
      </w:r>
      <w:r w:rsidR="005E20FE">
        <w:rPr>
          <w:rFonts w:ascii="Arial" w:hAnsi="Arial" w:cs="Arial"/>
          <w:szCs w:val="20"/>
        </w:rPr>
        <w:t xml:space="preserve"> of common errors seen by IRD. </w:t>
      </w:r>
      <w:r w:rsidRPr="005E20FE">
        <w:rPr>
          <w:rFonts w:ascii="Arial" w:hAnsi="Arial" w:cs="Arial"/>
          <w:szCs w:val="20"/>
        </w:rPr>
        <w:t>If any of the below apply to [</w:t>
      </w:r>
      <w:r w:rsidRPr="005E20FE">
        <w:rPr>
          <w:rFonts w:ascii="Arial" w:hAnsi="Arial" w:cs="Arial"/>
          <w:szCs w:val="20"/>
          <w:highlight w:val="lightGray"/>
        </w:rPr>
        <w:t>insert company name</w:t>
      </w:r>
      <w:r w:rsidRPr="005E20FE">
        <w:rPr>
          <w:rFonts w:ascii="Arial" w:hAnsi="Arial" w:cs="Arial"/>
          <w:szCs w:val="20"/>
        </w:rPr>
        <w:t>] or</w:t>
      </w:r>
      <w:r w:rsidR="005E20FE">
        <w:rPr>
          <w:rFonts w:ascii="Arial" w:hAnsi="Arial" w:cs="Arial"/>
          <w:szCs w:val="20"/>
        </w:rPr>
        <w:t xml:space="preserve"> if you wish to discuss any of </w:t>
      </w:r>
      <w:r w:rsidRPr="005E20FE">
        <w:rPr>
          <w:rFonts w:ascii="Arial" w:hAnsi="Arial" w:cs="Arial"/>
          <w:szCs w:val="20"/>
        </w:rPr>
        <w:t xml:space="preserve">these matters in further detail, please feel free to contact us. </w:t>
      </w:r>
    </w:p>
    <w:p w14:paraId="16111F85" w14:textId="77777777" w:rsidR="00A87F7A" w:rsidRPr="005E20FE" w:rsidRDefault="00A87F7A" w:rsidP="005E20FE">
      <w:pPr>
        <w:spacing w:line="276" w:lineRule="auto"/>
        <w:jc w:val="left"/>
        <w:rPr>
          <w:rFonts w:ascii="Arial" w:hAnsi="Arial" w:cs="Arial"/>
          <w:szCs w:val="20"/>
        </w:rPr>
      </w:pPr>
    </w:p>
    <w:p w14:paraId="29F2F14F" w14:textId="77777777" w:rsidR="00A87F7A" w:rsidRPr="005E20FE" w:rsidRDefault="00501BEA" w:rsidP="005E20FE">
      <w:pPr>
        <w:spacing w:line="276" w:lineRule="auto"/>
        <w:jc w:val="left"/>
        <w:rPr>
          <w:rFonts w:ascii="Arial" w:hAnsi="Arial" w:cs="Arial"/>
          <w:szCs w:val="20"/>
        </w:rPr>
      </w:pPr>
      <w:r w:rsidRPr="005E20FE">
        <w:rPr>
          <w:rFonts w:ascii="Arial" w:hAnsi="Arial" w:cs="Arial"/>
          <w:szCs w:val="20"/>
        </w:rPr>
        <w:t>Inland Revenue hav</w:t>
      </w:r>
      <w:r w:rsidR="00CE5197" w:rsidRPr="005E20FE">
        <w:rPr>
          <w:rFonts w:ascii="Arial" w:hAnsi="Arial" w:cs="Arial"/>
          <w:szCs w:val="20"/>
        </w:rPr>
        <w:t>e highlighted the following issues</w:t>
      </w:r>
      <w:r w:rsidRPr="005E20FE">
        <w:rPr>
          <w:rFonts w:ascii="Arial" w:hAnsi="Arial" w:cs="Arial"/>
          <w:szCs w:val="20"/>
        </w:rPr>
        <w:t xml:space="preserve"> as common areas for mistakes to be made.  Please note that this is not an exhaustive list, and if you are unsure of the GST treatment of any transaction, we would be happy to assist you with it.  </w:t>
      </w:r>
    </w:p>
    <w:p w14:paraId="68201BD2" w14:textId="77777777" w:rsidR="00A87F7A" w:rsidRDefault="00A87F7A">
      <w:pPr>
        <w:ind w:right="-56"/>
        <w:rPr>
          <w:rFonts w:ascii="Arial" w:hAnsi="Arial" w:cs="Arial"/>
          <w:sz w:val="21"/>
          <w:szCs w:val="21"/>
        </w:rPr>
      </w:pPr>
    </w:p>
    <w:tbl>
      <w:tblPr>
        <w:tblStyle w:val="TableGrid"/>
        <w:tblW w:w="0" w:type="auto"/>
        <w:tblLook w:val="04A0" w:firstRow="1" w:lastRow="0" w:firstColumn="1" w:lastColumn="0" w:noHBand="0" w:noVBand="1"/>
      </w:tblPr>
      <w:tblGrid>
        <w:gridCol w:w="1925"/>
        <w:gridCol w:w="11"/>
        <w:gridCol w:w="3301"/>
        <w:gridCol w:w="3826"/>
      </w:tblGrid>
      <w:tr w:rsidR="00A87F7A" w:rsidRPr="00CE5197" w14:paraId="5AEE7E50" w14:textId="77777777" w:rsidTr="00D36AC5">
        <w:tc>
          <w:tcPr>
            <w:tcW w:w="1925" w:type="dxa"/>
            <w:shd w:val="clear" w:color="auto" w:fill="D9D9D9" w:themeFill="background1" w:themeFillShade="D9"/>
          </w:tcPr>
          <w:p w14:paraId="32D82301" w14:textId="77777777" w:rsidR="00A87F7A" w:rsidRPr="00CE5197" w:rsidRDefault="00501BEA" w:rsidP="005E20FE">
            <w:pPr>
              <w:spacing w:before="100" w:after="100"/>
              <w:jc w:val="left"/>
              <w:rPr>
                <w:rFonts w:ascii="Arial" w:hAnsi="Arial" w:cs="Arial"/>
                <w:b/>
                <w:szCs w:val="20"/>
              </w:rPr>
            </w:pPr>
            <w:bookmarkStart w:id="9" w:name="_Hlk515954878"/>
            <w:r w:rsidRPr="00CE5197">
              <w:rPr>
                <w:rFonts w:ascii="Arial" w:hAnsi="Arial" w:cs="Arial"/>
                <w:b/>
                <w:szCs w:val="20"/>
              </w:rPr>
              <w:t>Issue</w:t>
            </w:r>
          </w:p>
        </w:tc>
        <w:tc>
          <w:tcPr>
            <w:tcW w:w="3311" w:type="dxa"/>
            <w:gridSpan w:val="2"/>
            <w:shd w:val="clear" w:color="auto" w:fill="D9D9D9" w:themeFill="background1" w:themeFillShade="D9"/>
          </w:tcPr>
          <w:p w14:paraId="28C39D6E" w14:textId="77777777" w:rsidR="00A87F7A" w:rsidRPr="00CE5197" w:rsidRDefault="00501BEA" w:rsidP="005E20FE">
            <w:pPr>
              <w:spacing w:before="100" w:after="100"/>
              <w:jc w:val="left"/>
              <w:rPr>
                <w:rFonts w:ascii="Arial" w:hAnsi="Arial" w:cs="Arial"/>
                <w:b/>
                <w:szCs w:val="20"/>
              </w:rPr>
            </w:pPr>
            <w:r w:rsidRPr="00CE5197">
              <w:rPr>
                <w:rFonts w:ascii="Arial" w:hAnsi="Arial" w:cs="Arial"/>
                <w:b/>
                <w:szCs w:val="20"/>
              </w:rPr>
              <w:t>Examples</w:t>
            </w:r>
          </w:p>
        </w:tc>
        <w:tc>
          <w:tcPr>
            <w:tcW w:w="3827" w:type="dxa"/>
            <w:shd w:val="clear" w:color="auto" w:fill="D9D9D9" w:themeFill="background1" w:themeFillShade="D9"/>
          </w:tcPr>
          <w:p w14:paraId="737B440C" w14:textId="77777777" w:rsidR="00A87F7A" w:rsidRPr="00CE5197" w:rsidRDefault="00501BEA" w:rsidP="005E20FE">
            <w:pPr>
              <w:spacing w:before="100" w:after="100"/>
              <w:jc w:val="left"/>
              <w:rPr>
                <w:rFonts w:ascii="Arial" w:hAnsi="Arial" w:cs="Arial"/>
                <w:b/>
                <w:szCs w:val="20"/>
              </w:rPr>
            </w:pPr>
            <w:r w:rsidRPr="00CE5197">
              <w:rPr>
                <w:rFonts w:ascii="Arial" w:hAnsi="Arial" w:cs="Arial"/>
                <w:b/>
                <w:szCs w:val="20"/>
              </w:rPr>
              <w:t>How we can assist</w:t>
            </w:r>
          </w:p>
        </w:tc>
      </w:tr>
      <w:bookmarkEnd w:id="9"/>
      <w:tr w:rsidR="00A87F7A" w:rsidRPr="00CE5197" w14:paraId="69384764" w14:textId="77777777" w:rsidTr="00D36AC5">
        <w:tc>
          <w:tcPr>
            <w:tcW w:w="1925" w:type="dxa"/>
          </w:tcPr>
          <w:p w14:paraId="0A70A9F1"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Preparation Errors</w:t>
            </w:r>
          </w:p>
        </w:tc>
        <w:tc>
          <w:tcPr>
            <w:tcW w:w="3311" w:type="dxa"/>
            <w:gridSpan w:val="2"/>
          </w:tcPr>
          <w:p w14:paraId="1F344517"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Figures entered in incorrect boxes, numeric errors, insufficient information</w:t>
            </w:r>
            <w:r w:rsidR="00CE5197">
              <w:rPr>
                <w:rFonts w:ascii="Arial" w:hAnsi="Arial" w:cs="Arial"/>
                <w:szCs w:val="20"/>
              </w:rPr>
              <w:t>.</w:t>
            </w:r>
          </w:p>
        </w:tc>
        <w:tc>
          <w:tcPr>
            <w:tcW w:w="3827" w:type="dxa"/>
          </w:tcPr>
          <w:p w14:paraId="334B4239"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review your GST returns and file these with Inland Revenue on your behalf</w:t>
            </w:r>
            <w:r w:rsidR="00CE5197">
              <w:rPr>
                <w:rFonts w:ascii="Arial" w:hAnsi="Arial" w:cs="Arial"/>
                <w:szCs w:val="20"/>
              </w:rPr>
              <w:t>.</w:t>
            </w:r>
          </w:p>
        </w:tc>
      </w:tr>
      <w:tr w:rsidR="00A87F7A" w:rsidRPr="00CE5197" w14:paraId="6CBFDDF9" w14:textId="77777777" w:rsidTr="00D36AC5">
        <w:tc>
          <w:tcPr>
            <w:tcW w:w="1925" w:type="dxa"/>
          </w:tcPr>
          <w:p w14:paraId="2F17BA7F"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Private Use Adjustments</w:t>
            </w:r>
          </w:p>
        </w:tc>
        <w:tc>
          <w:tcPr>
            <w:tcW w:w="3311" w:type="dxa"/>
            <w:gridSpan w:val="2"/>
          </w:tcPr>
          <w:p w14:paraId="3C5A5495"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Claiming a full input tax credit on an asset that is partially used for private (non-business) use</w:t>
            </w:r>
            <w:r w:rsidR="00CE5197">
              <w:rPr>
                <w:rFonts w:ascii="Arial" w:hAnsi="Arial" w:cs="Arial"/>
                <w:szCs w:val="20"/>
              </w:rPr>
              <w:t>.</w:t>
            </w:r>
          </w:p>
        </w:tc>
        <w:tc>
          <w:tcPr>
            <w:tcW w:w="3827" w:type="dxa"/>
          </w:tcPr>
          <w:p w14:paraId="706BA5AD"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review the correct GST treatment of business assets used for private purposes and provide advice on how to reflect this in your GST returns</w:t>
            </w:r>
            <w:r w:rsidR="00CE5197">
              <w:rPr>
                <w:rFonts w:ascii="Arial" w:hAnsi="Arial" w:cs="Arial"/>
                <w:szCs w:val="20"/>
              </w:rPr>
              <w:t>.</w:t>
            </w:r>
          </w:p>
        </w:tc>
      </w:tr>
      <w:tr w:rsidR="00A87F7A" w:rsidRPr="00CE5197" w14:paraId="09AE053E" w14:textId="77777777" w:rsidTr="00D36AC5">
        <w:tc>
          <w:tcPr>
            <w:tcW w:w="1925" w:type="dxa"/>
          </w:tcPr>
          <w:p w14:paraId="17B38AAD"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Registration and De-registration</w:t>
            </w:r>
          </w:p>
        </w:tc>
        <w:tc>
          <w:tcPr>
            <w:tcW w:w="3311" w:type="dxa"/>
            <w:gridSpan w:val="2"/>
          </w:tcPr>
          <w:p w14:paraId="5DDBD401"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Not registering for GST when you expect business income to be over $60,000 and not de-registering when taxable activity ceases</w:t>
            </w:r>
            <w:r w:rsidR="00CE5197">
              <w:rPr>
                <w:rFonts w:ascii="Arial" w:hAnsi="Arial" w:cs="Arial"/>
                <w:szCs w:val="20"/>
              </w:rPr>
              <w:t>.</w:t>
            </w:r>
          </w:p>
        </w:tc>
        <w:tc>
          <w:tcPr>
            <w:tcW w:w="3827" w:type="dxa"/>
          </w:tcPr>
          <w:p w14:paraId="55611D4D"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 xml:space="preserve">We </w:t>
            </w:r>
            <w:r w:rsidR="005E20FE">
              <w:rPr>
                <w:rFonts w:ascii="Arial" w:hAnsi="Arial" w:cs="Arial"/>
                <w:szCs w:val="20"/>
              </w:rPr>
              <w:t xml:space="preserve">can </w:t>
            </w:r>
            <w:r w:rsidRPr="00CE5197">
              <w:rPr>
                <w:rFonts w:ascii="Arial" w:hAnsi="Arial" w:cs="Arial"/>
                <w:szCs w:val="20"/>
              </w:rPr>
              <w:t xml:space="preserve">discuss your </w:t>
            </w:r>
            <w:proofErr w:type="gramStart"/>
            <w:r w:rsidRPr="00CE5197">
              <w:rPr>
                <w:rFonts w:ascii="Arial" w:hAnsi="Arial" w:cs="Arial"/>
                <w:szCs w:val="20"/>
              </w:rPr>
              <w:t>particular circumstances</w:t>
            </w:r>
            <w:proofErr w:type="gramEnd"/>
            <w:r w:rsidRPr="00CE5197">
              <w:rPr>
                <w:rFonts w:ascii="Arial" w:hAnsi="Arial" w:cs="Arial"/>
                <w:szCs w:val="20"/>
              </w:rPr>
              <w:t xml:space="preserve"> and provide advice regarding registration and de-registration issues</w:t>
            </w:r>
            <w:r w:rsidR="00CE5197">
              <w:rPr>
                <w:rFonts w:ascii="Arial" w:hAnsi="Arial" w:cs="Arial"/>
                <w:szCs w:val="20"/>
              </w:rPr>
              <w:t>.</w:t>
            </w:r>
          </w:p>
        </w:tc>
      </w:tr>
      <w:tr w:rsidR="00A87F7A" w:rsidRPr="00CE5197" w14:paraId="746F76AC" w14:textId="77777777" w:rsidTr="00D36AC5">
        <w:tc>
          <w:tcPr>
            <w:tcW w:w="1925" w:type="dxa"/>
          </w:tcPr>
          <w:p w14:paraId="740BCF12"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Incomplete Taxable Supplies Returned</w:t>
            </w:r>
          </w:p>
        </w:tc>
        <w:tc>
          <w:tcPr>
            <w:tcW w:w="3311" w:type="dxa"/>
            <w:gridSpan w:val="2"/>
          </w:tcPr>
          <w:p w14:paraId="0413E48C"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Not including all supplies which should be subject to GST at 15%</w:t>
            </w:r>
            <w:r w:rsidR="00CE5197">
              <w:rPr>
                <w:rFonts w:ascii="Arial" w:hAnsi="Arial" w:cs="Arial"/>
                <w:szCs w:val="20"/>
              </w:rPr>
              <w:t>.</w:t>
            </w:r>
          </w:p>
        </w:tc>
        <w:tc>
          <w:tcPr>
            <w:tcW w:w="3827" w:type="dxa"/>
          </w:tcPr>
          <w:p w14:paraId="0A337DD8"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review your supplies and advise what amounts are exempt and what should be rated at 0% and 15% to ensure the correct amounts are returned</w:t>
            </w:r>
            <w:r w:rsidR="00CE5197">
              <w:rPr>
                <w:rFonts w:ascii="Arial" w:hAnsi="Arial" w:cs="Arial"/>
                <w:szCs w:val="20"/>
              </w:rPr>
              <w:t>.</w:t>
            </w:r>
          </w:p>
        </w:tc>
      </w:tr>
      <w:tr w:rsidR="00A87F7A" w:rsidRPr="00CE5197" w14:paraId="05886213" w14:textId="77777777" w:rsidTr="00D36AC5">
        <w:tc>
          <w:tcPr>
            <w:tcW w:w="1925" w:type="dxa"/>
          </w:tcPr>
          <w:p w14:paraId="73288EF4"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Returning GST in Incorrect Periods</w:t>
            </w:r>
          </w:p>
        </w:tc>
        <w:tc>
          <w:tcPr>
            <w:tcW w:w="3311" w:type="dxa"/>
            <w:gridSpan w:val="2"/>
          </w:tcPr>
          <w:p w14:paraId="76012B30"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Including supplies made after the return period or adjusting for prior errors of supplies not included in the last return period</w:t>
            </w:r>
            <w:r w:rsidR="00CE5197">
              <w:rPr>
                <w:rFonts w:ascii="Arial" w:hAnsi="Arial" w:cs="Arial"/>
                <w:szCs w:val="20"/>
              </w:rPr>
              <w:t>.</w:t>
            </w:r>
          </w:p>
        </w:tc>
        <w:tc>
          <w:tcPr>
            <w:tcW w:w="3827" w:type="dxa"/>
          </w:tcPr>
          <w:p w14:paraId="25E2B6B7"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assist you in correcting any historical GST issues by lodging all necessary information to Inland Revenue in the most efficient format to ensure quick processing</w:t>
            </w:r>
            <w:r w:rsidR="00CE5197">
              <w:rPr>
                <w:rFonts w:ascii="Arial" w:hAnsi="Arial" w:cs="Arial"/>
                <w:szCs w:val="20"/>
              </w:rPr>
              <w:t>.</w:t>
            </w:r>
          </w:p>
        </w:tc>
      </w:tr>
      <w:tr w:rsidR="00F6576D" w:rsidRPr="00CE5197" w14:paraId="2171F693" w14:textId="77777777" w:rsidTr="00D36AC5">
        <w:tc>
          <w:tcPr>
            <w:tcW w:w="1925" w:type="dxa"/>
          </w:tcPr>
          <w:p w14:paraId="5C273357"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Zero Rating of Exported Goods</w:t>
            </w:r>
          </w:p>
        </w:tc>
        <w:tc>
          <w:tcPr>
            <w:tcW w:w="3311" w:type="dxa"/>
            <w:gridSpan w:val="2"/>
          </w:tcPr>
          <w:p w14:paraId="66E97289"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Goods incorrectly zero rated where the taxpayer is not the exporter of record</w:t>
            </w:r>
            <w:r w:rsidR="00CE5197">
              <w:rPr>
                <w:rFonts w:ascii="Arial" w:hAnsi="Arial" w:cs="Arial"/>
                <w:szCs w:val="20"/>
              </w:rPr>
              <w:t>.</w:t>
            </w:r>
          </w:p>
        </w:tc>
        <w:tc>
          <w:tcPr>
            <w:tcW w:w="3827" w:type="dxa"/>
          </w:tcPr>
          <w:p w14:paraId="24DBDB1F"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We can assist with advising on the requirements to zero rate exported goods and application of these provisions to you</w:t>
            </w:r>
            <w:r w:rsidR="00CE5197">
              <w:rPr>
                <w:rFonts w:ascii="Arial" w:hAnsi="Arial" w:cs="Arial"/>
                <w:szCs w:val="20"/>
              </w:rPr>
              <w:t>.</w:t>
            </w:r>
          </w:p>
        </w:tc>
      </w:tr>
      <w:tr w:rsidR="00F6576D" w:rsidRPr="00CE5197" w14:paraId="71161E0F" w14:textId="77777777" w:rsidTr="00D36AC5">
        <w:tc>
          <w:tcPr>
            <w:tcW w:w="1925" w:type="dxa"/>
          </w:tcPr>
          <w:p w14:paraId="2C0D35BA"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GST and Land Transactions</w:t>
            </w:r>
          </w:p>
        </w:tc>
        <w:tc>
          <w:tcPr>
            <w:tcW w:w="3311" w:type="dxa"/>
            <w:gridSpan w:val="2"/>
          </w:tcPr>
          <w:p w14:paraId="11D2EF9F" w14:textId="064050DF" w:rsidR="00F6576D" w:rsidRPr="00CE5197" w:rsidRDefault="00F6576D" w:rsidP="005E20FE">
            <w:pPr>
              <w:spacing w:before="100" w:after="100"/>
              <w:jc w:val="left"/>
              <w:rPr>
                <w:rFonts w:ascii="Arial" w:hAnsi="Arial" w:cs="Arial"/>
                <w:szCs w:val="20"/>
              </w:rPr>
            </w:pPr>
            <w:r w:rsidRPr="00CE5197">
              <w:rPr>
                <w:rFonts w:ascii="Arial" w:hAnsi="Arial" w:cs="Arial"/>
                <w:szCs w:val="20"/>
              </w:rPr>
              <w:t>Transactions are i</w:t>
            </w:r>
            <w:r w:rsidR="005E20FE">
              <w:rPr>
                <w:rFonts w:ascii="Arial" w:hAnsi="Arial" w:cs="Arial"/>
                <w:szCs w:val="20"/>
              </w:rPr>
              <w:t xml:space="preserve">ncorrectly zero rated or </w:t>
            </w:r>
            <w:proofErr w:type="gramStart"/>
            <w:r w:rsidR="00B418E7">
              <w:rPr>
                <w:rFonts w:ascii="Arial" w:hAnsi="Arial" w:cs="Arial"/>
                <w:szCs w:val="20"/>
              </w:rPr>
              <w:t>second</w:t>
            </w:r>
            <w:r w:rsidR="00B418E7" w:rsidRPr="00CE5197">
              <w:rPr>
                <w:rFonts w:ascii="Arial" w:hAnsi="Arial" w:cs="Arial"/>
                <w:szCs w:val="20"/>
              </w:rPr>
              <w:t xml:space="preserve"> hand</w:t>
            </w:r>
            <w:proofErr w:type="gramEnd"/>
            <w:r w:rsidRPr="00CE5197">
              <w:rPr>
                <w:rFonts w:ascii="Arial" w:hAnsi="Arial" w:cs="Arial"/>
                <w:szCs w:val="20"/>
              </w:rPr>
              <w:t xml:space="preserve"> goods credits are incorrectly claimed when land and buildings do not relate to the taxable activity of the taxpayer</w:t>
            </w:r>
            <w:r w:rsidR="00CE5197">
              <w:rPr>
                <w:rFonts w:ascii="Arial" w:hAnsi="Arial" w:cs="Arial"/>
                <w:szCs w:val="20"/>
              </w:rPr>
              <w:t>.</w:t>
            </w:r>
          </w:p>
        </w:tc>
        <w:tc>
          <w:tcPr>
            <w:tcW w:w="3827" w:type="dxa"/>
          </w:tcPr>
          <w:p w14:paraId="643F7270"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We can advise on the specific requirements of the GST zero rating provisions and assist in filing second hand goods credit claims with Inland Revenue to ensure smooth processing of such GST returns</w:t>
            </w:r>
            <w:r w:rsidR="00CE5197">
              <w:rPr>
                <w:rFonts w:ascii="Arial" w:hAnsi="Arial" w:cs="Arial"/>
                <w:szCs w:val="20"/>
              </w:rPr>
              <w:t>.</w:t>
            </w:r>
          </w:p>
        </w:tc>
      </w:tr>
      <w:tr w:rsidR="005E20FE" w:rsidRPr="00CE5197" w14:paraId="267A4422" w14:textId="77777777" w:rsidTr="00D36AC5">
        <w:tc>
          <w:tcPr>
            <w:tcW w:w="1936" w:type="dxa"/>
            <w:gridSpan w:val="2"/>
            <w:shd w:val="clear" w:color="auto" w:fill="D9D9D9" w:themeFill="background1" w:themeFillShade="D9"/>
          </w:tcPr>
          <w:p w14:paraId="2F79D849" w14:textId="77777777" w:rsidR="005E20FE" w:rsidRPr="00CE5197" w:rsidRDefault="005E20FE" w:rsidP="002C13D7">
            <w:pPr>
              <w:spacing w:before="100" w:after="100"/>
              <w:jc w:val="left"/>
              <w:rPr>
                <w:rFonts w:ascii="Arial" w:hAnsi="Arial" w:cs="Arial"/>
                <w:b/>
                <w:szCs w:val="20"/>
              </w:rPr>
            </w:pPr>
            <w:r w:rsidRPr="00CE5197">
              <w:rPr>
                <w:rFonts w:ascii="Arial" w:hAnsi="Arial" w:cs="Arial"/>
                <w:b/>
                <w:szCs w:val="20"/>
              </w:rPr>
              <w:lastRenderedPageBreak/>
              <w:t>Issue</w:t>
            </w:r>
          </w:p>
        </w:tc>
        <w:tc>
          <w:tcPr>
            <w:tcW w:w="3302" w:type="dxa"/>
            <w:shd w:val="clear" w:color="auto" w:fill="D9D9D9" w:themeFill="background1" w:themeFillShade="D9"/>
          </w:tcPr>
          <w:p w14:paraId="706B41C2" w14:textId="77777777" w:rsidR="005E20FE" w:rsidRPr="00CE5197" w:rsidRDefault="005E20FE" w:rsidP="002C13D7">
            <w:pPr>
              <w:spacing w:before="100" w:after="100"/>
              <w:jc w:val="left"/>
              <w:rPr>
                <w:rFonts w:ascii="Arial" w:hAnsi="Arial" w:cs="Arial"/>
                <w:b/>
                <w:szCs w:val="20"/>
              </w:rPr>
            </w:pPr>
            <w:r w:rsidRPr="00CE5197">
              <w:rPr>
                <w:rFonts w:ascii="Arial" w:hAnsi="Arial" w:cs="Arial"/>
                <w:b/>
                <w:szCs w:val="20"/>
              </w:rPr>
              <w:t>Examples</w:t>
            </w:r>
          </w:p>
        </w:tc>
        <w:tc>
          <w:tcPr>
            <w:tcW w:w="3825" w:type="dxa"/>
            <w:shd w:val="clear" w:color="auto" w:fill="D9D9D9" w:themeFill="background1" w:themeFillShade="D9"/>
          </w:tcPr>
          <w:p w14:paraId="5DC69620" w14:textId="77777777" w:rsidR="005E20FE" w:rsidRPr="00CE5197" w:rsidRDefault="005E20FE" w:rsidP="002C13D7">
            <w:pPr>
              <w:spacing w:before="100" w:after="100"/>
              <w:jc w:val="left"/>
              <w:rPr>
                <w:rFonts w:ascii="Arial" w:hAnsi="Arial" w:cs="Arial"/>
                <w:b/>
                <w:szCs w:val="20"/>
              </w:rPr>
            </w:pPr>
            <w:r w:rsidRPr="00CE5197">
              <w:rPr>
                <w:rFonts w:ascii="Arial" w:hAnsi="Arial" w:cs="Arial"/>
                <w:b/>
                <w:szCs w:val="20"/>
              </w:rPr>
              <w:t>How we can assist</w:t>
            </w:r>
          </w:p>
        </w:tc>
      </w:tr>
      <w:tr w:rsidR="00CE5197" w:rsidRPr="00CE5197" w14:paraId="4A9EF0BB" w14:textId="77777777" w:rsidTr="00D36AC5">
        <w:tc>
          <w:tcPr>
            <w:tcW w:w="1936" w:type="dxa"/>
            <w:gridSpan w:val="2"/>
          </w:tcPr>
          <w:p w14:paraId="3B94A584" w14:textId="77777777" w:rsidR="00CE5197" w:rsidRPr="00CE5197" w:rsidRDefault="00CE5197" w:rsidP="005E20FE">
            <w:pPr>
              <w:spacing w:before="100" w:after="100"/>
              <w:jc w:val="left"/>
              <w:rPr>
                <w:rFonts w:ascii="Arial" w:hAnsi="Arial" w:cs="Arial"/>
                <w:szCs w:val="20"/>
              </w:rPr>
            </w:pPr>
            <w:r w:rsidRPr="00CE5197">
              <w:rPr>
                <w:rFonts w:ascii="Arial" w:hAnsi="Arial" w:cs="Arial"/>
                <w:szCs w:val="20"/>
              </w:rPr>
              <w:t xml:space="preserve">GST on accommodation provided in an </w:t>
            </w:r>
            <w:proofErr w:type="spellStart"/>
            <w:r w:rsidRPr="00CE5197">
              <w:rPr>
                <w:rFonts w:ascii="Arial" w:hAnsi="Arial" w:cs="Arial"/>
                <w:szCs w:val="20"/>
              </w:rPr>
              <w:t>AirBnB</w:t>
            </w:r>
            <w:proofErr w:type="spellEnd"/>
          </w:p>
        </w:tc>
        <w:tc>
          <w:tcPr>
            <w:tcW w:w="3302" w:type="dxa"/>
          </w:tcPr>
          <w:p w14:paraId="509E98A3" w14:textId="77777777" w:rsidR="00CE5197" w:rsidRPr="00CE5197" w:rsidRDefault="00CE5197" w:rsidP="005E20FE">
            <w:pPr>
              <w:spacing w:before="100" w:after="100"/>
              <w:jc w:val="left"/>
              <w:rPr>
                <w:rFonts w:ascii="Arial" w:hAnsi="Arial" w:cs="Arial"/>
                <w:szCs w:val="20"/>
              </w:rPr>
            </w:pPr>
            <w:r w:rsidRPr="00CE5197">
              <w:rPr>
                <w:rFonts w:ascii="Arial" w:hAnsi="Arial" w:cs="Arial"/>
                <w:szCs w:val="20"/>
              </w:rPr>
              <w:t xml:space="preserve">GST not returned on income received from </w:t>
            </w:r>
            <w:proofErr w:type="spellStart"/>
            <w:r w:rsidRPr="00CE5197">
              <w:rPr>
                <w:rFonts w:ascii="Arial" w:hAnsi="Arial" w:cs="Arial"/>
                <w:szCs w:val="20"/>
              </w:rPr>
              <w:t>AirBnB</w:t>
            </w:r>
            <w:proofErr w:type="spellEnd"/>
            <w:r w:rsidRPr="00CE5197">
              <w:rPr>
                <w:rFonts w:ascii="Arial" w:hAnsi="Arial" w:cs="Arial"/>
                <w:szCs w:val="20"/>
              </w:rPr>
              <w:t xml:space="preserve"> rentals where total income received in a </w:t>
            </w:r>
            <w:proofErr w:type="gramStart"/>
            <w:r w:rsidRPr="00CE5197">
              <w:rPr>
                <w:rFonts w:ascii="Arial" w:hAnsi="Arial" w:cs="Arial"/>
                <w:szCs w:val="20"/>
              </w:rPr>
              <w:t>12 month</w:t>
            </w:r>
            <w:proofErr w:type="gramEnd"/>
            <w:r w:rsidRPr="00CE5197">
              <w:rPr>
                <w:rFonts w:ascii="Arial" w:hAnsi="Arial" w:cs="Arial"/>
                <w:szCs w:val="20"/>
              </w:rPr>
              <w:t xml:space="preserve"> period exceeds the registration threshold</w:t>
            </w:r>
            <w:r>
              <w:rPr>
                <w:rFonts w:ascii="Arial" w:hAnsi="Arial" w:cs="Arial"/>
                <w:szCs w:val="20"/>
              </w:rPr>
              <w:t>.</w:t>
            </w:r>
          </w:p>
        </w:tc>
        <w:tc>
          <w:tcPr>
            <w:tcW w:w="3825" w:type="dxa"/>
          </w:tcPr>
          <w:p w14:paraId="6F527D54" w14:textId="77777777" w:rsidR="00CE5197" w:rsidRPr="00CE5197" w:rsidRDefault="00CE5197" w:rsidP="005E20FE">
            <w:pPr>
              <w:spacing w:before="100" w:after="100"/>
              <w:jc w:val="left"/>
              <w:rPr>
                <w:rFonts w:ascii="Arial" w:hAnsi="Arial" w:cs="Arial"/>
                <w:szCs w:val="20"/>
              </w:rPr>
            </w:pPr>
            <w:r w:rsidRPr="00CE5197">
              <w:rPr>
                <w:rFonts w:ascii="Arial" w:hAnsi="Arial" w:cs="Arial"/>
                <w:szCs w:val="20"/>
              </w:rPr>
              <w:t xml:space="preserve">We can discuss your </w:t>
            </w:r>
            <w:proofErr w:type="gramStart"/>
            <w:r w:rsidRPr="00CE5197">
              <w:rPr>
                <w:rFonts w:ascii="Arial" w:hAnsi="Arial" w:cs="Arial"/>
                <w:szCs w:val="20"/>
              </w:rPr>
              <w:t>particular circumstances</w:t>
            </w:r>
            <w:proofErr w:type="gramEnd"/>
            <w:r w:rsidRPr="00CE5197">
              <w:rPr>
                <w:rFonts w:ascii="Arial" w:hAnsi="Arial" w:cs="Arial"/>
                <w:szCs w:val="20"/>
              </w:rPr>
              <w:t xml:space="preserve"> and advise whether GST needs to be returned on </w:t>
            </w:r>
            <w:proofErr w:type="spellStart"/>
            <w:r w:rsidRPr="00CE5197">
              <w:rPr>
                <w:rFonts w:ascii="Arial" w:hAnsi="Arial" w:cs="Arial"/>
                <w:szCs w:val="20"/>
              </w:rPr>
              <w:t>AirBnB</w:t>
            </w:r>
            <w:proofErr w:type="spellEnd"/>
            <w:r w:rsidRPr="00CE5197">
              <w:rPr>
                <w:rFonts w:ascii="Arial" w:hAnsi="Arial" w:cs="Arial"/>
                <w:szCs w:val="20"/>
              </w:rPr>
              <w:t xml:space="preserve"> rental activity, and any related expenses that can be claimed</w:t>
            </w:r>
            <w:r>
              <w:rPr>
                <w:rFonts w:ascii="Arial" w:hAnsi="Arial" w:cs="Arial"/>
                <w:szCs w:val="20"/>
              </w:rPr>
              <w:t>.</w:t>
            </w:r>
          </w:p>
        </w:tc>
      </w:tr>
      <w:tr w:rsidR="00F6576D" w:rsidRPr="00CE5197" w14:paraId="6DAA2A51" w14:textId="77777777" w:rsidTr="00D36AC5">
        <w:tc>
          <w:tcPr>
            <w:tcW w:w="1936" w:type="dxa"/>
            <w:gridSpan w:val="2"/>
          </w:tcPr>
          <w:p w14:paraId="4E862175"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GST and Bodies Corporate</w:t>
            </w:r>
          </w:p>
        </w:tc>
        <w:tc>
          <w:tcPr>
            <w:tcW w:w="3302" w:type="dxa"/>
          </w:tcPr>
          <w:p w14:paraId="0ABE5216"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Previously there has been uncertainty around whether bodies corporate may be registered for GST</w:t>
            </w:r>
            <w:r w:rsidR="00CE5197">
              <w:rPr>
                <w:rFonts w:ascii="Arial" w:hAnsi="Arial" w:cs="Arial"/>
                <w:szCs w:val="20"/>
              </w:rPr>
              <w:t>.</w:t>
            </w:r>
          </w:p>
        </w:tc>
        <w:tc>
          <w:tcPr>
            <w:tcW w:w="3825" w:type="dxa"/>
          </w:tcPr>
          <w:p w14:paraId="425FBB88"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Given recent Inland Revenue guidance in this regard, we can advise on the advantages and disadvantages of being GST registered and all associated requirements</w:t>
            </w:r>
            <w:r w:rsidR="00CE5197">
              <w:rPr>
                <w:rFonts w:ascii="Arial" w:hAnsi="Arial" w:cs="Arial"/>
                <w:szCs w:val="20"/>
              </w:rPr>
              <w:t>.</w:t>
            </w:r>
          </w:p>
        </w:tc>
      </w:tr>
    </w:tbl>
    <w:p w14:paraId="3426646E" w14:textId="77777777" w:rsidR="00A87F7A" w:rsidRDefault="00A87F7A">
      <w:pPr>
        <w:ind w:right="-56"/>
        <w:rPr>
          <w:rFonts w:ascii="Arial" w:hAnsi="Arial" w:cs="Arial"/>
          <w:sz w:val="21"/>
          <w:szCs w:val="21"/>
        </w:rPr>
      </w:pPr>
    </w:p>
    <w:p w14:paraId="3FE7A54E" w14:textId="77777777" w:rsidR="00A87F7A" w:rsidRDefault="00A87F7A">
      <w:pPr>
        <w:ind w:right="-56"/>
        <w:rPr>
          <w:rFonts w:ascii="Arial" w:hAnsi="Arial" w:cs="Arial"/>
          <w:sz w:val="21"/>
          <w:szCs w:val="21"/>
        </w:rPr>
      </w:pPr>
    </w:p>
    <w:p w14:paraId="34BD76E8" w14:textId="77777777" w:rsidR="00A87F7A" w:rsidRPr="005E20FE" w:rsidRDefault="00501BEA" w:rsidP="005E20FE">
      <w:pPr>
        <w:spacing w:line="276" w:lineRule="auto"/>
        <w:ind w:right="-56"/>
        <w:jc w:val="left"/>
        <w:rPr>
          <w:rFonts w:ascii="Arial" w:hAnsi="Arial" w:cs="Arial"/>
          <w:szCs w:val="20"/>
        </w:rPr>
      </w:pPr>
      <w:r w:rsidRPr="005E20FE">
        <w:rPr>
          <w:rFonts w:ascii="Arial" w:hAnsi="Arial" w:cs="Arial"/>
          <w:szCs w:val="20"/>
        </w:rPr>
        <w:t xml:space="preserve">These are </w:t>
      </w:r>
      <w:r w:rsidR="005E20FE">
        <w:rPr>
          <w:rFonts w:ascii="Arial" w:hAnsi="Arial" w:cs="Arial"/>
          <w:szCs w:val="20"/>
        </w:rPr>
        <w:t>simply a few potential areas where</w:t>
      </w:r>
      <w:r w:rsidRPr="005E20FE">
        <w:rPr>
          <w:rFonts w:ascii="Arial" w:hAnsi="Arial" w:cs="Arial"/>
          <w:szCs w:val="20"/>
        </w:rPr>
        <w:t xml:space="preserve"> error</w:t>
      </w:r>
      <w:r w:rsidR="005E20FE">
        <w:rPr>
          <w:rFonts w:ascii="Arial" w:hAnsi="Arial" w:cs="Arial"/>
          <w:szCs w:val="20"/>
        </w:rPr>
        <w:t>s</w:t>
      </w:r>
      <w:r w:rsidRPr="005E20FE">
        <w:rPr>
          <w:rFonts w:ascii="Arial" w:hAnsi="Arial" w:cs="Arial"/>
          <w:szCs w:val="20"/>
        </w:rPr>
        <w:t xml:space="preserve"> may occur. You may wish to consider undertaking a GST health check so that a more detailed analysis may be undertaken. We would be ple</w:t>
      </w:r>
      <w:r w:rsidR="005E20FE">
        <w:rPr>
          <w:rFonts w:ascii="Arial" w:hAnsi="Arial" w:cs="Arial"/>
          <w:szCs w:val="20"/>
        </w:rPr>
        <w:t xml:space="preserve">ased to assist in that regard. </w:t>
      </w:r>
      <w:r w:rsidRPr="005E20FE">
        <w:rPr>
          <w:rFonts w:ascii="Arial" w:hAnsi="Arial" w:cs="Arial"/>
          <w:szCs w:val="20"/>
        </w:rPr>
        <w:t>Please feel free to contact us on [</w:t>
      </w:r>
      <w:r w:rsidRPr="005E20FE">
        <w:rPr>
          <w:rFonts w:ascii="Arial" w:hAnsi="Arial" w:cs="Arial"/>
          <w:szCs w:val="20"/>
          <w:highlight w:val="lightGray"/>
        </w:rPr>
        <w:t>insert telephone number</w:t>
      </w:r>
      <w:r w:rsidRPr="005E20FE">
        <w:rPr>
          <w:rFonts w:ascii="Arial" w:hAnsi="Arial" w:cs="Arial"/>
          <w:szCs w:val="20"/>
        </w:rPr>
        <w:t>] to discuss further.</w:t>
      </w:r>
    </w:p>
    <w:p w14:paraId="63876664" w14:textId="77777777" w:rsidR="00A87F7A" w:rsidRPr="005E20FE" w:rsidRDefault="00A87F7A" w:rsidP="005E20FE">
      <w:pPr>
        <w:spacing w:line="276" w:lineRule="auto"/>
        <w:jc w:val="left"/>
        <w:rPr>
          <w:rFonts w:ascii="Arial" w:hAnsi="Arial" w:cs="Arial"/>
          <w:szCs w:val="20"/>
        </w:rPr>
      </w:pPr>
    </w:p>
    <w:p w14:paraId="5C6FE870" w14:textId="77777777" w:rsidR="00A87F7A" w:rsidRPr="005E20FE" w:rsidRDefault="00501BEA" w:rsidP="005E20FE">
      <w:pPr>
        <w:spacing w:line="276" w:lineRule="auto"/>
        <w:jc w:val="left"/>
        <w:rPr>
          <w:rFonts w:ascii="Arial" w:hAnsi="Arial" w:cs="Arial"/>
          <w:szCs w:val="20"/>
        </w:rPr>
      </w:pPr>
      <w:bookmarkStart w:id="10" w:name="Signoff"/>
      <w:bookmarkEnd w:id="10"/>
      <w:r w:rsidRPr="005E20FE">
        <w:rPr>
          <w:rFonts w:ascii="Arial" w:hAnsi="Arial" w:cs="Arial"/>
          <w:szCs w:val="20"/>
        </w:rPr>
        <w:t>Yours sincerely</w:t>
      </w:r>
    </w:p>
    <w:p w14:paraId="4C34EFEC" w14:textId="77777777" w:rsidR="00A87F7A" w:rsidRPr="005E20FE" w:rsidRDefault="00A87F7A" w:rsidP="005E20FE">
      <w:pPr>
        <w:spacing w:line="276" w:lineRule="auto"/>
        <w:jc w:val="left"/>
        <w:rPr>
          <w:rFonts w:ascii="Arial" w:hAnsi="Arial" w:cs="Arial"/>
          <w:szCs w:val="20"/>
        </w:rPr>
      </w:pPr>
    </w:p>
    <w:p w14:paraId="25E50568" w14:textId="77777777" w:rsidR="00A87F7A" w:rsidRPr="005E20FE" w:rsidRDefault="00A87F7A" w:rsidP="005E20FE">
      <w:pPr>
        <w:spacing w:line="276" w:lineRule="auto"/>
        <w:jc w:val="left"/>
        <w:rPr>
          <w:rFonts w:ascii="Arial" w:hAnsi="Arial" w:cs="Arial"/>
          <w:szCs w:val="20"/>
        </w:rPr>
      </w:pPr>
    </w:p>
    <w:p w14:paraId="5E0D23FF" w14:textId="77777777" w:rsidR="00A87F7A" w:rsidRPr="005E20FE" w:rsidRDefault="00501BEA" w:rsidP="005E20FE">
      <w:pPr>
        <w:spacing w:line="276" w:lineRule="auto"/>
        <w:jc w:val="left"/>
        <w:rPr>
          <w:rFonts w:ascii="Arial" w:hAnsi="Arial" w:cs="Arial"/>
          <w:szCs w:val="20"/>
        </w:rPr>
      </w:pPr>
      <w:bookmarkStart w:id="11" w:name="Partner"/>
      <w:bookmarkEnd w:id="11"/>
      <w:r w:rsidRPr="005E20FE">
        <w:rPr>
          <w:rFonts w:ascii="Arial" w:hAnsi="Arial" w:cs="Arial"/>
          <w:szCs w:val="20"/>
        </w:rPr>
        <w:t>[</w:t>
      </w:r>
      <w:r w:rsidRPr="005E20FE">
        <w:rPr>
          <w:rFonts w:ascii="Arial" w:hAnsi="Arial" w:cs="Arial"/>
          <w:szCs w:val="20"/>
          <w:highlight w:val="lightGray"/>
        </w:rPr>
        <w:t>Insert Name and Title</w:t>
      </w:r>
      <w:r w:rsidRPr="005E20FE">
        <w:rPr>
          <w:rFonts w:ascii="Arial" w:hAnsi="Arial" w:cs="Arial"/>
          <w:szCs w:val="20"/>
        </w:rPr>
        <w:t>]</w:t>
      </w:r>
    </w:p>
    <w:p w14:paraId="392AD6D6" w14:textId="77777777" w:rsidR="00A87F7A" w:rsidRPr="005E20FE" w:rsidRDefault="00A87F7A" w:rsidP="005E20FE">
      <w:pPr>
        <w:spacing w:line="276" w:lineRule="auto"/>
        <w:jc w:val="left"/>
        <w:rPr>
          <w:rFonts w:ascii="Arial" w:hAnsi="Arial" w:cs="Arial"/>
          <w:szCs w:val="20"/>
        </w:rPr>
      </w:pPr>
    </w:p>
    <w:p w14:paraId="3B80AA7B" w14:textId="77777777" w:rsidR="00A87F7A" w:rsidRPr="005E20FE" w:rsidRDefault="00A87F7A" w:rsidP="005E20FE">
      <w:pPr>
        <w:spacing w:line="276"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A87F7A" w:rsidRPr="005E20FE" w14:paraId="2584AA8D" w14:textId="77777777">
        <w:tc>
          <w:tcPr>
            <w:tcW w:w="9289" w:type="dxa"/>
            <w:tcBorders>
              <w:top w:val="nil"/>
              <w:left w:val="nil"/>
              <w:bottom w:val="nil"/>
              <w:right w:val="nil"/>
            </w:tcBorders>
          </w:tcPr>
          <w:p w14:paraId="52190940" w14:textId="77777777" w:rsidR="00A87F7A" w:rsidRPr="005E20FE" w:rsidRDefault="00501BEA" w:rsidP="005E20FE">
            <w:pPr>
              <w:spacing w:line="276" w:lineRule="auto"/>
              <w:jc w:val="left"/>
              <w:rPr>
                <w:rFonts w:ascii="Arial" w:hAnsi="Arial" w:cs="Arial"/>
                <w:szCs w:val="20"/>
              </w:rPr>
            </w:pPr>
            <w:r w:rsidRPr="005E20FE">
              <w:rPr>
                <w:rFonts w:ascii="Arial" w:hAnsi="Arial" w:cs="Arial"/>
                <w:szCs w:val="20"/>
              </w:rPr>
              <w:t>Encl.</w:t>
            </w:r>
            <w:bookmarkStart w:id="12" w:name="ConfidBlurb"/>
            <w:bookmarkEnd w:id="12"/>
          </w:p>
        </w:tc>
      </w:tr>
    </w:tbl>
    <w:p w14:paraId="6D8FB5F1" w14:textId="77777777" w:rsidR="00A87F7A" w:rsidRPr="005E20FE" w:rsidRDefault="00A87F7A" w:rsidP="005E20FE">
      <w:pPr>
        <w:spacing w:line="276" w:lineRule="auto"/>
        <w:jc w:val="left"/>
        <w:rPr>
          <w:rFonts w:ascii="Arial" w:hAnsi="Arial" w:cs="Arial"/>
          <w:szCs w:val="20"/>
        </w:rPr>
      </w:pPr>
    </w:p>
    <w:p w14:paraId="3D43CCC5" w14:textId="77777777" w:rsidR="00A87F7A" w:rsidRDefault="00A87F7A">
      <w:pPr>
        <w:rPr>
          <w:sz w:val="21"/>
          <w:szCs w:val="21"/>
        </w:rPr>
      </w:pPr>
    </w:p>
    <w:p w14:paraId="6D1382E5" w14:textId="77777777" w:rsidR="00A87F7A" w:rsidRDefault="00A87F7A">
      <w:pPr>
        <w:rPr>
          <w:sz w:val="21"/>
          <w:szCs w:val="21"/>
        </w:rPr>
      </w:pPr>
    </w:p>
    <w:sectPr w:rsidR="00A87F7A">
      <w:headerReference w:type="default" r:id="rId6"/>
      <w:footerReference w:type="default" r:id="rId7"/>
      <w:footerReference w:type="first" r:id="rId8"/>
      <w:pgSz w:w="11909" w:h="16834" w:code="9"/>
      <w:pgMar w:top="1418"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BFF1" w14:textId="77777777" w:rsidR="004604F0" w:rsidRDefault="004604F0">
      <w:r>
        <w:separator/>
      </w:r>
    </w:p>
  </w:endnote>
  <w:endnote w:type="continuationSeparator" w:id="0">
    <w:p w14:paraId="6BFA0084" w14:textId="77777777" w:rsidR="004604F0" w:rsidRDefault="004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739961"/>
      <w:docPartObj>
        <w:docPartGallery w:val="Page Numbers (Bottom of Page)"/>
        <w:docPartUnique/>
      </w:docPartObj>
    </w:sdtPr>
    <w:sdtEndPr>
      <w:rPr>
        <w:noProof/>
      </w:rPr>
    </w:sdtEndPr>
    <w:sdtContent>
      <w:p w14:paraId="2A0FE269" w14:textId="77777777" w:rsidR="00CE5197" w:rsidRDefault="00CE5197">
        <w:pPr>
          <w:pStyle w:val="Footer"/>
          <w:jc w:val="right"/>
        </w:pPr>
        <w:r>
          <w:fldChar w:fldCharType="begin"/>
        </w:r>
        <w:r>
          <w:instrText xml:space="preserve"> PAGE   \* MERGEFORMAT </w:instrText>
        </w:r>
        <w:r>
          <w:fldChar w:fldCharType="separate"/>
        </w:r>
        <w:r w:rsidR="0005102B">
          <w:rPr>
            <w:noProof/>
          </w:rPr>
          <w:t>2</w:t>
        </w:r>
        <w:r>
          <w:rPr>
            <w:noProof/>
          </w:rPr>
          <w:fldChar w:fldCharType="end"/>
        </w:r>
      </w:p>
    </w:sdtContent>
  </w:sdt>
  <w:p w14:paraId="3E6D9516" w14:textId="77777777" w:rsidR="00A87F7A" w:rsidRDefault="00A87F7A">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46FC" w14:textId="77777777" w:rsidR="00A87F7A" w:rsidRDefault="00501BEA">
    <w:pPr>
      <w:pStyle w:val="Footer"/>
      <w:rPr>
        <w:sz w:val="16"/>
      </w:rPr>
    </w:pPr>
    <w:bookmarkStart w:id="16" w:name="bkmFooterFirst_s1"/>
    <w:r>
      <w:rPr>
        <w:sz w:val="16"/>
      </w:rPr>
      <w:br/>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699C" w14:textId="77777777" w:rsidR="004604F0" w:rsidRDefault="004604F0">
      <w:r>
        <w:separator/>
      </w:r>
    </w:p>
  </w:footnote>
  <w:footnote w:type="continuationSeparator" w:id="0">
    <w:p w14:paraId="6AB73FC6" w14:textId="77777777" w:rsidR="004604F0" w:rsidRDefault="0046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A87F7A" w14:paraId="364D30B4" w14:textId="77777777">
      <w:tc>
        <w:tcPr>
          <w:tcW w:w="9289" w:type="dxa"/>
        </w:tcPr>
        <w:p w14:paraId="1D5A8FD9" w14:textId="77777777" w:rsidR="00A87F7A" w:rsidRDefault="00501BEA">
          <w:pPr>
            <w:jc w:val="center"/>
            <w:rP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102B">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w:t>
          </w:r>
        </w:p>
      </w:tc>
    </w:tr>
  </w:tbl>
  <w:p w14:paraId="4A523E0F" w14:textId="77777777" w:rsidR="00A87F7A" w:rsidRDefault="00501BEA">
    <w:pPr>
      <w:rPr>
        <w:rFonts w:ascii="Arial" w:hAnsi="Arial" w:cs="Arial"/>
      </w:rPr>
    </w:pPr>
    <w:bookmarkStart w:id="13" w:name="Date2"/>
    <w:bookmarkEnd w:id="13"/>
    <w:r>
      <w:rPr>
        <w:rFonts w:ascii="Arial" w:hAnsi="Arial" w:cs="Arial"/>
      </w:rPr>
      <w:t>[Insert DD Month YYYY]</w:t>
    </w:r>
  </w:p>
  <w:p w14:paraId="5023A907" w14:textId="77777777" w:rsidR="00A87F7A" w:rsidRDefault="00501BEA">
    <w:pPr>
      <w:rPr>
        <w:rFonts w:ascii="Arial" w:hAnsi="Arial" w:cs="Arial"/>
      </w:rPr>
    </w:pPr>
    <w:bookmarkStart w:id="14" w:name="Name2"/>
    <w:bookmarkStart w:id="15" w:name="Company2"/>
    <w:bookmarkEnd w:id="14"/>
    <w:bookmarkEnd w:id="15"/>
    <w:r>
      <w:rPr>
        <w:rFonts w:ascii="Arial" w:hAnsi="Arial" w:cs="Arial"/>
      </w:rPr>
      <w:t>[Insert Client Name, Insert Company Name]</w:t>
    </w:r>
  </w:p>
  <w:p w14:paraId="03185ABF" w14:textId="77777777" w:rsidR="00A87F7A" w:rsidRDefault="00501BEA">
    <w:r>
      <w:rPr>
        <w:noProof/>
        <w:lang w:val="en-AU" w:eastAsia="zh-CN"/>
      </w:rPr>
      <mc:AlternateContent>
        <mc:Choice Requires="wps">
          <w:drawing>
            <wp:anchor distT="0" distB="0" distL="114300" distR="114300" simplePos="0" relativeHeight="251659264" behindDoc="0" locked="0" layoutInCell="1" allowOverlap="1" wp14:anchorId="48051DE4" wp14:editId="07588069">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3572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K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Nitsi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7A"/>
    <w:rsid w:val="00021D40"/>
    <w:rsid w:val="0005102B"/>
    <w:rsid w:val="00184B2A"/>
    <w:rsid w:val="003A7CF4"/>
    <w:rsid w:val="004604F0"/>
    <w:rsid w:val="00501BEA"/>
    <w:rsid w:val="00533AC1"/>
    <w:rsid w:val="00587FF5"/>
    <w:rsid w:val="005E20FE"/>
    <w:rsid w:val="006A6952"/>
    <w:rsid w:val="008B17AD"/>
    <w:rsid w:val="00A87F7A"/>
    <w:rsid w:val="00B418E7"/>
    <w:rsid w:val="00C21A0D"/>
    <w:rsid w:val="00CC6EA5"/>
    <w:rsid w:val="00CE5197"/>
    <w:rsid w:val="00D05372"/>
    <w:rsid w:val="00D36AC5"/>
    <w:rsid w:val="00DB3F4F"/>
    <w:rsid w:val="00F6576D"/>
    <w:rsid w:val="00F937E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8D07D"/>
  <w15:docId w15:val="{DAF7ECB7-9AB3-4F98-AC67-C2A66077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17A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 GST issues client letter New Zealand</vt:lpstr>
    </vt:vector>
  </TitlesOfParts>
  <Company>CPA Australia</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GST issues client letter New Zealand</dc:title>
  <dc:creator>Michelle Webb</dc:creator>
  <cp:keywords>goods and services tax; Inland Revenue</cp:keywords>
  <cp:lastModifiedBy>Craig Fellowes</cp:lastModifiedBy>
  <cp:revision>2</cp:revision>
  <cp:lastPrinted>2015-05-12T03:06:00Z</cp:lastPrinted>
  <dcterms:created xsi:type="dcterms:W3CDTF">2023-01-19T06:03:00Z</dcterms:created>
  <dcterms:modified xsi:type="dcterms:W3CDTF">2023-01-19T06:03:00Z</dcterms:modified>
</cp:coreProperties>
</file>