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9CD4" w14:textId="77777777" w:rsidR="00C3772D" w:rsidRPr="00307A03" w:rsidRDefault="00F86F87">
      <w:pPr>
        <w:rPr>
          <w:rFonts w:ascii="Arial" w:hAnsi="Arial" w:cs="Arial"/>
          <w:szCs w:val="20"/>
        </w:rPr>
      </w:pPr>
      <w:r w:rsidRPr="00307A03">
        <w:rPr>
          <w:rFonts w:ascii="Arial" w:hAnsi="Arial" w:cs="Arial"/>
          <w:szCs w:val="20"/>
        </w:rPr>
        <w:t>[</w:t>
      </w:r>
      <w:r w:rsidRPr="00307A03">
        <w:rPr>
          <w:rFonts w:ascii="Arial" w:hAnsi="Arial" w:cs="Arial"/>
          <w:szCs w:val="20"/>
          <w:highlight w:val="lightGray"/>
        </w:rPr>
        <w:t>Insert DD Month YYYY</w:t>
      </w:r>
      <w:r w:rsidRPr="00307A03">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3772D" w:rsidRPr="00307A03" w14:paraId="2408B80B" w14:textId="77777777">
        <w:tc>
          <w:tcPr>
            <w:tcW w:w="9289" w:type="dxa"/>
            <w:tcBorders>
              <w:top w:val="nil"/>
              <w:left w:val="nil"/>
              <w:bottom w:val="nil"/>
              <w:right w:val="nil"/>
            </w:tcBorders>
          </w:tcPr>
          <w:p w14:paraId="072B5280" w14:textId="77777777" w:rsidR="00C3772D" w:rsidRPr="00307A03" w:rsidRDefault="00C3772D">
            <w:pPr>
              <w:rPr>
                <w:rFonts w:ascii="Arial" w:hAnsi="Arial" w:cs="Arial"/>
                <w:b/>
                <w:bCs/>
                <w:szCs w:val="20"/>
              </w:rPr>
            </w:pPr>
            <w:bookmarkStart w:id="0" w:name="Confidential"/>
            <w:bookmarkEnd w:id="0"/>
          </w:p>
        </w:tc>
      </w:tr>
    </w:tbl>
    <w:p w14:paraId="7D8932AB" w14:textId="77777777" w:rsidR="00C3772D" w:rsidRPr="00307A03" w:rsidRDefault="00F86F87">
      <w:pPr>
        <w:jc w:val="left"/>
        <w:rPr>
          <w:rFonts w:ascii="Arial" w:hAnsi="Arial" w:cs="Arial"/>
          <w:szCs w:val="20"/>
        </w:rPr>
      </w:pPr>
      <w:bookmarkStart w:id="1" w:name="Name1"/>
      <w:bookmarkEnd w:id="1"/>
      <w:r w:rsidRPr="00307A03">
        <w:rPr>
          <w:rFonts w:ascii="Arial" w:hAnsi="Arial" w:cs="Arial"/>
          <w:szCs w:val="20"/>
        </w:rPr>
        <w:t>[</w:t>
      </w:r>
      <w:r w:rsidRPr="00307A03">
        <w:rPr>
          <w:rFonts w:ascii="Arial" w:hAnsi="Arial" w:cs="Arial"/>
          <w:szCs w:val="20"/>
          <w:highlight w:val="lightGray"/>
        </w:rPr>
        <w:t>Insert Contact Person’s Name</w:t>
      </w:r>
      <w:r w:rsidRPr="00307A03">
        <w:rPr>
          <w:rFonts w:ascii="Arial" w:hAnsi="Arial" w:cs="Arial"/>
          <w:szCs w:val="20"/>
        </w:rPr>
        <w:t>]</w:t>
      </w:r>
    </w:p>
    <w:p w14:paraId="1369BE90" w14:textId="77777777" w:rsidR="00C3772D" w:rsidRPr="00307A03" w:rsidRDefault="00F86F87">
      <w:pPr>
        <w:jc w:val="left"/>
        <w:rPr>
          <w:rFonts w:ascii="Arial" w:hAnsi="Arial" w:cs="Arial"/>
          <w:szCs w:val="20"/>
        </w:rPr>
      </w:pPr>
      <w:r w:rsidRPr="00307A03">
        <w:rPr>
          <w:rFonts w:ascii="Arial" w:hAnsi="Arial" w:cs="Arial"/>
          <w:szCs w:val="20"/>
        </w:rPr>
        <w:t>[</w:t>
      </w:r>
      <w:r w:rsidRPr="00307A03">
        <w:rPr>
          <w:rFonts w:ascii="Arial" w:hAnsi="Arial" w:cs="Arial"/>
          <w:szCs w:val="20"/>
          <w:highlight w:val="lightGray"/>
        </w:rPr>
        <w:t>Insert Company Name</w:t>
      </w:r>
      <w:r w:rsidRPr="00307A03">
        <w:rPr>
          <w:rFonts w:ascii="Arial" w:hAnsi="Arial" w:cs="Arial"/>
          <w:szCs w:val="20"/>
        </w:rPr>
        <w:t>]</w:t>
      </w:r>
    </w:p>
    <w:p w14:paraId="5AC05847" w14:textId="77777777" w:rsidR="00C3772D" w:rsidRPr="00307A03" w:rsidRDefault="00F86F87">
      <w:pPr>
        <w:jc w:val="left"/>
        <w:rPr>
          <w:rFonts w:ascii="Arial" w:hAnsi="Arial" w:cs="Arial"/>
          <w:szCs w:val="20"/>
        </w:rPr>
      </w:pPr>
      <w:bookmarkStart w:id="2" w:name="Position"/>
      <w:bookmarkStart w:id="3" w:name="Address1"/>
      <w:bookmarkEnd w:id="2"/>
      <w:bookmarkEnd w:id="3"/>
      <w:r w:rsidRPr="00307A03">
        <w:rPr>
          <w:rFonts w:ascii="Arial" w:hAnsi="Arial" w:cs="Arial"/>
          <w:szCs w:val="20"/>
        </w:rPr>
        <w:t>[</w:t>
      </w:r>
      <w:r w:rsidRPr="00307A03">
        <w:rPr>
          <w:rFonts w:ascii="Arial" w:hAnsi="Arial" w:cs="Arial"/>
          <w:szCs w:val="20"/>
          <w:highlight w:val="lightGray"/>
        </w:rPr>
        <w:t>Insert Company Address</w:t>
      </w:r>
      <w:r w:rsidRPr="00307A03">
        <w:rPr>
          <w:rFonts w:ascii="Arial" w:hAnsi="Arial" w:cs="Arial"/>
          <w:szCs w:val="20"/>
        </w:rPr>
        <w:t>]</w:t>
      </w:r>
    </w:p>
    <w:p w14:paraId="20077DF4" w14:textId="77777777" w:rsidR="00C3772D" w:rsidRPr="00307A03" w:rsidRDefault="00F86F87">
      <w:pPr>
        <w:jc w:val="left"/>
        <w:rPr>
          <w:rFonts w:ascii="Arial" w:hAnsi="Arial" w:cs="Arial"/>
          <w:szCs w:val="20"/>
          <w:highlight w:val="lightGray"/>
        </w:rPr>
      </w:pPr>
      <w:bookmarkStart w:id="4" w:name="Suburb"/>
      <w:bookmarkEnd w:id="4"/>
      <w:r w:rsidRPr="00307A03">
        <w:rPr>
          <w:rFonts w:ascii="Arial" w:hAnsi="Arial" w:cs="Arial"/>
          <w:szCs w:val="20"/>
        </w:rPr>
        <w:t>[</w:t>
      </w:r>
      <w:r w:rsidRPr="00307A03">
        <w:rPr>
          <w:rFonts w:ascii="Arial" w:hAnsi="Arial" w:cs="Arial"/>
          <w:szCs w:val="20"/>
          <w:highlight w:val="lightGray"/>
        </w:rPr>
        <w:t>Suburb</w:t>
      </w:r>
      <w:bookmarkStart w:id="5" w:name="State"/>
      <w:bookmarkStart w:id="6" w:name="PostCode"/>
      <w:bookmarkEnd w:id="5"/>
      <w:bookmarkEnd w:id="6"/>
      <w:r w:rsidRPr="00307A03">
        <w:rPr>
          <w:rFonts w:ascii="Arial" w:hAnsi="Arial" w:cs="Arial"/>
          <w:szCs w:val="20"/>
        </w:rPr>
        <w:t>]</w:t>
      </w:r>
    </w:p>
    <w:p w14:paraId="5A77AB2B" w14:textId="77777777" w:rsidR="00C3772D" w:rsidRPr="00307A03" w:rsidRDefault="00F86F87">
      <w:pPr>
        <w:jc w:val="left"/>
        <w:rPr>
          <w:rFonts w:ascii="Arial" w:hAnsi="Arial" w:cs="Arial"/>
          <w:szCs w:val="20"/>
        </w:rPr>
      </w:pPr>
      <w:r w:rsidRPr="00307A03">
        <w:rPr>
          <w:rFonts w:ascii="Arial" w:hAnsi="Arial" w:cs="Arial"/>
          <w:szCs w:val="20"/>
        </w:rPr>
        <w:t>[</w:t>
      </w:r>
      <w:r w:rsidRPr="00307A03">
        <w:rPr>
          <w:rFonts w:ascii="Arial" w:hAnsi="Arial" w:cs="Arial"/>
          <w:szCs w:val="20"/>
          <w:highlight w:val="lightGray"/>
        </w:rPr>
        <w:t>City, Post Code</w:t>
      </w:r>
      <w:r w:rsidRPr="00307A03">
        <w:rPr>
          <w:rFonts w:ascii="Arial" w:hAnsi="Arial" w:cs="Arial"/>
          <w:szCs w:val="20"/>
        </w:rPr>
        <w:t>]</w:t>
      </w:r>
    </w:p>
    <w:p w14:paraId="3BEE6CEF" w14:textId="77777777" w:rsidR="00C3772D" w:rsidRPr="00307A03" w:rsidRDefault="00C3772D">
      <w:pPr>
        <w:jc w:val="left"/>
        <w:rPr>
          <w:rFonts w:ascii="Arial" w:hAnsi="Arial" w:cs="Arial"/>
          <w:szCs w:val="20"/>
        </w:rPr>
      </w:pPr>
    </w:p>
    <w:p w14:paraId="44D5DE45" w14:textId="77777777" w:rsidR="00C3772D" w:rsidRPr="00307A03" w:rsidRDefault="00C3772D">
      <w:pPr>
        <w:jc w:val="left"/>
        <w:rPr>
          <w:rFonts w:ascii="Arial" w:hAnsi="Arial" w:cs="Arial"/>
          <w:bCs/>
          <w:szCs w:val="20"/>
        </w:rPr>
      </w:pPr>
    </w:p>
    <w:p w14:paraId="5BBCE7EA" w14:textId="77777777" w:rsidR="00C3772D" w:rsidRPr="00307A03" w:rsidRDefault="00F86F87">
      <w:pPr>
        <w:jc w:val="left"/>
        <w:rPr>
          <w:rFonts w:ascii="Arial" w:hAnsi="Arial" w:cs="Arial"/>
          <w:szCs w:val="20"/>
        </w:rPr>
      </w:pPr>
      <w:r w:rsidRPr="00307A03">
        <w:rPr>
          <w:rFonts w:ascii="Arial" w:hAnsi="Arial" w:cs="Arial"/>
          <w:szCs w:val="20"/>
        </w:rPr>
        <w:t xml:space="preserve">Dear </w:t>
      </w:r>
      <w:bookmarkStart w:id="7" w:name="Salutation"/>
      <w:bookmarkEnd w:id="7"/>
      <w:r w:rsidRPr="00307A03">
        <w:rPr>
          <w:rFonts w:ascii="Arial" w:hAnsi="Arial" w:cs="Arial"/>
          <w:szCs w:val="20"/>
        </w:rPr>
        <w:t>[</w:t>
      </w:r>
      <w:r w:rsidRPr="00307A03">
        <w:rPr>
          <w:rFonts w:ascii="Arial" w:hAnsi="Arial" w:cs="Arial"/>
          <w:szCs w:val="20"/>
          <w:highlight w:val="lightGray"/>
        </w:rPr>
        <w:t>Insert Client Name</w:t>
      </w:r>
      <w:r w:rsidRPr="00307A03">
        <w:rPr>
          <w:rFonts w:ascii="Arial" w:hAnsi="Arial" w:cs="Arial"/>
          <w:szCs w:val="20"/>
        </w:rPr>
        <w:t>]</w:t>
      </w:r>
    </w:p>
    <w:p w14:paraId="7919D698" w14:textId="77777777" w:rsidR="00C3772D" w:rsidRPr="00307A03" w:rsidRDefault="00C3772D">
      <w:pPr>
        <w:jc w:val="left"/>
        <w:rPr>
          <w:rFonts w:ascii="Arial" w:hAnsi="Arial" w:cs="Arial"/>
          <w:b/>
          <w:bCs/>
          <w:szCs w:val="20"/>
        </w:rPr>
      </w:pPr>
    </w:p>
    <w:p w14:paraId="6F4A7635" w14:textId="77777777" w:rsidR="00C3772D" w:rsidRPr="00307A03" w:rsidRDefault="00C3772D">
      <w:pPr>
        <w:jc w:val="left"/>
        <w:rPr>
          <w:rFonts w:ascii="Arial" w:hAnsi="Arial" w:cs="Arial"/>
          <w:b/>
          <w:bCs/>
          <w:szCs w:val="20"/>
        </w:rPr>
      </w:pPr>
    </w:p>
    <w:p w14:paraId="16A5CC2A" w14:textId="77777777" w:rsidR="00C3772D" w:rsidRPr="00F660CA" w:rsidRDefault="00F86F87">
      <w:pPr>
        <w:jc w:val="left"/>
        <w:rPr>
          <w:rFonts w:ascii="Arial" w:hAnsi="Arial" w:cs="Arial"/>
          <w:b/>
          <w:bCs/>
          <w:sz w:val="21"/>
          <w:szCs w:val="21"/>
        </w:rPr>
      </w:pPr>
      <w:r w:rsidRPr="00F660CA">
        <w:rPr>
          <w:rFonts w:ascii="Arial" w:hAnsi="Arial" w:cs="Arial"/>
          <w:b/>
          <w:bCs/>
          <w:sz w:val="21"/>
          <w:szCs w:val="21"/>
        </w:rPr>
        <w:t>Re:</w:t>
      </w:r>
      <w:r w:rsidRPr="00F660CA">
        <w:rPr>
          <w:rFonts w:ascii="Arial" w:hAnsi="Arial" w:cs="Arial"/>
          <w:b/>
          <w:bCs/>
          <w:sz w:val="21"/>
          <w:szCs w:val="21"/>
        </w:rPr>
        <w:tab/>
      </w:r>
      <w:bookmarkStart w:id="8" w:name="Subject"/>
      <w:bookmarkEnd w:id="8"/>
      <w:r w:rsidRPr="00F660CA">
        <w:rPr>
          <w:rFonts w:ascii="Arial" w:hAnsi="Arial" w:cs="Arial"/>
          <w:b/>
          <w:bCs/>
          <w:sz w:val="21"/>
          <w:szCs w:val="21"/>
        </w:rPr>
        <w:t>[</w:t>
      </w:r>
      <w:r w:rsidRPr="00F660CA">
        <w:rPr>
          <w:rFonts w:ascii="Arial" w:hAnsi="Arial" w:cs="Arial"/>
          <w:b/>
          <w:bCs/>
          <w:sz w:val="21"/>
          <w:szCs w:val="21"/>
          <w:highlight w:val="lightGray"/>
        </w:rPr>
        <w:t>Insert Taxpayer</w:t>
      </w:r>
      <w:r w:rsidRPr="00F660CA">
        <w:rPr>
          <w:rFonts w:ascii="Arial" w:hAnsi="Arial" w:cs="Arial"/>
          <w:b/>
          <w:bCs/>
          <w:sz w:val="21"/>
          <w:szCs w:val="21"/>
        </w:rPr>
        <w:t>] Common Errors Targeted by Inland Revenue</w:t>
      </w:r>
    </w:p>
    <w:p w14:paraId="719612F0" w14:textId="77777777" w:rsidR="00C3772D" w:rsidRPr="00307A03" w:rsidRDefault="00C3772D">
      <w:pPr>
        <w:rPr>
          <w:rFonts w:ascii="Arial" w:hAnsi="Arial" w:cs="Arial"/>
          <w:szCs w:val="20"/>
        </w:rPr>
      </w:pPr>
    </w:p>
    <w:p w14:paraId="25617D6C" w14:textId="77777777" w:rsidR="00C3772D" w:rsidRPr="00307A03" w:rsidRDefault="00F86F87" w:rsidP="00F660CA">
      <w:pPr>
        <w:spacing w:line="276" w:lineRule="auto"/>
        <w:jc w:val="left"/>
        <w:rPr>
          <w:rFonts w:ascii="Arial" w:hAnsi="Arial" w:cs="Arial"/>
          <w:szCs w:val="20"/>
        </w:rPr>
      </w:pPr>
      <w:r w:rsidRPr="00307A03">
        <w:rPr>
          <w:rFonts w:ascii="Arial" w:hAnsi="Arial" w:cs="Arial"/>
          <w:szCs w:val="20"/>
        </w:rPr>
        <w:t xml:space="preserve">We are writing to you </w:t>
      </w:r>
      <w:proofErr w:type="gramStart"/>
      <w:r w:rsidRPr="00307A03">
        <w:rPr>
          <w:rFonts w:ascii="Arial" w:hAnsi="Arial" w:cs="Arial"/>
          <w:szCs w:val="20"/>
        </w:rPr>
        <w:t>in regards to</w:t>
      </w:r>
      <w:proofErr w:type="gramEnd"/>
      <w:r w:rsidRPr="00307A03">
        <w:rPr>
          <w:rFonts w:ascii="Arial" w:hAnsi="Arial" w:cs="Arial"/>
          <w:szCs w:val="20"/>
        </w:rPr>
        <w:t xml:space="preserve"> [</w:t>
      </w:r>
      <w:r w:rsidRPr="00307A03">
        <w:rPr>
          <w:rFonts w:ascii="Arial" w:hAnsi="Arial" w:cs="Arial"/>
          <w:szCs w:val="20"/>
          <w:highlight w:val="lightGray"/>
        </w:rPr>
        <w:t>insert taxpayers name</w:t>
      </w:r>
      <w:r w:rsidRPr="00307A03">
        <w:rPr>
          <w:rFonts w:ascii="Arial" w:hAnsi="Arial" w:cs="Arial"/>
          <w:szCs w:val="20"/>
        </w:rPr>
        <w:t>]’s tax compliance in light of common errors seen by Inland Revenue. If any of the below apply to [</w:t>
      </w:r>
      <w:r w:rsidRPr="00307A03">
        <w:rPr>
          <w:rFonts w:ascii="Arial" w:hAnsi="Arial" w:cs="Arial"/>
          <w:szCs w:val="20"/>
          <w:highlight w:val="lightGray"/>
        </w:rPr>
        <w:t>insert taxpayer’s name</w:t>
      </w:r>
      <w:r w:rsidRPr="00307A03">
        <w:rPr>
          <w:rFonts w:ascii="Arial" w:hAnsi="Arial" w:cs="Arial"/>
          <w:szCs w:val="20"/>
        </w:rPr>
        <w:t xml:space="preserve">] or if you wish to discuss any of the these matters in further detail, please feel free to contact us. </w:t>
      </w:r>
    </w:p>
    <w:p w14:paraId="28155202" w14:textId="77777777" w:rsidR="00C3772D" w:rsidRPr="00307A03" w:rsidRDefault="00C3772D" w:rsidP="00F660CA">
      <w:pPr>
        <w:spacing w:line="276" w:lineRule="auto"/>
        <w:jc w:val="left"/>
        <w:rPr>
          <w:rFonts w:ascii="Arial" w:hAnsi="Arial" w:cs="Arial"/>
          <w:szCs w:val="20"/>
        </w:rPr>
      </w:pPr>
    </w:p>
    <w:p w14:paraId="54F7CBED" w14:textId="77777777" w:rsidR="00C3772D" w:rsidRPr="00307A03" w:rsidRDefault="00F86F87" w:rsidP="00F660CA">
      <w:pPr>
        <w:spacing w:line="276" w:lineRule="auto"/>
        <w:jc w:val="left"/>
        <w:rPr>
          <w:rFonts w:ascii="Arial" w:hAnsi="Arial" w:cs="Arial"/>
          <w:szCs w:val="20"/>
        </w:rPr>
      </w:pPr>
      <w:r w:rsidRPr="00307A03">
        <w:rPr>
          <w:rFonts w:ascii="Arial" w:hAnsi="Arial" w:cs="Arial"/>
          <w:szCs w:val="20"/>
        </w:rPr>
        <w:t>Inland Revenue have highlighted the following key factors as common areas of mistakes which a</w:t>
      </w:r>
      <w:r w:rsidR="00E57E6D" w:rsidRPr="00307A03">
        <w:rPr>
          <w:rFonts w:ascii="Arial" w:hAnsi="Arial" w:cs="Arial"/>
          <w:szCs w:val="20"/>
        </w:rPr>
        <w:t xml:space="preserve">re targeted by Inland Revenue. </w:t>
      </w:r>
      <w:r w:rsidRPr="00307A03">
        <w:rPr>
          <w:rFonts w:ascii="Arial" w:hAnsi="Arial" w:cs="Arial"/>
          <w:szCs w:val="20"/>
        </w:rPr>
        <w:t xml:space="preserve">Please note that this is not an exhaustive list, and if you are unsure of the tax treatment of any transaction, we would be happy to assist you with it.  </w:t>
      </w:r>
    </w:p>
    <w:p w14:paraId="41571B97" w14:textId="77777777" w:rsidR="00C3772D" w:rsidRPr="00307A03" w:rsidRDefault="00C3772D">
      <w:pPr>
        <w:ind w:right="-56"/>
        <w:rPr>
          <w:rFonts w:ascii="Arial" w:hAnsi="Arial" w:cs="Arial"/>
          <w:b/>
          <w:szCs w:val="20"/>
        </w:rPr>
      </w:pPr>
    </w:p>
    <w:p w14:paraId="45CA3730" w14:textId="77777777" w:rsidR="00C3772D" w:rsidRPr="00307A03" w:rsidRDefault="00F86F87">
      <w:pPr>
        <w:ind w:right="-56"/>
        <w:rPr>
          <w:rFonts w:ascii="Arial" w:hAnsi="Arial" w:cs="Arial"/>
          <w:b/>
          <w:szCs w:val="20"/>
        </w:rPr>
      </w:pPr>
      <w:r w:rsidRPr="00307A03">
        <w:rPr>
          <w:rFonts w:ascii="Arial" w:hAnsi="Arial" w:cs="Arial"/>
          <w:b/>
          <w:szCs w:val="20"/>
        </w:rPr>
        <w:t>Companies</w:t>
      </w:r>
    </w:p>
    <w:p w14:paraId="79B40347" w14:textId="77777777" w:rsidR="00C3772D" w:rsidRDefault="00C3772D">
      <w:pPr>
        <w:ind w:right="-56"/>
        <w:rPr>
          <w:rFonts w:ascii="Arial" w:hAnsi="Arial" w:cs="Arial"/>
          <w:sz w:val="21"/>
          <w:szCs w:val="21"/>
        </w:rPr>
      </w:pPr>
    </w:p>
    <w:tbl>
      <w:tblPr>
        <w:tblStyle w:val="TableGrid"/>
        <w:tblW w:w="0" w:type="auto"/>
        <w:tblLook w:val="04A0" w:firstRow="1" w:lastRow="0" w:firstColumn="1" w:lastColumn="0" w:noHBand="0" w:noVBand="1"/>
      </w:tblPr>
      <w:tblGrid>
        <w:gridCol w:w="1932"/>
        <w:gridCol w:w="3302"/>
        <w:gridCol w:w="3829"/>
      </w:tblGrid>
      <w:tr w:rsidR="00C3772D" w:rsidRPr="00E57E6D" w14:paraId="529F2CAF" w14:textId="77777777" w:rsidTr="00E57E6D">
        <w:tc>
          <w:tcPr>
            <w:tcW w:w="1951" w:type="dxa"/>
            <w:shd w:val="clear" w:color="auto" w:fill="D9D9D9" w:themeFill="background1" w:themeFillShade="D9"/>
          </w:tcPr>
          <w:p w14:paraId="09EEA8A4" w14:textId="77777777" w:rsidR="00C3772D" w:rsidRPr="00E57E6D" w:rsidRDefault="00F86F87" w:rsidP="00F660CA">
            <w:pPr>
              <w:spacing w:before="100" w:after="100"/>
              <w:jc w:val="left"/>
              <w:rPr>
                <w:rFonts w:ascii="Arial" w:hAnsi="Arial" w:cs="Arial"/>
                <w:b/>
                <w:szCs w:val="20"/>
              </w:rPr>
            </w:pPr>
            <w:r w:rsidRPr="00E57E6D">
              <w:rPr>
                <w:rFonts w:ascii="Arial" w:hAnsi="Arial" w:cs="Arial"/>
                <w:b/>
                <w:szCs w:val="20"/>
              </w:rPr>
              <w:t>Issue</w:t>
            </w:r>
          </w:p>
        </w:tc>
        <w:tc>
          <w:tcPr>
            <w:tcW w:w="3402" w:type="dxa"/>
            <w:shd w:val="clear" w:color="auto" w:fill="D9D9D9" w:themeFill="background1" w:themeFillShade="D9"/>
          </w:tcPr>
          <w:p w14:paraId="23C85A25" w14:textId="77777777" w:rsidR="00C3772D" w:rsidRPr="00E57E6D" w:rsidRDefault="00F86F87" w:rsidP="00F660CA">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58370A9E" w14:textId="77777777" w:rsidR="00C3772D" w:rsidRPr="00E57E6D" w:rsidRDefault="00E57E6D" w:rsidP="00F660CA">
            <w:pPr>
              <w:spacing w:before="100" w:after="100"/>
              <w:jc w:val="left"/>
              <w:rPr>
                <w:rFonts w:ascii="Arial" w:hAnsi="Arial" w:cs="Arial"/>
                <w:b/>
                <w:szCs w:val="20"/>
              </w:rPr>
            </w:pPr>
            <w:r>
              <w:rPr>
                <w:rFonts w:ascii="Arial" w:hAnsi="Arial" w:cs="Arial"/>
                <w:b/>
                <w:szCs w:val="20"/>
              </w:rPr>
              <w:t xml:space="preserve">Recommendations - </w:t>
            </w:r>
            <w:r w:rsidR="00F660CA">
              <w:rPr>
                <w:rFonts w:ascii="Arial" w:hAnsi="Arial" w:cs="Arial"/>
                <w:b/>
                <w:szCs w:val="20"/>
              </w:rPr>
              <w:t>How w</w:t>
            </w:r>
            <w:r w:rsidR="00F86F87" w:rsidRPr="00E57E6D">
              <w:rPr>
                <w:rFonts w:ascii="Arial" w:hAnsi="Arial" w:cs="Arial"/>
                <w:b/>
                <w:szCs w:val="20"/>
              </w:rPr>
              <w:t xml:space="preserve">e </w:t>
            </w:r>
            <w:r w:rsidR="00F660CA">
              <w:rPr>
                <w:rFonts w:ascii="Arial" w:hAnsi="Arial" w:cs="Arial"/>
                <w:b/>
                <w:szCs w:val="20"/>
              </w:rPr>
              <w:t>can a</w:t>
            </w:r>
            <w:r w:rsidR="00F86F87" w:rsidRPr="00E57E6D">
              <w:rPr>
                <w:rFonts w:ascii="Arial" w:hAnsi="Arial" w:cs="Arial"/>
                <w:b/>
                <w:szCs w:val="20"/>
              </w:rPr>
              <w:t>ssist</w:t>
            </w:r>
          </w:p>
        </w:tc>
      </w:tr>
      <w:tr w:rsidR="00E57E6D" w:rsidRPr="00E57E6D" w14:paraId="7C67FDBC" w14:textId="77777777" w:rsidTr="00F660CA">
        <w:tc>
          <w:tcPr>
            <w:tcW w:w="9289" w:type="dxa"/>
            <w:gridSpan w:val="3"/>
            <w:shd w:val="clear" w:color="auto" w:fill="F2F2F2" w:themeFill="background1" w:themeFillShade="F2"/>
          </w:tcPr>
          <w:p w14:paraId="3F8214E2" w14:textId="77777777" w:rsidR="00E57E6D" w:rsidRPr="00E57E6D" w:rsidRDefault="00E57E6D" w:rsidP="00F660CA">
            <w:pPr>
              <w:spacing w:before="100" w:after="100"/>
              <w:jc w:val="left"/>
              <w:rPr>
                <w:rFonts w:ascii="Arial" w:hAnsi="Arial" w:cs="Arial"/>
                <w:szCs w:val="20"/>
              </w:rPr>
            </w:pPr>
            <w:r w:rsidRPr="00E57E6D">
              <w:rPr>
                <w:rFonts w:ascii="Arial" w:hAnsi="Arial" w:cs="Arial"/>
                <w:b/>
                <w:szCs w:val="20"/>
              </w:rPr>
              <w:t>(1) Payroll</w:t>
            </w:r>
          </w:p>
        </w:tc>
      </w:tr>
      <w:tr w:rsidR="00C3772D" w:rsidRPr="00E57E6D" w14:paraId="5311876D" w14:textId="77777777">
        <w:tc>
          <w:tcPr>
            <w:tcW w:w="1951" w:type="dxa"/>
          </w:tcPr>
          <w:p w14:paraId="3C7E1B1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Employer Responsibilities </w:t>
            </w:r>
          </w:p>
        </w:tc>
        <w:tc>
          <w:tcPr>
            <w:tcW w:w="3402" w:type="dxa"/>
          </w:tcPr>
          <w:p w14:paraId="4CE3379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Incorrect employee IRD numbers or incorrect format.</w:t>
            </w:r>
          </w:p>
          <w:p w14:paraId="43D9B3EA"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Employer monthly schedules not filed on time to make payment.</w:t>
            </w:r>
          </w:p>
          <w:p w14:paraId="11D7FA18" w14:textId="7DAA5CED"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Incorrect amounts entered for employee’s </w:t>
            </w:r>
            <w:proofErr w:type="spellStart"/>
            <w:r w:rsidR="00D65A0A" w:rsidRPr="00E57E6D">
              <w:rPr>
                <w:rFonts w:ascii="Arial" w:hAnsi="Arial" w:cs="Arial"/>
                <w:szCs w:val="20"/>
              </w:rPr>
              <w:t>KiwiSaver</w:t>
            </w:r>
            <w:proofErr w:type="spellEnd"/>
            <w:r w:rsidRPr="00E57E6D">
              <w:rPr>
                <w:rFonts w:ascii="Arial" w:hAnsi="Arial" w:cs="Arial"/>
                <w:szCs w:val="20"/>
              </w:rPr>
              <w:t>, Student Loan, or Child Support Payments.</w:t>
            </w:r>
          </w:p>
          <w:p w14:paraId="25A21548"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Over-reliance on payroll software to produce the correct answer (particularly when payroll service provided internationally).  </w:t>
            </w:r>
          </w:p>
        </w:tc>
        <w:tc>
          <w:tcPr>
            <w:tcW w:w="3936" w:type="dxa"/>
          </w:tcPr>
          <w:p w14:paraId="5617253A"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We offer payroll assistance and can prepare payroll </w:t>
            </w:r>
            <w:r w:rsidR="00F660CA">
              <w:rPr>
                <w:rFonts w:ascii="Arial" w:hAnsi="Arial" w:cs="Arial"/>
                <w:szCs w:val="20"/>
              </w:rPr>
              <w:t xml:space="preserve">returns </w:t>
            </w:r>
            <w:r w:rsidRPr="00E57E6D">
              <w:rPr>
                <w:rFonts w:ascii="Arial" w:hAnsi="Arial" w:cs="Arial"/>
                <w:szCs w:val="20"/>
              </w:rPr>
              <w:t xml:space="preserve">and file </w:t>
            </w:r>
            <w:r w:rsidR="00F660CA">
              <w:rPr>
                <w:rFonts w:ascii="Arial" w:hAnsi="Arial" w:cs="Arial"/>
                <w:szCs w:val="20"/>
              </w:rPr>
              <w:t>them</w:t>
            </w:r>
            <w:r w:rsidRPr="00E57E6D">
              <w:rPr>
                <w:rFonts w:ascii="Arial" w:hAnsi="Arial" w:cs="Arial"/>
                <w:szCs w:val="20"/>
              </w:rPr>
              <w:t xml:space="preserve"> on your behalf. Alter</w:t>
            </w:r>
            <w:r w:rsidR="00F660CA">
              <w:rPr>
                <w:rFonts w:ascii="Arial" w:hAnsi="Arial" w:cs="Arial"/>
                <w:szCs w:val="20"/>
              </w:rPr>
              <w:t>natively, we can perform a high-</w:t>
            </w:r>
            <w:r w:rsidRPr="00E57E6D">
              <w:rPr>
                <w:rFonts w:ascii="Arial" w:hAnsi="Arial" w:cs="Arial"/>
                <w:szCs w:val="20"/>
              </w:rPr>
              <w:t>level review of your payroll function.</w:t>
            </w:r>
          </w:p>
          <w:p w14:paraId="50FBF324" w14:textId="0BBBE211" w:rsidR="00C3772D" w:rsidRPr="00E57E6D" w:rsidRDefault="00F86F87" w:rsidP="00F660CA">
            <w:pPr>
              <w:spacing w:before="100" w:after="100"/>
              <w:jc w:val="left"/>
              <w:rPr>
                <w:rFonts w:ascii="Arial" w:hAnsi="Arial" w:cs="Arial"/>
                <w:szCs w:val="20"/>
              </w:rPr>
            </w:pPr>
            <w:r w:rsidRPr="00E57E6D">
              <w:rPr>
                <w:rFonts w:ascii="Arial" w:hAnsi="Arial" w:cs="Arial"/>
                <w:szCs w:val="20"/>
              </w:rPr>
              <w:t>We recommend proper procedures a</w:t>
            </w:r>
            <w:r w:rsidR="00E57E6D">
              <w:rPr>
                <w:rFonts w:ascii="Arial" w:hAnsi="Arial" w:cs="Arial"/>
                <w:szCs w:val="20"/>
              </w:rPr>
              <w:t xml:space="preserve">re in place to prevent errors. </w:t>
            </w:r>
            <w:r w:rsidRPr="00E57E6D">
              <w:rPr>
                <w:rFonts w:ascii="Arial" w:hAnsi="Arial" w:cs="Arial"/>
                <w:szCs w:val="20"/>
              </w:rPr>
              <w:t xml:space="preserve">This includes regular reconciliations of employer monthly schedules and employer deduction forms across PAYE, </w:t>
            </w:r>
            <w:proofErr w:type="spellStart"/>
            <w:r w:rsidR="00D65A0A" w:rsidRPr="00E57E6D">
              <w:rPr>
                <w:rFonts w:ascii="Arial" w:hAnsi="Arial" w:cs="Arial"/>
                <w:szCs w:val="20"/>
              </w:rPr>
              <w:t>KiwiSaver</w:t>
            </w:r>
            <w:proofErr w:type="spellEnd"/>
            <w:r w:rsidRPr="00E57E6D">
              <w:rPr>
                <w:rFonts w:ascii="Arial" w:hAnsi="Arial" w:cs="Arial"/>
                <w:szCs w:val="20"/>
              </w:rPr>
              <w:t xml:space="preserve"> and other deductions.</w:t>
            </w:r>
          </w:p>
          <w:p w14:paraId="6CAB9A72"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Appropriate checks should also be performed of forms being filled in by employees (such as the IR330).</w:t>
            </w:r>
          </w:p>
          <w:p w14:paraId="0E50F69C"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Spot checks should be regularly performed to ensure amounts paid for ind</w:t>
            </w:r>
            <w:r w:rsidR="00F660CA">
              <w:rPr>
                <w:rFonts w:ascii="Arial" w:hAnsi="Arial" w:cs="Arial"/>
                <w:szCs w:val="20"/>
              </w:rPr>
              <w:t xml:space="preserve">ividual employees are correct. </w:t>
            </w:r>
            <w:r w:rsidRPr="00E57E6D">
              <w:rPr>
                <w:rFonts w:ascii="Arial" w:hAnsi="Arial" w:cs="Arial"/>
                <w:szCs w:val="20"/>
              </w:rPr>
              <w:t>These checks are particularly important when lump sum amounts are being paid, or upon an employee leaving.</w:t>
            </w:r>
          </w:p>
        </w:tc>
      </w:tr>
      <w:tr w:rsidR="00C3772D" w:rsidRPr="00E57E6D" w14:paraId="38AEB684" w14:textId="77777777">
        <w:tc>
          <w:tcPr>
            <w:tcW w:w="1951" w:type="dxa"/>
          </w:tcPr>
          <w:p w14:paraId="628548B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Employees vs Contractors</w:t>
            </w:r>
          </w:p>
        </w:tc>
        <w:tc>
          <w:tcPr>
            <w:tcW w:w="3402" w:type="dxa"/>
          </w:tcPr>
          <w:p w14:paraId="2E44B3A9"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Incorrect treatment of employees as independent contractors, and non-compliance with employer responsibilities.</w:t>
            </w:r>
          </w:p>
        </w:tc>
        <w:tc>
          <w:tcPr>
            <w:tcW w:w="3936" w:type="dxa"/>
          </w:tcPr>
          <w:p w14:paraId="1CAD1FEE"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We can assist with appropriate identification o</w:t>
            </w:r>
            <w:r w:rsidR="00F660CA">
              <w:rPr>
                <w:rFonts w:ascii="Arial" w:hAnsi="Arial" w:cs="Arial"/>
                <w:szCs w:val="20"/>
              </w:rPr>
              <w:t>f whether a person is an employee or</w:t>
            </w:r>
            <w:r w:rsidRPr="00E57E6D">
              <w:rPr>
                <w:rFonts w:ascii="Arial" w:hAnsi="Arial" w:cs="Arial"/>
                <w:szCs w:val="20"/>
              </w:rPr>
              <w:t xml:space="preserve"> </w:t>
            </w:r>
            <w:r w:rsidR="00F660CA">
              <w:rPr>
                <w:rFonts w:ascii="Arial" w:hAnsi="Arial" w:cs="Arial"/>
                <w:szCs w:val="20"/>
              </w:rPr>
              <w:t xml:space="preserve">an </w:t>
            </w:r>
            <w:r w:rsidRPr="00E57E6D">
              <w:rPr>
                <w:rFonts w:ascii="Arial" w:hAnsi="Arial" w:cs="Arial"/>
                <w:szCs w:val="20"/>
              </w:rPr>
              <w:t xml:space="preserve">independent contractor.  </w:t>
            </w:r>
          </w:p>
        </w:tc>
      </w:tr>
      <w:tr w:rsidR="00E57E6D" w:rsidRPr="00E57E6D" w14:paraId="160939D3" w14:textId="77777777" w:rsidTr="00F660CA">
        <w:tc>
          <w:tcPr>
            <w:tcW w:w="9289" w:type="dxa"/>
            <w:gridSpan w:val="3"/>
            <w:shd w:val="clear" w:color="auto" w:fill="F2F2F2" w:themeFill="background1" w:themeFillShade="F2"/>
          </w:tcPr>
          <w:p w14:paraId="219CC39E" w14:textId="77777777" w:rsidR="00E57E6D" w:rsidRPr="00E57E6D" w:rsidRDefault="00E57E6D" w:rsidP="00F660CA">
            <w:pPr>
              <w:spacing w:before="100" w:after="100"/>
              <w:jc w:val="left"/>
              <w:rPr>
                <w:rFonts w:ascii="Arial" w:hAnsi="Arial" w:cs="Arial"/>
                <w:szCs w:val="20"/>
              </w:rPr>
            </w:pPr>
            <w:r w:rsidRPr="00E57E6D">
              <w:rPr>
                <w:rFonts w:ascii="Arial" w:hAnsi="Arial" w:cs="Arial"/>
                <w:b/>
                <w:szCs w:val="20"/>
              </w:rPr>
              <w:t>(2) GST</w:t>
            </w:r>
          </w:p>
        </w:tc>
      </w:tr>
      <w:tr w:rsidR="00C3772D" w:rsidRPr="00E57E6D" w14:paraId="6BAECC09" w14:textId="77777777">
        <w:tc>
          <w:tcPr>
            <w:tcW w:w="1951" w:type="dxa"/>
          </w:tcPr>
          <w:p w14:paraId="7AFC1AAE" w14:textId="77777777" w:rsidR="00C3772D" w:rsidRPr="00E57E6D" w:rsidRDefault="00F86F87" w:rsidP="00E57E6D">
            <w:pPr>
              <w:ind w:right="-57"/>
              <w:jc w:val="left"/>
              <w:rPr>
                <w:rFonts w:ascii="Arial" w:hAnsi="Arial" w:cs="Arial"/>
                <w:szCs w:val="20"/>
              </w:rPr>
            </w:pPr>
            <w:r w:rsidRPr="00E57E6D">
              <w:rPr>
                <w:rFonts w:ascii="Arial" w:hAnsi="Arial" w:cs="Arial"/>
                <w:szCs w:val="20"/>
              </w:rPr>
              <w:t>Preparation Errors</w:t>
            </w:r>
          </w:p>
        </w:tc>
        <w:tc>
          <w:tcPr>
            <w:tcW w:w="3402" w:type="dxa"/>
          </w:tcPr>
          <w:p w14:paraId="34988CE8" w14:textId="77777777" w:rsidR="00E57E6D" w:rsidRPr="00E57E6D" w:rsidRDefault="00F86F87" w:rsidP="00E57E6D">
            <w:pPr>
              <w:ind w:right="-57"/>
              <w:jc w:val="left"/>
              <w:rPr>
                <w:rFonts w:ascii="Arial" w:hAnsi="Arial" w:cs="Arial"/>
                <w:szCs w:val="20"/>
              </w:rPr>
            </w:pPr>
            <w:r w:rsidRPr="00E57E6D">
              <w:rPr>
                <w:rFonts w:ascii="Arial" w:hAnsi="Arial" w:cs="Arial"/>
                <w:szCs w:val="20"/>
              </w:rPr>
              <w:t>Figures entered in incorrect boxes, numeric errors, insufficient information.</w:t>
            </w:r>
          </w:p>
        </w:tc>
        <w:tc>
          <w:tcPr>
            <w:tcW w:w="3936" w:type="dxa"/>
          </w:tcPr>
          <w:p w14:paraId="5B627852" w14:textId="77777777" w:rsidR="00C3772D" w:rsidRPr="00E57E6D" w:rsidRDefault="00F86F87" w:rsidP="00E57E6D">
            <w:pPr>
              <w:ind w:right="-57"/>
              <w:jc w:val="left"/>
              <w:rPr>
                <w:rFonts w:ascii="Arial" w:hAnsi="Arial" w:cs="Arial"/>
                <w:szCs w:val="20"/>
              </w:rPr>
            </w:pPr>
            <w:r w:rsidRPr="00E57E6D">
              <w:rPr>
                <w:rFonts w:ascii="Arial" w:hAnsi="Arial" w:cs="Arial"/>
                <w:szCs w:val="20"/>
              </w:rPr>
              <w:t>We can review your GST returns and file these with Inland Revenue on your behalf.</w:t>
            </w:r>
          </w:p>
        </w:tc>
      </w:tr>
    </w:tbl>
    <w:p w14:paraId="2BD664D7" w14:textId="77777777" w:rsidR="00F660CA" w:rsidRDefault="00F660CA">
      <w:r>
        <w:br w:type="page"/>
      </w:r>
    </w:p>
    <w:tbl>
      <w:tblPr>
        <w:tblStyle w:val="TableGrid"/>
        <w:tblW w:w="0" w:type="auto"/>
        <w:tblLook w:val="04A0" w:firstRow="1" w:lastRow="0" w:firstColumn="1" w:lastColumn="0" w:noHBand="0" w:noVBand="1"/>
      </w:tblPr>
      <w:tblGrid>
        <w:gridCol w:w="1922"/>
        <w:gridCol w:w="3301"/>
        <w:gridCol w:w="3840"/>
      </w:tblGrid>
      <w:tr w:rsidR="00F660CA" w:rsidRPr="00E57E6D" w14:paraId="3B1F71D8" w14:textId="77777777" w:rsidTr="00506DEE">
        <w:tc>
          <w:tcPr>
            <w:tcW w:w="1951" w:type="dxa"/>
            <w:shd w:val="clear" w:color="auto" w:fill="D9D9D9" w:themeFill="background1" w:themeFillShade="D9"/>
          </w:tcPr>
          <w:p w14:paraId="5AE7516A"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lastRenderedPageBreak/>
              <w:t>Issue</w:t>
            </w:r>
          </w:p>
        </w:tc>
        <w:tc>
          <w:tcPr>
            <w:tcW w:w="3402" w:type="dxa"/>
            <w:shd w:val="clear" w:color="auto" w:fill="D9D9D9" w:themeFill="background1" w:themeFillShade="D9"/>
          </w:tcPr>
          <w:p w14:paraId="772B2A05"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4DF7EBD7" w14:textId="77777777" w:rsidR="00F660CA" w:rsidRPr="00E57E6D" w:rsidRDefault="00F660CA" w:rsidP="00506DEE">
            <w:pPr>
              <w:spacing w:before="100" w:after="100"/>
              <w:jc w:val="left"/>
              <w:rPr>
                <w:rFonts w:ascii="Arial" w:hAnsi="Arial" w:cs="Arial"/>
                <w:b/>
                <w:szCs w:val="20"/>
              </w:rPr>
            </w:pPr>
            <w:r>
              <w:rPr>
                <w:rFonts w:ascii="Arial" w:hAnsi="Arial" w:cs="Arial"/>
                <w:b/>
                <w:szCs w:val="20"/>
              </w:rPr>
              <w:t>Recommendations - How w</w:t>
            </w:r>
            <w:r w:rsidRPr="00E57E6D">
              <w:rPr>
                <w:rFonts w:ascii="Arial" w:hAnsi="Arial" w:cs="Arial"/>
                <w:b/>
                <w:szCs w:val="20"/>
              </w:rPr>
              <w:t xml:space="preserve">e </w:t>
            </w:r>
            <w:r>
              <w:rPr>
                <w:rFonts w:ascii="Arial" w:hAnsi="Arial" w:cs="Arial"/>
                <w:b/>
                <w:szCs w:val="20"/>
              </w:rPr>
              <w:t>can a</w:t>
            </w:r>
            <w:r w:rsidRPr="00E57E6D">
              <w:rPr>
                <w:rFonts w:ascii="Arial" w:hAnsi="Arial" w:cs="Arial"/>
                <w:b/>
                <w:szCs w:val="20"/>
              </w:rPr>
              <w:t>ssist</w:t>
            </w:r>
          </w:p>
        </w:tc>
      </w:tr>
      <w:tr w:rsidR="00F660CA" w:rsidRPr="00E57E6D" w14:paraId="21C1DB92" w14:textId="77777777" w:rsidTr="00440840">
        <w:tc>
          <w:tcPr>
            <w:tcW w:w="9289" w:type="dxa"/>
            <w:gridSpan w:val="3"/>
          </w:tcPr>
          <w:p w14:paraId="405F4409"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(2) GST</w:t>
            </w:r>
          </w:p>
        </w:tc>
      </w:tr>
      <w:tr w:rsidR="00F660CA" w:rsidRPr="00E57E6D" w14:paraId="485CB1BB" w14:textId="77777777">
        <w:tc>
          <w:tcPr>
            <w:tcW w:w="1951" w:type="dxa"/>
          </w:tcPr>
          <w:p w14:paraId="251142C3"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Private Use Adjustments</w:t>
            </w:r>
          </w:p>
        </w:tc>
        <w:tc>
          <w:tcPr>
            <w:tcW w:w="3402" w:type="dxa"/>
          </w:tcPr>
          <w:p w14:paraId="223AFAB3" w14:textId="52BE2C1B" w:rsidR="00F660CA" w:rsidRPr="00E57E6D" w:rsidRDefault="007E7027" w:rsidP="00F660CA">
            <w:pPr>
              <w:spacing w:before="100" w:after="100"/>
              <w:jc w:val="left"/>
              <w:rPr>
                <w:rFonts w:ascii="Arial" w:hAnsi="Arial" w:cs="Arial"/>
                <w:szCs w:val="20"/>
              </w:rPr>
            </w:pPr>
            <w:r w:rsidRPr="007E7027">
              <w:rPr>
                <w:rFonts w:ascii="Arial" w:hAnsi="Arial" w:cs="Arial"/>
                <w:szCs w:val="20"/>
              </w:rPr>
              <w:t>Claiming a full input tax credit on an asset that is partially used for private (non-business) use.</w:t>
            </w:r>
          </w:p>
        </w:tc>
        <w:tc>
          <w:tcPr>
            <w:tcW w:w="3936" w:type="dxa"/>
          </w:tcPr>
          <w:p w14:paraId="4BB05FE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the correct GST treatment of business assets used for private purposes and provide advice on how to reflect this in your GST returns.</w:t>
            </w:r>
          </w:p>
        </w:tc>
      </w:tr>
      <w:tr w:rsidR="00F660CA" w:rsidRPr="00E57E6D" w14:paraId="58D6802B" w14:textId="77777777">
        <w:tc>
          <w:tcPr>
            <w:tcW w:w="1951" w:type="dxa"/>
          </w:tcPr>
          <w:p w14:paraId="271B3A5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Registration and De-registration</w:t>
            </w:r>
          </w:p>
        </w:tc>
        <w:tc>
          <w:tcPr>
            <w:tcW w:w="3402" w:type="dxa"/>
          </w:tcPr>
          <w:p w14:paraId="5A99C231"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Not registering for GST when you expect business income to be over $60,000 and not de-registering when taxable activity ceases.</w:t>
            </w:r>
          </w:p>
        </w:tc>
        <w:tc>
          <w:tcPr>
            <w:tcW w:w="3936" w:type="dxa"/>
          </w:tcPr>
          <w:p w14:paraId="57BBC08B"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discuss your particular circumstances and provide advice regarding registration and de-registration issues.</w:t>
            </w:r>
          </w:p>
        </w:tc>
      </w:tr>
      <w:tr w:rsidR="00F660CA" w:rsidRPr="00E57E6D" w14:paraId="1D1136E2" w14:textId="77777777">
        <w:tc>
          <w:tcPr>
            <w:tcW w:w="1951" w:type="dxa"/>
          </w:tcPr>
          <w:p w14:paraId="37FFCC23"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Incomplete Taxable Supplies Returned</w:t>
            </w:r>
          </w:p>
        </w:tc>
        <w:tc>
          <w:tcPr>
            <w:tcW w:w="3402" w:type="dxa"/>
          </w:tcPr>
          <w:p w14:paraId="6B471E5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Not including all supplies which should be subject to GST at 15%. </w:t>
            </w:r>
          </w:p>
        </w:tc>
        <w:tc>
          <w:tcPr>
            <w:tcW w:w="3936" w:type="dxa"/>
          </w:tcPr>
          <w:p w14:paraId="2265238A"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your supplies and advise what amounts are exempt and what should be rated at 0% and 15% to ensure the correct amounts are returned.</w:t>
            </w:r>
          </w:p>
        </w:tc>
      </w:tr>
      <w:tr w:rsidR="00F660CA" w:rsidRPr="00E57E6D" w14:paraId="33840B22" w14:textId="77777777">
        <w:tc>
          <w:tcPr>
            <w:tcW w:w="1951" w:type="dxa"/>
          </w:tcPr>
          <w:p w14:paraId="3873361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Returning GST in Incorrect Periods</w:t>
            </w:r>
          </w:p>
        </w:tc>
        <w:tc>
          <w:tcPr>
            <w:tcW w:w="3402" w:type="dxa"/>
          </w:tcPr>
          <w:p w14:paraId="36EF273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Including supplies made after the return </w:t>
            </w:r>
            <w:proofErr w:type="gramStart"/>
            <w:r w:rsidRPr="00E57E6D">
              <w:rPr>
                <w:rFonts w:ascii="Arial" w:hAnsi="Arial" w:cs="Arial"/>
                <w:szCs w:val="20"/>
              </w:rPr>
              <w:t>period, or</w:t>
            </w:r>
            <w:proofErr w:type="gramEnd"/>
            <w:r w:rsidRPr="00E57E6D">
              <w:rPr>
                <w:rFonts w:ascii="Arial" w:hAnsi="Arial" w:cs="Arial"/>
                <w:szCs w:val="20"/>
              </w:rPr>
              <w:t xml:space="preserve"> adjusting for prior errors of supplies not included in last return period.</w:t>
            </w:r>
          </w:p>
        </w:tc>
        <w:tc>
          <w:tcPr>
            <w:tcW w:w="3936" w:type="dxa"/>
          </w:tcPr>
          <w:p w14:paraId="0FBF2891"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you in correcting any historical GST issues by lodging all necessary information with Inland Revenue in the most efficient format to ensure quick processing.</w:t>
            </w:r>
          </w:p>
        </w:tc>
      </w:tr>
      <w:tr w:rsidR="00F660CA" w:rsidRPr="00E57E6D" w14:paraId="076864BB" w14:textId="77777777">
        <w:tc>
          <w:tcPr>
            <w:tcW w:w="1951" w:type="dxa"/>
          </w:tcPr>
          <w:p w14:paraId="6BABE3A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Zero Rating of Exported Goods</w:t>
            </w:r>
          </w:p>
        </w:tc>
        <w:tc>
          <w:tcPr>
            <w:tcW w:w="3402" w:type="dxa"/>
          </w:tcPr>
          <w:p w14:paraId="3C486DE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Goods incorrectly zero rated where the taxpayer is not the exporter of record.</w:t>
            </w:r>
          </w:p>
        </w:tc>
        <w:tc>
          <w:tcPr>
            <w:tcW w:w="3936" w:type="dxa"/>
          </w:tcPr>
          <w:p w14:paraId="41AC3B3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with advising on the requirements to zero rate exported goods and application of these provisions to you.</w:t>
            </w:r>
          </w:p>
        </w:tc>
      </w:tr>
      <w:tr w:rsidR="00F660CA" w:rsidRPr="00E57E6D" w14:paraId="664A1540" w14:textId="77777777">
        <w:tc>
          <w:tcPr>
            <w:tcW w:w="1951" w:type="dxa"/>
          </w:tcPr>
          <w:p w14:paraId="4AED12CE"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GST and Land Transactions</w:t>
            </w:r>
          </w:p>
        </w:tc>
        <w:tc>
          <w:tcPr>
            <w:tcW w:w="3402" w:type="dxa"/>
          </w:tcPr>
          <w:p w14:paraId="03F73D8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Transactions are i</w:t>
            </w:r>
            <w:r>
              <w:rPr>
                <w:rFonts w:ascii="Arial" w:hAnsi="Arial" w:cs="Arial"/>
                <w:szCs w:val="20"/>
              </w:rPr>
              <w:t>ncorrectly zero rated or second</w:t>
            </w:r>
            <w:r w:rsidRPr="00E57E6D">
              <w:rPr>
                <w:rFonts w:ascii="Arial" w:hAnsi="Arial" w:cs="Arial"/>
                <w:szCs w:val="20"/>
              </w:rPr>
              <w:t>hand goods credits are incorrectly claimed when land and buildings do not relate to the taxable activity of the taxpayer.</w:t>
            </w:r>
          </w:p>
        </w:tc>
        <w:tc>
          <w:tcPr>
            <w:tcW w:w="3936" w:type="dxa"/>
          </w:tcPr>
          <w:p w14:paraId="3EFF617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advise on the specific requirements of the GST zero rating provisions and assist in filing second hand goods credit claims with Inland Revenue to ensure smooth processing of such GST returns.</w:t>
            </w:r>
          </w:p>
        </w:tc>
      </w:tr>
      <w:tr w:rsidR="00F660CA" w:rsidRPr="00E57E6D" w14:paraId="486E508F" w14:textId="77777777">
        <w:tc>
          <w:tcPr>
            <w:tcW w:w="1951" w:type="dxa"/>
          </w:tcPr>
          <w:p w14:paraId="431E12F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GST and Bodies Corporate</w:t>
            </w:r>
          </w:p>
        </w:tc>
        <w:tc>
          <w:tcPr>
            <w:tcW w:w="3402" w:type="dxa"/>
          </w:tcPr>
          <w:p w14:paraId="73CB4C7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Previously there has been uncertainty around whether bodies corporate may be registered for GST.</w:t>
            </w:r>
          </w:p>
        </w:tc>
        <w:tc>
          <w:tcPr>
            <w:tcW w:w="3936" w:type="dxa"/>
          </w:tcPr>
          <w:p w14:paraId="5941B29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Given recent Inland Revenue guidance in this regard, we can advise on the advantages and disadvantages of being GST registered and all associated requirements.</w:t>
            </w:r>
          </w:p>
        </w:tc>
      </w:tr>
      <w:tr w:rsidR="00F660CA" w:rsidRPr="00E57E6D" w14:paraId="0B2F2512" w14:textId="77777777" w:rsidTr="00F660CA">
        <w:tc>
          <w:tcPr>
            <w:tcW w:w="9289" w:type="dxa"/>
            <w:gridSpan w:val="3"/>
            <w:shd w:val="clear" w:color="auto" w:fill="F2F2F2" w:themeFill="background1" w:themeFillShade="F2"/>
          </w:tcPr>
          <w:p w14:paraId="4B154CC6"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(3) FBT</w:t>
            </w:r>
          </w:p>
        </w:tc>
      </w:tr>
      <w:tr w:rsidR="00F660CA" w:rsidRPr="00E57E6D" w14:paraId="6F2A27C3" w14:textId="77777777">
        <w:tc>
          <w:tcPr>
            <w:tcW w:w="1951" w:type="dxa"/>
          </w:tcPr>
          <w:p w14:paraId="2AADCE8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Motor Vehicles</w:t>
            </w:r>
          </w:p>
        </w:tc>
        <w:tc>
          <w:tcPr>
            <w:tcW w:w="3402" w:type="dxa"/>
          </w:tcPr>
          <w:p w14:paraId="68D9B4B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Private use of motor vehicles not being subject to FBT – often in reliance on a ‘restriction of use’ letter that is not enforced.</w:t>
            </w:r>
          </w:p>
        </w:tc>
        <w:tc>
          <w:tcPr>
            <w:tcW w:w="3936" w:type="dxa"/>
          </w:tcPr>
          <w:p w14:paraId="02F7956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in establishing necessary processes and procedures to ensure compliance with FBT rules, including assistance with restriction of use letters where these are not already in place.</w:t>
            </w:r>
          </w:p>
        </w:tc>
      </w:tr>
      <w:tr w:rsidR="00F660CA" w:rsidRPr="00E57E6D" w14:paraId="30591EC0" w14:textId="77777777">
        <w:tc>
          <w:tcPr>
            <w:tcW w:w="1951" w:type="dxa"/>
          </w:tcPr>
          <w:p w14:paraId="3F446445"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Mobile Phones</w:t>
            </w:r>
          </w:p>
        </w:tc>
        <w:tc>
          <w:tcPr>
            <w:tcW w:w="3402" w:type="dxa"/>
          </w:tcPr>
          <w:p w14:paraId="3DC7825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Provision of mobile phones being subject to FBT where these may, in fact, be exempt as a business tool.</w:t>
            </w:r>
          </w:p>
        </w:tc>
        <w:tc>
          <w:tcPr>
            <w:tcW w:w="3936" w:type="dxa"/>
          </w:tcPr>
          <w:p w14:paraId="29E0CE5A"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all benefits provided to employees to ensure the company is compliant, while taking advantage of any available cost savings opportunities.</w:t>
            </w:r>
          </w:p>
        </w:tc>
      </w:tr>
    </w:tbl>
    <w:p w14:paraId="65FD6D3C" w14:textId="77777777" w:rsidR="00F660CA" w:rsidRDefault="00F660CA">
      <w:r>
        <w:br w:type="page"/>
      </w:r>
    </w:p>
    <w:tbl>
      <w:tblPr>
        <w:tblStyle w:val="TableGrid"/>
        <w:tblW w:w="0" w:type="auto"/>
        <w:tblLook w:val="04A0" w:firstRow="1" w:lastRow="0" w:firstColumn="1" w:lastColumn="0" w:noHBand="0" w:noVBand="1"/>
      </w:tblPr>
      <w:tblGrid>
        <w:gridCol w:w="1921"/>
        <w:gridCol w:w="3307"/>
        <w:gridCol w:w="3835"/>
      </w:tblGrid>
      <w:tr w:rsidR="00F660CA" w:rsidRPr="00E57E6D" w14:paraId="213CB50E" w14:textId="77777777" w:rsidTr="00506DEE">
        <w:tc>
          <w:tcPr>
            <w:tcW w:w="1951" w:type="dxa"/>
            <w:shd w:val="clear" w:color="auto" w:fill="D9D9D9" w:themeFill="background1" w:themeFillShade="D9"/>
          </w:tcPr>
          <w:p w14:paraId="46548D8F"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lastRenderedPageBreak/>
              <w:t>Issue</w:t>
            </w:r>
          </w:p>
        </w:tc>
        <w:tc>
          <w:tcPr>
            <w:tcW w:w="3402" w:type="dxa"/>
            <w:shd w:val="clear" w:color="auto" w:fill="D9D9D9" w:themeFill="background1" w:themeFillShade="D9"/>
          </w:tcPr>
          <w:p w14:paraId="34C77CF8"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6411FDA6" w14:textId="77777777" w:rsidR="00F660CA" w:rsidRPr="00E57E6D" w:rsidRDefault="00F660CA" w:rsidP="00506DEE">
            <w:pPr>
              <w:spacing w:before="100" w:after="100"/>
              <w:jc w:val="left"/>
              <w:rPr>
                <w:rFonts w:ascii="Arial" w:hAnsi="Arial" w:cs="Arial"/>
                <w:b/>
                <w:szCs w:val="20"/>
              </w:rPr>
            </w:pPr>
            <w:r>
              <w:rPr>
                <w:rFonts w:ascii="Arial" w:hAnsi="Arial" w:cs="Arial"/>
                <w:b/>
                <w:szCs w:val="20"/>
              </w:rPr>
              <w:t>Recommendations - How w</w:t>
            </w:r>
            <w:r w:rsidRPr="00E57E6D">
              <w:rPr>
                <w:rFonts w:ascii="Arial" w:hAnsi="Arial" w:cs="Arial"/>
                <w:b/>
                <w:szCs w:val="20"/>
              </w:rPr>
              <w:t xml:space="preserve">e </w:t>
            </w:r>
            <w:r>
              <w:rPr>
                <w:rFonts w:ascii="Arial" w:hAnsi="Arial" w:cs="Arial"/>
                <w:b/>
                <w:szCs w:val="20"/>
              </w:rPr>
              <w:t>can a</w:t>
            </w:r>
            <w:r w:rsidRPr="00E57E6D">
              <w:rPr>
                <w:rFonts w:ascii="Arial" w:hAnsi="Arial" w:cs="Arial"/>
                <w:b/>
                <w:szCs w:val="20"/>
              </w:rPr>
              <w:t>ssist</w:t>
            </w:r>
          </w:p>
        </w:tc>
      </w:tr>
      <w:tr w:rsidR="00F660CA" w:rsidRPr="00E57E6D" w14:paraId="183AD1CC" w14:textId="77777777" w:rsidTr="00F660CA">
        <w:trPr>
          <w:trHeight w:val="330"/>
        </w:trPr>
        <w:tc>
          <w:tcPr>
            <w:tcW w:w="9289" w:type="dxa"/>
            <w:gridSpan w:val="3"/>
            <w:shd w:val="clear" w:color="auto" w:fill="F2F2F2" w:themeFill="background1" w:themeFillShade="F2"/>
          </w:tcPr>
          <w:p w14:paraId="30FA9535" w14:textId="77777777" w:rsidR="00F660CA" w:rsidRPr="00E57E6D" w:rsidRDefault="00F660CA" w:rsidP="00F660CA">
            <w:pPr>
              <w:spacing w:before="100" w:after="100"/>
              <w:jc w:val="left"/>
              <w:rPr>
                <w:rFonts w:ascii="Arial" w:hAnsi="Arial" w:cs="Arial"/>
                <w:szCs w:val="20"/>
              </w:rPr>
            </w:pPr>
            <w:r>
              <w:rPr>
                <w:rFonts w:ascii="Arial" w:hAnsi="Arial" w:cs="Arial"/>
                <w:b/>
                <w:szCs w:val="20"/>
              </w:rPr>
              <w:t xml:space="preserve">(4) Transfer </w:t>
            </w:r>
            <w:r w:rsidRPr="00E57E6D">
              <w:rPr>
                <w:rFonts w:ascii="Arial" w:hAnsi="Arial" w:cs="Arial"/>
                <w:b/>
                <w:szCs w:val="20"/>
              </w:rPr>
              <w:t>Pricing</w:t>
            </w:r>
          </w:p>
        </w:tc>
      </w:tr>
      <w:tr w:rsidR="00F660CA" w:rsidRPr="00E57E6D" w14:paraId="5D646B10" w14:textId="77777777" w:rsidTr="00307A03">
        <w:trPr>
          <w:trHeight w:val="1658"/>
        </w:trPr>
        <w:tc>
          <w:tcPr>
            <w:tcW w:w="1951" w:type="dxa"/>
          </w:tcPr>
          <w:p w14:paraId="238F33C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Arms’ Length Transactions</w:t>
            </w:r>
          </w:p>
        </w:tc>
        <w:tc>
          <w:tcPr>
            <w:tcW w:w="3402" w:type="dxa"/>
          </w:tcPr>
          <w:p w14:paraId="47C27418"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Transactions with companies overseas not arms’ length.</w:t>
            </w:r>
          </w:p>
          <w:p w14:paraId="09ECA0E7"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Lack of documentation, or reliance on documentation prepared by overseas parent.</w:t>
            </w:r>
          </w:p>
        </w:tc>
        <w:tc>
          <w:tcPr>
            <w:tcW w:w="3936" w:type="dxa"/>
          </w:tcPr>
          <w:p w14:paraId="55E56BC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with a Transfer Pricing review and/or preparation of T</w:t>
            </w:r>
            <w:r>
              <w:rPr>
                <w:rFonts w:ascii="Arial" w:hAnsi="Arial" w:cs="Arial"/>
                <w:szCs w:val="20"/>
              </w:rPr>
              <w:t xml:space="preserve">ransfer Pricing Documentation. </w:t>
            </w:r>
            <w:r w:rsidRPr="00E57E6D">
              <w:rPr>
                <w:rFonts w:ascii="Arial" w:hAnsi="Arial" w:cs="Arial"/>
                <w:szCs w:val="20"/>
              </w:rPr>
              <w:t>Alternatively, an Advanced Pricing Agreement can be agreed with Inland Revenue to reduce New Zealand risk.</w:t>
            </w:r>
          </w:p>
        </w:tc>
      </w:tr>
      <w:tr w:rsidR="00926C01" w:rsidRPr="00E57E6D" w14:paraId="5015AA56" w14:textId="77777777" w:rsidTr="00B23DCD">
        <w:trPr>
          <w:trHeight w:val="891"/>
        </w:trPr>
        <w:tc>
          <w:tcPr>
            <w:tcW w:w="1951" w:type="dxa"/>
          </w:tcPr>
          <w:p w14:paraId="0EFB9645" w14:textId="7D4F7CC4" w:rsidR="00926C01" w:rsidRPr="00E57E6D" w:rsidRDefault="00926C01" w:rsidP="00F660CA">
            <w:pPr>
              <w:spacing w:before="100" w:after="100"/>
              <w:jc w:val="left"/>
              <w:rPr>
                <w:rFonts w:ascii="Arial" w:hAnsi="Arial" w:cs="Arial"/>
                <w:szCs w:val="20"/>
              </w:rPr>
            </w:pPr>
            <w:r>
              <w:rPr>
                <w:rFonts w:ascii="Arial" w:hAnsi="Arial" w:cs="Arial"/>
                <w:szCs w:val="20"/>
              </w:rPr>
              <w:t xml:space="preserve">Low </w:t>
            </w:r>
            <w:proofErr w:type="gramStart"/>
            <w:r>
              <w:rPr>
                <w:rFonts w:ascii="Arial" w:hAnsi="Arial" w:cs="Arial"/>
                <w:szCs w:val="20"/>
              </w:rPr>
              <w:t>value added</w:t>
            </w:r>
            <w:proofErr w:type="gramEnd"/>
            <w:r>
              <w:rPr>
                <w:rFonts w:ascii="Arial" w:hAnsi="Arial" w:cs="Arial"/>
                <w:szCs w:val="20"/>
              </w:rPr>
              <w:t xml:space="preserve"> intra-group services</w:t>
            </w:r>
          </w:p>
        </w:tc>
        <w:tc>
          <w:tcPr>
            <w:tcW w:w="3402" w:type="dxa"/>
          </w:tcPr>
          <w:p w14:paraId="64C08385" w14:textId="3DE077C7" w:rsidR="00926C01" w:rsidRPr="00E57E6D" w:rsidRDefault="00752B62" w:rsidP="00F660CA">
            <w:pPr>
              <w:spacing w:before="100" w:after="100"/>
              <w:jc w:val="left"/>
              <w:rPr>
                <w:rFonts w:ascii="Arial" w:hAnsi="Arial" w:cs="Arial"/>
                <w:szCs w:val="20"/>
              </w:rPr>
            </w:pPr>
            <w:r>
              <w:rPr>
                <w:rFonts w:ascii="Arial" w:hAnsi="Arial" w:cs="Arial"/>
                <w:szCs w:val="20"/>
              </w:rPr>
              <w:t xml:space="preserve">Mark-up being applied </w:t>
            </w:r>
            <w:r w:rsidR="00094683">
              <w:rPr>
                <w:rFonts w:ascii="Arial" w:hAnsi="Arial" w:cs="Arial"/>
                <w:szCs w:val="20"/>
              </w:rPr>
              <w:t>is</w:t>
            </w:r>
            <w:r>
              <w:rPr>
                <w:rFonts w:ascii="Arial" w:hAnsi="Arial" w:cs="Arial"/>
                <w:szCs w:val="20"/>
              </w:rPr>
              <w:t xml:space="preserve"> excessive without benchmarking analysis being provided.</w:t>
            </w:r>
          </w:p>
        </w:tc>
        <w:tc>
          <w:tcPr>
            <w:tcW w:w="3936" w:type="dxa"/>
          </w:tcPr>
          <w:p w14:paraId="488276D5" w14:textId="339D23CE" w:rsidR="00926C01" w:rsidRPr="00E57E6D" w:rsidRDefault="00752B62" w:rsidP="00F660CA">
            <w:pPr>
              <w:spacing w:before="100" w:after="100"/>
              <w:jc w:val="left"/>
              <w:rPr>
                <w:rFonts w:ascii="Arial" w:hAnsi="Arial" w:cs="Arial"/>
                <w:szCs w:val="20"/>
              </w:rPr>
            </w:pPr>
            <w:r>
              <w:rPr>
                <w:rFonts w:ascii="Arial" w:hAnsi="Arial" w:cs="Arial"/>
                <w:szCs w:val="20"/>
              </w:rPr>
              <w:t>We can assist with reviewing the mark-ups being applied to various transactions</w:t>
            </w:r>
            <w:r w:rsidR="00094683">
              <w:rPr>
                <w:rFonts w:ascii="Arial" w:hAnsi="Arial" w:cs="Arial"/>
                <w:szCs w:val="20"/>
              </w:rPr>
              <w:t xml:space="preserve"> and review whether Inland Revenue’s simplification measures can be applied.</w:t>
            </w:r>
          </w:p>
        </w:tc>
      </w:tr>
      <w:tr w:rsidR="00F660CA" w:rsidRPr="00E57E6D" w14:paraId="7F22DB5D" w14:textId="77777777" w:rsidTr="00F660CA">
        <w:tc>
          <w:tcPr>
            <w:tcW w:w="9289" w:type="dxa"/>
            <w:gridSpan w:val="3"/>
            <w:shd w:val="clear" w:color="auto" w:fill="F2F2F2" w:themeFill="background1" w:themeFillShade="F2"/>
          </w:tcPr>
          <w:p w14:paraId="706C205F"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(5) Controlled Foreign Companies</w:t>
            </w:r>
          </w:p>
        </w:tc>
      </w:tr>
      <w:tr w:rsidR="00F660CA" w:rsidRPr="00E57E6D" w14:paraId="073E966D" w14:textId="77777777">
        <w:tc>
          <w:tcPr>
            <w:tcW w:w="1951" w:type="dxa"/>
          </w:tcPr>
          <w:p w14:paraId="77466C8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Attribution of Income</w:t>
            </w:r>
          </w:p>
        </w:tc>
        <w:tc>
          <w:tcPr>
            <w:tcW w:w="3402" w:type="dxa"/>
          </w:tcPr>
          <w:p w14:paraId="63BF6178"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New Zealand income tax implications associated with foreign companies controlled by New Zealand residents.</w:t>
            </w:r>
          </w:p>
        </w:tc>
        <w:tc>
          <w:tcPr>
            <w:tcW w:w="3936" w:type="dxa"/>
          </w:tcPr>
          <w:p w14:paraId="400B295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We can assist you with determining whether any income should be attributed to a New Zealand company from a controlled foreign company.   </w:t>
            </w:r>
          </w:p>
        </w:tc>
      </w:tr>
      <w:tr w:rsidR="00F660CA" w:rsidRPr="00E57E6D" w14:paraId="09D38324" w14:textId="77777777" w:rsidTr="00F660CA">
        <w:tc>
          <w:tcPr>
            <w:tcW w:w="1951" w:type="dxa"/>
            <w:shd w:val="clear" w:color="auto" w:fill="F2F2F2" w:themeFill="background1" w:themeFillShade="F2"/>
          </w:tcPr>
          <w:p w14:paraId="071D8B93" w14:textId="77777777" w:rsidR="00F660CA" w:rsidRPr="00E57E6D" w:rsidRDefault="00F660CA" w:rsidP="00F660CA">
            <w:pPr>
              <w:spacing w:before="100" w:after="100"/>
              <w:jc w:val="left"/>
              <w:rPr>
                <w:rFonts w:ascii="Arial" w:hAnsi="Arial" w:cs="Arial"/>
                <w:b/>
                <w:szCs w:val="20"/>
              </w:rPr>
            </w:pPr>
            <w:r w:rsidRPr="00E57E6D">
              <w:rPr>
                <w:rFonts w:ascii="Arial" w:hAnsi="Arial" w:cs="Arial"/>
                <w:b/>
                <w:szCs w:val="20"/>
              </w:rPr>
              <w:t>(6)  Overall</w:t>
            </w:r>
          </w:p>
        </w:tc>
        <w:tc>
          <w:tcPr>
            <w:tcW w:w="3402" w:type="dxa"/>
          </w:tcPr>
          <w:p w14:paraId="13802DD1" w14:textId="77777777" w:rsidR="00F660CA" w:rsidRPr="00E57E6D" w:rsidRDefault="00F660CA" w:rsidP="00F660CA">
            <w:pPr>
              <w:spacing w:before="100" w:after="100"/>
              <w:jc w:val="left"/>
              <w:rPr>
                <w:rFonts w:ascii="Arial" w:hAnsi="Arial" w:cs="Arial"/>
                <w:szCs w:val="20"/>
              </w:rPr>
            </w:pPr>
          </w:p>
        </w:tc>
        <w:tc>
          <w:tcPr>
            <w:tcW w:w="3936" w:type="dxa"/>
          </w:tcPr>
          <w:p w14:paraId="376A733C" w14:textId="77777777" w:rsidR="00F660CA" w:rsidRPr="00E57E6D" w:rsidRDefault="00F660CA" w:rsidP="00F660CA">
            <w:pPr>
              <w:spacing w:before="100" w:after="100"/>
              <w:jc w:val="left"/>
              <w:rPr>
                <w:rFonts w:ascii="Arial" w:hAnsi="Arial" w:cs="Arial"/>
                <w:szCs w:val="20"/>
              </w:rPr>
            </w:pPr>
          </w:p>
        </w:tc>
      </w:tr>
      <w:tr w:rsidR="00F660CA" w:rsidRPr="00E57E6D" w14:paraId="3837A65A" w14:textId="77777777">
        <w:tc>
          <w:tcPr>
            <w:tcW w:w="1951" w:type="dxa"/>
          </w:tcPr>
          <w:p w14:paraId="125AB45A" w14:textId="77777777" w:rsidR="00F660CA" w:rsidRPr="00E57E6D" w:rsidRDefault="00F660CA" w:rsidP="00F660CA">
            <w:pPr>
              <w:spacing w:before="100" w:after="100"/>
              <w:jc w:val="left"/>
              <w:rPr>
                <w:rFonts w:ascii="Arial" w:hAnsi="Arial" w:cs="Arial"/>
                <w:b/>
                <w:szCs w:val="20"/>
              </w:rPr>
            </w:pPr>
            <w:r w:rsidRPr="00E57E6D">
              <w:rPr>
                <w:rFonts w:ascii="Arial" w:hAnsi="Arial" w:cs="Arial"/>
                <w:szCs w:val="20"/>
              </w:rPr>
              <w:t>Incomplete Records</w:t>
            </w:r>
          </w:p>
        </w:tc>
        <w:tc>
          <w:tcPr>
            <w:tcW w:w="3402" w:type="dxa"/>
          </w:tcPr>
          <w:p w14:paraId="3CC5A3FB"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Records are not accurate and complete.</w:t>
            </w:r>
          </w:p>
        </w:tc>
        <w:tc>
          <w:tcPr>
            <w:tcW w:w="3936" w:type="dxa"/>
          </w:tcPr>
          <w:p w14:paraId="0530B25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Records need to be organised, up to date and held for seven years.</w:t>
            </w:r>
          </w:p>
        </w:tc>
      </w:tr>
      <w:tr w:rsidR="00F660CA" w:rsidRPr="00E57E6D" w14:paraId="2078A136" w14:textId="77777777">
        <w:tc>
          <w:tcPr>
            <w:tcW w:w="1951" w:type="dxa"/>
          </w:tcPr>
          <w:p w14:paraId="49F59B3E" w14:textId="77777777" w:rsidR="00F660CA" w:rsidRPr="00E57E6D" w:rsidRDefault="00F660CA" w:rsidP="00F660CA">
            <w:pPr>
              <w:spacing w:before="100" w:after="100"/>
              <w:jc w:val="left"/>
              <w:rPr>
                <w:rFonts w:ascii="Arial" w:hAnsi="Arial" w:cs="Arial"/>
                <w:szCs w:val="20"/>
              </w:rPr>
            </w:pPr>
            <w:r>
              <w:rPr>
                <w:rFonts w:ascii="Arial" w:hAnsi="Arial" w:cs="Arial"/>
                <w:szCs w:val="20"/>
              </w:rPr>
              <w:t>Undeclared income</w:t>
            </w:r>
          </w:p>
        </w:tc>
        <w:tc>
          <w:tcPr>
            <w:tcW w:w="3402" w:type="dxa"/>
          </w:tcPr>
          <w:p w14:paraId="6E517D7A" w14:textId="77777777" w:rsidR="00F660CA" w:rsidRPr="00E57E6D" w:rsidRDefault="00F660CA" w:rsidP="00F660CA">
            <w:pPr>
              <w:spacing w:before="100" w:after="100"/>
              <w:jc w:val="left"/>
              <w:rPr>
                <w:rFonts w:ascii="Arial" w:hAnsi="Arial" w:cs="Arial"/>
                <w:szCs w:val="20"/>
              </w:rPr>
            </w:pPr>
            <w:r>
              <w:rPr>
                <w:rFonts w:ascii="Arial" w:hAnsi="Arial" w:cs="Arial"/>
                <w:szCs w:val="20"/>
              </w:rPr>
              <w:t>Taxpayers not disclosing all income earned, especially income earned overseas.</w:t>
            </w:r>
          </w:p>
        </w:tc>
        <w:tc>
          <w:tcPr>
            <w:tcW w:w="3936" w:type="dxa"/>
          </w:tcPr>
          <w:p w14:paraId="474796FF" w14:textId="77777777" w:rsidR="00F660CA" w:rsidRPr="00E57E6D" w:rsidRDefault="00F660CA" w:rsidP="00F660CA">
            <w:pPr>
              <w:spacing w:before="100" w:after="100"/>
              <w:jc w:val="left"/>
              <w:rPr>
                <w:rFonts w:ascii="Arial" w:hAnsi="Arial" w:cs="Arial"/>
                <w:szCs w:val="20"/>
              </w:rPr>
            </w:pPr>
            <w:r>
              <w:rPr>
                <w:rFonts w:ascii="Arial" w:hAnsi="Arial" w:cs="Arial"/>
                <w:szCs w:val="20"/>
              </w:rPr>
              <w:t>New Zealand tax residents must return all worldwide income earned. Inland Revenue has begun to focus their compliance efforts on this, including examining taxpayer credit card transactions, to determine if any income from foreign jurisdictions has been omitted.</w:t>
            </w:r>
          </w:p>
        </w:tc>
      </w:tr>
      <w:tr w:rsidR="00094683" w:rsidRPr="00E57E6D" w14:paraId="1E75A4A9" w14:textId="77777777">
        <w:tc>
          <w:tcPr>
            <w:tcW w:w="1951" w:type="dxa"/>
          </w:tcPr>
          <w:p w14:paraId="240CB3EF" w14:textId="117A2AC2" w:rsidR="00094683" w:rsidRDefault="00094683" w:rsidP="00F660CA">
            <w:pPr>
              <w:spacing w:before="100" w:after="100"/>
              <w:jc w:val="left"/>
              <w:rPr>
                <w:rFonts w:ascii="Arial" w:hAnsi="Arial" w:cs="Arial"/>
                <w:szCs w:val="20"/>
              </w:rPr>
            </w:pPr>
            <w:r>
              <w:rPr>
                <w:rFonts w:ascii="Arial" w:hAnsi="Arial" w:cs="Arial"/>
                <w:szCs w:val="20"/>
              </w:rPr>
              <w:t>Excessive deductions being claimed (especially in the real estate industry)</w:t>
            </w:r>
          </w:p>
        </w:tc>
        <w:tc>
          <w:tcPr>
            <w:tcW w:w="3402" w:type="dxa"/>
          </w:tcPr>
          <w:p w14:paraId="165FA72D" w14:textId="0A853687" w:rsidR="00094683" w:rsidRDefault="00F744FC" w:rsidP="00F660CA">
            <w:pPr>
              <w:spacing w:before="100" w:after="100"/>
              <w:jc w:val="left"/>
              <w:rPr>
                <w:rFonts w:ascii="Arial" w:hAnsi="Arial" w:cs="Arial"/>
                <w:szCs w:val="20"/>
              </w:rPr>
            </w:pPr>
            <w:r>
              <w:rPr>
                <w:rFonts w:ascii="Arial" w:hAnsi="Arial" w:cs="Arial"/>
                <w:szCs w:val="20"/>
              </w:rPr>
              <w:t xml:space="preserve">Taxpayers claiming a deduction for expenses which may potentially be of a private nature. </w:t>
            </w:r>
          </w:p>
        </w:tc>
        <w:tc>
          <w:tcPr>
            <w:tcW w:w="3936" w:type="dxa"/>
          </w:tcPr>
          <w:p w14:paraId="6E9D2A88" w14:textId="19A8BF4E" w:rsidR="00094683" w:rsidRDefault="00F744FC" w:rsidP="00F660CA">
            <w:pPr>
              <w:spacing w:before="100" w:after="100"/>
              <w:jc w:val="left"/>
              <w:rPr>
                <w:rFonts w:ascii="Arial" w:hAnsi="Arial" w:cs="Arial"/>
                <w:szCs w:val="20"/>
              </w:rPr>
            </w:pPr>
            <w:r>
              <w:rPr>
                <w:rFonts w:ascii="Arial" w:hAnsi="Arial" w:cs="Arial"/>
                <w:szCs w:val="20"/>
              </w:rPr>
              <w:t>We can assist with a review of the expenses being claimed and advise on the appropriate</w:t>
            </w:r>
            <w:r w:rsidR="00537DC7">
              <w:rPr>
                <w:rFonts w:ascii="Arial" w:hAnsi="Arial" w:cs="Arial"/>
                <w:szCs w:val="20"/>
              </w:rPr>
              <w:t xml:space="preserve"> income tax</w:t>
            </w:r>
            <w:r>
              <w:rPr>
                <w:rFonts w:ascii="Arial" w:hAnsi="Arial" w:cs="Arial"/>
                <w:szCs w:val="20"/>
              </w:rPr>
              <w:t xml:space="preserve"> treatment.</w:t>
            </w:r>
          </w:p>
        </w:tc>
      </w:tr>
    </w:tbl>
    <w:p w14:paraId="4ECD4FA9" w14:textId="77777777" w:rsidR="00C3772D" w:rsidRDefault="00C3772D">
      <w:pPr>
        <w:ind w:right="-56"/>
        <w:rPr>
          <w:rFonts w:ascii="Arial" w:hAnsi="Arial" w:cs="Arial"/>
          <w:b/>
          <w:sz w:val="21"/>
          <w:szCs w:val="21"/>
        </w:rPr>
      </w:pPr>
    </w:p>
    <w:p w14:paraId="3575E554" w14:textId="77777777" w:rsidR="00C3772D" w:rsidRPr="00307A03" w:rsidRDefault="00F86F87" w:rsidP="002312D3">
      <w:pPr>
        <w:spacing w:line="276" w:lineRule="auto"/>
        <w:jc w:val="left"/>
        <w:rPr>
          <w:rFonts w:ascii="Arial" w:hAnsi="Arial" w:cs="Arial"/>
          <w:b/>
          <w:szCs w:val="20"/>
        </w:rPr>
      </w:pPr>
      <w:r w:rsidRPr="00307A03">
        <w:rPr>
          <w:rFonts w:ascii="Arial" w:hAnsi="Arial" w:cs="Arial"/>
          <w:b/>
          <w:szCs w:val="20"/>
        </w:rPr>
        <w:t>Individuals</w:t>
      </w:r>
    </w:p>
    <w:p w14:paraId="06EBA6AE" w14:textId="77777777" w:rsidR="00C3772D" w:rsidRPr="00307A03" w:rsidRDefault="00C3772D" w:rsidP="002312D3">
      <w:pPr>
        <w:spacing w:line="276" w:lineRule="auto"/>
        <w:jc w:val="left"/>
        <w:rPr>
          <w:rFonts w:ascii="Arial" w:hAnsi="Arial" w:cs="Arial"/>
          <w:b/>
          <w:szCs w:val="20"/>
        </w:rPr>
      </w:pPr>
    </w:p>
    <w:p w14:paraId="1966088D" w14:textId="77777777" w:rsidR="00C3772D" w:rsidRPr="00307A03" w:rsidRDefault="00F86F87" w:rsidP="002312D3">
      <w:pPr>
        <w:spacing w:line="276" w:lineRule="auto"/>
        <w:jc w:val="left"/>
        <w:rPr>
          <w:rFonts w:ascii="Arial" w:hAnsi="Arial" w:cs="Arial"/>
          <w:szCs w:val="20"/>
        </w:rPr>
      </w:pPr>
      <w:r w:rsidRPr="00307A03">
        <w:rPr>
          <w:rFonts w:ascii="Arial" w:hAnsi="Arial" w:cs="Arial"/>
          <w:szCs w:val="20"/>
        </w:rPr>
        <w:t>We outline below the top nine misconceptions for individuals in respect to international tax compliance:</w:t>
      </w:r>
    </w:p>
    <w:p w14:paraId="7A62CA8F" w14:textId="77777777" w:rsidR="00C3772D" w:rsidRPr="00307A03" w:rsidRDefault="00C3772D" w:rsidP="002312D3">
      <w:pPr>
        <w:spacing w:line="276" w:lineRule="auto"/>
        <w:jc w:val="left"/>
        <w:rPr>
          <w:rFonts w:ascii="Arial" w:hAnsi="Arial" w:cs="Arial"/>
          <w:szCs w:val="20"/>
        </w:rPr>
      </w:pPr>
    </w:p>
    <w:p w14:paraId="3B01B8C6"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New Zealand residents are taxed on their worldwide income, not just income earned in New Zealand.</w:t>
      </w:r>
    </w:p>
    <w:p w14:paraId="4C1A6244" w14:textId="77777777" w:rsidR="00C3772D" w:rsidRPr="00307A03" w:rsidRDefault="00C3772D" w:rsidP="002312D3">
      <w:pPr>
        <w:pStyle w:val="ListParagraph"/>
        <w:spacing w:line="276" w:lineRule="auto"/>
        <w:jc w:val="left"/>
        <w:rPr>
          <w:rFonts w:ascii="Arial" w:hAnsi="Arial" w:cs="Arial"/>
          <w:szCs w:val="20"/>
        </w:rPr>
      </w:pPr>
    </w:p>
    <w:p w14:paraId="2B38987B"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If an individual leaves the country, but maintains a permanent place of abode here, the individual is still a New Zealand resident.</w:t>
      </w:r>
    </w:p>
    <w:p w14:paraId="353E6EFE" w14:textId="77777777" w:rsidR="00C3772D" w:rsidRPr="00307A03" w:rsidRDefault="00C3772D" w:rsidP="002312D3">
      <w:pPr>
        <w:pStyle w:val="ListParagraph"/>
        <w:spacing w:line="276" w:lineRule="auto"/>
        <w:jc w:val="left"/>
        <w:rPr>
          <w:rFonts w:ascii="Arial" w:hAnsi="Arial" w:cs="Arial"/>
          <w:szCs w:val="20"/>
        </w:rPr>
      </w:pPr>
    </w:p>
    <w:p w14:paraId="3734C49D"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Foreign income including investments (even if in an offshore account) is taxable in New Zealand even if it is n</w:t>
      </w:r>
      <w:r w:rsidR="002312D3">
        <w:rPr>
          <w:rFonts w:ascii="Arial" w:hAnsi="Arial" w:cs="Arial"/>
          <w:szCs w:val="20"/>
        </w:rPr>
        <w:t xml:space="preserve">ot repatriated to New Zealand. </w:t>
      </w:r>
      <w:r w:rsidRPr="00307A03">
        <w:rPr>
          <w:rFonts w:ascii="Arial" w:hAnsi="Arial" w:cs="Arial"/>
          <w:szCs w:val="20"/>
        </w:rPr>
        <w:t>This may even be the case if withholding tax is deducted on the foreign income.</w:t>
      </w:r>
    </w:p>
    <w:p w14:paraId="7E6799AB" w14:textId="77777777" w:rsidR="00C3772D" w:rsidRPr="00307A03" w:rsidRDefault="00C3772D" w:rsidP="002312D3">
      <w:pPr>
        <w:pStyle w:val="ListParagraph"/>
        <w:spacing w:line="276" w:lineRule="auto"/>
        <w:jc w:val="left"/>
        <w:rPr>
          <w:rFonts w:ascii="Arial" w:hAnsi="Arial" w:cs="Arial"/>
          <w:szCs w:val="20"/>
        </w:rPr>
      </w:pPr>
    </w:p>
    <w:p w14:paraId="677F1EC5"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lastRenderedPageBreak/>
        <w:t xml:space="preserve">A foreign tax credit is only available where tax is not subsequently refunded (even in a later year), is substantially the same as income tax and doesn’t exceed tax payable on underlying income in New Zealand. </w:t>
      </w:r>
    </w:p>
    <w:p w14:paraId="12CC49E7" w14:textId="77777777" w:rsidR="00C3772D" w:rsidRPr="00307A03" w:rsidRDefault="00C3772D" w:rsidP="002312D3">
      <w:pPr>
        <w:pStyle w:val="ListParagraph"/>
        <w:spacing w:line="276" w:lineRule="auto"/>
        <w:jc w:val="left"/>
        <w:rPr>
          <w:rFonts w:ascii="Arial" w:hAnsi="Arial" w:cs="Arial"/>
          <w:szCs w:val="20"/>
        </w:rPr>
      </w:pPr>
    </w:p>
    <w:p w14:paraId="423BF0B2"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Not all overseas pension plans are tax-free, certain ones may be fully taxable in New Zealand.</w:t>
      </w:r>
    </w:p>
    <w:p w14:paraId="108DA4F9" w14:textId="77777777" w:rsidR="00C3772D" w:rsidRPr="00307A03" w:rsidRDefault="00C3772D" w:rsidP="002312D3">
      <w:pPr>
        <w:pStyle w:val="ListParagraph"/>
        <w:spacing w:line="276" w:lineRule="auto"/>
        <w:jc w:val="left"/>
        <w:rPr>
          <w:rFonts w:ascii="Arial" w:hAnsi="Arial" w:cs="Arial"/>
          <w:szCs w:val="20"/>
        </w:rPr>
      </w:pPr>
    </w:p>
    <w:p w14:paraId="24FEA2CD"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Special taxing regimes (controlled foreign company and foreign investment fund rules) apply to gains on certain foreign shareholdings, retirement schemes and life insurance investments.</w:t>
      </w:r>
    </w:p>
    <w:p w14:paraId="57B84ABE" w14:textId="77777777" w:rsidR="00C3772D" w:rsidRPr="00307A03" w:rsidRDefault="00C3772D" w:rsidP="002312D3">
      <w:pPr>
        <w:pStyle w:val="ListParagraph"/>
        <w:spacing w:line="276" w:lineRule="auto"/>
        <w:jc w:val="left"/>
        <w:rPr>
          <w:rFonts w:ascii="Arial" w:hAnsi="Arial" w:cs="Arial"/>
          <w:szCs w:val="20"/>
        </w:rPr>
      </w:pPr>
    </w:p>
    <w:p w14:paraId="541844AC"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Additional disclosures are required in respect of controlled foreign companies and foreign investment funds.</w:t>
      </w:r>
    </w:p>
    <w:p w14:paraId="420F58AB" w14:textId="77777777" w:rsidR="00C3772D" w:rsidRPr="00307A03" w:rsidRDefault="00C3772D" w:rsidP="002312D3">
      <w:pPr>
        <w:pStyle w:val="ListParagraph"/>
        <w:spacing w:line="276" w:lineRule="auto"/>
        <w:jc w:val="left"/>
        <w:rPr>
          <w:rFonts w:ascii="Arial" w:hAnsi="Arial" w:cs="Arial"/>
          <w:szCs w:val="20"/>
        </w:rPr>
      </w:pPr>
    </w:p>
    <w:p w14:paraId="61C97E52"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Allowances that may be treated as tax-free in other countries (for example, living-away-from-home allowances) are generally fully taxable in New Zealand.</w:t>
      </w:r>
    </w:p>
    <w:p w14:paraId="0A0006B4" w14:textId="77777777" w:rsidR="00C3772D" w:rsidRPr="00307A03" w:rsidRDefault="00C3772D" w:rsidP="002312D3">
      <w:pPr>
        <w:pStyle w:val="ListParagraph"/>
        <w:spacing w:line="276" w:lineRule="auto"/>
        <w:jc w:val="left"/>
        <w:rPr>
          <w:rFonts w:ascii="Arial" w:hAnsi="Arial" w:cs="Arial"/>
          <w:szCs w:val="20"/>
        </w:rPr>
      </w:pPr>
    </w:p>
    <w:p w14:paraId="3E0DE4FB"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 xml:space="preserve">The temporary tax exemption on foreign income for transitional residents expires after 48 months and there is no entitlement to Working for Families Tax Credits during the period of this exemption. </w:t>
      </w:r>
    </w:p>
    <w:p w14:paraId="361656DD" w14:textId="77777777" w:rsidR="00C3772D" w:rsidRPr="00307A03" w:rsidRDefault="00C3772D" w:rsidP="002312D3">
      <w:pPr>
        <w:pStyle w:val="ListParagraph"/>
        <w:spacing w:line="276" w:lineRule="auto"/>
        <w:jc w:val="left"/>
        <w:rPr>
          <w:rFonts w:ascii="Arial" w:hAnsi="Arial" w:cs="Arial"/>
          <w:szCs w:val="20"/>
        </w:rPr>
      </w:pPr>
    </w:p>
    <w:p w14:paraId="120F226C" w14:textId="77777777" w:rsidR="00C3772D" w:rsidRPr="00307A03" w:rsidRDefault="00F86F87" w:rsidP="002312D3">
      <w:pPr>
        <w:spacing w:line="276" w:lineRule="auto"/>
        <w:jc w:val="left"/>
        <w:rPr>
          <w:rFonts w:ascii="Arial" w:hAnsi="Arial" w:cs="Arial"/>
          <w:szCs w:val="20"/>
        </w:rPr>
      </w:pPr>
      <w:proofErr w:type="gramStart"/>
      <w:r w:rsidRPr="00307A03">
        <w:rPr>
          <w:rFonts w:ascii="Arial" w:hAnsi="Arial" w:cs="Arial"/>
          <w:szCs w:val="20"/>
        </w:rPr>
        <w:t>In regards to</w:t>
      </w:r>
      <w:proofErr w:type="gramEnd"/>
      <w:r w:rsidRPr="00307A03">
        <w:rPr>
          <w:rFonts w:ascii="Arial" w:hAnsi="Arial" w:cs="Arial"/>
          <w:szCs w:val="20"/>
        </w:rPr>
        <w:t xml:space="preserve"> individuals, we can assist with preparation of tax returns for individuals and determine whether any of the above factors are of relevance.   </w:t>
      </w:r>
    </w:p>
    <w:p w14:paraId="69A83D4F" w14:textId="77777777" w:rsidR="00C3772D" w:rsidRPr="00307A03" w:rsidRDefault="00C3772D" w:rsidP="002312D3">
      <w:pPr>
        <w:spacing w:line="276" w:lineRule="auto"/>
        <w:jc w:val="left"/>
        <w:rPr>
          <w:rFonts w:ascii="Arial" w:hAnsi="Arial" w:cs="Arial"/>
          <w:szCs w:val="20"/>
        </w:rPr>
      </w:pPr>
    </w:p>
    <w:p w14:paraId="7644E2C0" w14:textId="77777777" w:rsidR="00C3772D" w:rsidRPr="00307A03" w:rsidRDefault="00F86F87" w:rsidP="002312D3">
      <w:pPr>
        <w:spacing w:line="276" w:lineRule="auto"/>
        <w:jc w:val="left"/>
        <w:rPr>
          <w:rFonts w:ascii="Arial" w:hAnsi="Arial" w:cs="Arial"/>
          <w:szCs w:val="20"/>
        </w:rPr>
      </w:pPr>
      <w:r w:rsidRPr="00307A03">
        <w:rPr>
          <w:rFonts w:ascii="Arial" w:hAnsi="Arial" w:cs="Arial"/>
          <w:szCs w:val="20"/>
        </w:rPr>
        <w:t>If any of the above appears relevant to your circumstances, please feel free to contact us on [</w:t>
      </w:r>
      <w:r w:rsidRPr="00307A03">
        <w:rPr>
          <w:rFonts w:ascii="Arial" w:hAnsi="Arial" w:cs="Arial"/>
          <w:szCs w:val="20"/>
          <w:highlight w:val="lightGray"/>
        </w:rPr>
        <w:t>insert telephone number</w:t>
      </w:r>
      <w:r w:rsidRPr="00307A03">
        <w:rPr>
          <w:rFonts w:ascii="Arial" w:hAnsi="Arial" w:cs="Arial"/>
          <w:szCs w:val="20"/>
        </w:rPr>
        <w:t>] to discuss further.</w:t>
      </w:r>
    </w:p>
    <w:p w14:paraId="4BBBE4E6" w14:textId="77777777" w:rsidR="00C3772D" w:rsidRPr="00307A03" w:rsidRDefault="00C3772D" w:rsidP="002312D3">
      <w:pPr>
        <w:spacing w:line="276" w:lineRule="auto"/>
        <w:jc w:val="left"/>
        <w:rPr>
          <w:rFonts w:ascii="Arial" w:hAnsi="Arial" w:cs="Arial"/>
          <w:szCs w:val="20"/>
        </w:rPr>
      </w:pPr>
    </w:p>
    <w:p w14:paraId="02491CDB" w14:textId="77777777" w:rsidR="00C3772D" w:rsidRPr="00307A03" w:rsidRDefault="00F86F87" w:rsidP="002312D3">
      <w:pPr>
        <w:spacing w:line="276" w:lineRule="auto"/>
        <w:jc w:val="left"/>
        <w:rPr>
          <w:rFonts w:ascii="Arial" w:hAnsi="Arial" w:cs="Arial"/>
          <w:szCs w:val="20"/>
        </w:rPr>
      </w:pPr>
      <w:bookmarkStart w:id="9" w:name="Signoff"/>
      <w:bookmarkEnd w:id="9"/>
      <w:r w:rsidRPr="00307A03">
        <w:rPr>
          <w:rFonts w:ascii="Arial" w:hAnsi="Arial" w:cs="Arial"/>
          <w:szCs w:val="20"/>
        </w:rPr>
        <w:t>Yours sincerely</w:t>
      </w:r>
    </w:p>
    <w:p w14:paraId="49E4B41B" w14:textId="77777777" w:rsidR="00C3772D" w:rsidRPr="00307A03" w:rsidRDefault="00C3772D" w:rsidP="002312D3">
      <w:pPr>
        <w:spacing w:line="276" w:lineRule="auto"/>
        <w:jc w:val="left"/>
        <w:rPr>
          <w:rFonts w:ascii="Arial" w:hAnsi="Arial" w:cs="Arial"/>
          <w:szCs w:val="20"/>
        </w:rPr>
      </w:pPr>
    </w:p>
    <w:p w14:paraId="65DE52A4" w14:textId="77777777" w:rsidR="00C3772D" w:rsidRPr="00307A03" w:rsidRDefault="00C3772D" w:rsidP="002312D3">
      <w:pPr>
        <w:spacing w:line="276" w:lineRule="auto"/>
        <w:jc w:val="left"/>
        <w:rPr>
          <w:rFonts w:ascii="Arial" w:hAnsi="Arial" w:cs="Arial"/>
          <w:szCs w:val="20"/>
        </w:rPr>
      </w:pPr>
    </w:p>
    <w:p w14:paraId="1D153E76" w14:textId="77777777" w:rsidR="00C3772D" w:rsidRPr="00307A03" w:rsidRDefault="00F86F87" w:rsidP="002312D3">
      <w:pPr>
        <w:spacing w:line="276" w:lineRule="auto"/>
        <w:jc w:val="left"/>
        <w:rPr>
          <w:rFonts w:ascii="Arial" w:hAnsi="Arial" w:cs="Arial"/>
          <w:szCs w:val="20"/>
        </w:rPr>
      </w:pPr>
      <w:bookmarkStart w:id="10" w:name="Partner"/>
      <w:bookmarkEnd w:id="10"/>
      <w:r w:rsidRPr="00307A03">
        <w:rPr>
          <w:rFonts w:ascii="Arial" w:hAnsi="Arial" w:cs="Arial"/>
          <w:szCs w:val="20"/>
        </w:rPr>
        <w:t>[</w:t>
      </w:r>
      <w:r w:rsidRPr="00307A03">
        <w:rPr>
          <w:rFonts w:ascii="Arial" w:hAnsi="Arial" w:cs="Arial"/>
          <w:szCs w:val="20"/>
          <w:highlight w:val="lightGray"/>
        </w:rPr>
        <w:t>Insert Name and Title</w:t>
      </w:r>
      <w:r w:rsidRPr="00307A03">
        <w:rPr>
          <w:rFonts w:ascii="Arial" w:hAnsi="Arial" w:cs="Arial"/>
          <w:szCs w:val="20"/>
        </w:rPr>
        <w:t>]</w:t>
      </w:r>
    </w:p>
    <w:p w14:paraId="530A0963" w14:textId="77777777" w:rsidR="00C3772D" w:rsidRPr="00307A03" w:rsidRDefault="00C3772D" w:rsidP="002312D3">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3772D" w:rsidRPr="00307A03" w14:paraId="62195BC0" w14:textId="77777777">
        <w:tc>
          <w:tcPr>
            <w:tcW w:w="9289" w:type="dxa"/>
            <w:tcBorders>
              <w:top w:val="nil"/>
              <w:left w:val="nil"/>
              <w:bottom w:val="nil"/>
              <w:right w:val="nil"/>
            </w:tcBorders>
          </w:tcPr>
          <w:p w14:paraId="4316F09C" w14:textId="77777777" w:rsidR="00C3772D" w:rsidRPr="00307A03" w:rsidRDefault="00F86F87">
            <w:pPr>
              <w:rPr>
                <w:rFonts w:ascii="Arial" w:hAnsi="Arial" w:cs="Arial"/>
                <w:szCs w:val="20"/>
              </w:rPr>
            </w:pPr>
            <w:r w:rsidRPr="00307A03">
              <w:rPr>
                <w:rFonts w:ascii="Arial" w:hAnsi="Arial" w:cs="Arial"/>
                <w:szCs w:val="20"/>
              </w:rPr>
              <w:t>Encl.</w:t>
            </w:r>
            <w:bookmarkStart w:id="11" w:name="ConfidBlurb"/>
            <w:bookmarkEnd w:id="11"/>
          </w:p>
        </w:tc>
      </w:tr>
    </w:tbl>
    <w:p w14:paraId="01E1AEBE" w14:textId="77777777" w:rsidR="00C3772D" w:rsidRPr="00307A03" w:rsidRDefault="00C3772D">
      <w:pPr>
        <w:rPr>
          <w:szCs w:val="20"/>
        </w:rPr>
      </w:pPr>
    </w:p>
    <w:p w14:paraId="49F96845" w14:textId="77777777" w:rsidR="00307A03" w:rsidRPr="00307A03" w:rsidRDefault="00307A03">
      <w:pPr>
        <w:rPr>
          <w:szCs w:val="20"/>
        </w:rPr>
      </w:pPr>
    </w:p>
    <w:sectPr w:rsidR="00307A03" w:rsidRPr="00307A03">
      <w:headerReference w:type="even" r:id="rId7"/>
      <w:headerReference w:type="default" r:id="rId8"/>
      <w:footerReference w:type="even" r:id="rId9"/>
      <w:footerReference w:type="default" r:id="rId10"/>
      <w:headerReference w:type="first" r:id="rId11"/>
      <w:footerReference w:type="first" r:id="rId12"/>
      <w:pgSz w:w="11909" w:h="16834" w:code="9"/>
      <w:pgMar w:top="1303"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1B33" w14:textId="77777777" w:rsidR="00BD5BB1" w:rsidRDefault="00BD5BB1">
      <w:r>
        <w:separator/>
      </w:r>
    </w:p>
  </w:endnote>
  <w:endnote w:type="continuationSeparator" w:id="0">
    <w:p w14:paraId="162E0A52" w14:textId="77777777" w:rsidR="00BD5BB1" w:rsidRDefault="00BD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753D" w14:textId="77777777" w:rsidR="00BD5E73" w:rsidRDefault="00BD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DC97" w14:textId="77777777" w:rsidR="00C3772D" w:rsidRDefault="00F86F87">
    <w:pPr>
      <w:pStyle w:val="Footer"/>
      <w:rPr>
        <w:sz w:val="16"/>
      </w:rPr>
    </w:pPr>
    <w:bookmarkStart w:id="13" w:name="bkmFooterPrimary_s1"/>
    <w:r>
      <w:rPr>
        <w:sz w:val="16"/>
      </w:rPr>
      <w:br/>
    </w:r>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449471"/>
      <w:docPartObj>
        <w:docPartGallery w:val="Page Numbers (Bottom of Page)"/>
        <w:docPartUnique/>
      </w:docPartObj>
    </w:sdtPr>
    <w:sdtEndPr>
      <w:rPr>
        <w:noProof/>
      </w:rPr>
    </w:sdtEndPr>
    <w:sdtContent>
      <w:p w14:paraId="69303D89" w14:textId="77777777" w:rsidR="004848D6" w:rsidRDefault="004848D6">
        <w:pPr>
          <w:pStyle w:val="Footer"/>
          <w:jc w:val="right"/>
        </w:pPr>
        <w:r>
          <w:fldChar w:fldCharType="begin"/>
        </w:r>
        <w:r>
          <w:instrText xml:space="preserve"> PAGE   \* MERGEFORMAT </w:instrText>
        </w:r>
        <w:r>
          <w:fldChar w:fldCharType="separate"/>
        </w:r>
        <w:r w:rsidR="00F660CA">
          <w:rPr>
            <w:noProof/>
          </w:rPr>
          <w:t>1</w:t>
        </w:r>
        <w:r>
          <w:rPr>
            <w:noProof/>
          </w:rPr>
          <w:fldChar w:fldCharType="end"/>
        </w:r>
      </w:p>
    </w:sdtContent>
  </w:sdt>
  <w:p w14:paraId="7AB5952C" w14:textId="77777777" w:rsidR="004848D6" w:rsidRDefault="0048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77ED" w14:textId="77777777" w:rsidR="00BD5BB1" w:rsidRDefault="00BD5BB1">
      <w:r>
        <w:separator/>
      </w:r>
    </w:p>
  </w:footnote>
  <w:footnote w:type="continuationSeparator" w:id="0">
    <w:p w14:paraId="190E962F" w14:textId="77777777" w:rsidR="00BD5BB1" w:rsidRDefault="00BD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6A26" w14:textId="77777777" w:rsidR="00BD5E73" w:rsidRDefault="00BD5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C3772D" w14:paraId="39D5B6C6" w14:textId="77777777">
      <w:tc>
        <w:tcPr>
          <w:tcW w:w="9289" w:type="dxa"/>
        </w:tcPr>
        <w:p w14:paraId="147A7B37" w14:textId="77777777" w:rsidR="00C3772D" w:rsidRDefault="00C3772D">
          <w:pPr>
            <w:jc w:val="center"/>
            <w:rPr>
              <w:rFonts w:ascii="Arial" w:hAnsi="Arial" w:cs="Arial"/>
            </w:rPr>
          </w:pPr>
        </w:p>
      </w:tc>
    </w:tr>
  </w:tbl>
  <w:p w14:paraId="56D189A8" w14:textId="77777777" w:rsidR="00C3772D" w:rsidRDefault="00C3772D">
    <w:bookmarkStart w:id="12" w:name="Date2"/>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9BA9" w14:textId="77777777" w:rsidR="00BD5E73" w:rsidRDefault="00BD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91E"/>
    <w:multiLevelType w:val="hybridMultilevel"/>
    <w:tmpl w:val="154430C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2D"/>
    <w:rsid w:val="00054244"/>
    <w:rsid w:val="00094683"/>
    <w:rsid w:val="00126480"/>
    <w:rsid w:val="00222066"/>
    <w:rsid w:val="002312D3"/>
    <w:rsid w:val="002571B3"/>
    <w:rsid w:val="00307A03"/>
    <w:rsid w:val="003D20BA"/>
    <w:rsid w:val="004848D6"/>
    <w:rsid w:val="00537DC7"/>
    <w:rsid w:val="00675293"/>
    <w:rsid w:val="00683AF5"/>
    <w:rsid w:val="00752B62"/>
    <w:rsid w:val="00764146"/>
    <w:rsid w:val="007E7027"/>
    <w:rsid w:val="007F515F"/>
    <w:rsid w:val="008C7BAF"/>
    <w:rsid w:val="008E2051"/>
    <w:rsid w:val="00926C01"/>
    <w:rsid w:val="00992782"/>
    <w:rsid w:val="009964AA"/>
    <w:rsid w:val="00B23DCD"/>
    <w:rsid w:val="00B37A92"/>
    <w:rsid w:val="00B66E19"/>
    <w:rsid w:val="00BD5BB1"/>
    <w:rsid w:val="00BD5E73"/>
    <w:rsid w:val="00C3772D"/>
    <w:rsid w:val="00D65A0A"/>
    <w:rsid w:val="00E2276C"/>
    <w:rsid w:val="00E53613"/>
    <w:rsid w:val="00E57E6D"/>
    <w:rsid w:val="00E74E3C"/>
    <w:rsid w:val="00EB3D48"/>
    <w:rsid w:val="00EF2400"/>
    <w:rsid w:val="00F660CA"/>
    <w:rsid w:val="00F744FC"/>
    <w:rsid w:val="00F86F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1CA1C"/>
  <w15:docId w15:val="{973DD616-4BE6-4508-9208-EED9C30A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F240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Common compliance errors client letter New Zealand</vt:lpstr>
    </vt:vector>
  </TitlesOfParts>
  <Company>Staples Rodway Limited</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compliance errors client letter New Zealand</dc:title>
  <dc:creator>Michelle Webb</dc:creator>
  <cp:keywords>Inland Revenue; tax compliance</cp:keywords>
  <cp:lastModifiedBy>Craig Fellowes</cp:lastModifiedBy>
  <cp:revision>2</cp:revision>
  <cp:lastPrinted>2015-05-12T03:18:00Z</cp:lastPrinted>
  <dcterms:created xsi:type="dcterms:W3CDTF">2023-01-19T06:02:00Z</dcterms:created>
  <dcterms:modified xsi:type="dcterms:W3CDTF">2023-01-19T06:02:00Z</dcterms:modified>
</cp:coreProperties>
</file>