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0F75" w14:textId="77777777" w:rsidR="005477AC" w:rsidRDefault="005477AC">
      <w:pPr>
        <w:spacing w:before="4"/>
        <w:rPr>
          <w:noProof/>
        </w:rPr>
      </w:pPr>
    </w:p>
    <w:p w14:paraId="02D5CB9B" w14:textId="77777777" w:rsidR="005477AC" w:rsidRDefault="005477AC">
      <w:pPr>
        <w:spacing w:before="4"/>
        <w:rPr>
          <w:noProof/>
        </w:rPr>
      </w:pPr>
    </w:p>
    <w:p w14:paraId="5EF0B374" w14:textId="77777777" w:rsidR="005477AC" w:rsidRDefault="005477AC">
      <w:pPr>
        <w:spacing w:before="4"/>
        <w:rPr>
          <w:noProof/>
        </w:rPr>
      </w:pPr>
    </w:p>
    <w:p w14:paraId="5321412F" w14:textId="77777777" w:rsidR="005477AC" w:rsidRDefault="005477AC">
      <w:pPr>
        <w:spacing w:before="4"/>
        <w:rPr>
          <w:noProof/>
        </w:rPr>
      </w:pPr>
    </w:p>
    <w:p w14:paraId="3DCE82F6" w14:textId="77777777" w:rsidR="005477AC" w:rsidRDefault="005477AC">
      <w:pPr>
        <w:spacing w:before="4"/>
        <w:rPr>
          <w:noProof/>
        </w:rPr>
      </w:pPr>
    </w:p>
    <w:p w14:paraId="3682FDDF" w14:textId="77777777" w:rsidR="005477AC" w:rsidRDefault="005477AC">
      <w:pPr>
        <w:spacing w:before="4"/>
        <w:rPr>
          <w:noProof/>
        </w:rPr>
      </w:pPr>
    </w:p>
    <w:p w14:paraId="5A521A12" w14:textId="77777777" w:rsidR="005477AC" w:rsidRDefault="005477AC">
      <w:pPr>
        <w:spacing w:before="4"/>
        <w:rPr>
          <w:noProof/>
        </w:rPr>
      </w:pPr>
    </w:p>
    <w:p w14:paraId="1ABEF803" w14:textId="77777777" w:rsidR="005477AC" w:rsidRDefault="005477AC">
      <w:pPr>
        <w:spacing w:before="4"/>
        <w:rPr>
          <w:noProof/>
        </w:rPr>
      </w:pPr>
    </w:p>
    <w:p w14:paraId="2B3D4BE8" w14:textId="77777777" w:rsidR="005477AC" w:rsidRDefault="005477AC">
      <w:pPr>
        <w:spacing w:before="4"/>
        <w:rPr>
          <w:noProof/>
        </w:rPr>
      </w:pPr>
    </w:p>
    <w:p w14:paraId="6995BB53" w14:textId="77777777" w:rsidR="005477AC" w:rsidRDefault="005477AC">
      <w:pPr>
        <w:spacing w:before="4"/>
        <w:rPr>
          <w:noProof/>
        </w:rPr>
      </w:pPr>
    </w:p>
    <w:p w14:paraId="30405A43" w14:textId="77777777" w:rsidR="006C64ED" w:rsidRDefault="00346599">
      <w:pPr>
        <w:spacing w:before="4"/>
        <w:rPr>
          <w:noProof/>
        </w:rPr>
      </w:pPr>
      <w:r>
        <w:rPr>
          <w:noProof/>
        </w:rPr>
        <w:softHyphen/>
      </w:r>
    </w:p>
    <w:p w14:paraId="2FD38087" w14:textId="605621C9" w:rsidR="005477AC" w:rsidRDefault="005477AC">
      <w:pPr>
        <w:spacing w:before="4"/>
        <w:rPr>
          <w:noProof/>
        </w:rPr>
      </w:pPr>
    </w:p>
    <w:p w14:paraId="5FF679C2" w14:textId="0382EFA2" w:rsidR="005477AC" w:rsidRDefault="005477AC">
      <w:pPr>
        <w:spacing w:before="4"/>
        <w:rPr>
          <w:noProof/>
        </w:rPr>
      </w:pPr>
    </w:p>
    <w:p w14:paraId="0DA9E298" w14:textId="7B6184A7" w:rsidR="005477AC" w:rsidRDefault="005477AC">
      <w:pPr>
        <w:spacing w:before="4"/>
        <w:rPr>
          <w:noProof/>
        </w:rPr>
      </w:pPr>
    </w:p>
    <w:p w14:paraId="49668FE6" w14:textId="77777777" w:rsidR="005477AC" w:rsidRDefault="005477AC">
      <w:pPr>
        <w:spacing w:before="4"/>
        <w:rPr>
          <w:noProof/>
        </w:rPr>
      </w:pPr>
    </w:p>
    <w:p w14:paraId="7EAB4A9C" w14:textId="512FD173" w:rsidR="005477AC" w:rsidRDefault="00A12691">
      <w:pPr>
        <w:spacing w:before="4"/>
        <w:rPr>
          <w:noProof/>
        </w:rPr>
      </w:pPr>
      <w:r>
        <w:rPr>
          <w:noProof/>
          <w:lang w:val="en-AU" w:eastAsia="en-AU" w:bidi="ar-SA"/>
        </w:rPr>
        <mc:AlternateContent>
          <mc:Choice Requires="wps">
            <w:drawing>
              <wp:anchor distT="0" distB="0" distL="114300" distR="114300" simplePos="0" relativeHeight="251659264" behindDoc="0" locked="0" layoutInCell="1" allowOverlap="1" wp14:anchorId="4A27C56E" wp14:editId="3282FA13">
                <wp:simplePos x="0" y="0"/>
                <wp:positionH relativeFrom="margin">
                  <wp:align>left</wp:align>
                </wp:positionH>
                <wp:positionV relativeFrom="paragraph">
                  <wp:posOffset>-233680</wp:posOffset>
                </wp:positionV>
                <wp:extent cx="5495925" cy="60579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6057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7045C75" w14:textId="1BBC0465" w:rsidR="008C6DF0" w:rsidRPr="001A34A0" w:rsidRDefault="00757AAC" w:rsidP="008C6DF0">
                            <w:pPr>
                              <w:pStyle w:val="Title"/>
                            </w:pPr>
                            <w:r>
                              <w:t>2022 TAX CHECKLIST</w:t>
                            </w:r>
                          </w:p>
                          <w:p w14:paraId="1D5BC2E2" w14:textId="2B0C4282" w:rsidR="008C6DF0" w:rsidRPr="001D12EC" w:rsidRDefault="00757AAC" w:rsidP="008C6DF0">
                            <w:pPr>
                              <w:pStyle w:val="Coversubhead"/>
                            </w:pPr>
                            <w:r>
                              <w:t>NEW ISSUES ARISING IN 2022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7C56E" id="_x0000_t202" coordsize="21600,21600" o:spt="202" path="m,l,21600r21600,l21600,xe">
                <v:stroke joinstyle="miter"/>
                <v:path gradientshapeok="t" o:connecttype="rect"/>
              </v:shapetype>
              <v:shape id="Text Box 4" o:spid="_x0000_s1026" type="#_x0000_t202" style="position:absolute;margin-left:0;margin-top:-18.4pt;width:432.75pt;height:4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jgwIAAHMFAAAOAAAAZHJzL2Uyb0RvYy54bWysVEtv2zAMvg/YfxB0X50ESbsYdYqsRYcB&#10;QVs0HXpWZKkxKouapMTOfv1I2Xms26XDLjZFfnw/Lq/a2rCt8qECW/Dh2YAzZSWUlX0p+Pen20+f&#10;OQtR2FIYsKrgOxX41ezjh8vG5WoEazCl8gyN2JA3ruDrGF2eZUGuVS3CGThlUajB1yLi079kpRcN&#10;Wq9NNhoMzrMGfOk8SBUCcm86IZ8l+1orGe+1DioyU3CMLaavT98VfbPZpchfvHDrSvZhiH+IohaV&#10;RacHUzciCrbx1R+m6kp6CKDjmYQ6A60rqVIOmM1w8Cab5Vo4lXLB4gR3KFP4f2bl3fbBs6rE3nFm&#10;RY0telJtZF+gZWOqTuNCjqClQ1hskU1IyjS4BcjXgJDsBNMpBEQTptW+pj/myVARG7A7FJ28SGRO&#10;xtPJdDThTKLsfDC5mA5SW7KjuvMhflVQMyIK7rGrKQSxXYRIAYh8DyFvFm4rY1Jnjf2NgcCOo9Jo&#10;9NoUfhdxouLOKNIy9lFpLE0KnBhpKNW18WwrcJyElMrGIRUp2UU0oTT6fo9ijyfVLqr3KB80kmew&#10;8aBcVxZ81yjapWPY5es+ZN3h+waGLm8qQWxXLWZF5ArKHXbeQ7c5wcnbCpuwECE+CI+rgj3F9Y/3&#10;+NEGmoJDT3G2Bv/zb3zC4wSjlLMGV6/g4cdGeMWZ+WZxtqfD8Zh2NT3Gk4sRPvypZHUqsZv6GrAd&#10;OL8YXSIJH82e1B7qZ7wSc/KKImEl+i74ak9ex+4g4JWRaj5PINxOJ+LCLp3cDzyN2FP7LLzr5zDi&#10;CN/BfklF/mYcOyw1xsJ8E0FXaVaPVe0Lj5udJqi/QnQ6Tt8JdbyVs18AAAD//wMAUEsDBBQABgAI&#10;AAAAIQDnPv763gAAAAgBAAAPAAAAZHJzL2Rvd25yZXYueG1sTI/RToNAEEXfTfyHzZj41i7UFisy&#10;NKbax6Za/YCFHQFldwm7FPh7xyd9nNzJvedku8m04kK9b5xFiJcRCLKl042tED7eD4stCB+U1ap1&#10;lhBm8rDLr68ylWo32je6nEMluMT6VCHUIXSplL6sySi/dB1Zzj5db1Tgs6+k7tXI5aaVqyhKpFGN&#10;5YVadbSvqfw+Dwbh5bWYi3X8dVg/R3OhT+NxXw5HxNub6ekRRKAp/D3DLz6jQ85MhRus9qJFYJGA&#10;sLhLWIDjbbLZgCgQHuL7Fcg8k/8F8h8AAAD//wMAUEsBAi0AFAAGAAgAAAAhALaDOJL+AAAA4QEA&#10;ABMAAAAAAAAAAAAAAAAAAAAAAFtDb250ZW50X1R5cGVzXS54bWxQSwECLQAUAAYACAAAACEAOP0h&#10;/9YAAACUAQAACwAAAAAAAAAAAAAAAAAvAQAAX3JlbHMvLnJlbHNQSwECLQAUAAYACAAAACEAst0P&#10;44MCAABzBQAADgAAAAAAAAAAAAAAAAAuAgAAZHJzL2Uyb0RvYy54bWxQSwECLQAUAAYACAAAACEA&#10;5z7++t4AAAAIAQAADwAAAAAAAAAAAAAAAADdBAAAZHJzL2Rvd25yZXYueG1sUEsFBgAAAAAEAAQA&#10;8wAAAOgFAAAAAA==&#10;" filled="f" stroked="f">
                <v:textbox>
                  <w:txbxContent>
                    <w:p w14:paraId="17045C75" w14:textId="1BBC0465" w:rsidR="008C6DF0" w:rsidRPr="001A34A0" w:rsidRDefault="00757AAC" w:rsidP="008C6DF0">
                      <w:pPr>
                        <w:pStyle w:val="Title"/>
                      </w:pPr>
                      <w:r>
                        <w:t>2022 TAX CHECKLIST</w:t>
                      </w:r>
                    </w:p>
                    <w:p w14:paraId="1D5BC2E2" w14:textId="2B0C4282" w:rsidR="008C6DF0" w:rsidRPr="001D12EC" w:rsidRDefault="00757AAC" w:rsidP="008C6DF0">
                      <w:pPr>
                        <w:pStyle w:val="Coversubhead"/>
                      </w:pPr>
                      <w:r>
                        <w:t>NEW ISSUES ARISING IN 2022</w:t>
                      </w:r>
                    </w:p>
                  </w:txbxContent>
                </v:textbox>
                <w10:wrap type="square" anchorx="margin"/>
              </v:shape>
            </w:pict>
          </mc:Fallback>
        </mc:AlternateContent>
      </w:r>
    </w:p>
    <w:p w14:paraId="0C5A3DA2" w14:textId="77777777" w:rsidR="005477AC" w:rsidRDefault="005477AC">
      <w:pPr>
        <w:spacing w:before="4"/>
        <w:rPr>
          <w:noProof/>
        </w:rPr>
      </w:pPr>
    </w:p>
    <w:p w14:paraId="7CFB262C" w14:textId="77777777" w:rsidR="005477AC" w:rsidRDefault="005477AC">
      <w:pPr>
        <w:spacing w:before="4"/>
        <w:rPr>
          <w:noProof/>
        </w:rPr>
      </w:pPr>
    </w:p>
    <w:p w14:paraId="49F45A46" w14:textId="77777777" w:rsidR="005477AC" w:rsidRDefault="005477AC">
      <w:pPr>
        <w:spacing w:before="4"/>
        <w:rPr>
          <w:noProof/>
        </w:rPr>
      </w:pPr>
    </w:p>
    <w:p w14:paraId="3E3805AC" w14:textId="77777777" w:rsidR="005477AC" w:rsidRDefault="005477AC">
      <w:pPr>
        <w:spacing w:before="4"/>
        <w:rPr>
          <w:noProof/>
        </w:rPr>
      </w:pPr>
    </w:p>
    <w:p w14:paraId="063E73F3" w14:textId="77777777" w:rsidR="005477AC" w:rsidRDefault="005477AC">
      <w:pPr>
        <w:spacing w:before="4"/>
        <w:rPr>
          <w:noProof/>
        </w:rPr>
      </w:pPr>
    </w:p>
    <w:p w14:paraId="24F2EA4D" w14:textId="77777777" w:rsidR="005477AC" w:rsidRDefault="005477AC">
      <w:pPr>
        <w:spacing w:before="4"/>
        <w:rPr>
          <w:noProof/>
        </w:rPr>
      </w:pPr>
    </w:p>
    <w:p w14:paraId="16134838" w14:textId="77777777" w:rsidR="005477AC" w:rsidRDefault="005477AC">
      <w:pPr>
        <w:spacing w:before="4"/>
        <w:rPr>
          <w:noProof/>
        </w:rPr>
      </w:pPr>
    </w:p>
    <w:p w14:paraId="7CC64151" w14:textId="77777777" w:rsidR="005477AC" w:rsidRDefault="005477AC">
      <w:pPr>
        <w:spacing w:before="4"/>
        <w:rPr>
          <w:noProof/>
        </w:rPr>
      </w:pPr>
    </w:p>
    <w:p w14:paraId="5CC4AA5F" w14:textId="77777777" w:rsidR="005477AC" w:rsidRDefault="005477AC">
      <w:pPr>
        <w:spacing w:before="4"/>
        <w:rPr>
          <w:noProof/>
        </w:rPr>
      </w:pPr>
    </w:p>
    <w:p w14:paraId="7FC8F8B7" w14:textId="77777777" w:rsidR="005477AC" w:rsidRDefault="005477AC">
      <w:pPr>
        <w:spacing w:before="4"/>
        <w:rPr>
          <w:noProof/>
        </w:rPr>
      </w:pPr>
    </w:p>
    <w:p w14:paraId="5BFA8E7F" w14:textId="77777777" w:rsidR="005477AC" w:rsidRDefault="005477AC">
      <w:pPr>
        <w:spacing w:before="4"/>
        <w:rPr>
          <w:noProof/>
        </w:rPr>
      </w:pPr>
    </w:p>
    <w:p w14:paraId="36398E75" w14:textId="77777777" w:rsidR="005477AC" w:rsidRDefault="005477AC">
      <w:pPr>
        <w:spacing w:before="4"/>
        <w:rPr>
          <w:noProof/>
        </w:rPr>
      </w:pPr>
    </w:p>
    <w:p w14:paraId="591ADCB1" w14:textId="77777777" w:rsidR="005477AC" w:rsidRDefault="005477AC">
      <w:pPr>
        <w:spacing w:before="4"/>
        <w:rPr>
          <w:noProof/>
        </w:rPr>
      </w:pPr>
    </w:p>
    <w:p w14:paraId="7691695C" w14:textId="77777777" w:rsidR="005477AC" w:rsidRDefault="005477AC">
      <w:pPr>
        <w:spacing w:before="4"/>
        <w:rPr>
          <w:noProof/>
        </w:rPr>
      </w:pPr>
    </w:p>
    <w:p w14:paraId="4383E050" w14:textId="77777777" w:rsidR="005477AC" w:rsidRDefault="005477AC">
      <w:pPr>
        <w:spacing w:before="4"/>
        <w:rPr>
          <w:noProof/>
        </w:rPr>
      </w:pPr>
    </w:p>
    <w:p w14:paraId="35413A80" w14:textId="77777777" w:rsidR="005477AC" w:rsidRDefault="005477AC">
      <w:pPr>
        <w:spacing w:before="4"/>
        <w:rPr>
          <w:noProof/>
        </w:rPr>
      </w:pPr>
    </w:p>
    <w:p w14:paraId="226E0762" w14:textId="77777777" w:rsidR="005477AC" w:rsidRDefault="005477AC">
      <w:pPr>
        <w:spacing w:before="4"/>
        <w:rPr>
          <w:noProof/>
        </w:rPr>
      </w:pPr>
    </w:p>
    <w:p w14:paraId="721E0DFE" w14:textId="77777777" w:rsidR="005477AC" w:rsidRDefault="005477AC">
      <w:pPr>
        <w:spacing w:before="4"/>
        <w:rPr>
          <w:noProof/>
        </w:rPr>
      </w:pPr>
    </w:p>
    <w:p w14:paraId="060BCFD9" w14:textId="77777777" w:rsidR="005477AC" w:rsidRDefault="005477AC">
      <w:pPr>
        <w:spacing w:before="4"/>
        <w:rPr>
          <w:noProof/>
        </w:rPr>
      </w:pPr>
    </w:p>
    <w:p w14:paraId="0E317401" w14:textId="77777777" w:rsidR="005477AC" w:rsidRDefault="005477AC">
      <w:pPr>
        <w:spacing w:before="4"/>
        <w:rPr>
          <w:noProof/>
        </w:rPr>
      </w:pPr>
    </w:p>
    <w:p w14:paraId="1A3BF85F" w14:textId="77777777" w:rsidR="005477AC" w:rsidRDefault="005477AC">
      <w:pPr>
        <w:spacing w:before="4"/>
        <w:rPr>
          <w:noProof/>
        </w:rPr>
      </w:pPr>
    </w:p>
    <w:p w14:paraId="09B41C39" w14:textId="77777777" w:rsidR="005477AC" w:rsidRDefault="005477AC">
      <w:pPr>
        <w:spacing w:before="4"/>
        <w:rPr>
          <w:noProof/>
        </w:rPr>
      </w:pPr>
    </w:p>
    <w:p w14:paraId="5DAB63AA" w14:textId="77777777" w:rsidR="005477AC" w:rsidRDefault="005477AC">
      <w:pPr>
        <w:spacing w:before="4"/>
        <w:rPr>
          <w:noProof/>
        </w:rPr>
      </w:pPr>
    </w:p>
    <w:p w14:paraId="131B4A00" w14:textId="77777777" w:rsidR="005477AC" w:rsidRDefault="005477AC">
      <w:pPr>
        <w:spacing w:before="4"/>
        <w:rPr>
          <w:noProof/>
        </w:rPr>
      </w:pPr>
    </w:p>
    <w:p w14:paraId="18F2A24B" w14:textId="77777777" w:rsidR="005477AC" w:rsidRDefault="005477AC">
      <w:pPr>
        <w:spacing w:before="4"/>
        <w:rPr>
          <w:noProof/>
        </w:rPr>
      </w:pPr>
    </w:p>
    <w:p w14:paraId="2F48C4E1" w14:textId="77777777" w:rsidR="005477AC" w:rsidRDefault="005477AC">
      <w:pPr>
        <w:spacing w:before="4"/>
        <w:rPr>
          <w:noProof/>
        </w:rPr>
      </w:pPr>
    </w:p>
    <w:p w14:paraId="15B5B6F8" w14:textId="77777777" w:rsidR="005477AC" w:rsidRDefault="005477AC">
      <w:pPr>
        <w:spacing w:before="4"/>
        <w:rPr>
          <w:noProof/>
        </w:rPr>
      </w:pPr>
    </w:p>
    <w:p w14:paraId="773909A7" w14:textId="77777777" w:rsidR="005477AC" w:rsidRDefault="005477AC">
      <w:pPr>
        <w:spacing w:before="4"/>
        <w:rPr>
          <w:noProof/>
        </w:rPr>
      </w:pPr>
    </w:p>
    <w:p w14:paraId="62344965" w14:textId="77777777" w:rsidR="005477AC" w:rsidRDefault="005477AC">
      <w:pPr>
        <w:spacing w:before="4"/>
        <w:rPr>
          <w:noProof/>
        </w:rPr>
      </w:pPr>
    </w:p>
    <w:p w14:paraId="0AF0A01B" w14:textId="77777777" w:rsidR="005477AC" w:rsidRDefault="005477AC">
      <w:pPr>
        <w:spacing w:before="4"/>
        <w:rPr>
          <w:noProof/>
        </w:rPr>
      </w:pPr>
    </w:p>
    <w:p w14:paraId="4C3ADB50" w14:textId="77777777" w:rsidR="005477AC" w:rsidRDefault="005477AC">
      <w:pPr>
        <w:spacing w:before="4"/>
        <w:rPr>
          <w:noProof/>
        </w:rPr>
      </w:pPr>
    </w:p>
    <w:p w14:paraId="08FC6C0D" w14:textId="77777777" w:rsidR="005477AC" w:rsidRDefault="005477AC">
      <w:pPr>
        <w:spacing w:before="4"/>
        <w:rPr>
          <w:noProof/>
        </w:rPr>
      </w:pPr>
    </w:p>
    <w:p w14:paraId="56C9D5FC" w14:textId="77777777" w:rsidR="005477AC" w:rsidRDefault="005477AC">
      <w:pPr>
        <w:spacing w:before="4"/>
        <w:rPr>
          <w:noProof/>
        </w:rPr>
      </w:pPr>
    </w:p>
    <w:p w14:paraId="5180BDF5" w14:textId="77777777" w:rsidR="00664E4F" w:rsidRDefault="00664E4F">
      <w:pPr>
        <w:spacing w:before="4"/>
        <w:rPr>
          <w:noProof/>
        </w:rPr>
      </w:pPr>
    </w:p>
    <w:p w14:paraId="530438A5" w14:textId="424F53AE" w:rsidR="00664E4F" w:rsidRPr="00B627C1" w:rsidRDefault="00757AAC" w:rsidP="00B627C1">
      <w:pPr>
        <w:pStyle w:val="Chapterheading"/>
        <w:rPr>
          <w:rStyle w:val="Emphasis"/>
          <w:i w:val="0"/>
          <w:iCs w:val="0"/>
        </w:rPr>
      </w:pPr>
      <w:r>
        <w:rPr>
          <w:rStyle w:val="Emphasis"/>
          <w:i w:val="0"/>
          <w:iCs w:val="0"/>
        </w:rPr>
        <w:lastRenderedPageBreak/>
        <w:t>2022 Tax Checklist</w:t>
      </w:r>
    </w:p>
    <w:p w14:paraId="63FDE735" w14:textId="31D5133A" w:rsidR="00664E4F" w:rsidRPr="00D15813" w:rsidRDefault="00757AAC" w:rsidP="00647F5F">
      <w:pPr>
        <w:pStyle w:val="Heading1"/>
        <w:spacing w:line="276" w:lineRule="auto"/>
      </w:pPr>
      <w:r>
        <w:t>New issues arising in 2022</w:t>
      </w:r>
    </w:p>
    <w:p w14:paraId="3795D1A1" w14:textId="41D63FAF" w:rsidR="00757AAC" w:rsidRPr="00BD7B7B" w:rsidRDefault="00757AAC" w:rsidP="00647F5F">
      <w:pPr>
        <w:spacing w:after="120" w:line="276" w:lineRule="auto"/>
        <w:rPr>
          <w:rFonts w:cs="Arial"/>
        </w:rPr>
      </w:pPr>
      <w:r w:rsidRPr="00BD7B7B">
        <w:rPr>
          <w:rFonts w:cs="Arial"/>
        </w:rPr>
        <w:t xml:space="preserve">The following checklist is designed to assist members attempting to identify material changes to </w:t>
      </w:r>
      <w:r w:rsidR="00B8770B">
        <w:rPr>
          <w:rFonts w:cs="Arial"/>
        </w:rPr>
        <w:br/>
      </w:r>
      <w:r w:rsidRPr="00BD7B7B">
        <w:rPr>
          <w:rFonts w:cs="Arial"/>
        </w:rPr>
        <w:t xml:space="preserve">New Zealand tax legislation that take effect from the 2022 income year. </w:t>
      </w:r>
    </w:p>
    <w:p w14:paraId="752BF378" w14:textId="667B65FB" w:rsidR="00664E4F" w:rsidRDefault="00664E4F" w:rsidP="00647F5F">
      <w:pPr>
        <w:spacing w:before="4" w:line="276" w:lineRule="auto"/>
        <w:rPr>
          <w:sz w:val="17"/>
        </w:rPr>
      </w:pPr>
    </w:p>
    <w:p w14:paraId="715FB9ED" w14:textId="089589DA" w:rsidR="00757AAC" w:rsidRPr="00B962AA" w:rsidRDefault="00757AAC" w:rsidP="000B1B33">
      <w:pPr>
        <w:pStyle w:val="Heading2"/>
        <w:spacing w:line="276" w:lineRule="auto"/>
        <w:rPr>
          <w:color w:val="00234B"/>
          <w:sz w:val="26"/>
          <w:szCs w:val="26"/>
        </w:rPr>
      </w:pPr>
      <w:r w:rsidRPr="00B962AA">
        <w:rPr>
          <w:color w:val="00234B"/>
          <w:sz w:val="26"/>
          <w:szCs w:val="26"/>
        </w:rPr>
        <w:t xml:space="preserve">Increase in the personal tax rate </w:t>
      </w:r>
    </w:p>
    <w:p w14:paraId="006C9D81" w14:textId="66AF934A" w:rsidR="00757AAC" w:rsidRPr="00BD7B7B" w:rsidRDefault="00757AAC" w:rsidP="00647F5F">
      <w:pPr>
        <w:spacing w:after="120" w:line="276" w:lineRule="auto"/>
        <w:rPr>
          <w:rFonts w:cs="Arial"/>
        </w:rPr>
      </w:pPr>
      <w:r w:rsidRPr="00BD7B7B">
        <w:rPr>
          <w:rFonts w:cs="Arial"/>
        </w:rPr>
        <w:t xml:space="preserve">The new personal tax rate has increased to 39% from 1 April 2021. The new rate applies to income that is above $180,000 of an individual’s taxable income.  In turn, this would have a knock-on effect for both extra pay (ensure this is being taxed at the correct rate when additional income exceeds $180,000) and the applicable rate for secondary income earners (refer </w:t>
      </w:r>
      <w:r w:rsidR="000B1B33">
        <w:rPr>
          <w:rFonts w:cs="Arial"/>
        </w:rPr>
        <w:t xml:space="preserve">to </w:t>
      </w:r>
      <w:r w:rsidRPr="00BD7B7B">
        <w:rPr>
          <w:rFonts w:cs="Arial"/>
        </w:rPr>
        <w:t>appendix 1.1)</w:t>
      </w:r>
    </w:p>
    <w:p w14:paraId="61E3209F" w14:textId="77777777" w:rsidR="00757AAC" w:rsidRPr="00BD7B7B" w:rsidRDefault="00757AAC" w:rsidP="00647F5F">
      <w:pPr>
        <w:spacing w:after="120" w:line="276" w:lineRule="auto"/>
        <w:rPr>
          <w:rFonts w:cs="Arial"/>
        </w:rPr>
      </w:pPr>
    </w:p>
    <w:p w14:paraId="57EFD257" w14:textId="65C087D0" w:rsidR="00757AAC" w:rsidRPr="00B962AA" w:rsidRDefault="00757AAC" w:rsidP="00F84F49">
      <w:pPr>
        <w:spacing w:after="120" w:line="276" w:lineRule="auto"/>
        <w:ind w:left="426"/>
        <w:rPr>
          <w:rFonts w:cs="Arial"/>
          <w:b/>
          <w:bCs/>
          <w:color w:val="00234B"/>
        </w:rPr>
      </w:pPr>
      <w:r w:rsidRPr="00B962AA">
        <w:rPr>
          <w:rFonts w:cs="Arial"/>
          <w:b/>
          <w:bCs/>
          <w:color w:val="00234B"/>
        </w:rPr>
        <w:t>Resident withholding tax (RWT)</w:t>
      </w:r>
    </w:p>
    <w:p w14:paraId="15506046" w14:textId="46A674AC" w:rsidR="00757AAC" w:rsidRPr="00BD7B7B" w:rsidRDefault="00757AAC" w:rsidP="00F84F49">
      <w:pPr>
        <w:spacing w:after="120" w:line="276" w:lineRule="auto"/>
        <w:ind w:left="426"/>
        <w:rPr>
          <w:rFonts w:cs="Arial"/>
        </w:rPr>
      </w:pPr>
      <w:r w:rsidRPr="00BD7B7B">
        <w:rPr>
          <w:rFonts w:cs="Arial"/>
        </w:rPr>
        <w:t xml:space="preserve">The RWT rate has been increased to 39% for individuals who receive </w:t>
      </w:r>
      <w:r w:rsidRPr="000762E6">
        <w:rPr>
          <w:rFonts w:cs="Arial"/>
          <w:b/>
          <w:bCs/>
          <w:color w:val="00234B"/>
        </w:rPr>
        <w:t>interest income</w:t>
      </w:r>
      <w:r w:rsidRPr="00BD7B7B">
        <w:rPr>
          <w:rFonts w:cs="Arial"/>
        </w:rPr>
        <w:t xml:space="preserve">. </w:t>
      </w:r>
      <w:r w:rsidR="00956BC0">
        <w:rPr>
          <w:rFonts w:cs="Arial"/>
        </w:rPr>
        <w:br/>
      </w:r>
      <w:r w:rsidRPr="00BD7B7B">
        <w:rPr>
          <w:rFonts w:cs="Arial"/>
        </w:rPr>
        <w:t>Refer to appendix 1.2 for the range of rates that apply. For those taxpayers that don’t correctly declare their details to the payer of interest, then the non-declaration rate is 45%.</w:t>
      </w:r>
    </w:p>
    <w:p w14:paraId="478A267C" w14:textId="6EED0E15" w:rsidR="00757AAC" w:rsidRPr="00BD7B7B" w:rsidRDefault="00757AAC" w:rsidP="00F84F49">
      <w:pPr>
        <w:spacing w:after="120" w:line="276" w:lineRule="auto"/>
        <w:ind w:left="426"/>
        <w:rPr>
          <w:rFonts w:cs="Arial"/>
        </w:rPr>
      </w:pPr>
      <w:r w:rsidRPr="00BD7B7B">
        <w:rPr>
          <w:rFonts w:cs="Arial"/>
        </w:rPr>
        <w:t>There hasn’t been any change in the rate for RWT on dividends. This will mean that relevant recipients of dividend income would need to “top-up” the amount of income tax payable when filing their tax return.</w:t>
      </w:r>
    </w:p>
    <w:p w14:paraId="19F340B6" w14:textId="77777777" w:rsidR="00757AAC" w:rsidRPr="00B962AA" w:rsidRDefault="00757AAC" w:rsidP="00647F5F">
      <w:pPr>
        <w:spacing w:after="120" w:line="276" w:lineRule="auto"/>
        <w:rPr>
          <w:rFonts w:cs="Arial"/>
          <w:b/>
          <w:bCs/>
          <w:color w:val="00234B"/>
        </w:rPr>
      </w:pPr>
    </w:p>
    <w:p w14:paraId="1E270A88" w14:textId="26271965" w:rsidR="00757AAC" w:rsidRPr="00B962AA" w:rsidRDefault="00757AAC" w:rsidP="00F84F49">
      <w:pPr>
        <w:spacing w:after="120" w:line="276" w:lineRule="auto"/>
        <w:ind w:left="426"/>
        <w:rPr>
          <w:rFonts w:cs="Arial"/>
          <w:b/>
          <w:bCs/>
          <w:color w:val="00234B"/>
        </w:rPr>
      </w:pPr>
      <w:r w:rsidRPr="00B962AA">
        <w:rPr>
          <w:rFonts w:cs="Arial"/>
          <w:b/>
          <w:bCs/>
          <w:color w:val="00234B"/>
        </w:rPr>
        <w:t>Employer Superannuation Contribution Scheme Tax (ESCT)</w:t>
      </w:r>
    </w:p>
    <w:p w14:paraId="555340D7" w14:textId="12771BA1" w:rsidR="00757AAC" w:rsidRPr="00BD7B7B" w:rsidRDefault="00757AAC" w:rsidP="00F84F49">
      <w:pPr>
        <w:spacing w:after="120" w:line="276" w:lineRule="auto"/>
        <w:ind w:left="426"/>
        <w:rPr>
          <w:rFonts w:cs="Arial"/>
        </w:rPr>
      </w:pPr>
      <w:r w:rsidRPr="00BD7B7B">
        <w:rPr>
          <w:rFonts w:cs="Arial"/>
        </w:rPr>
        <w:t xml:space="preserve">The highest ESCT rate has increased due to the personal tax rates increasing. </w:t>
      </w:r>
    </w:p>
    <w:p w14:paraId="75EB5B62" w14:textId="39CFF5C6" w:rsidR="00757AAC" w:rsidRPr="00BD7B7B" w:rsidRDefault="00757AAC" w:rsidP="00F84F49">
      <w:pPr>
        <w:spacing w:after="120" w:line="276" w:lineRule="auto"/>
        <w:ind w:left="426"/>
        <w:rPr>
          <w:rFonts w:cs="Arial"/>
        </w:rPr>
      </w:pPr>
      <w:r w:rsidRPr="00BD7B7B">
        <w:rPr>
          <w:rFonts w:cs="Arial"/>
        </w:rPr>
        <w:t>If the employee’s annual income is more than $216,001, then the ESCT rate will be 39% (refer to appendix 1.3).</w:t>
      </w:r>
    </w:p>
    <w:p w14:paraId="611DB24A" w14:textId="77777777" w:rsidR="00757AAC" w:rsidRPr="00BD7B7B" w:rsidRDefault="00757AAC" w:rsidP="00647F5F">
      <w:pPr>
        <w:spacing w:after="120" w:line="276" w:lineRule="auto"/>
        <w:rPr>
          <w:rFonts w:cs="Arial"/>
        </w:rPr>
      </w:pPr>
    </w:p>
    <w:p w14:paraId="7DD05EDF" w14:textId="45060192" w:rsidR="00757AAC" w:rsidRPr="00B962AA" w:rsidRDefault="00757AAC" w:rsidP="00F84F49">
      <w:pPr>
        <w:spacing w:after="120" w:line="276" w:lineRule="auto"/>
        <w:ind w:left="426"/>
        <w:rPr>
          <w:rFonts w:cs="Arial"/>
          <w:b/>
          <w:bCs/>
          <w:color w:val="00234B"/>
          <w:kern w:val="36"/>
          <w:sz w:val="48"/>
          <w:szCs w:val="48"/>
          <w:lang w:eastAsia="en-NZ"/>
        </w:rPr>
      </w:pPr>
      <w:r w:rsidRPr="00B962AA">
        <w:rPr>
          <w:rFonts w:cs="Arial"/>
          <w:b/>
          <w:bCs/>
          <w:color w:val="00234B"/>
        </w:rPr>
        <w:t>Retirement Savings Schemes Contributions Tax (RSCT)</w:t>
      </w:r>
    </w:p>
    <w:p w14:paraId="3DD493C3" w14:textId="77777777" w:rsidR="00757AAC" w:rsidRPr="00BD7B7B" w:rsidRDefault="00757AAC" w:rsidP="00F84F49">
      <w:pPr>
        <w:spacing w:after="120" w:line="276" w:lineRule="auto"/>
        <w:ind w:left="426"/>
        <w:rPr>
          <w:rFonts w:cs="Arial"/>
        </w:rPr>
      </w:pPr>
      <w:r w:rsidRPr="00BD7B7B">
        <w:rPr>
          <w:rFonts w:cs="Arial"/>
        </w:rPr>
        <w:t>The highest RSCT rate has increased to 39% as well.</w:t>
      </w:r>
    </w:p>
    <w:p w14:paraId="1F357855" w14:textId="77777777" w:rsidR="00757AAC" w:rsidRPr="00BD7B7B" w:rsidRDefault="00757AAC" w:rsidP="00B962AA">
      <w:pPr>
        <w:spacing w:after="120" w:line="276" w:lineRule="auto"/>
        <w:rPr>
          <w:rFonts w:cs="Arial"/>
        </w:rPr>
      </w:pPr>
    </w:p>
    <w:p w14:paraId="109B40B9" w14:textId="0EA23134" w:rsidR="00B962AA" w:rsidRPr="00B962AA" w:rsidRDefault="00757AAC" w:rsidP="00F84F49">
      <w:pPr>
        <w:spacing w:line="276" w:lineRule="auto"/>
        <w:ind w:left="426"/>
        <w:rPr>
          <w:rFonts w:cs="Arial"/>
          <w:b/>
          <w:bCs/>
          <w:color w:val="00234B"/>
          <w:sz w:val="10"/>
          <w:szCs w:val="10"/>
        </w:rPr>
      </w:pPr>
      <w:r w:rsidRPr="00B962AA">
        <w:rPr>
          <w:rFonts w:cs="Arial"/>
          <w:b/>
          <w:bCs/>
          <w:color w:val="00234B"/>
        </w:rPr>
        <w:t>Residential Land Withholding Tax</w:t>
      </w:r>
      <w:r w:rsidR="00B962AA">
        <w:rPr>
          <w:rFonts w:cs="Arial"/>
          <w:b/>
          <w:bCs/>
          <w:color w:val="00234B"/>
        </w:rPr>
        <w:br/>
      </w:r>
    </w:p>
    <w:p w14:paraId="62DCA754" w14:textId="2F0EAE1C" w:rsidR="00757AAC" w:rsidRPr="00B962AA" w:rsidRDefault="00757AAC" w:rsidP="00F84F49">
      <w:pPr>
        <w:spacing w:line="276" w:lineRule="auto"/>
        <w:ind w:left="426"/>
        <w:rPr>
          <w:rFonts w:cs="Arial"/>
          <w:b/>
          <w:bCs/>
          <w:color w:val="00234B"/>
        </w:rPr>
      </w:pPr>
      <w:r w:rsidRPr="00BD7B7B">
        <w:rPr>
          <w:rFonts w:cs="Arial"/>
        </w:rPr>
        <w:t>RLWT applies to the sale of residential property where the vendor is an offshore person and the sale takes place within the brightline period.</w:t>
      </w:r>
      <w:r w:rsidR="00A12691">
        <w:rPr>
          <w:rFonts w:cs="Arial"/>
        </w:rPr>
        <w:t xml:space="preserve"> </w:t>
      </w:r>
      <w:r w:rsidRPr="00BD7B7B">
        <w:rPr>
          <w:rFonts w:cs="Arial"/>
        </w:rPr>
        <w:t>From 1 April 2021 the RLWT rate increases to 39%.  However, if the vendor is a company the RLWT remains at the company rate (28%).</w:t>
      </w:r>
    </w:p>
    <w:p w14:paraId="460C1BF4" w14:textId="3355FA11" w:rsidR="00757AAC" w:rsidRDefault="00757AAC" w:rsidP="00647F5F">
      <w:pPr>
        <w:spacing w:after="120" w:line="276" w:lineRule="auto"/>
        <w:rPr>
          <w:rFonts w:cs="Arial"/>
        </w:rPr>
      </w:pPr>
    </w:p>
    <w:p w14:paraId="04672B48" w14:textId="04F4191D" w:rsidR="00647F5F" w:rsidRDefault="00647F5F" w:rsidP="00647F5F">
      <w:pPr>
        <w:spacing w:after="120" w:line="276" w:lineRule="auto"/>
        <w:rPr>
          <w:rFonts w:cs="Arial"/>
        </w:rPr>
      </w:pPr>
    </w:p>
    <w:p w14:paraId="23742A9B" w14:textId="77777777" w:rsidR="00647F5F" w:rsidRPr="00BD7B7B" w:rsidRDefault="00647F5F" w:rsidP="00647F5F">
      <w:pPr>
        <w:spacing w:after="120" w:line="276" w:lineRule="auto"/>
        <w:rPr>
          <w:rFonts w:cs="Arial"/>
        </w:rPr>
      </w:pPr>
    </w:p>
    <w:p w14:paraId="67A08572" w14:textId="7880E0A8" w:rsidR="00757AAC" w:rsidRPr="00647F5F" w:rsidRDefault="00757AAC" w:rsidP="000B1B33">
      <w:pPr>
        <w:pStyle w:val="Heading2"/>
        <w:spacing w:line="276" w:lineRule="auto"/>
        <w:rPr>
          <w:sz w:val="26"/>
          <w:szCs w:val="26"/>
        </w:rPr>
      </w:pPr>
      <w:r w:rsidRPr="00647F5F">
        <w:rPr>
          <w:sz w:val="26"/>
          <w:szCs w:val="26"/>
        </w:rPr>
        <w:lastRenderedPageBreak/>
        <w:t>Fringe Benefit Tax (FBT)</w:t>
      </w:r>
    </w:p>
    <w:p w14:paraId="051EFBF2" w14:textId="4A93421D" w:rsidR="00757AAC" w:rsidRPr="00BD7B7B" w:rsidRDefault="00757AAC" w:rsidP="00647F5F">
      <w:pPr>
        <w:spacing w:after="120" w:line="276" w:lineRule="auto"/>
        <w:rPr>
          <w:rFonts w:cs="Arial"/>
        </w:rPr>
      </w:pPr>
      <w:r w:rsidRPr="00BD7B7B">
        <w:rPr>
          <w:rFonts w:cs="Arial"/>
        </w:rPr>
        <w:t>The FBT rates have increased to accommodate for the 39% top personal tax rate. The single rate has increased from 49.25% to 63.93%. Refer to appendix 1.4.</w:t>
      </w:r>
    </w:p>
    <w:p w14:paraId="6C28A55E" w14:textId="3C42C0C4" w:rsidR="00757AAC" w:rsidRPr="00BD7B7B" w:rsidRDefault="00757AAC" w:rsidP="00647F5F">
      <w:pPr>
        <w:spacing w:after="120" w:line="276" w:lineRule="auto"/>
        <w:rPr>
          <w:rFonts w:cs="Arial"/>
        </w:rPr>
      </w:pPr>
      <w:r w:rsidRPr="00BD7B7B">
        <w:rPr>
          <w:rFonts w:cs="Arial"/>
        </w:rPr>
        <w:t>The alternate rate has increased from 43% to 49.25% and the pooling rate has moved from 42.86% to 49.25%</w:t>
      </w:r>
      <w:r w:rsidR="00A12691">
        <w:rPr>
          <w:rFonts w:cs="Arial"/>
        </w:rPr>
        <w:t>.</w:t>
      </w:r>
    </w:p>
    <w:p w14:paraId="150C6C49" w14:textId="17421E2A" w:rsidR="0029205C" w:rsidRDefault="00757AAC" w:rsidP="00647F5F">
      <w:pPr>
        <w:spacing w:after="120" w:line="276" w:lineRule="auto"/>
        <w:rPr>
          <w:rFonts w:cs="Arial"/>
        </w:rPr>
      </w:pPr>
      <w:r w:rsidRPr="00BD7B7B">
        <w:rPr>
          <w:rFonts w:cs="Arial"/>
        </w:rPr>
        <w:t xml:space="preserve">Traditionally, many employers use the single rate (less administrative work required). However, given the potential to decrease the overall FBT payable, a good option may be to apply the </w:t>
      </w:r>
      <w:r w:rsidRPr="000762E6">
        <w:rPr>
          <w:rFonts w:cs="Arial"/>
          <w:b/>
          <w:bCs/>
          <w:color w:val="00234B"/>
        </w:rPr>
        <w:t xml:space="preserve">alternate rate </w:t>
      </w:r>
      <w:r w:rsidRPr="00BD7B7B">
        <w:rPr>
          <w:rFonts w:cs="Arial"/>
        </w:rPr>
        <w:t>option.</w:t>
      </w:r>
      <w:r w:rsidR="0029205C">
        <w:rPr>
          <w:rFonts w:cs="Arial"/>
        </w:rPr>
        <w:t xml:space="preserve"> </w:t>
      </w:r>
    </w:p>
    <w:p w14:paraId="254D1BFD" w14:textId="73300A6A" w:rsidR="00757AAC" w:rsidRPr="00BD7B7B" w:rsidRDefault="00757AAC" w:rsidP="00647F5F">
      <w:pPr>
        <w:spacing w:after="120" w:line="276" w:lineRule="auto"/>
        <w:rPr>
          <w:rFonts w:cs="Arial"/>
        </w:rPr>
      </w:pPr>
      <w:r w:rsidRPr="00BD7B7B">
        <w:rPr>
          <w:rFonts w:cs="Arial"/>
        </w:rPr>
        <w:t>The alternate rate would enable employers to apply the appropriate rate in relation to the marginal tax rate of the underlying employees.</w:t>
      </w:r>
    </w:p>
    <w:p w14:paraId="1A378C28" w14:textId="77777777" w:rsidR="00757AAC" w:rsidRPr="00BD7B7B" w:rsidRDefault="00757AAC" w:rsidP="00647F5F">
      <w:pPr>
        <w:spacing w:after="120" w:line="276" w:lineRule="auto"/>
        <w:rPr>
          <w:rFonts w:cs="Arial"/>
        </w:rPr>
      </w:pPr>
    </w:p>
    <w:p w14:paraId="47DA1F3F" w14:textId="6094A9A2" w:rsidR="00757AAC" w:rsidRPr="00647F5F" w:rsidRDefault="00757AAC" w:rsidP="000B1B33">
      <w:pPr>
        <w:pStyle w:val="Heading2"/>
        <w:spacing w:line="276" w:lineRule="auto"/>
        <w:rPr>
          <w:sz w:val="26"/>
          <w:szCs w:val="26"/>
        </w:rPr>
      </w:pPr>
      <w:r w:rsidRPr="00647F5F">
        <w:rPr>
          <w:sz w:val="26"/>
          <w:szCs w:val="26"/>
        </w:rPr>
        <w:t>Trust Disclosure Requirements</w:t>
      </w:r>
    </w:p>
    <w:p w14:paraId="15ED8782" w14:textId="5C427D16" w:rsidR="00757AAC" w:rsidRPr="00BD7B7B" w:rsidRDefault="00757AAC" w:rsidP="00647F5F">
      <w:pPr>
        <w:spacing w:after="120" w:line="276" w:lineRule="auto"/>
        <w:rPr>
          <w:rFonts w:cs="Arial"/>
        </w:rPr>
      </w:pPr>
      <w:r w:rsidRPr="00BD7B7B">
        <w:rPr>
          <w:rFonts w:cs="Arial"/>
        </w:rPr>
        <w:t>From the 2022 income year, trusts filing their income tax return are also required to make several disclosures to Inland Revenue (refer to appendix 1.5). Exemptions are limited and include non-active trusts, certain charitable trusts and foreign trusts (who have their own disclosure obligations).</w:t>
      </w:r>
    </w:p>
    <w:p w14:paraId="547454FA" w14:textId="77777777" w:rsidR="00757AAC" w:rsidRPr="00BD7B7B" w:rsidRDefault="00757AAC" w:rsidP="00647F5F">
      <w:pPr>
        <w:spacing w:after="120" w:line="276" w:lineRule="auto"/>
        <w:rPr>
          <w:rFonts w:cs="Arial"/>
        </w:rPr>
      </w:pPr>
    </w:p>
    <w:p w14:paraId="511A4F67" w14:textId="6E53524E" w:rsidR="00757AAC" w:rsidRPr="00647F5F" w:rsidRDefault="00757AAC" w:rsidP="000B1B33">
      <w:pPr>
        <w:pStyle w:val="Heading2"/>
        <w:spacing w:line="276" w:lineRule="auto"/>
        <w:rPr>
          <w:sz w:val="26"/>
          <w:szCs w:val="26"/>
        </w:rPr>
      </w:pPr>
      <w:r w:rsidRPr="00647F5F">
        <w:rPr>
          <w:sz w:val="26"/>
          <w:szCs w:val="26"/>
        </w:rPr>
        <w:t>Disclosure requirements for investment income</w:t>
      </w:r>
    </w:p>
    <w:p w14:paraId="4514B2AA" w14:textId="28690F33" w:rsidR="00757AAC" w:rsidRPr="00BD7B7B" w:rsidRDefault="00757AAC" w:rsidP="00647F5F">
      <w:pPr>
        <w:spacing w:after="120" w:line="276" w:lineRule="auto"/>
        <w:rPr>
          <w:rFonts w:cs="Arial"/>
        </w:rPr>
      </w:pPr>
      <w:r w:rsidRPr="00BD7B7B">
        <w:rPr>
          <w:rFonts w:cs="Arial"/>
        </w:rPr>
        <w:t>Amendments have been made to the disclosure requirements for investment income in relation to interest, dividends, royalties, and other distributions. These disclosure requirements can be extensive and subject to a case by case basis. Refer to appendix 1.6 for some of the more common disclosures.</w:t>
      </w:r>
    </w:p>
    <w:p w14:paraId="461702EB" w14:textId="77777777" w:rsidR="00757AAC" w:rsidRPr="00BD7B7B" w:rsidRDefault="00757AAC" w:rsidP="00647F5F">
      <w:pPr>
        <w:spacing w:after="120" w:line="276" w:lineRule="auto"/>
        <w:rPr>
          <w:rFonts w:cs="Arial"/>
        </w:rPr>
      </w:pPr>
    </w:p>
    <w:p w14:paraId="1EC9FD3E" w14:textId="5E7C6BE4" w:rsidR="00757AAC" w:rsidRPr="00647F5F" w:rsidRDefault="00757AAC" w:rsidP="000B1B33">
      <w:pPr>
        <w:pStyle w:val="Heading2"/>
        <w:spacing w:line="276" w:lineRule="auto"/>
        <w:rPr>
          <w:sz w:val="26"/>
          <w:szCs w:val="26"/>
        </w:rPr>
      </w:pPr>
      <w:r w:rsidRPr="00647F5F">
        <w:rPr>
          <w:sz w:val="26"/>
          <w:szCs w:val="26"/>
        </w:rPr>
        <w:t>Residential Property</w:t>
      </w:r>
    </w:p>
    <w:p w14:paraId="475DA2CE" w14:textId="2C50D476" w:rsidR="00757AAC" w:rsidRPr="00BD7B7B" w:rsidRDefault="00757AAC" w:rsidP="00647F5F">
      <w:pPr>
        <w:spacing w:after="120" w:line="276" w:lineRule="auto"/>
        <w:rPr>
          <w:rFonts w:cs="Arial"/>
        </w:rPr>
      </w:pPr>
      <w:r w:rsidRPr="00BD7B7B">
        <w:rPr>
          <w:rFonts w:cs="Arial"/>
        </w:rPr>
        <w:t xml:space="preserve">Taxpayers should be aware of recent amendments to the “brightline test” (extending the brightline period to </w:t>
      </w:r>
      <w:r w:rsidR="002A2497">
        <w:rPr>
          <w:rFonts w:cs="Arial"/>
        </w:rPr>
        <w:t>10</w:t>
      </w:r>
      <w:r w:rsidRPr="00BD7B7B">
        <w:rPr>
          <w:rFonts w:cs="Arial"/>
        </w:rPr>
        <w:t xml:space="preserve"> years for relevant residential land acquired on or after 27 March 2021). Further, restrictions will likely be introduced in respect of interest deductions relating to money borrowed in respect of residential rental properties.  </w:t>
      </w:r>
    </w:p>
    <w:p w14:paraId="6E3BA601" w14:textId="77777777" w:rsidR="00757AAC" w:rsidRPr="00BD7B7B" w:rsidRDefault="00757AAC" w:rsidP="00647F5F">
      <w:pPr>
        <w:spacing w:after="120" w:line="276" w:lineRule="auto"/>
        <w:rPr>
          <w:rFonts w:cs="Arial"/>
        </w:rPr>
      </w:pPr>
      <w:r w:rsidRPr="00BD7B7B">
        <w:rPr>
          <w:rFonts w:cs="Arial"/>
        </w:rPr>
        <w:t>At the time of writing (July 2021) the relevant proposals are with officials with relevant amendments to be enacted at a future point in time.</w:t>
      </w:r>
    </w:p>
    <w:p w14:paraId="015C6728" w14:textId="77777777" w:rsidR="00757AAC" w:rsidRPr="00BD7B7B" w:rsidRDefault="00757AAC" w:rsidP="00647F5F">
      <w:pPr>
        <w:spacing w:after="120" w:line="276" w:lineRule="auto"/>
        <w:rPr>
          <w:rFonts w:cs="Arial"/>
        </w:rPr>
      </w:pPr>
    </w:p>
    <w:p w14:paraId="5B6E154B" w14:textId="72AB73BA" w:rsidR="00757AAC" w:rsidRPr="00647F5F" w:rsidRDefault="00757AAC" w:rsidP="000B1B33">
      <w:pPr>
        <w:pStyle w:val="Heading2"/>
        <w:spacing w:line="276" w:lineRule="auto"/>
        <w:rPr>
          <w:sz w:val="26"/>
          <w:szCs w:val="26"/>
        </w:rPr>
      </w:pPr>
      <w:r w:rsidRPr="00647F5F">
        <w:rPr>
          <w:sz w:val="26"/>
          <w:szCs w:val="26"/>
        </w:rPr>
        <w:t>Purchase Price Allocation (PPA) Rules</w:t>
      </w:r>
    </w:p>
    <w:p w14:paraId="4197053D" w14:textId="4634E815" w:rsidR="00757AAC" w:rsidRPr="00BD7B7B" w:rsidRDefault="00757AAC" w:rsidP="00647F5F">
      <w:pPr>
        <w:spacing w:after="120" w:line="276" w:lineRule="auto"/>
        <w:rPr>
          <w:rFonts w:cs="Arial"/>
        </w:rPr>
      </w:pPr>
      <w:r w:rsidRPr="00BD7B7B">
        <w:rPr>
          <w:rFonts w:cs="Arial"/>
        </w:rPr>
        <w:t>Legislation has been enacted to ensure both vendor and purchaser apply a symmetrical income tax treatment to the purchase of certain assets. The rules apply from 1 July 2021.</w:t>
      </w:r>
    </w:p>
    <w:p w14:paraId="70FECDC7" w14:textId="3A933135" w:rsidR="00757AAC" w:rsidRPr="00BD7B7B" w:rsidRDefault="00757AAC" w:rsidP="00647F5F">
      <w:pPr>
        <w:spacing w:after="120" w:line="276" w:lineRule="auto"/>
        <w:rPr>
          <w:rFonts w:cs="Arial"/>
        </w:rPr>
      </w:pPr>
      <w:r w:rsidRPr="00BD7B7B">
        <w:rPr>
          <w:rFonts w:cs="Arial"/>
        </w:rPr>
        <w:t>The rules apply to a “mixed supply” of certain qualifying types of property. Specifically, an agreement to purchase at least two of following categories:</w:t>
      </w:r>
    </w:p>
    <w:p w14:paraId="7A294A85" w14:textId="77777777" w:rsidR="00757AAC" w:rsidRPr="00BD7B7B" w:rsidRDefault="00757AAC" w:rsidP="00647F5F">
      <w:pPr>
        <w:widowControl/>
        <w:numPr>
          <w:ilvl w:val="0"/>
          <w:numId w:val="2"/>
        </w:numPr>
        <w:autoSpaceDE/>
        <w:autoSpaceDN/>
        <w:spacing w:after="120" w:line="276" w:lineRule="auto"/>
        <w:jc w:val="both"/>
        <w:rPr>
          <w:rFonts w:cs="Arial"/>
        </w:rPr>
      </w:pPr>
      <w:r w:rsidRPr="00BD7B7B">
        <w:rPr>
          <w:rFonts w:cs="Arial"/>
        </w:rPr>
        <w:t>trading stock</w:t>
      </w:r>
    </w:p>
    <w:p w14:paraId="1D1CBAA4" w14:textId="77777777" w:rsidR="00757AAC" w:rsidRPr="00BD7B7B" w:rsidRDefault="00757AAC" w:rsidP="00647F5F">
      <w:pPr>
        <w:widowControl/>
        <w:numPr>
          <w:ilvl w:val="0"/>
          <w:numId w:val="2"/>
        </w:numPr>
        <w:autoSpaceDE/>
        <w:autoSpaceDN/>
        <w:spacing w:after="120" w:line="276" w:lineRule="auto"/>
        <w:jc w:val="both"/>
        <w:rPr>
          <w:rFonts w:cs="Arial"/>
        </w:rPr>
      </w:pPr>
      <w:r w:rsidRPr="00BD7B7B">
        <w:rPr>
          <w:rFonts w:cs="Arial"/>
        </w:rPr>
        <w:lastRenderedPageBreak/>
        <w:t>timber or a right to take timber</w:t>
      </w:r>
    </w:p>
    <w:p w14:paraId="7230F5D3" w14:textId="77777777" w:rsidR="00757AAC" w:rsidRPr="00BD7B7B" w:rsidRDefault="00757AAC" w:rsidP="00647F5F">
      <w:pPr>
        <w:widowControl/>
        <w:numPr>
          <w:ilvl w:val="0"/>
          <w:numId w:val="2"/>
        </w:numPr>
        <w:autoSpaceDE/>
        <w:autoSpaceDN/>
        <w:spacing w:after="120" w:line="276" w:lineRule="auto"/>
        <w:jc w:val="both"/>
        <w:rPr>
          <w:rFonts w:cs="Arial"/>
        </w:rPr>
      </w:pPr>
      <w:r w:rsidRPr="00BD7B7B">
        <w:rPr>
          <w:rFonts w:cs="Arial"/>
        </w:rPr>
        <w:t>depreciable property (other than buildings)</w:t>
      </w:r>
    </w:p>
    <w:p w14:paraId="5B538E18" w14:textId="77777777" w:rsidR="00757AAC" w:rsidRPr="00BD7B7B" w:rsidRDefault="00757AAC" w:rsidP="00647F5F">
      <w:pPr>
        <w:widowControl/>
        <w:numPr>
          <w:ilvl w:val="0"/>
          <w:numId w:val="2"/>
        </w:numPr>
        <w:autoSpaceDE/>
        <w:autoSpaceDN/>
        <w:spacing w:after="120" w:line="276" w:lineRule="auto"/>
        <w:jc w:val="both"/>
        <w:rPr>
          <w:rFonts w:cs="Arial"/>
        </w:rPr>
      </w:pPr>
      <w:r w:rsidRPr="00BD7B7B">
        <w:rPr>
          <w:rFonts w:cs="Arial"/>
        </w:rPr>
        <w:t>buildings that are depreciable property</w:t>
      </w:r>
    </w:p>
    <w:p w14:paraId="2F7F2508" w14:textId="77777777" w:rsidR="00757AAC" w:rsidRPr="00BD7B7B" w:rsidRDefault="00757AAC" w:rsidP="00647F5F">
      <w:pPr>
        <w:widowControl/>
        <w:numPr>
          <w:ilvl w:val="0"/>
          <w:numId w:val="2"/>
        </w:numPr>
        <w:autoSpaceDE/>
        <w:autoSpaceDN/>
        <w:spacing w:after="120" w:line="276" w:lineRule="auto"/>
        <w:jc w:val="both"/>
        <w:rPr>
          <w:rFonts w:cs="Arial"/>
        </w:rPr>
      </w:pPr>
      <w:r w:rsidRPr="00BD7B7B">
        <w:rPr>
          <w:rFonts w:cs="Arial"/>
        </w:rPr>
        <w:t>financial arrangements</w:t>
      </w:r>
    </w:p>
    <w:p w14:paraId="3BBC767A" w14:textId="6B9B10EA" w:rsidR="00757AAC" w:rsidRPr="00BD7B7B" w:rsidRDefault="00757AAC" w:rsidP="00956BC0">
      <w:pPr>
        <w:widowControl/>
        <w:numPr>
          <w:ilvl w:val="0"/>
          <w:numId w:val="2"/>
        </w:numPr>
        <w:autoSpaceDE/>
        <w:autoSpaceDN/>
        <w:spacing w:after="120" w:line="276" w:lineRule="auto"/>
        <w:rPr>
          <w:rFonts w:cs="Arial"/>
        </w:rPr>
      </w:pPr>
      <w:r w:rsidRPr="00BD7B7B">
        <w:rPr>
          <w:rFonts w:cs="Arial"/>
        </w:rPr>
        <w:t xml:space="preserve">purchased property for which the disposal does not give rise to assessable income </w:t>
      </w:r>
      <w:r w:rsidR="00956BC0">
        <w:rPr>
          <w:rFonts w:cs="Arial"/>
        </w:rPr>
        <w:br/>
      </w:r>
      <w:r w:rsidRPr="00BD7B7B">
        <w:rPr>
          <w:rFonts w:cs="Arial"/>
        </w:rPr>
        <w:t>for the vendor, or deductions for the purchaser.</w:t>
      </w:r>
    </w:p>
    <w:p w14:paraId="481A069A" w14:textId="77777777" w:rsidR="00757AAC" w:rsidRPr="00BD7B7B" w:rsidRDefault="00757AAC" w:rsidP="00647F5F">
      <w:pPr>
        <w:spacing w:after="120" w:line="276" w:lineRule="auto"/>
        <w:rPr>
          <w:rFonts w:cs="Arial"/>
        </w:rPr>
      </w:pPr>
    </w:p>
    <w:p w14:paraId="1B9B84AA" w14:textId="33F37FF8" w:rsidR="00757AAC" w:rsidRPr="00BD7B7B" w:rsidRDefault="00757AAC" w:rsidP="00BA735F">
      <w:pPr>
        <w:spacing w:after="120" w:line="276" w:lineRule="auto"/>
        <w:rPr>
          <w:rFonts w:cs="Arial"/>
        </w:rPr>
      </w:pPr>
      <w:r w:rsidRPr="00BD7B7B">
        <w:rPr>
          <w:rFonts w:cs="Arial"/>
        </w:rPr>
        <w:t xml:space="preserve">In summary, the rules provide that if vendor and purchaser haven’t agreed in writing on the value of an applicable asset then the </w:t>
      </w:r>
      <w:r w:rsidRPr="005815C1">
        <w:rPr>
          <w:rFonts w:cs="Arial"/>
          <w:b/>
          <w:bCs/>
          <w:color w:val="00234B"/>
        </w:rPr>
        <w:t>vendor</w:t>
      </w:r>
      <w:r w:rsidRPr="005815C1">
        <w:rPr>
          <w:rFonts w:cs="Arial"/>
          <w:color w:val="00234B"/>
        </w:rPr>
        <w:t xml:space="preserve"> </w:t>
      </w:r>
      <w:r w:rsidRPr="00BD7B7B">
        <w:rPr>
          <w:rFonts w:cs="Arial"/>
        </w:rPr>
        <w:t xml:space="preserve">may unilaterally determine the allocation. If the vendor fails to do this within the specified timeframe, the </w:t>
      </w:r>
      <w:r w:rsidRPr="005815C1">
        <w:rPr>
          <w:rFonts w:cs="Arial"/>
          <w:b/>
          <w:bCs/>
          <w:color w:val="00234B"/>
        </w:rPr>
        <w:t>purchaser</w:t>
      </w:r>
      <w:r w:rsidRPr="00BD7B7B">
        <w:rPr>
          <w:rFonts w:cs="Arial"/>
        </w:rPr>
        <w:t xml:space="preserve"> may determine the allocation.</w:t>
      </w:r>
    </w:p>
    <w:p w14:paraId="1F4748E8" w14:textId="0DDC80BE" w:rsidR="00757AAC" w:rsidRPr="00BD7B7B" w:rsidRDefault="00757AAC" w:rsidP="00BA735F">
      <w:pPr>
        <w:spacing w:after="120" w:line="276" w:lineRule="auto"/>
        <w:rPr>
          <w:rFonts w:cs="Arial"/>
        </w:rPr>
      </w:pPr>
      <w:r w:rsidRPr="00BD7B7B">
        <w:rPr>
          <w:rFonts w:cs="Arial"/>
        </w:rPr>
        <w:t>If both the purchaser and the vendor fail to do a PPA within the specified timeframes, or if Inland Revenue believes the proposed PPA doesn’t reflect market value then the Commissioner can determine a mar</w:t>
      </w:r>
      <w:r w:rsidR="00647F5F">
        <w:rPr>
          <w:rFonts w:cs="Arial"/>
        </w:rPr>
        <w:t>k</w:t>
      </w:r>
      <w:r w:rsidRPr="00BD7B7B">
        <w:rPr>
          <w:rFonts w:cs="Arial"/>
        </w:rPr>
        <w:t>et value allocation.</w:t>
      </w:r>
    </w:p>
    <w:p w14:paraId="70C3E988" w14:textId="5F43BBEF" w:rsidR="00757AAC" w:rsidRPr="00BD7B7B" w:rsidRDefault="00757AAC" w:rsidP="00BA735F">
      <w:pPr>
        <w:spacing w:after="120" w:line="276" w:lineRule="auto"/>
        <w:rPr>
          <w:rFonts w:cs="Arial"/>
        </w:rPr>
      </w:pPr>
      <w:r w:rsidRPr="00BD7B7B">
        <w:rPr>
          <w:rFonts w:cs="Arial"/>
        </w:rPr>
        <w:t xml:space="preserve">It should be noted that the PPA rules don’t apply to property worth less than $1 million, or $7.5 million for residential property (land and chattels). </w:t>
      </w:r>
    </w:p>
    <w:p w14:paraId="27044C24" w14:textId="1F81236A" w:rsidR="00757AAC" w:rsidRDefault="00757AAC" w:rsidP="00BA735F">
      <w:pPr>
        <w:spacing w:before="4" w:line="276" w:lineRule="auto"/>
        <w:rPr>
          <w:sz w:val="17"/>
        </w:rPr>
      </w:pPr>
      <w:r w:rsidRPr="00BD7B7B">
        <w:rPr>
          <w:rFonts w:cs="Arial"/>
        </w:rPr>
        <w:t>The above rules are complex (the above simply providing a high-level overview). If you believe this to be an issue, then further advice should be sought</w:t>
      </w:r>
      <w:r w:rsidR="00BA735F">
        <w:rPr>
          <w:rFonts w:cs="Arial"/>
        </w:rPr>
        <w:t>.</w:t>
      </w:r>
    </w:p>
    <w:p w14:paraId="32282BDF" w14:textId="3BD3A13C" w:rsidR="001A41DB" w:rsidRDefault="00817C06" w:rsidP="00BA735F">
      <w:pPr>
        <w:spacing w:before="240" w:line="276" w:lineRule="auto"/>
        <w:rPr>
          <w:sz w:val="17"/>
        </w:rPr>
      </w:pPr>
      <w:r>
        <w:rPr>
          <w:sz w:val="17"/>
        </w:rPr>
        <w:softHyphen/>
      </w:r>
      <w:r>
        <w:rPr>
          <w:sz w:val="17"/>
        </w:rPr>
        <w:softHyphen/>
      </w:r>
      <w:r>
        <w:rPr>
          <w:sz w:val="17"/>
        </w:rPr>
        <w:softHyphen/>
      </w:r>
      <w:r>
        <w:rPr>
          <w:sz w:val="17"/>
        </w:rPr>
        <w:softHyphen/>
      </w:r>
      <w:r>
        <w:rPr>
          <w:sz w:val="17"/>
        </w:rPr>
        <w:softHyphen/>
      </w:r>
      <w:r>
        <w:rPr>
          <w:sz w:val="17"/>
        </w:rPr>
        <w:softHyphen/>
      </w:r>
      <w:r>
        <w:rPr>
          <w:sz w:val="17"/>
        </w:rPr>
        <w:softHyphen/>
      </w:r>
      <w:r>
        <w:rPr>
          <w:sz w:val="17"/>
        </w:rPr>
        <w:softHyphen/>
      </w:r>
      <w:r>
        <w:rPr>
          <w:sz w:val="17"/>
        </w:rPr>
        <w:softHyphen/>
      </w:r>
      <w:r>
        <w:rPr>
          <w:sz w:val="17"/>
        </w:rPr>
        <w:softHyphen/>
      </w:r>
      <w:r>
        <w:rPr>
          <w:sz w:val="17"/>
        </w:rPr>
        <w:softHyphen/>
      </w:r>
    </w:p>
    <w:p w14:paraId="40DD529D" w14:textId="05B72662" w:rsidR="00647F5F" w:rsidRDefault="00647F5F" w:rsidP="00647F5F">
      <w:pPr>
        <w:spacing w:before="240" w:line="276" w:lineRule="auto"/>
        <w:rPr>
          <w:sz w:val="17"/>
        </w:rPr>
      </w:pPr>
    </w:p>
    <w:p w14:paraId="5E482CCE" w14:textId="11EBC550" w:rsidR="00647F5F" w:rsidRDefault="00647F5F" w:rsidP="00647F5F">
      <w:pPr>
        <w:spacing w:before="240" w:line="276" w:lineRule="auto"/>
        <w:rPr>
          <w:sz w:val="17"/>
        </w:rPr>
      </w:pPr>
    </w:p>
    <w:p w14:paraId="1CFD45D0" w14:textId="3B6BF56F" w:rsidR="00647F5F" w:rsidRDefault="00647F5F" w:rsidP="00647F5F">
      <w:pPr>
        <w:spacing w:before="240" w:line="276" w:lineRule="auto"/>
        <w:rPr>
          <w:sz w:val="17"/>
        </w:rPr>
      </w:pPr>
    </w:p>
    <w:p w14:paraId="37B377FE" w14:textId="7B0F2EDA" w:rsidR="00647F5F" w:rsidRDefault="00647F5F" w:rsidP="00647F5F">
      <w:pPr>
        <w:spacing w:before="240" w:line="276" w:lineRule="auto"/>
        <w:rPr>
          <w:sz w:val="17"/>
        </w:rPr>
      </w:pPr>
    </w:p>
    <w:p w14:paraId="10854A66" w14:textId="6483DF6D" w:rsidR="00647F5F" w:rsidRDefault="00647F5F" w:rsidP="00647F5F">
      <w:pPr>
        <w:spacing w:before="240" w:line="276" w:lineRule="auto"/>
        <w:rPr>
          <w:sz w:val="17"/>
        </w:rPr>
      </w:pPr>
    </w:p>
    <w:p w14:paraId="321F5787" w14:textId="776DA457" w:rsidR="00647F5F" w:rsidRDefault="00647F5F" w:rsidP="00647F5F">
      <w:pPr>
        <w:spacing w:before="240" w:line="276" w:lineRule="auto"/>
        <w:rPr>
          <w:sz w:val="17"/>
        </w:rPr>
      </w:pPr>
    </w:p>
    <w:p w14:paraId="444696B1" w14:textId="630FCC28" w:rsidR="00647F5F" w:rsidRDefault="00647F5F" w:rsidP="00647F5F">
      <w:pPr>
        <w:spacing w:before="240" w:line="276" w:lineRule="auto"/>
        <w:rPr>
          <w:sz w:val="17"/>
        </w:rPr>
      </w:pPr>
    </w:p>
    <w:p w14:paraId="7017FBC9" w14:textId="63234561" w:rsidR="00647F5F" w:rsidRDefault="00647F5F" w:rsidP="00647F5F">
      <w:pPr>
        <w:spacing w:before="240" w:line="276" w:lineRule="auto"/>
        <w:rPr>
          <w:sz w:val="17"/>
        </w:rPr>
      </w:pPr>
    </w:p>
    <w:p w14:paraId="5B2981B7" w14:textId="62621D66" w:rsidR="00647F5F" w:rsidRDefault="00647F5F" w:rsidP="00647F5F">
      <w:pPr>
        <w:spacing w:before="240" w:line="276" w:lineRule="auto"/>
        <w:rPr>
          <w:sz w:val="17"/>
        </w:rPr>
      </w:pPr>
    </w:p>
    <w:p w14:paraId="690EBCAD" w14:textId="756924E4" w:rsidR="00647F5F" w:rsidRDefault="00647F5F" w:rsidP="00647F5F">
      <w:pPr>
        <w:spacing w:before="240" w:line="276" w:lineRule="auto"/>
        <w:rPr>
          <w:sz w:val="17"/>
        </w:rPr>
      </w:pPr>
    </w:p>
    <w:p w14:paraId="5DB93C2F" w14:textId="2646AC92" w:rsidR="00647F5F" w:rsidRDefault="00647F5F" w:rsidP="00647F5F">
      <w:pPr>
        <w:spacing w:before="240" w:line="276" w:lineRule="auto"/>
        <w:rPr>
          <w:sz w:val="17"/>
        </w:rPr>
      </w:pPr>
    </w:p>
    <w:p w14:paraId="00571A2F" w14:textId="289438F2" w:rsidR="00647F5F" w:rsidRDefault="00647F5F" w:rsidP="00647F5F">
      <w:pPr>
        <w:spacing w:before="240" w:line="276" w:lineRule="auto"/>
        <w:rPr>
          <w:sz w:val="17"/>
        </w:rPr>
      </w:pPr>
    </w:p>
    <w:p w14:paraId="59595469" w14:textId="4076B508" w:rsidR="00647F5F" w:rsidRDefault="00647F5F" w:rsidP="00647F5F">
      <w:pPr>
        <w:spacing w:before="240" w:line="276" w:lineRule="auto"/>
        <w:rPr>
          <w:sz w:val="17"/>
        </w:rPr>
      </w:pPr>
    </w:p>
    <w:p w14:paraId="250BC894" w14:textId="77777777" w:rsidR="002A3826" w:rsidRDefault="002A3826" w:rsidP="00647F5F">
      <w:pPr>
        <w:spacing w:before="240" w:line="276" w:lineRule="auto"/>
        <w:rPr>
          <w:sz w:val="17"/>
        </w:rPr>
      </w:pPr>
    </w:p>
    <w:p w14:paraId="05B36367" w14:textId="2EDE2E9D" w:rsidR="00E866EF" w:rsidRPr="00647F5F" w:rsidRDefault="00E866EF" w:rsidP="00A12691">
      <w:pPr>
        <w:pStyle w:val="Heading2"/>
        <w:rPr>
          <w:sz w:val="26"/>
          <w:szCs w:val="26"/>
        </w:rPr>
      </w:pPr>
      <w:r w:rsidRPr="00647F5F">
        <w:rPr>
          <w:sz w:val="26"/>
          <w:szCs w:val="26"/>
        </w:rPr>
        <w:lastRenderedPageBreak/>
        <w:t>Appendix</w:t>
      </w:r>
    </w:p>
    <w:p w14:paraId="4DF90CA2" w14:textId="77777777" w:rsidR="00E866EF" w:rsidRPr="00384E05" w:rsidRDefault="00E866EF" w:rsidP="00E866EF">
      <w:pPr>
        <w:spacing w:before="240" w:after="120" w:line="300" w:lineRule="auto"/>
        <w:rPr>
          <w:rFonts w:cs="Arial"/>
          <w:b/>
          <w:bCs/>
          <w:color w:val="00234B"/>
        </w:rPr>
      </w:pPr>
      <w:r w:rsidRPr="00384E05">
        <w:rPr>
          <w:rFonts w:cs="Arial"/>
          <w:b/>
          <w:bCs/>
          <w:color w:val="00234B"/>
        </w:rPr>
        <w:t>Appendix 1.1</w:t>
      </w:r>
    </w:p>
    <w:p w14:paraId="02B3BC08" w14:textId="6C92C2D3" w:rsidR="00E866EF" w:rsidRPr="00647F5F" w:rsidRDefault="00E866EF" w:rsidP="00E866EF">
      <w:pPr>
        <w:spacing w:after="120" w:line="300" w:lineRule="auto"/>
        <w:rPr>
          <w:rFonts w:cs="Arial"/>
        </w:rPr>
      </w:pPr>
      <w:r w:rsidRPr="00647F5F">
        <w:rPr>
          <w:rFonts w:cs="Arial"/>
        </w:rPr>
        <w:t>Secondary income-earners</w:t>
      </w:r>
    </w:p>
    <w:tbl>
      <w:tblPr>
        <w:tblStyle w:val="TableGrid"/>
        <w:tblW w:w="0" w:type="auto"/>
        <w:tblLook w:val="04A0" w:firstRow="1" w:lastRow="0" w:firstColumn="1" w:lastColumn="0" w:noHBand="0" w:noVBand="1"/>
      </w:tblPr>
      <w:tblGrid>
        <w:gridCol w:w="2321"/>
        <w:gridCol w:w="2322"/>
        <w:gridCol w:w="2322"/>
      </w:tblGrid>
      <w:tr w:rsidR="00E866EF" w:rsidRPr="0077070E" w14:paraId="08433C92" w14:textId="77777777" w:rsidTr="000C02C3">
        <w:trPr>
          <w:trHeight w:val="369"/>
        </w:trPr>
        <w:tc>
          <w:tcPr>
            <w:tcW w:w="2321" w:type="dxa"/>
            <w:shd w:val="clear" w:color="auto" w:fill="00234B"/>
            <w:vAlign w:val="center"/>
          </w:tcPr>
          <w:p w14:paraId="4441312F" w14:textId="77777777" w:rsidR="00E866EF" w:rsidRPr="0077070E" w:rsidRDefault="00E866EF" w:rsidP="000C02C3">
            <w:pPr>
              <w:spacing w:after="120" w:line="300" w:lineRule="auto"/>
              <w:jc w:val="center"/>
              <w:rPr>
                <w:rFonts w:cs="Arial"/>
                <w:b/>
                <w:bCs/>
                <w:sz w:val="22"/>
                <w:szCs w:val="28"/>
              </w:rPr>
            </w:pPr>
            <w:r w:rsidRPr="0077070E">
              <w:rPr>
                <w:rFonts w:cs="Arial"/>
                <w:b/>
                <w:bCs/>
                <w:sz w:val="22"/>
                <w:szCs w:val="28"/>
              </w:rPr>
              <w:t>Taxable income</w:t>
            </w:r>
          </w:p>
        </w:tc>
        <w:tc>
          <w:tcPr>
            <w:tcW w:w="2322" w:type="dxa"/>
            <w:shd w:val="clear" w:color="auto" w:fill="00234B"/>
            <w:vAlign w:val="center"/>
          </w:tcPr>
          <w:p w14:paraId="1408AD59" w14:textId="77777777" w:rsidR="00E866EF" w:rsidRPr="0077070E" w:rsidRDefault="00E866EF" w:rsidP="000C02C3">
            <w:pPr>
              <w:spacing w:after="120" w:line="300" w:lineRule="auto"/>
              <w:jc w:val="center"/>
              <w:rPr>
                <w:rFonts w:cs="Arial"/>
                <w:b/>
                <w:bCs/>
                <w:sz w:val="22"/>
                <w:szCs w:val="28"/>
              </w:rPr>
            </w:pPr>
            <w:r w:rsidRPr="0077070E">
              <w:rPr>
                <w:rFonts w:cs="Arial"/>
                <w:b/>
                <w:bCs/>
                <w:sz w:val="22"/>
                <w:szCs w:val="28"/>
              </w:rPr>
              <w:t>Withholding rate</w:t>
            </w:r>
          </w:p>
        </w:tc>
        <w:tc>
          <w:tcPr>
            <w:tcW w:w="2322" w:type="dxa"/>
            <w:shd w:val="clear" w:color="auto" w:fill="00234B"/>
            <w:vAlign w:val="center"/>
          </w:tcPr>
          <w:p w14:paraId="2BEEEE93" w14:textId="77777777" w:rsidR="00E866EF" w:rsidRPr="0077070E" w:rsidRDefault="00E866EF" w:rsidP="000C02C3">
            <w:pPr>
              <w:spacing w:after="120" w:line="300" w:lineRule="auto"/>
              <w:jc w:val="center"/>
              <w:rPr>
                <w:rFonts w:cs="Arial"/>
                <w:b/>
                <w:bCs/>
                <w:sz w:val="22"/>
                <w:szCs w:val="28"/>
              </w:rPr>
            </w:pPr>
            <w:r w:rsidRPr="0077070E">
              <w:rPr>
                <w:rFonts w:cs="Arial"/>
                <w:b/>
                <w:bCs/>
                <w:sz w:val="22"/>
                <w:szCs w:val="28"/>
              </w:rPr>
              <w:t>Tax deduction code</w:t>
            </w:r>
          </w:p>
        </w:tc>
      </w:tr>
      <w:tr w:rsidR="00E866EF" w:rsidRPr="0077070E" w14:paraId="167CFAF5" w14:textId="77777777" w:rsidTr="000C02C3">
        <w:trPr>
          <w:trHeight w:val="369"/>
        </w:trPr>
        <w:tc>
          <w:tcPr>
            <w:tcW w:w="2321" w:type="dxa"/>
            <w:vAlign w:val="center"/>
          </w:tcPr>
          <w:p w14:paraId="1677653D" w14:textId="77777777" w:rsidR="00E866EF" w:rsidRPr="0077070E" w:rsidRDefault="00E866EF" w:rsidP="000C02C3">
            <w:pPr>
              <w:spacing w:after="120" w:line="300" w:lineRule="auto"/>
              <w:jc w:val="center"/>
              <w:rPr>
                <w:rFonts w:cs="Arial"/>
                <w:sz w:val="22"/>
                <w:szCs w:val="28"/>
              </w:rPr>
            </w:pPr>
            <w:r w:rsidRPr="0077070E">
              <w:rPr>
                <w:rFonts w:cs="Arial"/>
                <w:sz w:val="22"/>
                <w:szCs w:val="28"/>
              </w:rPr>
              <w:t>$70,000 - $180,000</w:t>
            </w:r>
          </w:p>
        </w:tc>
        <w:tc>
          <w:tcPr>
            <w:tcW w:w="2322" w:type="dxa"/>
            <w:vAlign w:val="center"/>
          </w:tcPr>
          <w:p w14:paraId="7D739179" w14:textId="77777777" w:rsidR="00E866EF" w:rsidRPr="0077070E" w:rsidRDefault="00E866EF" w:rsidP="000C02C3">
            <w:pPr>
              <w:spacing w:after="120" w:line="300" w:lineRule="auto"/>
              <w:jc w:val="center"/>
              <w:rPr>
                <w:rFonts w:cs="Arial"/>
                <w:sz w:val="22"/>
                <w:szCs w:val="28"/>
              </w:rPr>
            </w:pPr>
            <w:r w:rsidRPr="0077070E">
              <w:rPr>
                <w:rFonts w:cs="Arial"/>
                <w:sz w:val="22"/>
                <w:szCs w:val="28"/>
              </w:rPr>
              <w:t>33%</w:t>
            </w:r>
          </w:p>
        </w:tc>
        <w:tc>
          <w:tcPr>
            <w:tcW w:w="2322" w:type="dxa"/>
            <w:vAlign w:val="center"/>
          </w:tcPr>
          <w:p w14:paraId="55A0D7A0" w14:textId="77777777" w:rsidR="00E866EF" w:rsidRPr="0077070E" w:rsidRDefault="00E866EF" w:rsidP="000C02C3">
            <w:pPr>
              <w:spacing w:after="120" w:line="300" w:lineRule="auto"/>
              <w:jc w:val="center"/>
              <w:rPr>
                <w:rFonts w:cs="Arial"/>
                <w:sz w:val="22"/>
                <w:szCs w:val="28"/>
              </w:rPr>
            </w:pPr>
            <w:r w:rsidRPr="0077070E">
              <w:rPr>
                <w:rFonts w:cs="Arial"/>
                <w:sz w:val="22"/>
                <w:szCs w:val="28"/>
              </w:rPr>
              <w:t>ST</w:t>
            </w:r>
          </w:p>
        </w:tc>
      </w:tr>
      <w:tr w:rsidR="00E866EF" w:rsidRPr="0077070E" w14:paraId="675F6263" w14:textId="77777777" w:rsidTr="000C02C3">
        <w:trPr>
          <w:trHeight w:val="369"/>
        </w:trPr>
        <w:tc>
          <w:tcPr>
            <w:tcW w:w="2321" w:type="dxa"/>
            <w:vAlign w:val="center"/>
          </w:tcPr>
          <w:p w14:paraId="53B436B6" w14:textId="77777777" w:rsidR="00E866EF" w:rsidRPr="0077070E" w:rsidRDefault="00E866EF" w:rsidP="000C02C3">
            <w:pPr>
              <w:spacing w:after="120" w:line="300" w:lineRule="auto"/>
              <w:jc w:val="center"/>
              <w:rPr>
                <w:rFonts w:cs="Arial"/>
                <w:sz w:val="22"/>
                <w:szCs w:val="28"/>
              </w:rPr>
            </w:pPr>
            <w:r w:rsidRPr="0077070E">
              <w:rPr>
                <w:rFonts w:cs="Arial"/>
                <w:sz w:val="22"/>
                <w:szCs w:val="28"/>
              </w:rPr>
              <w:t>$180,001 upwards</w:t>
            </w:r>
          </w:p>
        </w:tc>
        <w:tc>
          <w:tcPr>
            <w:tcW w:w="2322" w:type="dxa"/>
            <w:vAlign w:val="center"/>
          </w:tcPr>
          <w:p w14:paraId="43A3B650" w14:textId="77777777" w:rsidR="00E866EF" w:rsidRPr="0077070E" w:rsidRDefault="00E866EF" w:rsidP="000C02C3">
            <w:pPr>
              <w:spacing w:after="120" w:line="300" w:lineRule="auto"/>
              <w:jc w:val="center"/>
              <w:rPr>
                <w:rFonts w:cs="Arial"/>
                <w:sz w:val="22"/>
                <w:szCs w:val="28"/>
              </w:rPr>
            </w:pPr>
            <w:r w:rsidRPr="0077070E">
              <w:rPr>
                <w:rFonts w:cs="Arial"/>
                <w:sz w:val="22"/>
                <w:szCs w:val="28"/>
              </w:rPr>
              <w:t>39%</w:t>
            </w:r>
          </w:p>
        </w:tc>
        <w:tc>
          <w:tcPr>
            <w:tcW w:w="2322" w:type="dxa"/>
            <w:vAlign w:val="center"/>
          </w:tcPr>
          <w:p w14:paraId="7A95FEDD" w14:textId="77777777" w:rsidR="00E866EF" w:rsidRPr="0077070E" w:rsidRDefault="00E866EF" w:rsidP="000C02C3">
            <w:pPr>
              <w:spacing w:after="120" w:line="300" w:lineRule="auto"/>
              <w:jc w:val="center"/>
              <w:rPr>
                <w:rFonts w:cs="Arial"/>
                <w:sz w:val="22"/>
                <w:szCs w:val="28"/>
              </w:rPr>
            </w:pPr>
            <w:r w:rsidRPr="0077070E">
              <w:rPr>
                <w:rFonts w:cs="Arial"/>
                <w:sz w:val="22"/>
                <w:szCs w:val="28"/>
              </w:rPr>
              <w:t>SA</w:t>
            </w:r>
          </w:p>
        </w:tc>
      </w:tr>
    </w:tbl>
    <w:p w14:paraId="514E64C7" w14:textId="77777777" w:rsidR="00E866EF" w:rsidRPr="00BD7B7B" w:rsidRDefault="00E866EF" w:rsidP="00E866EF">
      <w:pPr>
        <w:spacing w:after="120" w:line="300" w:lineRule="auto"/>
        <w:rPr>
          <w:rFonts w:cs="Arial"/>
        </w:rPr>
      </w:pPr>
    </w:p>
    <w:p w14:paraId="477D06F3" w14:textId="77777777" w:rsidR="00E866EF" w:rsidRPr="00384E05" w:rsidRDefault="00E866EF" w:rsidP="00E866EF">
      <w:pPr>
        <w:spacing w:before="240" w:after="120" w:line="300" w:lineRule="auto"/>
        <w:rPr>
          <w:rFonts w:cs="Arial"/>
          <w:b/>
          <w:bCs/>
          <w:color w:val="00234B"/>
        </w:rPr>
      </w:pPr>
      <w:r w:rsidRPr="00384E05">
        <w:rPr>
          <w:rFonts w:cs="Arial"/>
          <w:b/>
          <w:bCs/>
          <w:color w:val="00234B"/>
        </w:rPr>
        <w:t>Appendix 1.2</w:t>
      </w:r>
    </w:p>
    <w:p w14:paraId="3678659F" w14:textId="5548F9AF" w:rsidR="00E866EF" w:rsidRPr="00BA735F" w:rsidRDefault="00E866EF" w:rsidP="00E866EF">
      <w:pPr>
        <w:spacing w:after="120" w:line="300" w:lineRule="auto"/>
        <w:rPr>
          <w:rFonts w:cs="Arial"/>
        </w:rPr>
      </w:pPr>
      <w:r w:rsidRPr="00BA735F">
        <w:rPr>
          <w:rFonts w:cs="Arial"/>
        </w:rPr>
        <w:t>RWT rates per taxable income</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tblGrid>
      <w:tr w:rsidR="00E866EF" w:rsidRPr="00B96265" w14:paraId="4DA3D4F7" w14:textId="77777777" w:rsidTr="000C02C3">
        <w:trPr>
          <w:trHeight w:val="369"/>
        </w:trPr>
        <w:tc>
          <w:tcPr>
            <w:tcW w:w="3539" w:type="dxa"/>
            <w:shd w:val="clear" w:color="auto" w:fill="00234B"/>
            <w:noWrap/>
            <w:vAlign w:val="center"/>
            <w:hideMark/>
          </w:tcPr>
          <w:p w14:paraId="43DF4EB7" w14:textId="77777777" w:rsidR="00E866EF" w:rsidRPr="000C02C3" w:rsidRDefault="00E866EF" w:rsidP="004E3FA0">
            <w:pPr>
              <w:spacing w:after="120" w:line="300" w:lineRule="auto"/>
              <w:jc w:val="center"/>
              <w:rPr>
                <w:rFonts w:cs="Arial"/>
                <w:b/>
                <w:bCs/>
                <w:color w:val="FFFFFF" w:themeColor="background1"/>
                <w:szCs w:val="20"/>
                <w:lang w:eastAsia="en-NZ"/>
              </w:rPr>
            </w:pPr>
            <w:r w:rsidRPr="000C02C3">
              <w:rPr>
                <w:rFonts w:cs="Arial"/>
                <w:b/>
                <w:bCs/>
                <w:color w:val="FFFFFF" w:themeColor="background1"/>
                <w:szCs w:val="20"/>
                <w:lang w:eastAsia="en-NZ"/>
              </w:rPr>
              <w:t>Taxable income</w:t>
            </w:r>
          </w:p>
        </w:tc>
        <w:tc>
          <w:tcPr>
            <w:tcW w:w="3402" w:type="dxa"/>
            <w:shd w:val="clear" w:color="auto" w:fill="00234B"/>
            <w:noWrap/>
            <w:vAlign w:val="center"/>
            <w:hideMark/>
          </w:tcPr>
          <w:p w14:paraId="68DBA708" w14:textId="77777777" w:rsidR="00E866EF" w:rsidRPr="000C02C3" w:rsidRDefault="00E866EF" w:rsidP="004E3FA0">
            <w:pPr>
              <w:spacing w:after="120" w:line="300" w:lineRule="auto"/>
              <w:jc w:val="center"/>
              <w:rPr>
                <w:rFonts w:cs="Arial"/>
                <w:b/>
                <w:bCs/>
                <w:color w:val="FFFFFF" w:themeColor="background1"/>
                <w:szCs w:val="20"/>
                <w:lang w:eastAsia="en-NZ"/>
              </w:rPr>
            </w:pPr>
            <w:r w:rsidRPr="000C02C3">
              <w:rPr>
                <w:rFonts w:cs="Arial"/>
                <w:b/>
                <w:bCs/>
                <w:color w:val="FFFFFF" w:themeColor="background1"/>
                <w:szCs w:val="20"/>
                <w:lang w:eastAsia="en-NZ"/>
              </w:rPr>
              <w:t>Tax rate %</w:t>
            </w:r>
          </w:p>
        </w:tc>
      </w:tr>
      <w:tr w:rsidR="00E866EF" w:rsidRPr="00BD7B7B" w14:paraId="2E9C3969" w14:textId="77777777" w:rsidTr="000C02C3">
        <w:trPr>
          <w:trHeight w:val="369"/>
        </w:trPr>
        <w:tc>
          <w:tcPr>
            <w:tcW w:w="3539" w:type="dxa"/>
            <w:shd w:val="clear" w:color="auto" w:fill="auto"/>
            <w:noWrap/>
            <w:vAlign w:val="center"/>
            <w:hideMark/>
          </w:tcPr>
          <w:p w14:paraId="212DF9A0"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0 - 14,000</w:t>
            </w:r>
          </w:p>
        </w:tc>
        <w:tc>
          <w:tcPr>
            <w:tcW w:w="3402" w:type="dxa"/>
            <w:shd w:val="clear" w:color="auto" w:fill="auto"/>
            <w:noWrap/>
            <w:vAlign w:val="center"/>
            <w:hideMark/>
          </w:tcPr>
          <w:p w14:paraId="7BCE2632"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10.50%</w:t>
            </w:r>
          </w:p>
        </w:tc>
      </w:tr>
      <w:tr w:rsidR="00E866EF" w:rsidRPr="00BD7B7B" w14:paraId="4E7FB9EB" w14:textId="77777777" w:rsidTr="000C02C3">
        <w:trPr>
          <w:trHeight w:val="369"/>
        </w:trPr>
        <w:tc>
          <w:tcPr>
            <w:tcW w:w="3539" w:type="dxa"/>
            <w:shd w:val="clear" w:color="auto" w:fill="auto"/>
            <w:noWrap/>
            <w:vAlign w:val="center"/>
            <w:hideMark/>
          </w:tcPr>
          <w:p w14:paraId="3A5344B1"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14,001 - 48,000</w:t>
            </w:r>
          </w:p>
        </w:tc>
        <w:tc>
          <w:tcPr>
            <w:tcW w:w="3402" w:type="dxa"/>
            <w:shd w:val="clear" w:color="auto" w:fill="auto"/>
            <w:noWrap/>
            <w:vAlign w:val="center"/>
            <w:hideMark/>
          </w:tcPr>
          <w:p w14:paraId="277F0215"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17.50%</w:t>
            </w:r>
          </w:p>
        </w:tc>
      </w:tr>
      <w:tr w:rsidR="00E866EF" w:rsidRPr="00BD7B7B" w14:paraId="39437C29" w14:textId="77777777" w:rsidTr="000C02C3">
        <w:trPr>
          <w:trHeight w:val="369"/>
        </w:trPr>
        <w:tc>
          <w:tcPr>
            <w:tcW w:w="3539" w:type="dxa"/>
            <w:shd w:val="clear" w:color="auto" w:fill="auto"/>
            <w:noWrap/>
            <w:vAlign w:val="center"/>
            <w:hideMark/>
          </w:tcPr>
          <w:p w14:paraId="150C417E"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48,001 - 70,000</w:t>
            </w:r>
          </w:p>
        </w:tc>
        <w:tc>
          <w:tcPr>
            <w:tcW w:w="3402" w:type="dxa"/>
            <w:shd w:val="clear" w:color="auto" w:fill="auto"/>
            <w:noWrap/>
            <w:vAlign w:val="center"/>
            <w:hideMark/>
          </w:tcPr>
          <w:p w14:paraId="12393F71"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30%</w:t>
            </w:r>
          </w:p>
        </w:tc>
      </w:tr>
      <w:tr w:rsidR="00E866EF" w:rsidRPr="00BD7B7B" w14:paraId="7AD225E3" w14:textId="77777777" w:rsidTr="000C02C3">
        <w:trPr>
          <w:trHeight w:val="369"/>
        </w:trPr>
        <w:tc>
          <w:tcPr>
            <w:tcW w:w="3539" w:type="dxa"/>
            <w:shd w:val="clear" w:color="auto" w:fill="auto"/>
            <w:noWrap/>
            <w:vAlign w:val="center"/>
            <w:hideMark/>
          </w:tcPr>
          <w:p w14:paraId="6CFF0DE1"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70,001 - 180,000</w:t>
            </w:r>
          </w:p>
        </w:tc>
        <w:tc>
          <w:tcPr>
            <w:tcW w:w="3402" w:type="dxa"/>
            <w:shd w:val="clear" w:color="auto" w:fill="auto"/>
            <w:noWrap/>
            <w:vAlign w:val="center"/>
            <w:hideMark/>
          </w:tcPr>
          <w:p w14:paraId="0FC45A8A"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33%</w:t>
            </w:r>
          </w:p>
        </w:tc>
      </w:tr>
      <w:tr w:rsidR="00E866EF" w:rsidRPr="00BD7B7B" w14:paraId="79EFAEEF" w14:textId="77777777" w:rsidTr="000C02C3">
        <w:trPr>
          <w:trHeight w:val="369"/>
        </w:trPr>
        <w:tc>
          <w:tcPr>
            <w:tcW w:w="3539" w:type="dxa"/>
            <w:shd w:val="clear" w:color="auto" w:fill="auto"/>
            <w:noWrap/>
            <w:vAlign w:val="center"/>
            <w:hideMark/>
          </w:tcPr>
          <w:p w14:paraId="6B0479C9"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180,001 - upwards</w:t>
            </w:r>
          </w:p>
        </w:tc>
        <w:tc>
          <w:tcPr>
            <w:tcW w:w="3402" w:type="dxa"/>
            <w:shd w:val="clear" w:color="auto" w:fill="auto"/>
            <w:noWrap/>
            <w:vAlign w:val="center"/>
            <w:hideMark/>
          </w:tcPr>
          <w:p w14:paraId="25C10BD5"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39%</w:t>
            </w:r>
          </w:p>
        </w:tc>
      </w:tr>
    </w:tbl>
    <w:p w14:paraId="7B170EBE" w14:textId="77777777" w:rsidR="00E866EF" w:rsidRPr="00BD7B7B" w:rsidRDefault="00E866EF" w:rsidP="00E866EF">
      <w:pPr>
        <w:spacing w:after="120" w:line="300" w:lineRule="auto"/>
        <w:rPr>
          <w:rFonts w:cs="Arial"/>
        </w:rPr>
      </w:pPr>
    </w:p>
    <w:p w14:paraId="3E9D7C0B" w14:textId="77777777" w:rsidR="00E866EF" w:rsidRPr="00384E05" w:rsidRDefault="00E866EF" w:rsidP="00E866EF">
      <w:pPr>
        <w:spacing w:before="240" w:after="120" w:line="300" w:lineRule="auto"/>
        <w:rPr>
          <w:rFonts w:cs="Arial"/>
          <w:b/>
          <w:bCs/>
          <w:color w:val="00234B"/>
        </w:rPr>
      </w:pPr>
      <w:r w:rsidRPr="00384E05">
        <w:rPr>
          <w:rFonts w:cs="Arial"/>
          <w:b/>
          <w:bCs/>
          <w:color w:val="00234B"/>
        </w:rPr>
        <w:t xml:space="preserve">Appendix 1.3 </w:t>
      </w:r>
    </w:p>
    <w:p w14:paraId="0A26CF47" w14:textId="6B9F911A" w:rsidR="00E866EF" w:rsidRPr="00BA735F" w:rsidRDefault="00E866EF" w:rsidP="00E866EF">
      <w:pPr>
        <w:spacing w:after="120" w:line="300" w:lineRule="auto"/>
        <w:rPr>
          <w:rFonts w:cs="Arial"/>
        </w:rPr>
      </w:pPr>
      <w:r w:rsidRPr="00BA735F">
        <w:rPr>
          <w:rFonts w:cs="Arial"/>
        </w:rPr>
        <w:t>ESCT rates</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tblGrid>
      <w:tr w:rsidR="00E866EF" w:rsidRPr="00B96265" w14:paraId="3E321505" w14:textId="77777777" w:rsidTr="00D23FBB">
        <w:trPr>
          <w:trHeight w:val="369"/>
        </w:trPr>
        <w:tc>
          <w:tcPr>
            <w:tcW w:w="3539" w:type="dxa"/>
            <w:shd w:val="clear" w:color="auto" w:fill="00234B"/>
            <w:noWrap/>
            <w:vAlign w:val="center"/>
            <w:hideMark/>
          </w:tcPr>
          <w:p w14:paraId="0DEA8DB8" w14:textId="77777777" w:rsidR="00E866EF" w:rsidRPr="000C02C3" w:rsidRDefault="00E866EF" w:rsidP="00D23FBB">
            <w:pPr>
              <w:spacing w:after="120" w:line="300" w:lineRule="auto"/>
              <w:jc w:val="center"/>
              <w:rPr>
                <w:rFonts w:cs="Arial"/>
                <w:b/>
                <w:bCs/>
                <w:color w:val="FFFFFF" w:themeColor="background1"/>
                <w:szCs w:val="20"/>
                <w:lang w:eastAsia="en-NZ"/>
              </w:rPr>
            </w:pPr>
            <w:r w:rsidRPr="000C02C3">
              <w:rPr>
                <w:rFonts w:cs="Arial"/>
                <w:b/>
                <w:bCs/>
                <w:color w:val="FFFFFF" w:themeColor="background1"/>
                <w:szCs w:val="20"/>
                <w:lang w:eastAsia="en-NZ"/>
              </w:rPr>
              <w:t>Employee’s annual income</w:t>
            </w:r>
          </w:p>
        </w:tc>
        <w:tc>
          <w:tcPr>
            <w:tcW w:w="3402" w:type="dxa"/>
            <w:shd w:val="clear" w:color="auto" w:fill="00234B"/>
            <w:noWrap/>
            <w:vAlign w:val="center"/>
            <w:hideMark/>
          </w:tcPr>
          <w:p w14:paraId="7A4B84C9" w14:textId="77777777" w:rsidR="00E866EF" w:rsidRPr="000C02C3" w:rsidRDefault="00E866EF" w:rsidP="00D23FBB">
            <w:pPr>
              <w:spacing w:after="120" w:line="300" w:lineRule="auto"/>
              <w:jc w:val="center"/>
              <w:rPr>
                <w:rFonts w:cs="Arial"/>
                <w:b/>
                <w:bCs/>
                <w:color w:val="FFFFFF" w:themeColor="background1"/>
                <w:szCs w:val="20"/>
                <w:lang w:eastAsia="en-NZ"/>
              </w:rPr>
            </w:pPr>
            <w:r w:rsidRPr="000C02C3">
              <w:rPr>
                <w:rFonts w:cs="Arial"/>
                <w:b/>
                <w:bCs/>
                <w:color w:val="FFFFFF" w:themeColor="background1"/>
                <w:szCs w:val="20"/>
                <w:lang w:eastAsia="en-NZ"/>
              </w:rPr>
              <w:t>Tax rate %</w:t>
            </w:r>
          </w:p>
        </w:tc>
      </w:tr>
      <w:tr w:rsidR="00E866EF" w:rsidRPr="00BD7B7B" w14:paraId="6D951278" w14:textId="77777777" w:rsidTr="000C02C3">
        <w:trPr>
          <w:trHeight w:val="369"/>
        </w:trPr>
        <w:tc>
          <w:tcPr>
            <w:tcW w:w="3539" w:type="dxa"/>
            <w:shd w:val="clear" w:color="auto" w:fill="auto"/>
            <w:noWrap/>
            <w:vAlign w:val="center"/>
            <w:hideMark/>
          </w:tcPr>
          <w:p w14:paraId="225D405A" w14:textId="77777777" w:rsidR="00E866EF" w:rsidRPr="00BD7B7B" w:rsidRDefault="00E866EF" w:rsidP="004E3FA0">
            <w:pPr>
              <w:spacing w:after="120" w:line="300" w:lineRule="auto"/>
              <w:jc w:val="center"/>
              <w:rPr>
                <w:rFonts w:cs="Arial"/>
                <w:color w:val="000000"/>
                <w:szCs w:val="20"/>
                <w:lang w:eastAsia="en-NZ"/>
              </w:rPr>
            </w:pPr>
            <w:r w:rsidRPr="00BD7B7B">
              <w:rPr>
                <w:rFonts w:cs="Arial"/>
                <w:color w:val="000000"/>
                <w:szCs w:val="20"/>
                <w:lang w:eastAsia="en-NZ"/>
              </w:rPr>
              <w:t>$0 to $16,800</w:t>
            </w:r>
          </w:p>
        </w:tc>
        <w:tc>
          <w:tcPr>
            <w:tcW w:w="3402" w:type="dxa"/>
            <w:shd w:val="clear" w:color="auto" w:fill="auto"/>
            <w:noWrap/>
            <w:vAlign w:val="center"/>
            <w:hideMark/>
          </w:tcPr>
          <w:p w14:paraId="6E7A86DF" w14:textId="77777777" w:rsidR="00E866EF" w:rsidRPr="00BD7B7B" w:rsidRDefault="00E866EF" w:rsidP="004E3FA0">
            <w:pPr>
              <w:spacing w:after="120" w:line="300" w:lineRule="auto"/>
              <w:jc w:val="center"/>
              <w:rPr>
                <w:rFonts w:cs="Arial"/>
                <w:color w:val="000000"/>
                <w:szCs w:val="20"/>
                <w:lang w:eastAsia="en-NZ"/>
              </w:rPr>
            </w:pPr>
            <w:r w:rsidRPr="00BD7B7B">
              <w:rPr>
                <w:rFonts w:cs="Arial"/>
                <w:color w:val="000000"/>
                <w:szCs w:val="20"/>
                <w:lang w:eastAsia="en-NZ"/>
              </w:rPr>
              <w:t>10.50%</w:t>
            </w:r>
          </w:p>
        </w:tc>
      </w:tr>
      <w:tr w:rsidR="00E866EF" w:rsidRPr="00BD7B7B" w14:paraId="1793C931" w14:textId="77777777" w:rsidTr="000C02C3">
        <w:trPr>
          <w:trHeight w:val="369"/>
        </w:trPr>
        <w:tc>
          <w:tcPr>
            <w:tcW w:w="3539" w:type="dxa"/>
            <w:shd w:val="clear" w:color="auto" w:fill="auto"/>
            <w:noWrap/>
            <w:vAlign w:val="center"/>
            <w:hideMark/>
          </w:tcPr>
          <w:p w14:paraId="0AF2705F"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$16,801 to $57,600</w:t>
            </w:r>
          </w:p>
        </w:tc>
        <w:tc>
          <w:tcPr>
            <w:tcW w:w="3402" w:type="dxa"/>
            <w:shd w:val="clear" w:color="auto" w:fill="auto"/>
            <w:noWrap/>
            <w:vAlign w:val="center"/>
            <w:hideMark/>
          </w:tcPr>
          <w:p w14:paraId="11CD99D9"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17.50%</w:t>
            </w:r>
          </w:p>
        </w:tc>
      </w:tr>
      <w:tr w:rsidR="00E866EF" w:rsidRPr="00BD7B7B" w14:paraId="7B2DBAFD" w14:textId="77777777" w:rsidTr="000C02C3">
        <w:trPr>
          <w:trHeight w:val="369"/>
        </w:trPr>
        <w:tc>
          <w:tcPr>
            <w:tcW w:w="3539" w:type="dxa"/>
            <w:shd w:val="clear" w:color="auto" w:fill="auto"/>
            <w:noWrap/>
            <w:vAlign w:val="center"/>
            <w:hideMark/>
          </w:tcPr>
          <w:p w14:paraId="1B9A087D"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$57,601 to $84,000</w:t>
            </w:r>
          </w:p>
        </w:tc>
        <w:tc>
          <w:tcPr>
            <w:tcW w:w="3402" w:type="dxa"/>
            <w:shd w:val="clear" w:color="auto" w:fill="auto"/>
            <w:noWrap/>
            <w:vAlign w:val="center"/>
            <w:hideMark/>
          </w:tcPr>
          <w:p w14:paraId="7F4452E9"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30%</w:t>
            </w:r>
          </w:p>
        </w:tc>
      </w:tr>
      <w:tr w:rsidR="00E866EF" w:rsidRPr="00BD7B7B" w14:paraId="2AF1463A" w14:textId="77777777" w:rsidTr="000C02C3">
        <w:trPr>
          <w:trHeight w:val="369"/>
        </w:trPr>
        <w:tc>
          <w:tcPr>
            <w:tcW w:w="3539" w:type="dxa"/>
            <w:shd w:val="clear" w:color="auto" w:fill="auto"/>
            <w:noWrap/>
            <w:vAlign w:val="center"/>
            <w:hideMark/>
          </w:tcPr>
          <w:p w14:paraId="246B6FFA"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$84,001 to $216,000</w:t>
            </w:r>
          </w:p>
        </w:tc>
        <w:tc>
          <w:tcPr>
            <w:tcW w:w="3402" w:type="dxa"/>
            <w:shd w:val="clear" w:color="auto" w:fill="auto"/>
            <w:noWrap/>
            <w:vAlign w:val="center"/>
            <w:hideMark/>
          </w:tcPr>
          <w:p w14:paraId="48B38B3C"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33%</w:t>
            </w:r>
          </w:p>
        </w:tc>
      </w:tr>
      <w:tr w:rsidR="00E866EF" w:rsidRPr="00BD7B7B" w14:paraId="72A3A860" w14:textId="77777777" w:rsidTr="000C02C3">
        <w:trPr>
          <w:trHeight w:val="369"/>
        </w:trPr>
        <w:tc>
          <w:tcPr>
            <w:tcW w:w="3539" w:type="dxa"/>
            <w:shd w:val="clear" w:color="auto" w:fill="auto"/>
            <w:noWrap/>
            <w:vAlign w:val="center"/>
            <w:hideMark/>
          </w:tcPr>
          <w:p w14:paraId="051FF937"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$216,001+</w:t>
            </w:r>
          </w:p>
        </w:tc>
        <w:tc>
          <w:tcPr>
            <w:tcW w:w="3402" w:type="dxa"/>
            <w:shd w:val="clear" w:color="auto" w:fill="auto"/>
            <w:noWrap/>
            <w:vAlign w:val="center"/>
            <w:hideMark/>
          </w:tcPr>
          <w:p w14:paraId="36A853CD" w14:textId="77777777" w:rsidR="00E866EF" w:rsidRPr="00BD7B7B" w:rsidRDefault="00E866EF" w:rsidP="004E3FA0">
            <w:pPr>
              <w:spacing w:after="120" w:line="300" w:lineRule="auto"/>
              <w:jc w:val="center"/>
              <w:rPr>
                <w:rFonts w:cs="Arial"/>
                <w:szCs w:val="20"/>
                <w:lang w:eastAsia="en-NZ"/>
              </w:rPr>
            </w:pPr>
            <w:r w:rsidRPr="00BD7B7B">
              <w:rPr>
                <w:rFonts w:cs="Arial"/>
                <w:szCs w:val="20"/>
                <w:lang w:eastAsia="en-NZ"/>
              </w:rPr>
              <w:t>39%</w:t>
            </w:r>
          </w:p>
        </w:tc>
      </w:tr>
    </w:tbl>
    <w:p w14:paraId="0B7F60F7" w14:textId="77777777" w:rsidR="00E866EF" w:rsidRPr="00BD7B7B" w:rsidRDefault="00E866EF" w:rsidP="00E866EF">
      <w:pPr>
        <w:spacing w:after="120" w:line="300" w:lineRule="auto"/>
        <w:rPr>
          <w:rFonts w:cs="Arial"/>
        </w:rPr>
      </w:pPr>
    </w:p>
    <w:p w14:paraId="0FB78C57" w14:textId="2929E4D0" w:rsidR="00E866EF" w:rsidRPr="00801051" w:rsidRDefault="00E866EF" w:rsidP="00647F5F">
      <w:pPr>
        <w:rPr>
          <w:rFonts w:cs="Arial"/>
          <w:b/>
          <w:bCs/>
        </w:rPr>
      </w:pPr>
      <w:r>
        <w:rPr>
          <w:rFonts w:cs="Arial"/>
        </w:rPr>
        <w:br w:type="page"/>
      </w:r>
      <w:r w:rsidRPr="00384E05">
        <w:rPr>
          <w:rFonts w:cs="Arial"/>
          <w:b/>
          <w:bCs/>
          <w:color w:val="00234B"/>
        </w:rPr>
        <w:lastRenderedPageBreak/>
        <w:t>Appendix 1.4</w:t>
      </w:r>
      <w:r w:rsidR="00801051">
        <w:rPr>
          <w:rFonts w:cs="Arial"/>
          <w:b/>
          <w:bCs/>
        </w:rPr>
        <w:br/>
      </w:r>
    </w:p>
    <w:p w14:paraId="151E3337" w14:textId="7B0792AC" w:rsidR="00E866EF" w:rsidRPr="00801051" w:rsidRDefault="00E866EF" w:rsidP="00E866EF">
      <w:pPr>
        <w:spacing w:after="120" w:line="300" w:lineRule="auto"/>
        <w:rPr>
          <w:rFonts w:cs="Arial"/>
        </w:rPr>
      </w:pPr>
      <w:r w:rsidRPr="00801051">
        <w:rPr>
          <w:rFonts w:cs="Arial"/>
        </w:rPr>
        <w:t>FBT rate</w:t>
      </w:r>
    </w:p>
    <w:tbl>
      <w:tblPr>
        <w:tblStyle w:val="TableGrid"/>
        <w:tblW w:w="7792" w:type="dxa"/>
        <w:tblLook w:val="04A0" w:firstRow="1" w:lastRow="0" w:firstColumn="1" w:lastColumn="0" w:noHBand="0" w:noVBand="1"/>
      </w:tblPr>
      <w:tblGrid>
        <w:gridCol w:w="4106"/>
        <w:gridCol w:w="3686"/>
      </w:tblGrid>
      <w:tr w:rsidR="00E866EF" w:rsidRPr="00D70EB3" w14:paraId="462AF16D" w14:textId="77777777" w:rsidTr="000C02C3">
        <w:trPr>
          <w:trHeight w:val="369"/>
        </w:trPr>
        <w:tc>
          <w:tcPr>
            <w:tcW w:w="4106" w:type="dxa"/>
            <w:shd w:val="clear" w:color="auto" w:fill="00234B"/>
            <w:noWrap/>
            <w:hideMark/>
          </w:tcPr>
          <w:p w14:paraId="429F7E27" w14:textId="77777777" w:rsidR="00E866EF" w:rsidRPr="000C02C3" w:rsidRDefault="00E866EF" w:rsidP="004E3FA0">
            <w:pPr>
              <w:spacing w:after="120" w:line="300" w:lineRule="auto"/>
              <w:jc w:val="center"/>
              <w:rPr>
                <w:rFonts w:cs="Arial"/>
                <w:b/>
                <w:bCs/>
                <w:color w:val="FFFFFF" w:themeColor="background1"/>
                <w:sz w:val="22"/>
                <w:szCs w:val="22"/>
                <w:lang w:eastAsia="en-NZ"/>
              </w:rPr>
            </w:pPr>
            <w:r w:rsidRPr="000C02C3">
              <w:rPr>
                <w:rFonts w:cs="Arial"/>
                <w:b/>
                <w:bCs/>
                <w:color w:val="FFFFFF" w:themeColor="background1"/>
                <w:sz w:val="22"/>
                <w:szCs w:val="22"/>
                <w:lang w:eastAsia="en-NZ"/>
              </w:rPr>
              <w:t>All-inclusive pay range (NZD)</w:t>
            </w:r>
          </w:p>
        </w:tc>
        <w:tc>
          <w:tcPr>
            <w:tcW w:w="3686" w:type="dxa"/>
            <w:shd w:val="clear" w:color="auto" w:fill="00234B"/>
            <w:noWrap/>
            <w:hideMark/>
          </w:tcPr>
          <w:p w14:paraId="7BB76858" w14:textId="77777777" w:rsidR="00E866EF" w:rsidRPr="000C02C3" w:rsidRDefault="00E866EF" w:rsidP="004E3FA0">
            <w:pPr>
              <w:spacing w:after="120" w:line="300" w:lineRule="auto"/>
              <w:jc w:val="center"/>
              <w:rPr>
                <w:rFonts w:cs="Arial"/>
                <w:b/>
                <w:bCs/>
                <w:color w:val="FFFFFF" w:themeColor="background1"/>
                <w:sz w:val="22"/>
                <w:szCs w:val="22"/>
                <w:lang w:eastAsia="en-NZ"/>
              </w:rPr>
            </w:pPr>
            <w:r w:rsidRPr="000C02C3">
              <w:rPr>
                <w:rFonts w:cs="Arial"/>
                <w:b/>
                <w:bCs/>
                <w:color w:val="FFFFFF" w:themeColor="background1"/>
                <w:sz w:val="22"/>
                <w:szCs w:val="22"/>
                <w:lang w:eastAsia="en-NZ"/>
              </w:rPr>
              <w:t>New rate</w:t>
            </w:r>
          </w:p>
        </w:tc>
      </w:tr>
      <w:tr w:rsidR="00E866EF" w:rsidRPr="00D70EB3" w14:paraId="289CAC1A" w14:textId="77777777" w:rsidTr="000C02C3">
        <w:trPr>
          <w:trHeight w:val="369"/>
        </w:trPr>
        <w:tc>
          <w:tcPr>
            <w:tcW w:w="4106" w:type="dxa"/>
            <w:noWrap/>
            <w:hideMark/>
          </w:tcPr>
          <w:p w14:paraId="787CCD5E" w14:textId="77777777" w:rsidR="00E866EF" w:rsidRPr="00D70EB3" w:rsidRDefault="00E866EF" w:rsidP="004E3FA0">
            <w:pPr>
              <w:spacing w:after="120" w:line="300" w:lineRule="auto"/>
              <w:jc w:val="center"/>
              <w:rPr>
                <w:rFonts w:cs="Arial"/>
                <w:color w:val="000000"/>
                <w:sz w:val="22"/>
                <w:szCs w:val="22"/>
                <w:lang w:eastAsia="en-NZ"/>
              </w:rPr>
            </w:pPr>
            <w:r w:rsidRPr="00D70EB3">
              <w:rPr>
                <w:rFonts w:cs="Arial"/>
                <w:color w:val="000000"/>
                <w:sz w:val="22"/>
                <w:szCs w:val="22"/>
                <w:lang w:eastAsia="en-NZ"/>
              </w:rPr>
              <w:t>0 - 12,530</w:t>
            </w:r>
          </w:p>
        </w:tc>
        <w:tc>
          <w:tcPr>
            <w:tcW w:w="3686" w:type="dxa"/>
            <w:noWrap/>
            <w:hideMark/>
          </w:tcPr>
          <w:p w14:paraId="66DF8921" w14:textId="77777777" w:rsidR="00E866EF" w:rsidRPr="00D70EB3" w:rsidRDefault="00E866EF" w:rsidP="004E3FA0">
            <w:pPr>
              <w:spacing w:after="120" w:line="300" w:lineRule="auto"/>
              <w:jc w:val="center"/>
              <w:rPr>
                <w:rFonts w:cs="Arial"/>
                <w:color w:val="000000"/>
                <w:sz w:val="22"/>
                <w:szCs w:val="22"/>
                <w:lang w:eastAsia="en-NZ"/>
              </w:rPr>
            </w:pPr>
            <w:r w:rsidRPr="00D70EB3">
              <w:rPr>
                <w:rFonts w:cs="Arial"/>
                <w:color w:val="000000"/>
                <w:sz w:val="22"/>
                <w:szCs w:val="22"/>
                <w:lang w:eastAsia="en-NZ"/>
              </w:rPr>
              <w:t>11.73%</w:t>
            </w:r>
          </w:p>
        </w:tc>
      </w:tr>
      <w:tr w:rsidR="00E866EF" w:rsidRPr="00D70EB3" w14:paraId="719FB98C" w14:textId="77777777" w:rsidTr="000C02C3">
        <w:trPr>
          <w:trHeight w:val="369"/>
        </w:trPr>
        <w:tc>
          <w:tcPr>
            <w:tcW w:w="4106" w:type="dxa"/>
            <w:noWrap/>
            <w:hideMark/>
          </w:tcPr>
          <w:p w14:paraId="1D83379E" w14:textId="77777777" w:rsidR="00E866EF" w:rsidRPr="00D70EB3" w:rsidRDefault="00E866EF" w:rsidP="004E3FA0">
            <w:pPr>
              <w:spacing w:after="120" w:line="300" w:lineRule="auto"/>
              <w:jc w:val="center"/>
              <w:rPr>
                <w:rFonts w:cs="Arial"/>
                <w:color w:val="000000"/>
                <w:sz w:val="22"/>
                <w:szCs w:val="22"/>
                <w:lang w:eastAsia="en-NZ"/>
              </w:rPr>
            </w:pPr>
            <w:r w:rsidRPr="00D70EB3">
              <w:rPr>
                <w:rFonts w:cs="Arial"/>
                <w:color w:val="000000"/>
                <w:sz w:val="22"/>
                <w:szCs w:val="22"/>
                <w:lang w:eastAsia="en-NZ"/>
              </w:rPr>
              <w:t>12,531 - 40,580</w:t>
            </w:r>
          </w:p>
        </w:tc>
        <w:tc>
          <w:tcPr>
            <w:tcW w:w="3686" w:type="dxa"/>
            <w:noWrap/>
            <w:hideMark/>
          </w:tcPr>
          <w:p w14:paraId="4DF95787" w14:textId="77777777" w:rsidR="00E866EF" w:rsidRPr="00D70EB3" w:rsidRDefault="00E866EF" w:rsidP="004E3FA0">
            <w:pPr>
              <w:spacing w:after="120" w:line="300" w:lineRule="auto"/>
              <w:jc w:val="center"/>
              <w:rPr>
                <w:rFonts w:cs="Arial"/>
                <w:color w:val="000000"/>
                <w:sz w:val="22"/>
                <w:szCs w:val="22"/>
                <w:lang w:eastAsia="en-NZ"/>
              </w:rPr>
            </w:pPr>
            <w:r w:rsidRPr="00D70EB3">
              <w:rPr>
                <w:rFonts w:cs="Arial"/>
                <w:color w:val="000000"/>
                <w:sz w:val="22"/>
                <w:szCs w:val="22"/>
                <w:lang w:eastAsia="en-NZ"/>
              </w:rPr>
              <w:t>21.21%</w:t>
            </w:r>
          </w:p>
        </w:tc>
      </w:tr>
      <w:tr w:rsidR="00E866EF" w:rsidRPr="00D70EB3" w14:paraId="0871850C" w14:textId="77777777" w:rsidTr="000C02C3">
        <w:trPr>
          <w:trHeight w:val="369"/>
        </w:trPr>
        <w:tc>
          <w:tcPr>
            <w:tcW w:w="4106" w:type="dxa"/>
            <w:noWrap/>
            <w:hideMark/>
          </w:tcPr>
          <w:p w14:paraId="179E1218" w14:textId="77777777" w:rsidR="00E866EF" w:rsidRPr="00D70EB3" w:rsidRDefault="00E866EF" w:rsidP="004E3FA0">
            <w:pPr>
              <w:spacing w:after="120" w:line="300" w:lineRule="auto"/>
              <w:jc w:val="center"/>
              <w:rPr>
                <w:rFonts w:cs="Arial"/>
                <w:color w:val="000000"/>
                <w:sz w:val="22"/>
                <w:szCs w:val="22"/>
                <w:lang w:eastAsia="en-NZ"/>
              </w:rPr>
            </w:pPr>
            <w:r w:rsidRPr="00D70EB3">
              <w:rPr>
                <w:rFonts w:cs="Arial"/>
                <w:color w:val="000000"/>
                <w:sz w:val="22"/>
                <w:szCs w:val="22"/>
                <w:lang w:eastAsia="en-NZ"/>
              </w:rPr>
              <w:t>40,581 - 55,980</w:t>
            </w:r>
          </w:p>
        </w:tc>
        <w:tc>
          <w:tcPr>
            <w:tcW w:w="3686" w:type="dxa"/>
            <w:noWrap/>
            <w:hideMark/>
          </w:tcPr>
          <w:p w14:paraId="2628DB4B" w14:textId="77777777" w:rsidR="00E866EF" w:rsidRPr="00D70EB3" w:rsidRDefault="00E866EF" w:rsidP="004E3FA0">
            <w:pPr>
              <w:spacing w:after="120" w:line="300" w:lineRule="auto"/>
              <w:jc w:val="center"/>
              <w:rPr>
                <w:rFonts w:cs="Arial"/>
                <w:color w:val="000000"/>
                <w:sz w:val="22"/>
                <w:szCs w:val="22"/>
                <w:lang w:eastAsia="en-NZ"/>
              </w:rPr>
            </w:pPr>
            <w:r w:rsidRPr="00D70EB3">
              <w:rPr>
                <w:rFonts w:cs="Arial"/>
                <w:color w:val="000000"/>
                <w:sz w:val="22"/>
                <w:szCs w:val="22"/>
                <w:lang w:eastAsia="en-NZ"/>
              </w:rPr>
              <w:t>42.86%</w:t>
            </w:r>
          </w:p>
        </w:tc>
      </w:tr>
      <w:tr w:rsidR="00E866EF" w:rsidRPr="00D70EB3" w14:paraId="07D2809D" w14:textId="77777777" w:rsidTr="000C02C3">
        <w:trPr>
          <w:trHeight w:val="369"/>
        </w:trPr>
        <w:tc>
          <w:tcPr>
            <w:tcW w:w="4106" w:type="dxa"/>
            <w:noWrap/>
            <w:hideMark/>
          </w:tcPr>
          <w:p w14:paraId="0609C4B3" w14:textId="77777777" w:rsidR="00E866EF" w:rsidRPr="00D70EB3" w:rsidRDefault="00E866EF" w:rsidP="004E3FA0">
            <w:pPr>
              <w:spacing w:after="120" w:line="300" w:lineRule="auto"/>
              <w:jc w:val="center"/>
              <w:rPr>
                <w:rFonts w:cs="Arial"/>
                <w:color w:val="000000"/>
                <w:sz w:val="22"/>
                <w:szCs w:val="22"/>
                <w:lang w:eastAsia="en-NZ"/>
              </w:rPr>
            </w:pPr>
            <w:r w:rsidRPr="00D70EB3">
              <w:rPr>
                <w:rFonts w:cs="Arial"/>
                <w:color w:val="000000"/>
                <w:sz w:val="22"/>
                <w:szCs w:val="22"/>
                <w:lang w:eastAsia="en-NZ"/>
              </w:rPr>
              <w:t>55,981 - 129,680</w:t>
            </w:r>
          </w:p>
        </w:tc>
        <w:tc>
          <w:tcPr>
            <w:tcW w:w="3686" w:type="dxa"/>
            <w:noWrap/>
            <w:hideMark/>
          </w:tcPr>
          <w:p w14:paraId="3FCBC85D" w14:textId="77777777" w:rsidR="00E866EF" w:rsidRPr="00D70EB3" w:rsidRDefault="00E866EF" w:rsidP="004E3FA0">
            <w:pPr>
              <w:spacing w:after="120" w:line="300" w:lineRule="auto"/>
              <w:jc w:val="center"/>
              <w:rPr>
                <w:rFonts w:cs="Arial"/>
                <w:color w:val="000000"/>
                <w:sz w:val="22"/>
                <w:szCs w:val="22"/>
                <w:lang w:eastAsia="en-NZ"/>
              </w:rPr>
            </w:pPr>
            <w:r w:rsidRPr="00D70EB3">
              <w:rPr>
                <w:rFonts w:cs="Arial"/>
                <w:color w:val="000000"/>
                <w:sz w:val="22"/>
                <w:szCs w:val="22"/>
                <w:lang w:eastAsia="en-NZ"/>
              </w:rPr>
              <w:t>49.25%</w:t>
            </w:r>
          </w:p>
        </w:tc>
      </w:tr>
      <w:tr w:rsidR="00E866EF" w:rsidRPr="00D70EB3" w14:paraId="208D1C48" w14:textId="77777777" w:rsidTr="000C02C3">
        <w:trPr>
          <w:trHeight w:val="369"/>
        </w:trPr>
        <w:tc>
          <w:tcPr>
            <w:tcW w:w="4106" w:type="dxa"/>
            <w:noWrap/>
            <w:hideMark/>
          </w:tcPr>
          <w:p w14:paraId="319CBEEF" w14:textId="77777777" w:rsidR="00E866EF" w:rsidRPr="00D70EB3" w:rsidRDefault="00E866EF" w:rsidP="004E3FA0">
            <w:pPr>
              <w:spacing w:after="120" w:line="300" w:lineRule="auto"/>
              <w:jc w:val="center"/>
              <w:rPr>
                <w:rFonts w:cs="Arial"/>
                <w:color w:val="000000"/>
                <w:sz w:val="22"/>
                <w:szCs w:val="22"/>
                <w:lang w:eastAsia="en-NZ"/>
              </w:rPr>
            </w:pPr>
            <w:r w:rsidRPr="00D70EB3">
              <w:rPr>
                <w:rFonts w:cs="Arial"/>
                <w:color w:val="000000"/>
                <w:sz w:val="22"/>
                <w:szCs w:val="22"/>
                <w:lang w:eastAsia="en-NZ"/>
              </w:rPr>
              <w:t>129,681 upwards</w:t>
            </w:r>
          </w:p>
        </w:tc>
        <w:tc>
          <w:tcPr>
            <w:tcW w:w="3686" w:type="dxa"/>
            <w:noWrap/>
            <w:hideMark/>
          </w:tcPr>
          <w:p w14:paraId="65559DA1" w14:textId="77777777" w:rsidR="00E866EF" w:rsidRPr="00D70EB3" w:rsidRDefault="00E866EF" w:rsidP="004E3FA0">
            <w:pPr>
              <w:spacing w:after="120" w:line="300" w:lineRule="auto"/>
              <w:jc w:val="center"/>
              <w:rPr>
                <w:rFonts w:cs="Arial"/>
                <w:color w:val="000000"/>
                <w:sz w:val="22"/>
                <w:szCs w:val="22"/>
                <w:lang w:eastAsia="en-NZ"/>
              </w:rPr>
            </w:pPr>
            <w:r w:rsidRPr="00D70EB3">
              <w:rPr>
                <w:rFonts w:cs="Arial"/>
                <w:color w:val="000000"/>
                <w:sz w:val="22"/>
                <w:szCs w:val="22"/>
                <w:lang w:eastAsia="en-NZ"/>
              </w:rPr>
              <w:t>63.93%</w:t>
            </w:r>
          </w:p>
        </w:tc>
      </w:tr>
    </w:tbl>
    <w:p w14:paraId="6082B41F" w14:textId="77777777" w:rsidR="00E866EF" w:rsidRPr="00BD7B7B" w:rsidRDefault="00E866EF" w:rsidP="00E866EF">
      <w:pPr>
        <w:spacing w:after="120" w:line="300" w:lineRule="auto"/>
        <w:rPr>
          <w:rFonts w:cs="Arial"/>
        </w:rPr>
      </w:pPr>
    </w:p>
    <w:p w14:paraId="1144EB6C" w14:textId="77777777" w:rsidR="00E866EF" w:rsidRPr="00384E05" w:rsidRDefault="00E866EF" w:rsidP="00E866EF">
      <w:pPr>
        <w:spacing w:before="240" w:after="120" w:line="300" w:lineRule="auto"/>
        <w:rPr>
          <w:rFonts w:cs="Arial"/>
          <w:b/>
          <w:bCs/>
          <w:color w:val="00234B"/>
        </w:rPr>
      </w:pPr>
      <w:r w:rsidRPr="00384E05">
        <w:rPr>
          <w:rFonts w:cs="Arial"/>
          <w:b/>
          <w:bCs/>
          <w:color w:val="00234B"/>
        </w:rPr>
        <w:t>Appendix 1.5</w:t>
      </w:r>
    </w:p>
    <w:p w14:paraId="0382F828" w14:textId="32261BDC" w:rsidR="00E866EF" w:rsidRPr="00801051" w:rsidRDefault="00E866EF" w:rsidP="00E866EF">
      <w:pPr>
        <w:spacing w:after="120" w:line="300" w:lineRule="auto"/>
        <w:rPr>
          <w:rFonts w:cs="Arial"/>
        </w:rPr>
      </w:pPr>
      <w:r w:rsidRPr="00801051">
        <w:rPr>
          <w:rFonts w:cs="Arial"/>
        </w:rPr>
        <w:t>Trust disclosure checklist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93"/>
      </w:tblGrid>
      <w:tr w:rsidR="00E866EF" w:rsidRPr="00B96265" w14:paraId="4AEC4EB1" w14:textId="77777777" w:rsidTr="00D23FBB">
        <w:trPr>
          <w:trHeight w:val="270"/>
          <w:tblHeader/>
        </w:trPr>
        <w:tc>
          <w:tcPr>
            <w:tcW w:w="6941" w:type="dxa"/>
            <w:shd w:val="clear" w:color="auto" w:fill="00234B"/>
            <w:noWrap/>
            <w:vAlign w:val="center"/>
            <w:hideMark/>
          </w:tcPr>
          <w:p w14:paraId="5276C19D" w14:textId="77777777" w:rsidR="00E866EF" w:rsidRPr="000C02C3" w:rsidRDefault="00E866EF" w:rsidP="00D23FBB">
            <w:pPr>
              <w:spacing w:after="120" w:line="300" w:lineRule="auto"/>
              <w:rPr>
                <w:rFonts w:cs="Arial"/>
                <w:b/>
                <w:bCs/>
                <w:color w:val="FFFFFF" w:themeColor="background1"/>
                <w:szCs w:val="20"/>
                <w:lang w:eastAsia="en-NZ"/>
              </w:rPr>
            </w:pPr>
            <w:r w:rsidRPr="000C02C3">
              <w:rPr>
                <w:rFonts w:cs="Arial"/>
                <w:b/>
                <w:bCs/>
                <w:color w:val="FFFFFF" w:themeColor="background1"/>
                <w:szCs w:val="20"/>
                <w:lang w:eastAsia="en-NZ"/>
              </w:rPr>
              <w:t>Disclosure required</w:t>
            </w:r>
          </w:p>
        </w:tc>
        <w:tc>
          <w:tcPr>
            <w:tcW w:w="2693" w:type="dxa"/>
            <w:shd w:val="clear" w:color="auto" w:fill="00234B"/>
            <w:vAlign w:val="center"/>
            <w:hideMark/>
          </w:tcPr>
          <w:p w14:paraId="30EE8EE2" w14:textId="5A4AAD42" w:rsidR="00E866EF" w:rsidRPr="000C02C3" w:rsidRDefault="00E866EF" w:rsidP="00D23FBB">
            <w:pPr>
              <w:spacing w:after="120" w:line="300" w:lineRule="auto"/>
              <w:rPr>
                <w:rFonts w:cs="Arial"/>
                <w:b/>
                <w:bCs/>
                <w:color w:val="FFFFFF" w:themeColor="background1"/>
                <w:szCs w:val="20"/>
                <w:lang w:eastAsia="en-NZ"/>
              </w:rPr>
            </w:pPr>
            <w:r w:rsidRPr="000C02C3">
              <w:rPr>
                <w:rFonts w:cs="Arial"/>
                <w:b/>
                <w:bCs/>
                <w:color w:val="FFFFFF" w:themeColor="background1"/>
                <w:szCs w:val="20"/>
                <w:lang w:eastAsia="en-NZ"/>
              </w:rPr>
              <w:t xml:space="preserve">(Completed, </w:t>
            </w:r>
            <w:r w:rsidR="00D23FBB">
              <w:rPr>
                <w:rFonts w:cs="Arial"/>
                <w:b/>
                <w:bCs/>
                <w:color w:val="FFFFFF" w:themeColor="background1"/>
                <w:szCs w:val="20"/>
                <w:lang w:eastAsia="en-NZ"/>
              </w:rPr>
              <w:t>n</w:t>
            </w:r>
            <w:bookmarkStart w:id="0" w:name="_GoBack"/>
            <w:bookmarkEnd w:id="0"/>
            <w:r w:rsidRPr="000C02C3">
              <w:rPr>
                <w:rFonts w:cs="Arial"/>
                <w:b/>
                <w:bCs/>
                <w:color w:val="FFFFFF" w:themeColor="background1"/>
                <w:szCs w:val="20"/>
                <w:lang w:eastAsia="en-NZ"/>
              </w:rPr>
              <w:t>ot complete or not applicable)</w:t>
            </w:r>
          </w:p>
        </w:tc>
      </w:tr>
      <w:tr w:rsidR="00E866EF" w:rsidRPr="00BD7B7B" w14:paraId="144D2B56" w14:textId="77777777" w:rsidTr="000C02C3">
        <w:trPr>
          <w:trHeight w:val="255"/>
        </w:trPr>
        <w:tc>
          <w:tcPr>
            <w:tcW w:w="6941" w:type="dxa"/>
            <w:shd w:val="clear" w:color="auto" w:fill="auto"/>
            <w:noWrap/>
            <w:vAlign w:val="bottom"/>
            <w:hideMark/>
          </w:tcPr>
          <w:p w14:paraId="6693A6ED" w14:textId="77777777" w:rsidR="00E866EF" w:rsidRPr="00BD7B7B" w:rsidRDefault="00E866EF" w:rsidP="00D23FBB">
            <w:pPr>
              <w:spacing w:after="120" w:line="300" w:lineRule="auto"/>
              <w:rPr>
                <w:rFonts w:cs="Arial"/>
                <w:color w:val="000000"/>
                <w:szCs w:val="20"/>
                <w:lang w:eastAsia="en-NZ"/>
              </w:rPr>
            </w:pPr>
            <w:r w:rsidRPr="00BD7B7B">
              <w:rPr>
                <w:rFonts w:cs="Arial"/>
                <w:color w:val="000000"/>
                <w:szCs w:val="20"/>
                <w:lang w:eastAsia="en-NZ"/>
              </w:rPr>
              <w:t>Profit and loss statement</w:t>
            </w:r>
          </w:p>
        </w:tc>
        <w:tc>
          <w:tcPr>
            <w:tcW w:w="2693" w:type="dxa"/>
            <w:shd w:val="clear" w:color="auto" w:fill="auto"/>
            <w:noWrap/>
            <w:vAlign w:val="bottom"/>
            <w:hideMark/>
          </w:tcPr>
          <w:p w14:paraId="4977CF01" w14:textId="3029F5CB" w:rsidR="00E866EF" w:rsidRPr="00BD7B7B" w:rsidRDefault="00E866EF" w:rsidP="00D23FBB">
            <w:pPr>
              <w:spacing w:after="120" w:line="300" w:lineRule="auto"/>
              <w:rPr>
                <w:rFonts w:cs="Arial"/>
                <w:color w:val="000000"/>
                <w:szCs w:val="20"/>
                <w:lang w:eastAsia="en-NZ"/>
              </w:rPr>
            </w:pPr>
          </w:p>
        </w:tc>
      </w:tr>
      <w:tr w:rsidR="00E866EF" w:rsidRPr="00BD7B7B" w14:paraId="553EF653" w14:textId="77777777" w:rsidTr="000C02C3">
        <w:trPr>
          <w:trHeight w:val="255"/>
        </w:trPr>
        <w:tc>
          <w:tcPr>
            <w:tcW w:w="6941" w:type="dxa"/>
            <w:shd w:val="clear" w:color="auto" w:fill="auto"/>
            <w:noWrap/>
            <w:vAlign w:val="bottom"/>
            <w:hideMark/>
          </w:tcPr>
          <w:p w14:paraId="6F845124" w14:textId="77777777" w:rsidR="00E866EF" w:rsidRPr="00BD7B7B" w:rsidRDefault="00E866EF" w:rsidP="00D23FBB">
            <w:pPr>
              <w:spacing w:after="120" w:line="300" w:lineRule="auto"/>
              <w:rPr>
                <w:rFonts w:cs="Arial"/>
                <w:color w:val="000000"/>
                <w:szCs w:val="20"/>
                <w:lang w:eastAsia="en-NZ"/>
              </w:rPr>
            </w:pPr>
            <w:r w:rsidRPr="00BD7B7B">
              <w:rPr>
                <w:rFonts w:cs="Arial"/>
                <w:color w:val="000000"/>
                <w:szCs w:val="20"/>
                <w:lang w:eastAsia="en-NZ"/>
              </w:rPr>
              <w:t>Balance sheet items</w:t>
            </w:r>
          </w:p>
        </w:tc>
        <w:tc>
          <w:tcPr>
            <w:tcW w:w="2693" w:type="dxa"/>
            <w:shd w:val="clear" w:color="auto" w:fill="auto"/>
            <w:noWrap/>
            <w:vAlign w:val="bottom"/>
            <w:hideMark/>
          </w:tcPr>
          <w:p w14:paraId="4229B62F" w14:textId="54C74CBA" w:rsidR="00E866EF" w:rsidRPr="00BD7B7B" w:rsidRDefault="00E866EF" w:rsidP="00D23FBB">
            <w:pPr>
              <w:spacing w:after="120" w:line="300" w:lineRule="auto"/>
              <w:rPr>
                <w:rFonts w:cs="Arial"/>
                <w:color w:val="000000"/>
                <w:szCs w:val="20"/>
                <w:lang w:eastAsia="en-NZ"/>
              </w:rPr>
            </w:pPr>
          </w:p>
        </w:tc>
      </w:tr>
      <w:tr w:rsidR="00E866EF" w:rsidRPr="00BD7B7B" w14:paraId="6F78782E" w14:textId="77777777" w:rsidTr="000C02C3">
        <w:trPr>
          <w:trHeight w:val="510"/>
        </w:trPr>
        <w:tc>
          <w:tcPr>
            <w:tcW w:w="6941" w:type="dxa"/>
            <w:shd w:val="clear" w:color="auto" w:fill="auto"/>
            <w:vAlign w:val="bottom"/>
            <w:hideMark/>
          </w:tcPr>
          <w:p w14:paraId="6B7CB267" w14:textId="77777777" w:rsidR="00E866EF" w:rsidRPr="00BD7B7B" w:rsidRDefault="00E866EF" w:rsidP="00D23FBB">
            <w:pPr>
              <w:spacing w:after="120" w:line="300" w:lineRule="auto"/>
              <w:rPr>
                <w:rFonts w:cs="Arial"/>
                <w:color w:val="000000"/>
                <w:szCs w:val="20"/>
                <w:lang w:eastAsia="en-NZ"/>
              </w:rPr>
            </w:pPr>
            <w:r w:rsidRPr="00BD7B7B">
              <w:rPr>
                <w:rFonts w:cs="Arial"/>
                <w:color w:val="000000"/>
                <w:szCs w:val="20"/>
                <w:lang w:eastAsia="en-NZ"/>
              </w:rPr>
              <w:t>Other information specified by the Commissioner of Inland Revenue</w:t>
            </w:r>
          </w:p>
        </w:tc>
        <w:tc>
          <w:tcPr>
            <w:tcW w:w="2693" w:type="dxa"/>
            <w:shd w:val="clear" w:color="auto" w:fill="auto"/>
            <w:noWrap/>
            <w:vAlign w:val="bottom"/>
            <w:hideMark/>
          </w:tcPr>
          <w:p w14:paraId="29D51AF8" w14:textId="7CD76F8E" w:rsidR="00E866EF" w:rsidRPr="00BD7B7B" w:rsidRDefault="00E866EF" w:rsidP="00D23FBB">
            <w:pPr>
              <w:spacing w:after="120" w:line="300" w:lineRule="auto"/>
              <w:rPr>
                <w:rFonts w:cs="Arial"/>
                <w:color w:val="000000"/>
                <w:szCs w:val="20"/>
                <w:lang w:eastAsia="en-NZ"/>
              </w:rPr>
            </w:pPr>
          </w:p>
        </w:tc>
      </w:tr>
      <w:tr w:rsidR="00E866EF" w:rsidRPr="00BD7B7B" w14:paraId="6A98A76C" w14:textId="77777777" w:rsidTr="000C02C3">
        <w:trPr>
          <w:trHeight w:val="510"/>
        </w:trPr>
        <w:tc>
          <w:tcPr>
            <w:tcW w:w="6941" w:type="dxa"/>
            <w:shd w:val="clear" w:color="auto" w:fill="auto"/>
            <w:vAlign w:val="bottom"/>
            <w:hideMark/>
          </w:tcPr>
          <w:p w14:paraId="7BA75F9D" w14:textId="77777777" w:rsidR="00E866EF" w:rsidRPr="00BD7B7B" w:rsidRDefault="00E866EF" w:rsidP="00D23FBB">
            <w:pPr>
              <w:spacing w:after="120" w:line="300" w:lineRule="auto"/>
              <w:rPr>
                <w:rFonts w:cs="Arial"/>
                <w:color w:val="000000"/>
                <w:szCs w:val="20"/>
                <w:lang w:eastAsia="en-NZ"/>
              </w:rPr>
            </w:pPr>
            <w:r w:rsidRPr="00BD7B7B">
              <w:rPr>
                <w:rFonts w:cs="Arial"/>
                <w:color w:val="000000"/>
                <w:szCs w:val="20"/>
                <w:lang w:eastAsia="en-NZ"/>
              </w:rPr>
              <w:t>Distributions (both taxable and non-taxable and monetary or non-monetary)</w:t>
            </w:r>
          </w:p>
        </w:tc>
        <w:tc>
          <w:tcPr>
            <w:tcW w:w="2693" w:type="dxa"/>
            <w:shd w:val="clear" w:color="auto" w:fill="auto"/>
            <w:noWrap/>
            <w:vAlign w:val="bottom"/>
            <w:hideMark/>
          </w:tcPr>
          <w:p w14:paraId="5F0C013F" w14:textId="6FDFA1AE" w:rsidR="00E866EF" w:rsidRPr="00BD7B7B" w:rsidRDefault="00E866EF" w:rsidP="00D23FBB">
            <w:pPr>
              <w:spacing w:after="120" w:line="300" w:lineRule="auto"/>
              <w:rPr>
                <w:rFonts w:cs="Arial"/>
                <w:color w:val="000000"/>
                <w:szCs w:val="20"/>
                <w:lang w:eastAsia="en-NZ"/>
              </w:rPr>
            </w:pPr>
          </w:p>
        </w:tc>
      </w:tr>
      <w:tr w:rsidR="00E866EF" w:rsidRPr="00BD7B7B" w14:paraId="174E9180" w14:textId="77777777" w:rsidTr="000C02C3">
        <w:trPr>
          <w:trHeight w:val="255"/>
        </w:trPr>
        <w:tc>
          <w:tcPr>
            <w:tcW w:w="6941" w:type="dxa"/>
            <w:shd w:val="clear" w:color="auto" w:fill="auto"/>
            <w:noWrap/>
            <w:vAlign w:val="bottom"/>
            <w:hideMark/>
          </w:tcPr>
          <w:p w14:paraId="7D5BDCC2" w14:textId="77777777" w:rsidR="00E866EF" w:rsidRPr="00BD7B7B" w:rsidRDefault="00E866EF" w:rsidP="00D23FBB">
            <w:pPr>
              <w:spacing w:after="120" w:line="300" w:lineRule="auto"/>
              <w:rPr>
                <w:rFonts w:cs="Arial"/>
                <w:color w:val="000000"/>
                <w:szCs w:val="20"/>
                <w:lang w:eastAsia="en-NZ"/>
              </w:rPr>
            </w:pPr>
            <w:r w:rsidRPr="00BD7B7B">
              <w:rPr>
                <w:rFonts w:cs="Arial"/>
                <w:color w:val="000000"/>
                <w:szCs w:val="20"/>
                <w:lang w:eastAsia="en-NZ"/>
              </w:rPr>
              <w:t>The source of distributions</w:t>
            </w:r>
          </w:p>
        </w:tc>
        <w:tc>
          <w:tcPr>
            <w:tcW w:w="2693" w:type="dxa"/>
            <w:shd w:val="clear" w:color="auto" w:fill="auto"/>
            <w:noWrap/>
            <w:vAlign w:val="bottom"/>
            <w:hideMark/>
          </w:tcPr>
          <w:p w14:paraId="4830E85A" w14:textId="714A7D3B" w:rsidR="00E866EF" w:rsidRPr="00BD7B7B" w:rsidRDefault="00E866EF" w:rsidP="00D23FBB">
            <w:pPr>
              <w:spacing w:after="120" w:line="300" w:lineRule="auto"/>
              <w:rPr>
                <w:rFonts w:cs="Arial"/>
                <w:color w:val="000000"/>
                <w:szCs w:val="20"/>
                <w:lang w:eastAsia="en-NZ"/>
              </w:rPr>
            </w:pPr>
          </w:p>
        </w:tc>
      </w:tr>
      <w:tr w:rsidR="00986485" w:rsidRPr="00BD7B7B" w14:paraId="0F9DD8FF" w14:textId="77777777" w:rsidTr="00640899">
        <w:trPr>
          <w:trHeight w:val="255"/>
        </w:trPr>
        <w:tc>
          <w:tcPr>
            <w:tcW w:w="9634" w:type="dxa"/>
            <w:gridSpan w:val="2"/>
            <w:shd w:val="clear" w:color="auto" w:fill="auto"/>
            <w:noWrap/>
            <w:vAlign w:val="bottom"/>
            <w:hideMark/>
          </w:tcPr>
          <w:p w14:paraId="2EF53277" w14:textId="3464FE45" w:rsidR="00986485" w:rsidRPr="00986485" w:rsidRDefault="00986485" w:rsidP="00D23FBB">
            <w:pPr>
              <w:spacing w:after="120" w:line="300" w:lineRule="auto"/>
              <w:rPr>
                <w:rFonts w:cs="Arial"/>
                <w:b/>
                <w:bCs/>
                <w:color w:val="000000"/>
                <w:szCs w:val="20"/>
                <w:lang w:eastAsia="en-NZ"/>
              </w:rPr>
            </w:pPr>
            <w:r w:rsidRPr="005A7E58">
              <w:rPr>
                <w:rFonts w:cs="Arial"/>
                <w:b/>
                <w:bCs/>
                <w:color w:val="00234B"/>
                <w:szCs w:val="20"/>
                <w:lang w:eastAsia="en-NZ"/>
              </w:rPr>
              <w:t>Details of all settlements including:</w:t>
            </w:r>
          </w:p>
        </w:tc>
      </w:tr>
      <w:tr w:rsidR="00E866EF" w:rsidRPr="00BD7B7B" w14:paraId="346238C0" w14:textId="77777777" w:rsidTr="000C02C3">
        <w:trPr>
          <w:trHeight w:val="255"/>
        </w:trPr>
        <w:tc>
          <w:tcPr>
            <w:tcW w:w="6941" w:type="dxa"/>
            <w:shd w:val="clear" w:color="auto" w:fill="auto"/>
            <w:noWrap/>
            <w:vAlign w:val="bottom"/>
            <w:hideMark/>
          </w:tcPr>
          <w:p w14:paraId="359A7957" w14:textId="77777777" w:rsidR="00E866EF" w:rsidRPr="00BD7B7B" w:rsidRDefault="00E866EF" w:rsidP="00D23FBB">
            <w:pPr>
              <w:spacing w:after="120" w:line="300" w:lineRule="auto"/>
              <w:rPr>
                <w:rFonts w:cs="Arial"/>
                <w:color w:val="000000"/>
                <w:szCs w:val="20"/>
                <w:lang w:eastAsia="en-NZ"/>
              </w:rPr>
            </w:pPr>
            <w:r w:rsidRPr="00BD7B7B">
              <w:rPr>
                <w:rFonts w:cs="Arial"/>
                <w:color w:val="000000"/>
                <w:szCs w:val="20"/>
                <w:lang w:eastAsia="en-NZ"/>
              </w:rPr>
              <w:t>i) all transfer of value</w:t>
            </w:r>
          </w:p>
        </w:tc>
        <w:tc>
          <w:tcPr>
            <w:tcW w:w="2693" w:type="dxa"/>
            <w:shd w:val="clear" w:color="auto" w:fill="auto"/>
            <w:noWrap/>
            <w:vAlign w:val="bottom"/>
            <w:hideMark/>
          </w:tcPr>
          <w:p w14:paraId="022DDC1F" w14:textId="51B3255C" w:rsidR="00E866EF" w:rsidRPr="00BD7B7B" w:rsidRDefault="00E866EF" w:rsidP="00D23FBB">
            <w:pPr>
              <w:spacing w:after="120" w:line="300" w:lineRule="auto"/>
              <w:rPr>
                <w:rFonts w:cs="Arial"/>
                <w:color w:val="000000"/>
                <w:szCs w:val="20"/>
                <w:lang w:eastAsia="en-NZ"/>
              </w:rPr>
            </w:pPr>
          </w:p>
        </w:tc>
      </w:tr>
      <w:tr w:rsidR="00E866EF" w:rsidRPr="00BD7B7B" w14:paraId="19539326" w14:textId="77777777" w:rsidTr="000C02C3">
        <w:trPr>
          <w:trHeight w:val="510"/>
        </w:trPr>
        <w:tc>
          <w:tcPr>
            <w:tcW w:w="6941" w:type="dxa"/>
            <w:shd w:val="clear" w:color="auto" w:fill="auto"/>
            <w:vAlign w:val="bottom"/>
            <w:hideMark/>
          </w:tcPr>
          <w:p w14:paraId="3727ED07" w14:textId="77777777" w:rsidR="00E866EF" w:rsidRPr="00BD7B7B" w:rsidRDefault="00E866EF" w:rsidP="00D23FBB">
            <w:pPr>
              <w:spacing w:after="120" w:line="300" w:lineRule="auto"/>
              <w:rPr>
                <w:rFonts w:cs="Arial"/>
                <w:color w:val="000000"/>
                <w:szCs w:val="20"/>
                <w:lang w:eastAsia="en-NZ"/>
              </w:rPr>
            </w:pPr>
            <w:r w:rsidRPr="00BD7B7B">
              <w:rPr>
                <w:rFonts w:cs="Arial"/>
                <w:color w:val="000000"/>
                <w:szCs w:val="20"/>
                <w:lang w:eastAsia="en-NZ"/>
              </w:rPr>
              <w:t>ii) all entities and individuals involved in making the settlement</w:t>
            </w:r>
          </w:p>
        </w:tc>
        <w:tc>
          <w:tcPr>
            <w:tcW w:w="2693" w:type="dxa"/>
            <w:shd w:val="clear" w:color="auto" w:fill="auto"/>
            <w:noWrap/>
            <w:vAlign w:val="bottom"/>
            <w:hideMark/>
          </w:tcPr>
          <w:p w14:paraId="11BCF6C5" w14:textId="60AD2E09" w:rsidR="00E866EF" w:rsidRPr="00BD7B7B" w:rsidRDefault="00E866EF" w:rsidP="00D23FBB">
            <w:pPr>
              <w:spacing w:after="120" w:line="300" w:lineRule="auto"/>
              <w:rPr>
                <w:rFonts w:cs="Arial"/>
                <w:color w:val="000000"/>
                <w:szCs w:val="20"/>
                <w:lang w:eastAsia="en-NZ"/>
              </w:rPr>
            </w:pPr>
          </w:p>
        </w:tc>
      </w:tr>
      <w:tr w:rsidR="00E866EF" w:rsidRPr="00BD7B7B" w14:paraId="79607C45" w14:textId="77777777" w:rsidTr="000C02C3">
        <w:trPr>
          <w:trHeight w:val="510"/>
        </w:trPr>
        <w:tc>
          <w:tcPr>
            <w:tcW w:w="6941" w:type="dxa"/>
            <w:shd w:val="clear" w:color="auto" w:fill="auto"/>
            <w:vAlign w:val="bottom"/>
            <w:hideMark/>
          </w:tcPr>
          <w:p w14:paraId="3640D965" w14:textId="6ECBF385" w:rsidR="00E866EF" w:rsidRPr="00BD7B7B" w:rsidRDefault="00E866EF" w:rsidP="00D23FBB">
            <w:pPr>
              <w:spacing w:after="120" w:line="300" w:lineRule="auto"/>
              <w:rPr>
                <w:rFonts w:cs="Arial"/>
                <w:color w:val="000000"/>
                <w:szCs w:val="20"/>
                <w:lang w:eastAsia="en-NZ"/>
              </w:rPr>
            </w:pPr>
            <w:r w:rsidRPr="00BD7B7B">
              <w:rPr>
                <w:rFonts w:cs="Arial"/>
                <w:color w:val="000000"/>
                <w:szCs w:val="20"/>
                <w:lang w:eastAsia="en-NZ"/>
              </w:rPr>
              <w:t>iii) The names, date of birth and IRD numbers for settlors, beneficiaries</w:t>
            </w:r>
          </w:p>
        </w:tc>
        <w:tc>
          <w:tcPr>
            <w:tcW w:w="2693" w:type="dxa"/>
            <w:shd w:val="clear" w:color="auto" w:fill="auto"/>
            <w:noWrap/>
            <w:vAlign w:val="bottom"/>
            <w:hideMark/>
          </w:tcPr>
          <w:p w14:paraId="70E0C132" w14:textId="214A36DF" w:rsidR="00E866EF" w:rsidRPr="00BD7B7B" w:rsidRDefault="00E866EF" w:rsidP="00D23FBB">
            <w:pPr>
              <w:spacing w:after="120" w:line="300" w:lineRule="auto"/>
              <w:rPr>
                <w:rFonts w:cs="Arial"/>
                <w:color w:val="000000"/>
                <w:szCs w:val="20"/>
                <w:lang w:eastAsia="en-NZ"/>
              </w:rPr>
            </w:pPr>
          </w:p>
        </w:tc>
      </w:tr>
      <w:tr w:rsidR="00E866EF" w:rsidRPr="00BD7B7B" w14:paraId="4C389029" w14:textId="77777777" w:rsidTr="000C02C3">
        <w:trPr>
          <w:trHeight w:val="510"/>
        </w:trPr>
        <w:tc>
          <w:tcPr>
            <w:tcW w:w="6941" w:type="dxa"/>
            <w:shd w:val="clear" w:color="auto" w:fill="auto"/>
            <w:vAlign w:val="bottom"/>
            <w:hideMark/>
          </w:tcPr>
          <w:p w14:paraId="058C4C7F" w14:textId="77777777" w:rsidR="00E866EF" w:rsidRPr="00BD7B7B" w:rsidRDefault="00E866EF" w:rsidP="00D23FBB">
            <w:pPr>
              <w:spacing w:after="120" w:line="300" w:lineRule="auto"/>
              <w:rPr>
                <w:rFonts w:cs="Arial"/>
                <w:color w:val="000000"/>
                <w:szCs w:val="20"/>
                <w:lang w:eastAsia="en-NZ"/>
              </w:rPr>
            </w:pPr>
            <w:r w:rsidRPr="00BD7B7B">
              <w:rPr>
                <w:rFonts w:cs="Arial"/>
                <w:color w:val="000000"/>
                <w:szCs w:val="20"/>
                <w:lang w:eastAsia="en-NZ"/>
              </w:rPr>
              <w:t>Trustees will need to provide details of settlors from prior years, if not done already.</w:t>
            </w:r>
          </w:p>
        </w:tc>
        <w:tc>
          <w:tcPr>
            <w:tcW w:w="2693" w:type="dxa"/>
            <w:shd w:val="clear" w:color="auto" w:fill="auto"/>
            <w:noWrap/>
            <w:vAlign w:val="bottom"/>
            <w:hideMark/>
          </w:tcPr>
          <w:p w14:paraId="725F4720" w14:textId="3727BEBC" w:rsidR="00E866EF" w:rsidRPr="00BD7B7B" w:rsidRDefault="00E866EF" w:rsidP="00D23FBB">
            <w:pPr>
              <w:spacing w:after="120" w:line="300" w:lineRule="auto"/>
              <w:rPr>
                <w:rFonts w:cs="Arial"/>
                <w:color w:val="000000"/>
                <w:szCs w:val="20"/>
                <w:lang w:eastAsia="en-NZ"/>
              </w:rPr>
            </w:pPr>
          </w:p>
        </w:tc>
      </w:tr>
      <w:tr w:rsidR="00986485" w:rsidRPr="00BD7B7B" w14:paraId="00DEBF7B" w14:textId="77777777" w:rsidTr="000147C6">
        <w:trPr>
          <w:trHeight w:val="255"/>
        </w:trPr>
        <w:tc>
          <w:tcPr>
            <w:tcW w:w="9634" w:type="dxa"/>
            <w:gridSpan w:val="2"/>
            <w:shd w:val="clear" w:color="auto" w:fill="auto"/>
            <w:vAlign w:val="bottom"/>
            <w:hideMark/>
          </w:tcPr>
          <w:p w14:paraId="4B546CCD" w14:textId="53D0292A" w:rsidR="00986485" w:rsidRPr="005A7E58" w:rsidRDefault="00986485" w:rsidP="00D23FBB">
            <w:pPr>
              <w:spacing w:after="120" w:line="300" w:lineRule="auto"/>
              <w:rPr>
                <w:rFonts w:cs="Arial"/>
                <w:b/>
                <w:bCs/>
                <w:color w:val="00234B"/>
                <w:szCs w:val="20"/>
                <w:lang w:eastAsia="en-NZ"/>
              </w:rPr>
            </w:pPr>
            <w:r w:rsidRPr="005A7E58">
              <w:rPr>
                <w:rFonts w:cs="Arial"/>
                <w:b/>
                <w:bCs/>
                <w:color w:val="00234B"/>
                <w:szCs w:val="20"/>
                <w:lang w:eastAsia="en-NZ"/>
              </w:rPr>
              <w:t>Information on:</w:t>
            </w:r>
          </w:p>
        </w:tc>
      </w:tr>
      <w:tr w:rsidR="00E866EF" w:rsidRPr="00BD7B7B" w14:paraId="2A9FC6A1" w14:textId="77777777" w:rsidTr="000C02C3">
        <w:trPr>
          <w:trHeight w:val="255"/>
        </w:trPr>
        <w:tc>
          <w:tcPr>
            <w:tcW w:w="6941" w:type="dxa"/>
            <w:shd w:val="clear" w:color="auto" w:fill="auto"/>
            <w:vAlign w:val="bottom"/>
            <w:hideMark/>
          </w:tcPr>
          <w:p w14:paraId="7C647E56" w14:textId="77777777" w:rsidR="00E866EF" w:rsidRPr="00BD7B7B" w:rsidRDefault="00E866EF" w:rsidP="00D23FBB">
            <w:pPr>
              <w:spacing w:after="120" w:line="300" w:lineRule="auto"/>
              <w:rPr>
                <w:rFonts w:cs="Arial"/>
                <w:color w:val="000000"/>
                <w:szCs w:val="20"/>
                <w:lang w:eastAsia="en-NZ"/>
              </w:rPr>
            </w:pPr>
            <w:r w:rsidRPr="00BD7B7B">
              <w:rPr>
                <w:rFonts w:cs="Arial"/>
                <w:color w:val="000000"/>
                <w:szCs w:val="20"/>
                <w:lang w:eastAsia="en-NZ"/>
              </w:rPr>
              <w:t>i) appoint or dismiss a trustee</w:t>
            </w:r>
          </w:p>
        </w:tc>
        <w:tc>
          <w:tcPr>
            <w:tcW w:w="2693" w:type="dxa"/>
            <w:shd w:val="clear" w:color="auto" w:fill="auto"/>
            <w:noWrap/>
            <w:vAlign w:val="bottom"/>
            <w:hideMark/>
          </w:tcPr>
          <w:p w14:paraId="364FB356" w14:textId="0ACD1535" w:rsidR="00E866EF" w:rsidRPr="00BD7B7B" w:rsidRDefault="00E866EF" w:rsidP="00D23FBB">
            <w:pPr>
              <w:spacing w:after="120" w:line="300" w:lineRule="auto"/>
              <w:rPr>
                <w:rFonts w:cs="Arial"/>
                <w:color w:val="000000"/>
                <w:szCs w:val="20"/>
                <w:lang w:eastAsia="en-NZ"/>
              </w:rPr>
            </w:pPr>
          </w:p>
        </w:tc>
      </w:tr>
      <w:tr w:rsidR="00E866EF" w:rsidRPr="00BD7B7B" w14:paraId="05EE1EE9" w14:textId="77777777" w:rsidTr="000C02C3">
        <w:trPr>
          <w:trHeight w:val="255"/>
        </w:trPr>
        <w:tc>
          <w:tcPr>
            <w:tcW w:w="6941" w:type="dxa"/>
            <w:shd w:val="clear" w:color="auto" w:fill="auto"/>
            <w:vAlign w:val="bottom"/>
            <w:hideMark/>
          </w:tcPr>
          <w:p w14:paraId="4E93E6E7" w14:textId="77777777" w:rsidR="00E866EF" w:rsidRPr="00BD7B7B" w:rsidRDefault="00E866EF" w:rsidP="00D23FBB">
            <w:pPr>
              <w:spacing w:after="120" w:line="300" w:lineRule="auto"/>
              <w:rPr>
                <w:rFonts w:cs="Arial"/>
                <w:color w:val="000000"/>
                <w:szCs w:val="20"/>
                <w:lang w:eastAsia="en-NZ"/>
              </w:rPr>
            </w:pPr>
            <w:r w:rsidRPr="00BD7B7B">
              <w:rPr>
                <w:rFonts w:cs="Arial"/>
                <w:color w:val="000000"/>
                <w:szCs w:val="20"/>
                <w:lang w:eastAsia="en-NZ"/>
              </w:rPr>
              <w:t>ii) add or remove a beneficiary</w:t>
            </w:r>
          </w:p>
        </w:tc>
        <w:tc>
          <w:tcPr>
            <w:tcW w:w="2693" w:type="dxa"/>
            <w:shd w:val="clear" w:color="auto" w:fill="auto"/>
            <w:noWrap/>
            <w:vAlign w:val="bottom"/>
            <w:hideMark/>
          </w:tcPr>
          <w:p w14:paraId="1B0E12A6" w14:textId="78B33CBC" w:rsidR="00E866EF" w:rsidRPr="00BD7B7B" w:rsidRDefault="00E866EF" w:rsidP="00D23FBB">
            <w:pPr>
              <w:spacing w:after="120" w:line="300" w:lineRule="auto"/>
              <w:rPr>
                <w:rFonts w:cs="Arial"/>
                <w:color w:val="000000"/>
                <w:szCs w:val="20"/>
                <w:lang w:eastAsia="en-NZ"/>
              </w:rPr>
            </w:pPr>
          </w:p>
        </w:tc>
      </w:tr>
      <w:tr w:rsidR="00E866EF" w:rsidRPr="00BD7B7B" w14:paraId="1868C38D" w14:textId="77777777" w:rsidTr="000C02C3">
        <w:trPr>
          <w:trHeight w:val="255"/>
        </w:trPr>
        <w:tc>
          <w:tcPr>
            <w:tcW w:w="6941" w:type="dxa"/>
            <w:shd w:val="clear" w:color="auto" w:fill="auto"/>
            <w:vAlign w:val="bottom"/>
            <w:hideMark/>
          </w:tcPr>
          <w:p w14:paraId="1B247164"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lastRenderedPageBreak/>
              <w:t>iii) ability to amend the trust deed</w:t>
            </w:r>
          </w:p>
        </w:tc>
        <w:tc>
          <w:tcPr>
            <w:tcW w:w="2693" w:type="dxa"/>
            <w:shd w:val="clear" w:color="auto" w:fill="auto"/>
            <w:noWrap/>
            <w:vAlign w:val="bottom"/>
            <w:hideMark/>
          </w:tcPr>
          <w:p w14:paraId="601ECB43"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4765B318" w14:textId="77777777" w:rsidTr="000C02C3">
        <w:trPr>
          <w:trHeight w:val="525"/>
        </w:trPr>
        <w:tc>
          <w:tcPr>
            <w:tcW w:w="6941" w:type="dxa"/>
            <w:shd w:val="clear" w:color="auto" w:fill="auto"/>
            <w:vAlign w:val="bottom"/>
            <w:hideMark/>
          </w:tcPr>
          <w:p w14:paraId="0622B585"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Any other information that has been requested by the Commissioner of Inland Revenue (requests can go as far back as the 2013 – 2014 income year).</w:t>
            </w:r>
          </w:p>
        </w:tc>
        <w:tc>
          <w:tcPr>
            <w:tcW w:w="2693" w:type="dxa"/>
            <w:shd w:val="clear" w:color="auto" w:fill="auto"/>
            <w:noWrap/>
            <w:vAlign w:val="bottom"/>
            <w:hideMark/>
          </w:tcPr>
          <w:p w14:paraId="7C9A52C1"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bl>
    <w:p w14:paraId="239478A9" w14:textId="77777777" w:rsidR="00E866EF" w:rsidRPr="00BD7B7B" w:rsidRDefault="00E866EF" w:rsidP="00E866EF">
      <w:pPr>
        <w:spacing w:after="120" w:line="300" w:lineRule="auto"/>
        <w:rPr>
          <w:rFonts w:cs="Arial"/>
        </w:rPr>
      </w:pPr>
    </w:p>
    <w:p w14:paraId="11E5B62D" w14:textId="77777777" w:rsidR="00E866EF" w:rsidRPr="00384E05" w:rsidRDefault="00E866EF" w:rsidP="00E866EF">
      <w:pPr>
        <w:spacing w:before="240" w:after="120" w:line="300" w:lineRule="auto"/>
        <w:rPr>
          <w:rFonts w:cs="Arial"/>
          <w:b/>
          <w:bCs/>
          <w:color w:val="00234B"/>
        </w:rPr>
      </w:pPr>
      <w:r w:rsidRPr="00384E05">
        <w:rPr>
          <w:rFonts w:cs="Arial"/>
          <w:b/>
          <w:bCs/>
          <w:color w:val="00234B"/>
        </w:rPr>
        <w:t>Appendix 1.6</w:t>
      </w:r>
    </w:p>
    <w:p w14:paraId="445490F6" w14:textId="638E8D2D" w:rsidR="00E866EF" w:rsidRPr="00801051" w:rsidRDefault="00E866EF" w:rsidP="00E866EF">
      <w:pPr>
        <w:spacing w:after="120" w:line="300" w:lineRule="auto"/>
        <w:rPr>
          <w:rFonts w:cs="Arial"/>
        </w:rPr>
      </w:pPr>
      <w:r w:rsidRPr="00801051">
        <w:rPr>
          <w:rFonts w:cs="Arial"/>
        </w:rPr>
        <w:t>Investment income disclosure checklist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547"/>
      </w:tblGrid>
      <w:tr w:rsidR="00E866EF" w:rsidRPr="00B96265" w14:paraId="1E691582" w14:textId="77777777" w:rsidTr="00D23FBB">
        <w:trPr>
          <w:trHeight w:val="525"/>
          <w:tblHeader/>
        </w:trPr>
        <w:tc>
          <w:tcPr>
            <w:tcW w:w="6941" w:type="dxa"/>
            <w:shd w:val="clear" w:color="auto" w:fill="00234B"/>
            <w:vAlign w:val="center"/>
            <w:hideMark/>
          </w:tcPr>
          <w:p w14:paraId="7B49FD03" w14:textId="77777777" w:rsidR="00E866EF" w:rsidRPr="000C02C3" w:rsidRDefault="00E866EF" w:rsidP="00D23FBB">
            <w:pPr>
              <w:spacing w:after="120" w:line="300" w:lineRule="auto"/>
              <w:rPr>
                <w:rFonts w:cs="Arial"/>
                <w:b/>
                <w:bCs/>
                <w:color w:val="FFFFFF" w:themeColor="background1"/>
                <w:szCs w:val="20"/>
                <w:lang w:eastAsia="en-NZ"/>
              </w:rPr>
            </w:pPr>
            <w:r w:rsidRPr="000C02C3">
              <w:rPr>
                <w:rFonts w:cs="Arial"/>
                <w:b/>
                <w:bCs/>
                <w:color w:val="FFFFFF" w:themeColor="background1"/>
                <w:szCs w:val="20"/>
                <w:lang w:eastAsia="en-NZ"/>
              </w:rPr>
              <w:t>Reporting of investment income information</w:t>
            </w:r>
          </w:p>
        </w:tc>
        <w:tc>
          <w:tcPr>
            <w:tcW w:w="2547" w:type="dxa"/>
            <w:shd w:val="clear" w:color="auto" w:fill="00234B"/>
            <w:vAlign w:val="center"/>
            <w:hideMark/>
          </w:tcPr>
          <w:p w14:paraId="607C5F83" w14:textId="5BDC46F6" w:rsidR="00E866EF" w:rsidRPr="000C02C3" w:rsidRDefault="00E866EF" w:rsidP="00D23FBB">
            <w:pPr>
              <w:spacing w:after="120" w:line="300" w:lineRule="auto"/>
              <w:rPr>
                <w:rFonts w:cs="Arial"/>
                <w:b/>
                <w:bCs/>
                <w:color w:val="FFFFFF" w:themeColor="background1"/>
                <w:szCs w:val="20"/>
                <w:lang w:eastAsia="en-NZ"/>
              </w:rPr>
            </w:pPr>
            <w:r w:rsidRPr="000C02C3">
              <w:rPr>
                <w:rFonts w:cs="Arial"/>
                <w:b/>
                <w:bCs/>
                <w:color w:val="FFFFFF" w:themeColor="background1"/>
                <w:szCs w:val="20"/>
                <w:lang w:eastAsia="en-NZ"/>
              </w:rPr>
              <w:t xml:space="preserve">(Completed, </w:t>
            </w:r>
            <w:r w:rsidR="00D23FBB">
              <w:rPr>
                <w:rFonts w:cs="Arial"/>
                <w:b/>
                <w:bCs/>
                <w:color w:val="FFFFFF" w:themeColor="background1"/>
                <w:szCs w:val="20"/>
                <w:lang w:eastAsia="en-NZ"/>
              </w:rPr>
              <w:t>n</w:t>
            </w:r>
            <w:r w:rsidRPr="000C02C3">
              <w:rPr>
                <w:rFonts w:cs="Arial"/>
                <w:b/>
                <w:bCs/>
                <w:color w:val="FFFFFF" w:themeColor="background1"/>
                <w:szCs w:val="20"/>
                <w:lang w:eastAsia="en-NZ"/>
              </w:rPr>
              <w:t>ot complete or not applicable)</w:t>
            </w:r>
          </w:p>
        </w:tc>
      </w:tr>
      <w:tr w:rsidR="00E866EF" w:rsidRPr="00BD7B7B" w14:paraId="497AA233" w14:textId="77777777" w:rsidTr="000C02C3">
        <w:trPr>
          <w:trHeight w:val="255"/>
        </w:trPr>
        <w:tc>
          <w:tcPr>
            <w:tcW w:w="6941" w:type="dxa"/>
            <w:shd w:val="clear" w:color="auto" w:fill="auto"/>
            <w:vAlign w:val="bottom"/>
            <w:hideMark/>
          </w:tcPr>
          <w:p w14:paraId="406AEBCD"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name of the payer</w:t>
            </w:r>
          </w:p>
        </w:tc>
        <w:tc>
          <w:tcPr>
            <w:tcW w:w="2547" w:type="dxa"/>
            <w:shd w:val="clear" w:color="auto" w:fill="auto"/>
            <w:noWrap/>
            <w:vAlign w:val="bottom"/>
            <w:hideMark/>
          </w:tcPr>
          <w:p w14:paraId="60E4ED90"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5EEA708F" w14:textId="77777777" w:rsidTr="000C02C3">
        <w:trPr>
          <w:trHeight w:val="255"/>
        </w:trPr>
        <w:tc>
          <w:tcPr>
            <w:tcW w:w="6941" w:type="dxa"/>
            <w:shd w:val="clear" w:color="auto" w:fill="auto"/>
            <w:vAlign w:val="bottom"/>
            <w:hideMark/>
          </w:tcPr>
          <w:p w14:paraId="00AD6628"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tax file number of the payer</w:t>
            </w:r>
          </w:p>
        </w:tc>
        <w:tc>
          <w:tcPr>
            <w:tcW w:w="2547" w:type="dxa"/>
            <w:shd w:val="clear" w:color="auto" w:fill="auto"/>
            <w:noWrap/>
            <w:vAlign w:val="bottom"/>
            <w:hideMark/>
          </w:tcPr>
          <w:p w14:paraId="1734C807"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6156F118" w14:textId="77777777" w:rsidTr="000C02C3">
        <w:trPr>
          <w:trHeight w:val="255"/>
        </w:trPr>
        <w:tc>
          <w:tcPr>
            <w:tcW w:w="6941" w:type="dxa"/>
            <w:shd w:val="clear" w:color="auto" w:fill="auto"/>
            <w:vAlign w:val="bottom"/>
            <w:hideMark/>
          </w:tcPr>
          <w:p w14:paraId="62ED163F"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contact address of the payer</w:t>
            </w:r>
          </w:p>
        </w:tc>
        <w:tc>
          <w:tcPr>
            <w:tcW w:w="2547" w:type="dxa"/>
            <w:shd w:val="clear" w:color="auto" w:fill="auto"/>
            <w:noWrap/>
            <w:vAlign w:val="bottom"/>
            <w:hideMark/>
          </w:tcPr>
          <w:p w14:paraId="3C7B4D72"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211284CC" w14:textId="77777777" w:rsidTr="000C02C3">
        <w:trPr>
          <w:trHeight w:val="255"/>
        </w:trPr>
        <w:tc>
          <w:tcPr>
            <w:tcW w:w="6941" w:type="dxa"/>
            <w:shd w:val="clear" w:color="auto" w:fill="auto"/>
            <w:vAlign w:val="bottom"/>
            <w:hideMark/>
          </w:tcPr>
          <w:p w14:paraId="5F6C0806"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name of the investor</w:t>
            </w:r>
          </w:p>
        </w:tc>
        <w:tc>
          <w:tcPr>
            <w:tcW w:w="2547" w:type="dxa"/>
            <w:shd w:val="clear" w:color="auto" w:fill="auto"/>
            <w:noWrap/>
            <w:vAlign w:val="bottom"/>
            <w:hideMark/>
          </w:tcPr>
          <w:p w14:paraId="4E7CB402"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7B5A18D1" w14:textId="77777777" w:rsidTr="000C02C3">
        <w:trPr>
          <w:trHeight w:val="255"/>
        </w:trPr>
        <w:tc>
          <w:tcPr>
            <w:tcW w:w="6941" w:type="dxa"/>
            <w:shd w:val="clear" w:color="auto" w:fill="auto"/>
            <w:vAlign w:val="bottom"/>
            <w:hideMark/>
          </w:tcPr>
          <w:p w14:paraId="5E7D584E"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tax file number of the investor, if held by the payer</w:t>
            </w:r>
          </w:p>
        </w:tc>
        <w:tc>
          <w:tcPr>
            <w:tcW w:w="2547" w:type="dxa"/>
            <w:shd w:val="clear" w:color="auto" w:fill="auto"/>
            <w:noWrap/>
            <w:vAlign w:val="bottom"/>
            <w:hideMark/>
          </w:tcPr>
          <w:p w14:paraId="09B18C25"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7B555440" w14:textId="77777777" w:rsidTr="000C02C3">
        <w:trPr>
          <w:trHeight w:val="510"/>
        </w:trPr>
        <w:tc>
          <w:tcPr>
            <w:tcW w:w="6941" w:type="dxa"/>
            <w:shd w:val="clear" w:color="auto" w:fill="auto"/>
            <w:vAlign w:val="bottom"/>
            <w:hideMark/>
          </w:tcPr>
          <w:p w14:paraId="4A76FEAA"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contact address of the investor and, if the investor is non-resident, the country code of the investor</w:t>
            </w:r>
          </w:p>
        </w:tc>
        <w:tc>
          <w:tcPr>
            <w:tcW w:w="2547" w:type="dxa"/>
            <w:shd w:val="clear" w:color="auto" w:fill="auto"/>
            <w:noWrap/>
            <w:vAlign w:val="bottom"/>
            <w:hideMark/>
          </w:tcPr>
          <w:p w14:paraId="52149999"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4495237B" w14:textId="77777777" w:rsidTr="000C02C3">
        <w:trPr>
          <w:trHeight w:val="255"/>
        </w:trPr>
        <w:tc>
          <w:tcPr>
            <w:tcW w:w="6941" w:type="dxa"/>
            <w:shd w:val="clear" w:color="auto" w:fill="auto"/>
            <w:vAlign w:val="bottom"/>
            <w:hideMark/>
          </w:tcPr>
          <w:p w14:paraId="138E1B01"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date of birth of the investor, if held by the payer</w:t>
            </w:r>
          </w:p>
        </w:tc>
        <w:tc>
          <w:tcPr>
            <w:tcW w:w="2547" w:type="dxa"/>
            <w:shd w:val="clear" w:color="auto" w:fill="auto"/>
            <w:noWrap/>
            <w:vAlign w:val="bottom"/>
            <w:hideMark/>
          </w:tcPr>
          <w:p w14:paraId="4DAEC3AA"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4527D553" w14:textId="77777777" w:rsidTr="000C02C3">
        <w:trPr>
          <w:trHeight w:val="255"/>
        </w:trPr>
        <w:tc>
          <w:tcPr>
            <w:tcW w:w="6941" w:type="dxa"/>
            <w:shd w:val="clear" w:color="auto" w:fill="auto"/>
            <w:vAlign w:val="bottom"/>
            <w:hideMark/>
          </w:tcPr>
          <w:p w14:paraId="287EED8B"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amount and type of income of the investor for the period</w:t>
            </w:r>
          </w:p>
        </w:tc>
        <w:tc>
          <w:tcPr>
            <w:tcW w:w="2547" w:type="dxa"/>
            <w:shd w:val="clear" w:color="auto" w:fill="auto"/>
            <w:noWrap/>
            <w:vAlign w:val="bottom"/>
            <w:hideMark/>
          </w:tcPr>
          <w:p w14:paraId="286BA864"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71CA3283" w14:textId="77777777" w:rsidTr="000C02C3">
        <w:trPr>
          <w:trHeight w:val="255"/>
        </w:trPr>
        <w:tc>
          <w:tcPr>
            <w:tcW w:w="6941" w:type="dxa"/>
            <w:shd w:val="clear" w:color="auto" w:fill="auto"/>
            <w:vAlign w:val="bottom"/>
            <w:hideMark/>
          </w:tcPr>
          <w:p w14:paraId="242FB88E"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tax withheld on behalf of, or approved issuer levy paid in relation to, the investor for the period</w:t>
            </w:r>
          </w:p>
        </w:tc>
        <w:tc>
          <w:tcPr>
            <w:tcW w:w="2547" w:type="dxa"/>
            <w:shd w:val="clear" w:color="auto" w:fill="auto"/>
            <w:noWrap/>
            <w:vAlign w:val="bottom"/>
            <w:hideMark/>
          </w:tcPr>
          <w:p w14:paraId="55C7EC89"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4603F82A" w14:textId="77777777" w:rsidTr="000C02C3">
        <w:trPr>
          <w:trHeight w:val="255"/>
        </w:trPr>
        <w:tc>
          <w:tcPr>
            <w:tcW w:w="6941" w:type="dxa"/>
            <w:shd w:val="clear" w:color="auto" w:fill="auto"/>
            <w:vAlign w:val="bottom"/>
            <w:hideMark/>
          </w:tcPr>
          <w:p w14:paraId="7500B742"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date on which or period in which the tax was withheld, or levy paid</w:t>
            </w:r>
          </w:p>
        </w:tc>
        <w:tc>
          <w:tcPr>
            <w:tcW w:w="2547" w:type="dxa"/>
            <w:shd w:val="clear" w:color="auto" w:fill="auto"/>
            <w:noWrap/>
            <w:vAlign w:val="bottom"/>
            <w:hideMark/>
          </w:tcPr>
          <w:p w14:paraId="37835FEE"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60353F25" w14:textId="77777777" w:rsidTr="000C02C3">
        <w:trPr>
          <w:trHeight w:val="255"/>
        </w:trPr>
        <w:tc>
          <w:tcPr>
            <w:tcW w:w="6941" w:type="dxa"/>
            <w:shd w:val="clear" w:color="auto" w:fill="auto"/>
            <w:vAlign w:val="bottom"/>
            <w:hideMark/>
          </w:tcPr>
          <w:p w14:paraId="215440C5"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tax rate of the investor for the period as notified to the payer, if applicable</w:t>
            </w:r>
          </w:p>
        </w:tc>
        <w:tc>
          <w:tcPr>
            <w:tcW w:w="2547" w:type="dxa"/>
            <w:shd w:val="clear" w:color="auto" w:fill="auto"/>
            <w:noWrap/>
            <w:vAlign w:val="bottom"/>
            <w:hideMark/>
          </w:tcPr>
          <w:p w14:paraId="3845936B"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50C7AF90" w14:textId="77777777" w:rsidTr="000C02C3">
        <w:trPr>
          <w:trHeight w:val="255"/>
        </w:trPr>
        <w:tc>
          <w:tcPr>
            <w:tcW w:w="6941" w:type="dxa"/>
            <w:shd w:val="clear" w:color="auto" w:fill="auto"/>
            <w:vAlign w:val="bottom"/>
            <w:hideMark/>
          </w:tcPr>
          <w:p w14:paraId="75C44F05"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notified investor rate of the investor, if applicable</w:t>
            </w:r>
          </w:p>
        </w:tc>
        <w:tc>
          <w:tcPr>
            <w:tcW w:w="2547" w:type="dxa"/>
            <w:shd w:val="clear" w:color="auto" w:fill="auto"/>
            <w:noWrap/>
            <w:vAlign w:val="bottom"/>
            <w:hideMark/>
          </w:tcPr>
          <w:p w14:paraId="07187831"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660B453D" w14:textId="77777777" w:rsidTr="000C02C3">
        <w:trPr>
          <w:trHeight w:val="255"/>
        </w:trPr>
        <w:tc>
          <w:tcPr>
            <w:tcW w:w="6941" w:type="dxa"/>
            <w:shd w:val="clear" w:color="auto" w:fill="auto"/>
            <w:vAlign w:val="bottom"/>
            <w:hideMark/>
          </w:tcPr>
          <w:p w14:paraId="17A71742"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Whether the PIE is a superannuation fund or a retirement savings scheme or not</w:t>
            </w:r>
          </w:p>
        </w:tc>
        <w:tc>
          <w:tcPr>
            <w:tcW w:w="2547" w:type="dxa"/>
            <w:shd w:val="clear" w:color="auto" w:fill="auto"/>
            <w:noWrap/>
            <w:vAlign w:val="bottom"/>
            <w:hideMark/>
          </w:tcPr>
          <w:p w14:paraId="003400B1"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0751AAAF" w14:textId="77777777" w:rsidTr="000C02C3">
        <w:trPr>
          <w:trHeight w:val="255"/>
        </w:trPr>
        <w:tc>
          <w:tcPr>
            <w:tcW w:w="6941" w:type="dxa"/>
            <w:shd w:val="clear" w:color="auto" w:fill="auto"/>
            <w:vAlign w:val="bottom"/>
            <w:hideMark/>
          </w:tcPr>
          <w:p w14:paraId="596C252E"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imputation credits attached, if applicable</w:t>
            </w:r>
          </w:p>
        </w:tc>
        <w:tc>
          <w:tcPr>
            <w:tcW w:w="2547" w:type="dxa"/>
            <w:shd w:val="clear" w:color="auto" w:fill="auto"/>
            <w:noWrap/>
            <w:vAlign w:val="bottom"/>
            <w:hideMark/>
          </w:tcPr>
          <w:p w14:paraId="24DB2CC8"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6248BB28" w14:textId="77777777" w:rsidTr="000C02C3">
        <w:trPr>
          <w:trHeight w:val="510"/>
        </w:trPr>
        <w:tc>
          <w:tcPr>
            <w:tcW w:w="6941" w:type="dxa"/>
            <w:shd w:val="clear" w:color="auto" w:fill="auto"/>
            <w:vAlign w:val="bottom"/>
            <w:hideMark/>
          </w:tcPr>
          <w:p w14:paraId="630DADA0"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lastRenderedPageBreak/>
              <w:t>The names, tax file numbers, dates of birth, and contact addresses of persons who are joint owners, if held by the payer</w:t>
            </w:r>
          </w:p>
        </w:tc>
        <w:tc>
          <w:tcPr>
            <w:tcW w:w="2547" w:type="dxa"/>
            <w:shd w:val="clear" w:color="auto" w:fill="auto"/>
            <w:noWrap/>
            <w:vAlign w:val="bottom"/>
            <w:hideMark/>
          </w:tcPr>
          <w:p w14:paraId="1ECAB9DB"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05D398D2" w14:textId="77777777" w:rsidTr="000C02C3">
        <w:trPr>
          <w:trHeight w:val="510"/>
        </w:trPr>
        <w:tc>
          <w:tcPr>
            <w:tcW w:w="6941" w:type="dxa"/>
            <w:shd w:val="clear" w:color="auto" w:fill="auto"/>
            <w:vAlign w:val="bottom"/>
            <w:hideMark/>
          </w:tcPr>
          <w:p w14:paraId="1B40DB01"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number of shares for which the dividend is declared, or in the case of a dividend that is a bonus issue, the number of shares included in the bonus issue</w:t>
            </w:r>
          </w:p>
        </w:tc>
        <w:tc>
          <w:tcPr>
            <w:tcW w:w="2547" w:type="dxa"/>
            <w:shd w:val="clear" w:color="auto" w:fill="auto"/>
            <w:noWrap/>
            <w:vAlign w:val="bottom"/>
            <w:hideMark/>
          </w:tcPr>
          <w:p w14:paraId="221E774D"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64F8C570" w14:textId="77777777" w:rsidTr="000C02C3">
        <w:trPr>
          <w:trHeight w:val="255"/>
        </w:trPr>
        <w:tc>
          <w:tcPr>
            <w:tcW w:w="6941" w:type="dxa"/>
            <w:shd w:val="clear" w:color="auto" w:fill="auto"/>
            <w:vAlign w:val="bottom"/>
            <w:hideMark/>
          </w:tcPr>
          <w:p w14:paraId="219A6D95"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The date on which the dividend is declared and the payment date of the dividend</w:t>
            </w:r>
          </w:p>
        </w:tc>
        <w:tc>
          <w:tcPr>
            <w:tcW w:w="2547" w:type="dxa"/>
            <w:shd w:val="clear" w:color="auto" w:fill="auto"/>
            <w:noWrap/>
            <w:vAlign w:val="bottom"/>
            <w:hideMark/>
          </w:tcPr>
          <w:p w14:paraId="3C6AB6EF"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7A1A7E33" w14:textId="77777777" w:rsidTr="000C02C3">
        <w:trPr>
          <w:trHeight w:val="510"/>
        </w:trPr>
        <w:tc>
          <w:tcPr>
            <w:tcW w:w="6941" w:type="dxa"/>
            <w:shd w:val="clear" w:color="auto" w:fill="auto"/>
            <w:vAlign w:val="bottom"/>
            <w:hideMark/>
          </w:tcPr>
          <w:p w14:paraId="36BB58FE"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In the case of a dividend that is a bonus issue, the amount of the bonus issue as determined under section CD 7 or CD 8 of the Income Tax Act 2007</w:t>
            </w:r>
          </w:p>
        </w:tc>
        <w:tc>
          <w:tcPr>
            <w:tcW w:w="2547" w:type="dxa"/>
            <w:shd w:val="clear" w:color="auto" w:fill="auto"/>
            <w:noWrap/>
            <w:vAlign w:val="bottom"/>
            <w:hideMark/>
          </w:tcPr>
          <w:p w14:paraId="4C51D30D"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r w:rsidR="00E866EF" w:rsidRPr="00BD7B7B" w14:paraId="36FE7A35" w14:textId="77777777" w:rsidTr="000C02C3">
        <w:trPr>
          <w:trHeight w:val="510"/>
        </w:trPr>
        <w:tc>
          <w:tcPr>
            <w:tcW w:w="6941" w:type="dxa"/>
            <w:shd w:val="clear" w:color="auto" w:fill="auto"/>
            <w:vAlign w:val="bottom"/>
            <w:hideMark/>
          </w:tcPr>
          <w:p w14:paraId="65685A9E"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If the dividend is paid in Australian currency by an Australian ICA company, the exchange rate between the NZ dollar and the Australian dollar that was used to calculate the imputation ratio</w:t>
            </w:r>
          </w:p>
        </w:tc>
        <w:tc>
          <w:tcPr>
            <w:tcW w:w="2547" w:type="dxa"/>
            <w:shd w:val="clear" w:color="auto" w:fill="auto"/>
            <w:noWrap/>
            <w:vAlign w:val="bottom"/>
            <w:hideMark/>
          </w:tcPr>
          <w:p w14:paraId="6F695568" w14:textId="77777777" w:rsidR="00E866EF" w:rsidRPr="00BD7B7B" w:rsidRDefault="00E866EF" w:rsidP="004E3FA0">
            <w:pPr>
              <w:spacing w:after="120" w:line="300" w:lineRule="auto"/>
              <w:rPr>
                <w:rFonts w:cs="Arial"/>
                <w:color w:val="000000"/>
                <w:szCs w:val="20"/>
                <w:lang w:eastAsia="en-NZ"/>
              </w:rPr>
            </w:pPr>
            <w:r w:rsidRPr="00BD7B7B">
              <w:rPr>
                <w:rFonts w:cs="Arial"/>
                <w:color w:val="000000"/>
                <w:szCs w:val="20"/>
                <w:lang w:eastAsia="en-NZ"/>
              </w:rPr>
              <w:t> </w:t>
            </w:r>
          </w:p>
        </w:tc>
      </w:tr>
    </w:tbl>
    <w:p w14:paraId="5BA30DCE" w14:textId="78B211EB" w:rsidR="00E866EF" w:rsidRDefault="00254A59" w:rsidP="00E866EF">
      <w:pPr>
        <w:spacing w:after="120" w:line="300" w:lineRule="auto"/>
        <w:rPr>
          <w:rFonts w:cs="Arial"/>
        </w:rPr>
      </w:pPr>
      <w:r>
        <w:rPr>
          <w:rFonts w:cs="Arial"/>
        </w:rPr>
        <w:br/>
      </w:r>
    </w:p>
    <w:p w14:paraId="62664CF8" w14:textId="09A3B5D1" w:rsidR="00254A59" w:rsidRDefault="00254A59" w:rsidP="00E866EF">
      <w:pPr>
        <w:spacing w:after="120" w:line="300" w:lineRule="auto"/>
        <w:rPr>
          <w:rFonts w:cs="Arial"/>
        </w:rPr>
      </w:pPr>
    </w:p>
    <w:p w14:paraId="6882BFBB" w14:textId="7B025A99" w:rsidR="00254A59" w:rsidRDefault="00254A59" w:rsidP="00E866EF">
      <w:pPr>
        <w:spacing w:after="120" w:line="300" w:lineRule="auto"/>
        <w:rPr>
          <w:rFonts w:cs="Arial"/>
        </w:rPr>
      </w:pPr>
    </w:p>
    <w:p w14:paraId="245A8E7A" w14:textId="4118B191" w:rsidR="00254A59" w:rsidRDefault="00254A59" w:rsidP="00E866EF">
      <w:pPr>
        <w:spacing w:after="120" w:line="300" w:lineRule="auto"/>
        <w:rPr>
          <w:rFonts w:cs="Arial"/>
        </w:rPr>
      </w:pPr>
    </w:p>
    <w:p w14:paraId="6B60D9F2" w14:textId="7D9603AF" w:rsidR="00254A59" w:rsidRDefault="00254A59" w:rsidP="00E866EF">
      <w:pPr>
        <w:spacing w:after="120" w:line="300" w:lineRule="auto"/>
        <w:rPr>
          <w:rFonts w:cs="Arial"/>
        </w:rPr>
      </w:pPr>
    </w:p>
    <w:p w14:paraId="7F184AA1" w14:textId="61F3FEA5" w:rsidR="00254A59" w:rsidRDefault="00254A59" w:rsidP="00E866EF">
      <w:pPr>
        <w:spacing w:after="120" w:line="300" w:lineRule="auto"/>
        <w:rPr>
          <w:rFonts w:cs="Arial"/>
        </w:rPr>
      </w:pPr>
    </w:p>
    <w:p w14:paraId="687CD907" w14:textId="189EE0A0" w:rsidR="00254A59" w:rsidRDefault="00254A59" w:rsidP="00E866EF">
      <w:pPr>
        <w:spacing w:after="120" w:line="300" w:lineRule="auto"/>
        <w:rPr>
          <w:rFonts w:cs="Arial"/>
        </w:rPr>
      </w:pPr>
    </w:p>
    <w:p w14:paraId="221C1000" w14:textId="299E9A7B" w:rsidR="00254A59" w:rsidRDefault="00254A59" w:rsidP="00E866EF">
      <w:pPr>
        <w:spacing w:after="120" w:line="300" w:lineRule="auto"/>
        <w:rPr>
          <w:rFonts w:cs="Arial"/>
        </w:rPr>
      </w:pPr>
    </w:p>
    <w:p w14:paraId="4499294A" w14:textId="42D1D619" w:rsidR="00254A59" w:rsidRDefault="00254A59" w:rsidP="00E866EF">
      <w:pPr>
        <w:spacing w:after="120" w:line="300" w:lineRule="auto"/>
        <w:rPr>
          <w:rFonts w:cs="Arial"/>
        </w:rPr>
      </w:pPr>
    </w:p>
    <w:p w14:paraId="070F4B3C" w14:textId="70C60194" w:rsidR="00254A59" w:rsidRDefault="00254A59" w:rsidP="00E866EF">
      <w:pPr>
        <w:spacing w:after="120" w:line="300" w:lineRule="auto"/>
        <w:rPr>
          <w:rFonts w:cs="Arial"/>
        </w:rPr>
      </w:pPr>
    </w:p>
    <w:p w14:paraId="77378139" w14:textId="27656EA8" w:rsidR="00254A59" w:rsidRDefault="00254A59" w:rsidP="00E866EF">
      <w:pPr>
        <w:spacing w:after="120" w:line="300" w:lineRule="auto"/>
        <w:rPr>
          <w:rFonts w:cs="Arial"/>
        </w:rPr>
      </w:pPr>
    </w:p>
    <w:p w14:paraId="7952DBC0" w14:textId="7AC541D8" w:rsidR="00254A59" w:rsidRDefault="00254A59" w:rsidP="00E866EF">
      <w:pPr>
        <w:spacing w:after="120" w:line="300" w:lineRule="auto"/>
        <w:rPr>
          <w:rFonts w:cs="Arial"/>
        </w:rPr>
      </w:pPr>
    </w:p>
    <w:p w14:paraId="7C7BE74A" w14:textId="3864EA69" w:rsidR="00254A59" w:rsidRDefault="00254A59" w:rsidP="00E866EF">
      <w:pPr>
        <w:spacing w:after="120" w:line="300" w:lineRule="auto"/>
        <w:rPr>
          <w:rFonts w:cs="Arial"/>
        </w:rPr>
      </w:pPr>
    </w:p>
    <w:p w14:paraId="1281809C" w14:textId="0D2F9892" w:rsidR="00254A59" w:rsidRDefault="00254A59" w:rsidP="00E866EF">
      <w:pPr>
        <w:spacing w:after="120" w:line="300" w:lineRule="auto"/>
        <w:rPr>
          <w:rFonts w:cs="Arial"/>
        </w:rPr>
      </w:pPr>
    </w:p>
    <w:p w14:paraId="75FCDFD8" w14:textId="01245443" w:rsidR="00254A59" w:rsidRDefault="00254A59" w:rsidP="00E866EF">
      <w:pPr>
        <w:spacing w:after="120" w:line="300" w:lineRule="auto"/>
        <w:rPr>
          <w:rFonts w:cs="Arial"/>
        </w:rPr>
      </w:pPr>
    </w:p>
    <w:p w14:paraId="7B413241" w14:textId="77777777" w:rsidR="00254A59" w:rsidRPr="00BD7B7B" w:rsidRDefault="00254A59" w:rsidP="00E866EF">
      <w:pPr>
        <w:spacing w:after="120" w:line="300" w:lineRule="auto"/>
        <w:rPr>
          <w:rFonts w:cs="Arial"/>
        </w:rPr>
      </w:pPr>
    </w:p>
    <w:p w14:paraId="42AD1961" w14:textId="39C63BC3" w:rsidR="00E866EF" w:rsidRPr="00D84D53" w:rsidRDefault="00E866EF" w:rsidP="00D84D53">
      <w:pPr>
        <w:spacing w:after="120" w:line="300" w:lineRule="auto"/>
        <w:rPr>
          <w:rFonts w:cs="Arial"/>
          <w:sz w:val="16"/>
          <w:szCs w:val="16"/>
        </w:rPr>
      </w:pPr>
      <w:r w:rsidRPr="00BD7B7B">
        <w:rPr>
          <w:rFonts w:cs="Arial"/>
          <w:sz w:val="16"/>
          <w:szCs w:val="16"/>
        </w:rPr>
        <w:t>EDMS 4261124</w:t>
      </w:r>
    </w:p>
    <w:sectPr w:rsidR="00E866EF" w:rsidRPr="00D84D53" w:rsidSect="00956BC0">
      <w:headerReference w:type="default" r:id="rId8"/>
      <w:headerReference w:type="first" r:id="rId9"/>
      <w:type w:val="continuous"/>
      <w:pgSz w:w="11910" w:h="16840"/>
      <w:pgMar w:top="851" w:right="1247" w:bottom="2268" w:left="85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E720" w14:textId="77777777" w:rsidR="00FC01F3" w:rsidRDefault="00FC01F3" w:rsidP="00346599">
      <w:r>
        <w:separator/>
      </w:r>
    </w:p>
  </w:endnote>
  <w:endnote w:type="continuationSeparator" w:id="0">
    <w:p w14:paraId="0B97E798" w14:textId="77777777" w:rsidR="00FC01F3" w:rsidRDefault="00FC01F3" w:rsidP="0034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14ECF" w14:textId="77777777" w:rsidR="00FC01F3" w:rsidRDefault="00FC01F3" w:rsidP="00346599">
      <w:r>
        <w:separator/>
      </w:r>
    </w:p>
  </w:footnote>
  <w:footnote w:type="continuationSeparator" w:id="0">
    <w:p w14:paraId="586B1B57" w14:textId="77777777" w:rsidR="00FC01F3" w:rsidRDefault="00FC01F3" w:rsidP="0034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873628"/>
      <w:docPartObj>
        <w:docPartGallery w:val="Page Numbers (Top of Page)"/>
        <w:docPartUnique/>
      </w:docPartObj>
    </w:sdtPr>
    <w:sdtEndPr>
      <w:rPr>
        <w:noProof/>
        <w:sz w:val="18"/>
      </w:rPr>
    </w:sdtEndPr>
    <w:sdtContent>
      <w:p w14:paraId="635831C1" w14:textId="3FB70721" w:rsidR="007E041A" w:rsidRPr="006669EB" w:rsidRDefault="005421F1">
        <w:pPr>
          <w:pStyle w:val="Header"/>
          <w:rPr>
            <w:sz w:val="18"/>
          </w:rPr>
        </w:pPr>
        <w:r>
          <w:rPr>
            <w:noProof/>
            <w:lang w:val="en-AU" w:eastAsia="en-AU" w:bidi="ar-SA"/>
          </w:rPr>
          <w:drawing>
            <wp:anchor distT="0" distB="0" distL="114300" distR="114300" simplePos="0" relativeHeight="251659264" behindDoc="1" locked="0" layoutInCell="1" allowOverlap="1" wp14:anchorId="67633934" wp14:editId="1C24CFA1">
              <wp:simplePos x="0" y="0"/>
              <wp:positionH relativeFrom="page">
                <wp:align>right</wp:align>
              </wp:positionH>
              <wp:positionV relativeFrom="paragraph">
                <wp:posOffset>-450215</wp:posOffset>
              </wp:positionV>
              <wp:extent cx="7527673" cy="10670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41A" w:rsidRPr="006669EB">
          <w:rPr>
            <w:sz w:val="18"/>
          </w:rPr>
          <w:fldChar w:fldCharType="begin"/>
        </w:r>
        <w:r w:rsidR="007E041A" w:rsidRPr="006669EB">
          <w:rPr>
            <w:sz w:val="18"/>
          </w:rPr>
          <w:instrText xml:space="preserve"> PAGE   \* MERGEFORMAT </w:instrText>
        </w:r>
        <w:r w:rsidR="007E041A" w:rsidRPr="006669EB">
          <w:rPr>
            <w:sz w:val="18"/>
          </w:rPr>
          <w:fldChar w:fldCharType="separate"/>
        </w:r>
        <w:r w:rsidR="00CA190A">
          <w:rPr>
            <w:noProof/>
            <w:sz w:val="18"/>
          </w:rPr>
          <w:t>1</w:t>
        </w:r>
        <w:r w:rsidR="007E041A" w:rsidRPr="006669EB">
          <w:rPr>
            <w:noProof/>
            <w:sz w:val="18"/>
          </w:rPr>
          <w:fldChar w:fldCharType="end"/>
        </w:r>
        <w:r w:rsidR="007E041A" w:rsidRPr="006669EB">
          <w:rPr>
            <w:noProof/>
            <w:sz w:val="18"/>
          </w:rPr>
          <w:t xml:space="preserve"> | </w:t>
        </w:r>
        <w:r w:rsidR="00757AAC">
          <w:rPr>
            <w:noProof/>
            <w:sz w:val="18"/>
          </w:rPr>
          <w:t xml:space="preserve">2022 Tax Checklist </w:t>
        </w:r>
      </w:p>
    </w:sdtContent>
  </w:sdt>
  <w:p w14:paraId="49799EB7" w14:textId="77777777" w:rsidR="005477AC" w:rsidRDefault="0054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0349" w14:textId="77777777" w:rsidR="005477AC" w:rsidRDefault="005477AC">
    <w:pPr>
      <w:pStyle w:val="Header"/>
    </w:pPr>
    <w:r>
      <w:rPr>
        <w:noProof/>
        <w:sz w:val="17"/>
        <w:lang w:val="en-AU" w:eastAsia="en-AU" w:bidi="ar-SA"/>
      </w:rPr>
      <w:drawing>
        <wp:anchor distT="0" distB="0" distL="114300" distR="114300" simplePos="0" relativeHeight="251656192" behindDoc="1" locked="0" layoutInCell="1" allowOverlap="1" wp14:anchorId="7BDF9458" wp14:editId="6B6AE15E">
          <wp:simplePos x="0" y="0"/>
          <wp:positionH relativeFrom="page">
            <wp:posOffset>16510</wp:posOffset>
          </wp:positionH>
          <wp:positionV relativeFrom="paragraph">
            <wp:posOffset>-447675</wp:posOffset>
          </wp:positionV>
          <wp:extent cx="7527574" cy="1067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AH2931_word_template_portrait_A4.pdf"/>
                  <pic:cNvPicPr/>
                </pic:nvPicPr>
                <pic:blipFill>
                  <a:blip r:embed="rId1">
                    <a:extLst>
                      <a:ext uri="{28A0092B-C50C-407E-A947-70E740481C1C}">
                        <a14:useLocalDpi xmlns:a14="http://schemas.microsoft.com/office/drawing/2010/main" val="0"/>
                      </a:ext>
                    </a:extLst>
                  </a:blip>
                  <a:stretch>
                    <a:fillRect/>
                  </a:stretch>
                </pic:blipFill>
                <pic:spPr>
                  <a:xfrm>
                    <a:off x="0" y="0"/>
                    <a:ext cx="7527574" cy="106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923"/>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A7DF7"/>
    <w:multiLevelType w:val="hybridMultilevel"/>
    <w:tmpl w:val="F824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F6586"/>
    <w:multiLevelType w:val="multilevel"/>
    <w:tmpl w:val="499EB0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96709D"/>
    <w:multiLevelType w:val="hybridMultilevel"/>
    <w:tmpl w:val="7DD0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A4C2F"/>
    <w:multiLevelType w:val="hybridMultilevel"/>
    <w:tmpl w:val="4F9A59E2"/>
    <w:lvl w:ilvl="0" w:tplc="1409000F">
      <w:start w:val="1"/>
      <w:numFmt w:val="decimal"/>
      <w:lvlText w:val="%1."/>
      <w:lvlJc w:val="left"/>
      <w:pPr>
        <w:ind w:left="-708" w:hanging="360"/>
      </w:pPr>
      <w:rPr>
        <w:rFonts w:hint="default"/>
      </w:rPr>
    </w:lvl>
    <w:lvl w:ilvl="1" w:tplc="14090019" w:tentative="1">
      <w:start w:val="1"/>
      <w:numFmt w:val="lowerLetter"/>
      <w:lvlText w:val="%2."/>
      <w:lvlJc w:val="left"/>
      <w:pPr>
        <w:ind w:left="12" w:hanging="360"/>
      </w:pPr>
    </w:lvl>
    <w:lvl w:ilvl="2" w:tplc="1409001B" w:tentative="1">
      <w:start w:val="1"/>
      <w:numFmt w:val="lowerRoman"/>
      <w:lvlText w:val="%3."/>
      <w:lvlJc w:val="right"/>
      <w:pPr>
        <w:ind w:left="732" w:hanging="180"/>
      </w:pPr>
    </w:lvl>
    <w:lvl w:ilvl="3" w:tplc="1409000F" w:tentative="1">
      <w:start w:val="1"/>
      <w:numFmt w:val="decimal"/>
      <w:lvlText w:val="%4."/>
      <w:lvlJc w:val="left"/>
      <w:pPr>
        <w:ind w:left="1452" w:hanging="360"/>
      </w:pPr>
    </w:lvl>
    <w:lvl w:ilvl="4" w:tplc="14090019" w:tentative="1">
      <w:start w:val="1"/>
      <w:numFmt w:val="lowerLetter"/>
      <w:lvlText w:val="%5."/>
      <w:lvlJc w:val="left"/>
      <w:pPr>
        <w:ind w:left="2172" w:hanging="360"/>
      </w:pPr>
    </w:lvl>
    <w:lvl w:ilvl="5" w:tplc="1409001B" w:tentative="1">
      <w:start w:val="1"/>
      <w:numFmt w:val="lowerRoman"/>
      <w:lvlText w:val="%6."/>
      <w:lvlJc w:val="right"/>
      <w:pPr>
        <w:ind w:left="2892" w:hanging="180"/>
      </w:pPr>
    </w:lvl>
    <w:lvl w:ilvl="6" w:tplc="1409000F" w:tentative="1">
      <w:start w:val="1"/>
      <w:numFmt w:val="decimal"/>
      <w:lvlText w:val="%7."/>
      <w:lvlJc w:val="left"/>
      <w:pPr>
        <w:ind w:left="3612" w:hanging="360"/>
      </w:pPr>
    </w:lvl>
    <w:lvl w:ilvl="7" w:tplc="14090019" w:tentative="1">
      <w:start w:val="1"/>
      <w:numFmt w:val="lowerLetter"/>
      <w:lvlText w:val="%8."/>
      <w:lvlJc w:val="left"/>
      <w:pPr>
        <w:ind w:left="4332" w:hanging="360"/>
      </w:pPr>
    </w:lvl>
    <w:lvl w:ilvl="8" w:tplc="1409001B" w:tentative="1">
      <w:start w:val="1"/>
      <w:numFmt w:val="lowerRoman"/>
      <w:lvlText w:val="%9."/>
      <w:lvlJc w:val="right"/>
      <w:pPr>
        <w:ind w:left="5052"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90A"/>
    <w:rsid w:val="000762E6"/>
    <w:rsid w:val="00083CFD"/>
    <w:rsid w:val="000B1B33"/>
    <w:rsid w:val="000C02C3"/>
    <w:rsid w:val="000D7821"/>
    <w:rsid w:val="00184B10"/>
    <w:rsid w:val="001A41DB"/>
    <w:rsid w:val="00254A59"/>
    <w:rsid w:val="00267509"/>
    <w:rsid w:val="0029205C"/>
    <w:rsid w:val="002A2497"/>
    <w:rsid w:val="002A3826"/>
    <w:rsid w:val="002B1D2E"/>
    <w:rsid w:val="00346599"/>
    <w:rsid w:val="00384E05"/>
    <w:rsid w:val="003D28A9"/>
    <w:rsid w:val="003F2C2F"/>
    <w:rsid w:val="004149E1"/>
    <w:rsid w:val="0048224E"/>
    <w:rsid w:val="004E7E90"/>
    <w:rsid w:val="0050260A"/>
    <w:rsid w:val="005421F1"/>
    <w:rsid w:val="005477AC"/>
    <w:rsid w:val="005815C1"/>
    <w:rsid w:val="005A7E58"/>
    <w:rsid w:val="00647F5F"/>
    <w:rsid w:val="00664E4F"/>
    <w:rsid w:val="006669EB"/>
    <w:rsid w:val="006C64ED"/>
    <w:rsid w:val="006F7BE7"/>
    <w:rsid w:val="00757AAC"/>
    <w:rsid w:val="0077070E"/>
    <w:rsid w:val="007E041A"/>
    <w:rsid w:val="00801051"/>
    <w:rsid w:val="00817C06"/>
    <w:rsid w:val="008C6DF0"/>
    <w:rsid w:val="00956BC0"/>
    <w:rsid w:val="00980347"/>
    <w:rsid w:val="00986485"/>
    <w:rsid w:val="00A12691"/>
    <w:rsid w:val="00B627C1"/>
    <w:rsid w:val="00B8770B"/>
    <w:rsid w:val="00B962AA"/>
    <w:rsid w:val="00BA735F"/>
    <w:rsid w:val="00C06916"/>
    <w:rsid w:val="00C9471E"/>
    <w:rsid w:val="00CA190A"/>
    <w:rsid w:val="00CF2877"/>
    <w:rsid w:val="00D23FBB"/>
    <w:rsid w:val="00D41254"/>
    <w:rsid w:val="00D57211"/>
    <w:rsid w:val="00D70EB3"/>
    <w:rsid w:val="00D84D53"/>
    <w:rsid w:val="00E6637E"/>
    <w:rsid w:val="00E866EF"/>
    <w:rsid w:val="00F84F49"/>
    <w:rsid w:val="00FC01F3"/>
    <w:rsid w:val="00FD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C7529"/>
  <w15:docId w15:val="{8E8908AB-2322-4C80-82B5-CCB872DE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1254"/>
    <w:rPr>
      <w:rFonts w:ascii="Arial" w:eastAsia="Times New Roman" w:hAnsi="Arial" w:cs="Times New Roman"/>
      <w:lang w:val="en-GB" w:eastAsia="en-GB" w:bidi="en-GB"/>
    </w:rPr>
  </w:style>
  <w:style w:type="paragraph" w:styleId="Heading1">
    <w:name w:val="heading 1"/>
    <w:basedOn w:val="Normal"/>
    <w:next w:val="Normal"/>
    <w:link w:val="Heading1Char"/>
    <w:uiPriority w:val="9"/>
    <w:qFormat/>
    <w:rsid w:val="00664E4F"/>
    <w:pPr>
      <w:keepNext/>
      <w:keepLines/>
      <w:widowControl/>
      <w:autoSpaceDE/>
      <w:autoSpaceDN/>
      <w:spacing w:before="240" w:after="240"/>
      <w:outlineLvl w:val="0"/>
    </w:pPr>
    <w:rPr>
      <w:rFonts w:eastAsia="MS Gothic"/>
      <w:color w:val="AA9B70"/>
      <w:spacing w:val="20"/>
      <w:sz w:val="32"/>
      <w:szCs w:val="32"/>
      <w:lang w:val="en-US" w:eastAsia="en-US" w:bidi="ar-SA"/>
    </w:rPr>
  </w:style>
  <w:style w:type="paragraph" w:styleId="Heading2">
    <w:name w:val="heading 2"/>
    <w:basedOn w:val="Normal"/>
    <w:next w:val="Normal"/>
    <w:link w:val="Heading2Char"/>
    <w:uiPriority w:val="9"/>
    <w:unhideWhenUsed/>
    <w:qFormat/>
    <w:rsid w:val="00664E4F"/>
    <w:pPr>
      <w:keepNext/>
      <w:keepLines/>
      <w:widowControl/>
      <w:autoSpaceDE/>
      <w:autoSpaceDN/>
      <w:spacing w:before="200" w:after="120"/>
      <w:outlineLvl w:val="1"/>
    </w:pPr>
    <w:rPr>
      <w:rFonts w:eastAsia="MS Gothic"/>
      <w:b/>
      <w:bCs/>
      <w:color w:val="21314D"/>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6599"/>
    <w:pPr>
      <w:tabs>
        <w:tab w:val="center" w:pos="4680"/>
        <w:tab w:val="right" w:pos="9360"/>
      </w:tabs>
    </w:pPr>
  </w:style>
  <w:style w:type="character" w:customStyle="1" w:styleId="HeaderChar">
    <w:name w:val="Header Char"/>
    <w:basedOn w:val="DefaultParagraphFont"/>
    <w:link w:val="Header"/>
    <w:uiPriority w:val="99"/>
    <w:rsid w:val="00346599"/>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346599"/>
    <w:pPr>
      <w:tabs>
        <w:tab w:val="center" w:pos="4680"/>
        <w:tab w:val="right" w:pos="9360"/>
      </w:tabs>
    </w:pPr>
  </w:style>
  <w:style w:type="character" w:customStyle="1" w:styleId="FooterChar">
    <w:name w:val="Footer Char"/>
    <w:basedOn w:val="DefaultParagraphFont"/>
    <w:link w:val="Footer"/>
    <w:uiPriority w:val="99"/>
    <w:rsid w:val="00346599"/>
    <w:rPr>
      <w:rFonts w:ascii="Times New Roman" w:eastAsia="Times New Roman" w:hAnsi="Times New Roman" w:cs="Times New Roman"/>
      <w:lang w:val="en-GB" w:eastAsia="en-GB" w:bidi="en-GB"/>
    </w:rPr>
  </w:style>
  <w:style w:type="paragraph" w:styleId="Title">
    <w:name w:val="Title"/>
    <w:aliases w:val="TITLE"/>
    <w:basedOn w:val="Normal"/>
    <w:link w:val="TitleChar"/>
    <w:autoRedefine/>
    <w:uiPriority w:val="10"/>
    <w:qFormat/>
    <w:rsid w:val="008C6DF0"/>
    <w:pPr>
      <w:widowControl/>
      <w:autoSpaceDE/>
      <w:autoSpaceDN/>
      <w:spacing w:before="120" w:after="120" w:line="800" w:lineRule="exact"/>
      <w:contextualSpacing/>
    </w:pPr>
    <w:rPr>
      <w:rFonts w:eastAsia="MS Gothic" w:cstheme="minorBidi"/>
      <w:caps/>
      <w:color w:val="FFFFFF" w:themeColor="background1"/>
      <w:spacing w:val="5"/>
      <w:kern w:val="28"/>
      <w:sz w:val="80"/>
      <w:szCs w:val="80"/>
      <w:lang w:val="en-US" w:eastAsia="en-US" w:bidi="ar-SA"/>
    </w:rPr>
  </w:style>
  <w:style w:type="character" w:customStyle="1" w:styleId="TitleChar">
    <w:name w:val="Title Char"/>
    <w:aliases w:val="TITLE Char"/>
    <w:basedOn w:val="DefaultParagraphFont"/>
    <w:link w:val="Title"/>
    <w:uiPriority w:val="10"/>
    <w:rsid w:val="008C6DF0"/>
    <w:rPr>
      <w:rFonts w:ascii="Arial" w:eastAsia="MS Gothic" w:hAnsi="Arial"/>
      <w:caps/>
      <w:color w:val="FFFFFF" w:themeColor="background1"/>
      <w:spacing w:val="5"/>
      <w:kern w:val="28"/>
      <w:sz w:val="80"/>
      <w:szCs w:val="80"/>
    </w:rPr>
  </w:style>
  <w:style w:type="paragraph" w:customStyle="1" w:styleId="Coversubhead">
    <w:name w:val="Cover subhead"/>
    <w:basedOn w:val="Normal"/>
    <w:link w:val="CoversubheadChar"/>
    <w:autoRedefine/>
    <w:qFormat/>
    <w:rsid w:val="008C6DF0"/>
    <w:pPr>
      <w:keepNext/>
      <w:keepLines/>
      <w:widowControl/>
      <w:autoSpaceDE/>
      <w:autoSpaceDN/>
      <w:spacing w:before="240" w:after="240"/>
      <w:outlineLvl w:val="0"/>
    </w:pPr>
    <w:rPr>
      <w:rFonts w:eastAsiaTheme="minorHAnsi" w:cstheme="minorBidi"/>
      <w:bCs/>
      <w:caps/>
      <w:color w:val="FFD400"/>
      <w:spacing w:val="20"/>
      <w:sz w:val="32"/>
      <w:szCs w:val="32"/>
      <w:lang w:val="en-US" w:eastAsia="en-US" w:bidi="ar-SA"/>
    </w:rPr>
  </w:style>
  <w:style w:type="character" w:customStyle="1" w:styleId="CoversubheadChar">
    <w:name w:val="Cover subhead Char"/>
    <w:link w:val="Coversubhead"/>
    <w:rsid w:val="008C6DF0"/>
    <w:rPr>
      <w:rFonts w:ascii="Arial" w:hAnsi="Arial"/>
      <w:bCs/>
      <w:caps/>
      <w:color w:val="FFD400"/>
      <w:spacing w:val="20"/>
      <w:sz w:val="32"/>
      <w:szCs w:val="32"/>
    </w:rPr>
  </w:style>
  <w:style w:type="character" w:customStyle="1" w:styleId="Heading1Char">
    <w:name w:val="Heading 1 Char"/>
    <w:basedOn w:val="DefaultParagraphFont"/>
    <w:link w:val="Heading1"/>
    <w:uiPriority w:val="9"/>
    <w:rsid w:val="00664E4F"/>
    <w:rPr>
      <w:rFonts w:ascii="Arial" w:eastAsia="MS Gothic" w:hAnsi="Arial" w:cs="Times New Roman"/>
      <w:color w:val="AA9B70"/>
      <w:spacing w:val="20"/>
      <w:sz w:val="32"/>
      <w:szCs w:val="32"/>
    </w:rPr>
  </w:style>
  <w:style w:type="character" w:customStyle="1" w:styleId="Heading2Char">
    <w:name w:val="Heading 2 Char"/>
    <w:basedOn w:val="DefaultParagraphFont"/>
    <w:link w:val="Heading2"/>
    <w:uiPriority w:val="9"/>
    <w:rsid w:val="00664E4F"/>
    <w:rPr>
      <w:rFonts w:ascii="Arial" w:eastAsia="MS Gothic" w:hAnsi="Arial" w:cs="Times New Roman"/>
      <w:b/>
      <w:bCs/>
      <w:color w:val="21314D"/>
      <w:sz w:val="24"/>
      <w:szCs w:val="24"/>
    </w:rPr>
  </w:style>
  <w:style w:type="paragraph" w:styleId="Subtitle">
    <w:name w:val="Subtitle"/>
    <w:basedOn w:val="Normal"/>
    <w:next w:val="Normal"/>
    <w:link w:val="SubtitleChar"/>
    <w:uiPriority w:val="11"/>
    <w:qFormat/>
    <w:rsid w:val="00664E4F"/>
    <w:pPr>
      <w:widowControl/>
      <w:numPr>
        <w:ilvl w:val="1"/>
      </w:numPr>
      <w:autoSpaceDE/>
      <w:autoSpaceDN/>
      <w:spacing w:before="120" w:after="120"/>
    </w:pPr>
    <w:rPr>
      <w:rFonts w:eastAsia="MS Gothic"/>
      <w:bCs/>
      <w:caps/>
      <w:color w:val="FDC82F"/>
      <w:spacing w:val="15"/>
      <w:sz w:val="28"/>
      <w:szCs w:val="36"/>
      <w:lang w:val="en-US" w:eastAsia="en-US" w:bidi="ar-SA"/>
    </w:rPr>
  </w:style>
  <w:style w:type="character" w:customStyle="1" w:styleId="SubtitleChar">
    <w:name w:val="Subtitle Char"/>
    <w:basedOn w:val="DefaultParagraphFont"/>
    <w:link w:val="Subtitle"/>
    <w:uiPriority w:val="11"/>
    <w:rsid w:val="00664E4F"/>
    <w:rPr>
      <w:rFonts w:ascii="Arial" w:eastAsia="MS Gothic" w:hAnsi="Arial" w:cs="Times New Roman"/>
      <w:bCs/>
      <w:caps/>
      <w:color w:val="FDC82F"/>
      <w:spacing w:val="15"/>
      <w:sz w:val="28"/>
      <w:szCs w:val="36"/>
    </w:rPr>
  </w:style>
  <w:style w:type="character" w:styleId="Emphasis">
    <w:name w:val="Emphasis"/>
    <w:uiPriority w:val="20"/>
    <w:rsid w:val="00664E4F"/>
    <w:rPr>
      <w:i/>
      <w:iCs/>
    </w:rPr>
  </w:style>
  <w:style w:type="paragraph" w:customStyle="1" w:styleId="Chapterheading">
    <w:name w:val="Chapter heading"/>
    <w:basedOn w:val="Heading1"/>
    <w:qFormat/>
    <w:rsid w:val="00664E4F"/>
    <w:rPr>
      <w:color w:val="21314D"/>
      <w:sz w:val="48"/>
      <w:szCs w:val="48"/>
    </w:rPr>
  </w:style>
  <w:style w:type="table" w:styleId="TableGrid">
    <w:name w:val="Table Grid"/>
    <w:basedOn w:val="TableNormal"/>
    <w:rsid w:val="00E866EF"/>
    <w:pPr>
      <w:widowControl/>
      <w:autoSpaceDE/>
      <w:autoSpaceDN/>
      <w:jc w:val="both"/>
    </w:pPr>
    <w:rPr>
      <w:rFonts w:ascii="Verdana" w:hAnsi="Verdana" w:cs="Times New Roman"/>
      <w:sz w:val="20"/>
      <w:szCs w:val="24"/>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8E87-35ED-469F-B66B-52EE1670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Hart</dc:creator>
  <cp:lastModifiedBy>Alexandra Strachan</cp:lastModifiedBy>
  <cp:revision>22</cp:revision>
  <dcterms:created xsi:type="dcterms:W3CDTF">2021-07-26T05:06:00Z</dcterms:created>
  <dcterms:modified xsi:type="dcterms:W3CDTF">2021-07-26T05:53:00Z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Adobe InDesign CC 13.0 (Macintosh)</vt:lpwstr>
  </property>
  <property fmtid="{D5CDD505-2E9C-101B-9397-08002B2CF9AE}" pid="4" name="LastSaved">
    <vt:filetime>2018-07-04T00:00:00Z</vt:filetime>
  </property>
</Properties>
</file>