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5448F5" w14:textId="77777777" w:rsidR="00895519" w:rsidRDefault="00895519" w:rsidP="00D2300A">
      <w:pPr>
        <w:pStyle w:val="BodyHeading"/>
        <w:sectPr w:rsidR="00895519" w:rsidSect="00CF4387">
          <w:headerReference w:type="default" r:id="rId8"/>
          <w:footerReference w:type="default" r:id="rId9"/>
          <w:headerReference w:type="first" r:id="rId10"/>
          <w:footerReference w:type="first" r:id="rId11"/>
          <w:pgSz w:w="11899" w:h="16838" w:code="9"/>
          <w:pgMar w:top="946" w:right="907" w:bottom="1418" w:left="907" w:header="284" w:footer="442" w:gutter="0"/>
          <w:cols w:space="720"/>
        </w:sectPr>
      </w:pPr>
    </w:p>
    <w:p w14:paraId="317FE67A" w14:textId="77777777" w:rsidR="00895519" w:rsidRPr="00D0554E" w:rsidRDefault="00F21171" w:rsidP="002C0166">
      <w:pPr>
        <w:pStyle w:val="Body"/>
        <w:rPr>
          <w:sz w:val="18"/>
          <w:szCs w:val="18"/>
        </w:rPr>
      </w:pPr>
      <w:r w:rsidRPr="00D0554E">
        <w:rPr>
          <w:sz w:val="18"/>
          <w:szCs w:val="18"/>
        </w:rPr>
        <w:lastRenderedPageBreak/>
        <w:t>This checklist</w:t>
      </w:r>
      <w:r w:rsidR="00895519" w:rsidRPr="00D0554E">
        <w:rPr>
          <w:sz w:val="18"/>
          <w:szCs w:val="18"/>
        </w:rPr>
        <w:t xml:space="preserve"> should be completed in conjunction with the preparation of tax reconciliation return workpapers. The checklist provides a general list of major issues that should be addressed. (The checklist is not designed to be an exhaustive list of all issues that may warrant consideration)</w:t>
      </w:r>
    </w:p>
    <w:p w14:paraId="12B99962" w14:textId="77777777" w:rsidR="004C2FB9" w:rsidRPr="00E126E1" w:rsidRDefault="004C2FB9" w:rsidP="002C0166">
      <w:pPr>
        <w:pStyle w:val="Body"/>
      </w:pPr>
    </w:p>
    <w:p w14:paraId="753E0DE1" w14:textId="77777777" w:rsidR="004C2FB9" w:rsidRPr="00D0554E" w:rsidRDefault="004C2FB9" w:rsidP="004C2FB9">
      <w:pPr>
        <w:pStyle w:val="Body"/>
        <w:spacing w:before="0" w:after="0"/>
        <w:ind w:left="-125" w:right="-119"/>
        <w:rPr>
          <w:b/>
          <w:i w:val="0"/>
        </w:rPr>
      </w:pPr>
      <w:r w:rsidRPr="00D0554E">
        <w:rPr>
          <w:b/>
          <w:i w:val="0"/>
        </w:rPr>
        <w:t>Disclaimer</w:t>
      </w:r>
    </w:p>
    <w:p w14:paraId="68A7634D" w14:textId="137B411F" w:rsidR="004C2FB9" w:rsidRPr="00D0554E" w:rsidRDefault="004C2FB9" w:rsidP="004C2FB9">
      <w:pPr>
        <w:pStyle w:val="Body"/>
        <w:spacing w:before="0" w:after="0"/>
        <w:ind w:left="-125" w:right="-119"/>
        <w:rPr>
          <w:i w:val="0"/>
        </w:rPr>
      </w:pPr>
      <w:r w:rsidRPr="00D0554E">
        <w:rPr>
          <w:i w:val="0"/>
        </w:rPr>
        <w:t>CPA Australia and the authors have used reasonable care and skill in compiling the content of this material. However, CPA Australia and the authors make no warranty as to the accuracy or completeness of any information in these materials. This material is intended to be a general guide only. All practitioners, readers, viewers and users are advised to undertake their own research or to seek professional advice to keep abreast of any reforms and developments in the law. To the extent permitted by applicable law, CPA Australia, its employees, agents and consultants exclude all liability for any loss or damage claims and expenses including but not limited to legal costs, indirect special or consequential loss or damage (including but not limited to, negligence) arising out of the information in the materials.</w:t>
      </w:r>
    </w:p>
    <w:p w14:paraId="7A7DFB21" w14:textId="503AABD8" w:rsidR="00D0554E" w:rsidRPr="00D0554E" w:rsidRDefault="00D0554E" w:rsidP="004C2FB9">
      <w:pPr>
        <w:pStyle w:val="Body"/>
        <w:spacing w:before="0" w:after="0"/>
        <w:ind w:left="-125" w:right="-119"/>
        <w:rPr>
          <w:i w:val="0"/>
        </w:rPr>
      </w:pPr>
    </w:p>
    <w:p w14:paraId="75DF6C0F" w14:textId="0FA9DEF3" w:rsidR="00D0554E" w:rsidRPr="00D0554E" w:rsidRDefault="00D0554E" w:rsidP="004C2FB9">
      <w:pPr>
        <w:pStyle w:val="Body"/>
        <w:spacing w:before="0" w:after="0"/>
        <w:ind w:left="-125" w:right="-119"/>
        <w:rPr>
          <w:i w:val="0"/>
        </w:rPr>
      </w:pPr>
      <w:bookmarkStart w:id="0" w:name="_Hlk516211045"/>
      <w:r w:rsidRPr="00D0554E">
        <w:rPr>
          <w:i w:val="0"/>
        </w:rPr>
        <w:t>This information is based on legislation current as at 8 June 2018.</w:t>
      </w:r>
    </w:p>
    <w:bookmarkEnd w:id="0"/>
    <w:p w14:paraId="789976D5" w14:textId="77777777" w:rsidR="00895519" w:rsidRPr="00AC6482" w:rsidRDefault="00895519" w:rsidP="00E126E1">
      <w:pPr>
        <w:pStyle w:val="Body"/>
        <w:rPr>
          <w:sz w:val="22"/>
        </w:rPr>
      </w:pPr>
    </w:p>
    <w:tbl>
      <w:tblPr>
        <w:tblW w:w="5000" w:type="pct"/>
        <w:tblBorders>
          <w:top w:val="single" w:sz="4" w:space="0" w:color="939598"/>
          <w:left w:val="single" w:sz="4" w:space="0" w:color="939598"/>
          <w:bottom w:val="single" w:sz="4" w:space="0" w:color="939598"/>
          <w:right w:val="single" w:sz="4" w:space="0" w:color="939598"/>
        </w:tblBorders>
        <w:tblLook w:val="00A0" w:firstRow="1" w:lastRow="0" w:firstColumn="1" w:lastColumn="0" w:noHBand="0" w:noVBand="0"/>
      </w:tblPr>
      <w:tblGrid>
        <w:gridCol w:w="1838"/>
        <w:gridCol w:w="8237"/>
      </w:tblGrid>
      <w:tr w:rsidR="000B3D98" w:rsidRPr="009904B1" w14:paraId="6B0BAD7F" w14:textId="77777777" w:rsidTr="007C20B2">
        <w:tc>
          <w:tcPr>
            <w:tcW w:w="912" w:type="pct"/>
            <w:tcBorders>
              <w:top w:val="single" w:sz="4" w:space="0" w:color="939598"/>
              <w:bottom w:val="single" w:sz="4" w:space="0" w:color="939598"/>
            </w:tcBorders>
            <w:shd w:val="clear" w:color="auto" w:fill="051C3C"/>
          </w:tcPr>
          <w:p w14:paraId="3270BEDE" w14:textId="5A2A6B9D" w:rsidR="000B3D98" w:rsidRPr="00D0554E" w:rsidRDefault="000B3D98" w:rsidP="00D0554E">
            <w:pPr>
              <w:pStyle w:val="Table"/>
              <w:spacing w:before="100" w:after="100"/>
              <w:rPr>
                <w:b/>
                <w:sz w:val="18"/>
                <w:szCs w:val="18"/>
              </w:rPr>
            </w:pPr>
            <w:r w:rsidRPr="00D0554E">
              <w:rPr>
                <w:b/>
                <w:sz w:val="18"/>
                <w:szCs w:val="18"/>
              </w:rPr>
              <w:t>E</w:t>
            </w:r>
            <w:r w:rsidR="007C20B2">
              <w:rPr>
                <w:b/>
                <w:sz w:val="18"/>
                <w:szCs w:val="18"/>
              </w:rPr>
              <w:t>NTITY’S NAME</w:t>
            </w:r>
            <w:r w:rsidRPr="00D0554E">
              <w:rPr>
                <w:b/>
                <w:sz w:val="18"/>
                <w:szCs w:val="18"/>
              </w:rPr>
              <w:t xml:space="preserve">   </w:t>
            </w:r>
          </w:p>
        </w:tc>
        <w:tc>
          <w:tcPr>
            <w:tcW w:w="4088" w:type="pct"/>
            <w:tcBorders>
              <w:top w:val="single" w:sz="4" w:space="0" w:color="939598"/>
              <w:bottom w:val="single" w:sz="4" w:space="0" w:color="939598"/>
            </w:tcBorders>
            <w:shd w:val="clear" w:color="auto" w:fill="auto"/>
          </w:tcPr>
          <w:p w14:paraId="2A571D4C" w14:textId="77777777" w:rsidR="000B3D98" w:rsidRPr="009904B1" w:rsidRDefault="000B3D98" w:rsidP="00D0554E">
            <w:pPr>
              <w:pStyle w:val="Table"/>
              <w:spacing w:before="100" w:after="100"/>
            </w:pPr>
          </w:p>
        </w:tc>
      </w:tr>
    </w:tbl>
    <w:p w14:paraId="3A0BC684" w14:textId="77777777" w:rsidR="00895519" w:rsidRDefault="00895519" w:rsidP="00E126E1">
      <w:pPr>
        <w:pStyle w:val="Body"/>
      </w:pPr>
    </w:p>
    <w:tbl>
      <w:tblPr>
        <w:tblW w:w="5000" w:type="pct"/>
        <w:tblBorders>
          <w:top w:val="single" w:sz="4" w:space="0" w:color="939598"/>
          <w:left w:val="single" w:sz="4" w:space="0" w:color="939598"/>
          <w:bottom w:val="single" w:sz="4" w:space="0" w:color="939598"/>
          <w:right w:val="single" w:sz="4" w:space="0" w:color="939598"/>
        </w:tblBorders>
        <w:tblLayout w:type="fixed"/>
        <w:tblLook w:val="00A0" w:firstRow="1" w:lastRow="0" w:firstColumn="1" w:lastColumn="0" w:noHBand="0" w:noVBand="0"/>
      </w:tblPr>
      <w:tblGrid>
        <w:gridCol w:w="8218"/>
        <w:gridCol w:w="709"/>
        <w:gridCol w:w="566"/>
        <w:gridCol w:w="582"/>
      </w:tblGrid>
      <w:tr w:rsidR="00895519" w:rsidRPr="005A1539" w14:paraId="5B98BD69" w14:textId="77777777" w:rsidTr="007C20B2">
        <w:trPr>
          <w:tblHeader/>
        </w:trPr>
        <w:tc>
          <w:tcPr>
            <w:tcW w:w="4078" w:type="pct"/>
            <w:tcBorders>
              <w:top w:val="single" w:sz="4" w:space="0" w:color="939598"/>
              <w:bottom w:val="single" w:sz="4" w:space="0" w:color="939598"/>
              <w:right w:val="single" w:sz="4" w:space="0" w:color="939598"/>
            </w:tcBorders>
            <w:shd w:val="clear" w:color="auto" w:fill="0F243E" w:themeFill="text2" w:themeFillShade="80"/>
          </w:tcPr>
          <w:p w14:paraId="70CB86A6" w14:textId="125798A2" w:rsidR="00895519" w:rsidRPr="005A1539" w:rsidRDefault="00895519" w:rsidP="00D0554E">
            <w:pPr>
              <w:pStyle w:val="Tableheading"/>
              <w:rPr>
                <w:sz w:val="18"/>
              </w:rPr>
            </w:pPr>
            <w:r w:rsidRPr="002C0166">
              <w:rPr>
                <w:sz w:val="18"/>
              </w:rPr>
              <w:t>P</w:t>
            </w:r>
            <w:r w:rsidR="007C20B2">
              <w:rPr>
                <w:sz w:val="18"/>
              </w:rPr>
              <w:t>RIOR YEAR TAX RETURN CONSIDERATIONS</w:t>
            </w:r>
          </w:p>
        </w:tc>
        <w:tc>
          <w:tcPr>
            <w:tcW w:w="352" w:type="pct"/>
            <w:tcBorders>
              <w:top w:val="single" w:sz="4" w:space="0" w:color="939598"/>
              <w:left w:val="single" w:sz="4" w:space="0" w:color="939598"/>
              <w:bottom w:val="single" w:sz="4" w:space="0" w:color="939598"/>
              <w:right w:val="single" w:sz="4" w:space="0" w:color="939598"/>
            </w:tcBorders>
            <w:shd w:val="clear" w:color="auto" w:fill="0F243E" w:themeFill="text2" w:themeFillShade="80"/>
          </w:tcPr>
          <w:p w14:paraId="4AF98032" w14:textId="068B2684" w:rsidR="00895519" w:rsidRPr="005A1539" w:rsidRDefault="007C20B2" w:rsidP="00D0554E">
            <w:pPr>
              <w:pStyle w:val="Tableheading"/>
              <w:rPr>
                <w:sz w:val="18"/>
              </w:rPr>
            </w:pPr>
            <w:r>
              <w:rPr>
                <w:sz w:val="18"/>
              </w:rPr>
              <w:t>YES</w:t>
            </w:r>
          </w:p>
        </w:tc>
        <w:tc>
          <w:tcPr>
            <w:tcW w:w="281" w:type="pct"/>
            <w:tcBorders>
              <w:top w:val="single" w:sz="4" w:space="0" w:color="939598"/>
              <w:left w:val="single" w:sz="4" w:space="0" w:color="939598"/>
              <w:bottom w:val="single" w:sz="4" w:space="0" w:color="939598"/>
              <w:right w:val="single" w:sz="4" w:space="0" w:color="939598"/>
            </w:tcBorders>
            <w:shd w:val="clear" w:color="auto" w:fill="0F243E" w:themeFill="text2" w:themeFillShade="80"/>
          </w:tcPr>
          <w:p w14:paraId="60B7DB99" w14:textId="769F7168" w:rsidR="00895519" w:rsidRPr="005A1539" w:rsidRDefault="00895519" w:rsidP="00D0554E">
            <w:pPr>
              <w:pStyle w:val="Tableheading"/>
              <w:rPr>
                <w:sz w:val="18"/>
              </w:rPr>
            </w:pPr>
            <w:r w:rsidRPr="005A1539">
              <w:rPr>
                <w:sz w:val="18"/>
              </w:rPr>
              <w:t>N</w:t>
            </w:r>
            <w:r w:rsidR="007C20B2">
              <w:rPr>
                <w:sz w:val="18"/>
              </w:rPr>
              <w:t>O</w:t>
            </w:r>
          </w:p>
        </w:tc>
        <w:tc>
          <w:tcPr>
            <w:tcW w:w="289" w:type="pct"/>
            <w:tcBorders>
              <w:top w:val="single" w:sz="4" w:space="0" w:color="939598"/>
              <w:left w:val="single" w:sz="4" w:space="0" w:color="939598"/>
              <w:bottom w:val="single" w:sz="4" w:space="0" w:color="939598"/>
            </w:tcBorders>
            <w:shd w:val="clear" w:color="auto" w:fill="0F243E" w:themeFill="text2" w:themeFillShade="80"/>
          </w:tcPr>
          <w:p w14:paraId="087069D5" w14:textId="77777777" w:rsidR="00895519" w:rsidRPr="005A1539" w:rsidRDefault="00895519" w:rsidP="00D0554E">
            <w:pPr>
              <w:pStyle w:val="Tableheading"/>
              <w:rPr>
                <w:sz w:val="18"/>
              </w:rPr>
            </w:pPr>
            <w:r w:rsidRPr="005A1539">
              <w:rPr>
                <w:sz w:val="18"/>
              </w:rPr>
              <w:t>N/A</w:t>
            </w:r>
          </w:p>
        </w:tc>
      </w:tr>
      <w:tr w:rsidR="00895519" w:rsidRPr="009904B1" w14:paraId="411DA0CC" w14:textId="77777777" w:rsidTr="007C20B2">
        <w:tc>
          <w:tcPr>
            <w:tcW w:w="4078" w:type="pct"/>
            <w:tcBorders>
              <w:top w:val="single" w:sz="4" w:space="0" w:color="939598"/>
              <w:bottom w:val="single" w:sz="4" w:space="0" w:color="939598"/>
              <w:right w:val="single" w:sz="4" w:space="0" w:color="939598"/>
            </w:tcBorders>
          </w:tcPr>
          <w:p w14:paraId="0DA7455B" w14:textId="77777777" w:rsidR="00895519" w:rsidRPr="002C0166" w:rsidRDefault="00895519" w:rsidP="00D0554E">
            <w:pPr>
              <w:pStyle w:val="Table"/>
              <w:spacing w:before="100" w:after="100"/>
            </w:pPr>
            <w:r w:rsidRPr="002C0166">
              <w:t>Has last year’s tax return been checked for reversing tim</w:t>
            </w:r>
            <w:r w:rsidR="00890E38">
              <w:t>ing</w:t>
            </w:r>
            <w:r w:rsidRPr="002C0166">
              <w:t xml:space="preserve"> differences (e.g. accruals and provisions)?</w:t>
            </w:r>
          </w:p>
        </w:tc>
        <w:tc>
          <w:tcPr>
            <w:tcW w:w="352" w:type="pct"/>
            <w:tcBorders>
              <w:top w:val="single" w:sz="4" w:space="0" w:color="939598"/>
              <w:left w:val="single" w:sz="4" w:space="0" w:color="939598"/>
              <w:bottom w:val="single" w:sz="4" w:space="0" w:color="939598"/>
              <w:right w:val="single" w:sz="4" w:space="0" w:color="939598"/>
            </w:tcBorders>
            <w:vAlign w:val="center"/>
          </w:tcPr>
          <w:p w14:paraId="651C7039" w14:textId="77777777" w:rsidR="00895519" w:rsidRPr="009904B1" w:rsidRDefault="00895519" w:rsidP="00D0554E">
            <w:pPr>
              <w:pStyle w:val="Table"/>
              <w:spacing w:before="100" w:after="100"/>
            </w:pPr>
          </w:p>
        </w:tc>
        <w:tc>
          <w:tcPr>
            <w:tcW w:w="281" w:type="pct"/>
            <w:tcBorders>
              <w:top w:val="single" w:sz="4" w:space="0" w:color="939598"/>
              <w:left w:val="single" w:sz="4" w:space="0" w:color="939598"/>
              <w:bottom w:val="single" w:sz="4" w:space="0" w:color="939598"/>
              <w:right w:val="single" w:sz="4" w:space="0" w:color="939598"/>
            </w:tcBorders>
            <w:vAlign w:val="center"/>
          </w:tcPr>
          <w:p w14:paraId="0F0A3571" w14:textId="77777777" w:rsidR="00895519" w:rsidRPr="009904B1" w:rsidRDefault="00895519" w:rsidP="00D0554E">
            <w:pPr>
              <w:pStyle w:val="Table"/>
              <w:spacing w:before="100" w:after="100"/>
            </w:pPr>
          </w:p>
        </w:tc>
        <w:tc>
          <w:tcPr>
            <w:tcW w:w="289" w:type="pct"/>
            <w:tcBorders>
              <w:top w:val="single" w:sz="4" w:space="0" w:color="939598"/>
              <w:left w:val="single" w:sz="4" w:space="0" w:color="939598"/>
              <w:bottom w:val="single" w:sz="4" w:space="0" w:color="939598"/>
            </w:tcBorders>
            <w:vAlign w:val="center"/>
          </w:tcPr>
          <w:p w14:paraId="15B0F7C3" w14:textId="77777777" w:rsidR="00895519" w:rsidRPr="009904B1" w:rsidRDefault="00895519" w:rsidP="00D0554E">
            <w:pPr>
              <w:pStyle w:val="Table"/>
              <w:spacing w:before="100" w:after="100"/>
            </w:pPr>
          </w:p>
        </w:tc>
      </w:tr>
      <w:tr w:rsidR="00895519" w14:paraId="1BFC9A23" w14:textId="77777777" w:rsidTr="007C20B2">
        <w:tc>
          <w:tcPr>
            <w:tcW w:w="4078" w:type="pct"/>
            <w:tcBorders>
              <w:top w:val="single" w:sz="4" w:space="0" w:color="939598"/>
              <w:bottom w:val="single" w:sz="4" w:space="0" w:color="939598"/>
              <w:right w:val="single" w:sz="4" w:space="0" w:color="939598"/>
            </w:tcBorders>
          </w:tcPr>
          <w:p w14:paraId="28AE8B5A" w14:textId="79168842" w:rsidR="00895519" w:rsidRPr="002C0166" w:rsidRDefault="00895519" w:rsidP="00D0554E">
            <w:pPr>
              <w:pStyle w:val="Table"/>
              <w:spacing w:before="100" w:after="100"/>
            </w:pPr>
            <w:r w:rsidRPr="002C0166">
              <w:t>Has last year’s tax return been checked for recurring tim</w:t>
            </w:r>
            <w:r w:rsidR="00890E38">
              <w:t>ing</w:t>
            </w:r>
            <w:r w:rsidRPr="002C0166">
              <w:t xml:space="preserve"> differences that may need </w:t>
            </w:r>
            <w:r w:rsidR="00890E38">
              <w:t xml:space="preserve">to be </w:t>
            </w:r>
            <w:r w:rsidRPr="002C0166">
              <w:t>consider</w:t>
            </w:r>
            <w:r w:rsidR="00890E38">
              <w:t>ed</w:t>
            </w:r>
            <w:r w:rsidRPr="002C0166">
              <w:t xml:space="preserve"> in the current year (e.g. amortisation of software</w:t>
            </w:r>
            <w:r w:rsidR="00DF281D">
              <w:t xml:space="preserve"> </w:t>
            </w:r>
            <w:r w:rsidR="00D01EE8">
              <w:t xml:space="preserve">development </w:t>
            </w:r>
            <w:r w:rsidR="00DF281D">
              <w:t>pool</w:t>
            </w:r>
            <w:r w:rsidRPr="002C0166">
              <w:t xml:space="preserve"> </w:t>
            </w:r>
            <w:r w:rsidR="00DF281D">
              <w:t>or</w:t>
            </w:r>
            <w:r w:rsidRPr="002C0166">
              <w:t xml:space="preserve"> blackhole expenditure deductible in accordance with section 40-880 of the </w:t>
            </w:r>
            <w:r w:rsidRPr="008B7C82">
              <w:rPr>
                <w:i/>
              </w:rPr>
              <w:t>Income Tax Assessment Act 1997</w:t>
            </w:r>
            <w:r w:rsidRPr="002C0166">
              <w:t>)?</w:t>
            </w:r>
          </w:p>
        </w:tc>
        <w:tc>
          <w:tcPr>
            <w:tcW w:w="352" w:type="pct"/>
            <w:tcBorders>
              <w:top w:val="single" w:sz="4" w:space="0" w:color="939598"/>
              <w:left w:val="single" w:sz="4" w:space="0" w:color="939598"/>
              <w:bottom w:val="single" w:sz="4" w:space="0" w:color="939598"/>
              <w:right w:val="single" w:sz="4" w:space="0" w:color="939598"/>
            </w:tcBorders>
            <w:vAlign w:val="center"/>
          </w:tcPr>
          <w:p w14:paraId="4B24BBFC" w14:textId="77777777" w:rsidR="00895519" w:rsidRDefault="00895519" w:rsidP="00D0554E">
            <w:pPr>
              <w:pStyle w:val="Table"/>
              <w:spacing w:before="100" w:after="100"/>
            </w:pPr>
          </w:p>
        </w:tc>
        <w:tc>
          <w:tcPr>
            <w:tcW w:w="281" w:type="pct"/>
            <w:tcBorders>
              <w:top w:val="single" w:sz="4" w:space="0" w:color="939598"/>
              <w:left w:val="single" w:sz="4" w:space="0" w:color="939598"/>
              <w:bottom w:val="single" w:sz="4" w:space="0" w:color="939598"/>
              <w:right w:val="single" w:sz="4" w:space="0" w:color="939598"/>
            </w:tcBorders>
            <w:vAlign w:val="center"/>
          </w:tcPr>
          <w:p w14:paraId="5B4C868A" w14:textId="77777777" w:rsidR="00895519" w:rsidRDefault="00895519" w:rsidP="00D0554E">
            <w:pPr>
              <w:pStyle w:val="Table"/>
              <w:spacing w:before="100" w:after="100"/>
            </w:pPr>
          </w:p>
        </w:tc>
        <w:tc>
          <w:tcPr>
            <w:tcW w:w="289" w:type="pct"/>
            <w:tcBorders>
              <w:top w:val="single" w:sz="4" w:space="0" w:color="939598"/>
              <w:left w:val="single" w:sz="4" w:space="0" w:color="939598"/>
              <w:bottom w:val="single" w:sz="4" w:space="0" w:color="939598"/>
            </w:tcBorders>
            <w:vAlign w:val="center"/>
          </w:tcPr>
          <w:p w14:paraId="21D24DBA" w14:textId="77777777" w:rsidR="00895519" w:rsidRPr="00AF24CF" w:rsidRDefault="00895519" w:rsidP="00D0554E">
            <w:pPr>
              <w:pStyle w:val="Table"/>
              <w:spacing w:before="100" w:after="100"/>
            </w:pPr>
          </w:p>
        </w:tc>
      </w:tr>
      <w:tr w:rsidR="00895519" w14:paraId="24438E87" w14:textId="77777777" w:rsidTr="007C20B2">
        <w:tc>
          <w:tcPr>
            <w:tcW w:w="4078" w:type="pct"/>
            <w:tcBorders>
              <w:top w:val="single" w:sz="4" w:space="0" w:color="939598"/>
              <w:bottom w:val="single" w:sz="4" w:space="0" w:color="939598"/>
              <w:right w:val="single" w:sz="4" w:space="0" w:color="939598"/>
            </w:tcBorders>
          </w:tcPr>
          <w:p w14:paraId="44B1E1B8" w14:textId="77777777" w:rsidR="00895519" w:rsidRPr="002C0166" w:rsidRDefault="00895519" w:rsidP="00D0554E">
            <w:pPr>
              <w:pStyle w:val="Table"/>
              <w:spacing w:before="100" w:after="100"/>
            </w:pPr>
            <w:r w:rsidRPr="002C0166">
              <w:t>Has last year’s tax return been checked for tax losses and capital losses carried forward to the current income year?</w:t>
            </w:r>
          </w:p>
        </w:tc>
        <w:tc>
          <w:tcPr>
            <w:tcW w:w="352" w:type="pct"/>
            <w:tcBorders>
              <w:top w:val="single" w:sz="4" w:space="0" w:color="939598"/>
              <w:left w:val="single" w:sz="4" w:space="0" w:color="939598"/>
              <w:bottom w:val="single" w:sz="4" w:space="0" w:color="939598"/>
              <w:right w:val="single" w:sz="4" w:space="0" w:color="939598"/>
            </w:tcBorders>
            <w:vAlign w:val="center"/>
          </w:tcPr>
          <w:p w14:paraId="772D21BD" w14:textId="77777777" w:rsidR="00895519" w:rsidRDefault="00895519" w:rsidP="00D0554E">
            <w:pPr>
              <w:pStyle w:val="Table"/>
              <w:spacing w:before="100" w:after="100"/>
            </w:pPr>
          </w:p>
        </w:tc>
        <w:tc>
          <w:tcPr>
            <w:tcW w:w="281" w:type="pct"/>
            <w:tcBorders>
              <w:top w:val="single" w:sz="4" w:space="0" w:color="939598"/>
              <w:left w:val="single" w:sz="4" w:space="0" w:color="939598"/>
              <w:bottom w:val="single" w:sz="4" w:space="0" w:color="939598"/>
              <w:right w:val="single" w:sz="4" w:space="0" w:color="939598"/>
            </w:tcBorders>
            <w:vAlign w:val="center"/>
          </w:tcPr>
          <w:p w14:paraId="19743DF5" w14:textId="77777777" w:rsidR="00895519" w:rsidRDefault="00895519" w:rsidP="00D0554E">
            <w:pPr>
              <w:pStyle w:val="Table"/>
              <w:spacing w:before="100" w:after="100"/>
            </w:pPr>
          </w:p>
        </w:tc>
        <w:tc>
          <w:tcPr>
            <w:tcW w:w="289" w:type="pct"/>
            <w:tcBorders>
              <w:top w:val="single" w:sz="4" w:space="0" w:color="939598"/>
              <w:left w:val="single" w:sz="4" w:space="0" w:color="939598"/>
              <w:bottom w:val="single" w:sz="4" w:space="0" w:color="939598"/>
            </w:tcBorders>
            <w:vAlign w:val="center"/>
          </w:tcPr>
          <w:p w14:paraId="1B79A1DE" w14:textId="77777777" w:rsidR="00895519" w:rsidRPr="00AF24CF" w:rsidRDefault="00895519" w:rsidP="00D0554E">
            <w:pPr>
              <w:pStyle w:val="Table"/>
              <w:spacing w:before="100" w:after="100"/>
            </w:pPr>
          </w:p>
        </w:tc>
      </w:tr>
      <w:tr w:rsidR="00895519" w14:paraId="14FD7CEA" w14:textId="77777777" w:rsidTr="007C20B2">
        <w:tc>
          <w:tcPr>
            <w:tcW w:w="4078" w:type="pct"/>
            <w:tcBorders>
              <w:top w:val="single" w:sz="4" w:space="0" w:color="939598"/>
              <w:bottom w:val="single" w:sz="4" w:space="0" w:color="939598"/>
              <w:right w:val="single" w:sz="4" w:space="0" w:color="939598"/>
            </w:tcBorders>
          </w:tcPr>
          <w:p w14:paraId="4EBF9274" w14:textId="77777777" w:rsidR="00895519" w:rsidRPr="002C0166" w:rsidRDefault="00895519" w:rsidP="00D0554E">
            <w:pPr>
              <w:pStyle w:val="Table"/>
              <w:spacing w:before="100" w:after="100"/>
            </w:pPr>
            <w:r w:rsidRPr="002C0166">
              <w:t>Have you checked the prior year action sheet for prior year carry forward issues?</w:t>
            </w:r>
          </w:p>
        </w:tc>
        <w:tc>
          <w:tcPr>
            <w:tcW w:w="352" w:type="pct"/>
            <w:tcBorders>
              <w:top w:val="single" w:sz="4" w:space="0" w:color="939598"/>
              <w:left w:val="single" w:sz="4" w:space="0" w:color="939598"/>
              <w:bottom w:val="single" w:sz="4" w:space="0" w:color="939598"/>
              <w:right w:val="single" w:sz="4" w:space="0" w:color="939598"/>
            </w:tcBorders>
            <w:vAlign w:val="center"/>
          </w:tcPr>
          <w:p w14:paraId="26625BEF" w14:textId="77777777" w:rsidR="00895519" w:rsidRDefault="00895519" w:rsidP="00D0554E">
            <w:pPr>
              <w:pStyle w:val="Table"/>
              <w:spacing w:before="100" w:after="100"/>
            </w:pPr>
          </w:p>
        </w:tc>
        <w:tc>
          <w:tcPr>
            <w:tcW w:w="281" w:type="pct"/>
            <w:tcBorders>
              <w:top w:val="single" w:sz="4" w:space="0" w:color="939598"/>
              <w:left w:val="single" w:sz="4" w:space="0" w:color="939598"/>
              <w:bottom w:val="single" w:sz="4" w:space="0" w:color="939598"/>
              <w:right w:val="single" w:sz="4" w:space="0" w:color="939598"/>
            </w:tcBorders>
            <w:vAlign w:val="center"/>
          </w:tcPr>
          <w:p w14:paraId="266DB9F7" w14:textId="77777777" w:rsidR="00895519" w:rsidRDefault="00895519" w:rsidP="00D0554E">
            <w:pPr>
              <w:pStyle w:val="Table"/>
              <w:spacing w:before="100" w:after="100"/>
            </w:pPr>
          </w:p>
        </w:tc>
        <w:tc>
          <w:tcPr>
            <w:tcW w:w="289" w:type="pct"/>
            <w:tcBorders>
              <w:top w:val="single" w:sz="4" w:space="0" w:color="939598"/>
              <w:left w:val="single" w:sz="4" w:space="0" w:color="939598"/>
              <w:bottom w:val="single" w:sz="4" w:space="0" w:color="939598"/>
            </w:tcBorders>
            <w:vAlign w:val="center"/>
          </w:tcPr>
          <w:p w14:paraId="5A83FFE9" w14:textId="77777777" w:rsidR="00895519" w:rsidRPr="00AF24CF" w:rsidRDefault="00895519" w:rsidP="00D0554E">
            <w:pPr>
              <w:pStyle w:val="Table"/>
              <w:spacing w:before="100" w:after="100"/>
            </w:pPr>
          </w:p>
        </w:tc>
      </w:tr>
      <w:tr w:rsidR="007A007A" w:rsidRPr="00AF24CF" w14:paraId="3A5FA5F7" w14:textId="77777777" w:rsidTr="00E35F99">
        <w:trPr>
          <w:trHeight w:val="998"/>
        </w:trPr>
        <w:tc>
          <w:tcPr>
            <w:tcW w:w="5000" w:type="pct"/>
            <w:gridSpan w:val="4"/>
            <w:tcBorders>
              <w:top w:val="single" w:sz="4" w:space="0" w:color="939598"/>
            </w:tcBorders>
          </w:tcPr>
          <w:p w14:paraId="5BADECBB" w14:textId="77777777" w:rsidR="007A007A" w:rsidRPr="00AF24CF" w:rsidRDefault="007A007A" w:rsidP="00D0554E">
            <w:pPr>
              <w:pStyle w:val="Tableheading"/>
            </w:pPr>
            <w:r>
              <w:t>Comments:</w:t>
            </w:r>
          </w:p>
        </w:tc>
      </w:tr>
      <w:tr w:rsidR="00E35F99" w:rsidRPr="005A1539" w14:paraId="1EA9F445" w14:textId="77777777" w:rsidTr="008C013F">
        <w:trPr>
          <w:tblHeader/>
        </w:trPr>
        <w:tc>
          <w:tcPr>
            <w:tcW w:w="4078" w:type="pct"/>
            <w:tcBorders>
              <w:top w:val="single" w:sz="4" w:space="0" w:color="939598"/>
              <w:bottom w:val="single" w:sz="4" w:space="0" w:color="939598"/>
              <w:right w:val="single" w:sz="4" w:space="0" w:color="939598"/>
            </w:tcBorders>
            <w:shd w:val="clear" w:color="auto" w:fill="0F243E" w:themeFill="text2" w:themeFillShade="80"/>
          </w:tcPr>
          <w:p w14:paraId="53616271" w14:textId="167776D1" w:rsidR="00E35F99" w:rsidRPr="005A1539" w:rsidRDefault="00E35F99" w:rsidP="008C013F">
            <w:pPr>
              <w:pStyle w:val="Tableheading"/>
              <w:rPr>
                <w:sz w:val="18"/>
              </w:rPr>
            </w:pPr>
            <w:r>
              <w:rPr>
                <w:sz w:val="18"/>
              </w:rPr>
              <w:t>STATEMENT OF FINANCIAL POSITION (BALANCE SHEET)</w:t>
            </w:r>
          </w:p>
        </w:tc>
        <w:tc>
          <w:tcPr>
            <w:tcW w:w="352" w:type="pct"/>
            <w:tcBorders>
              <w:top w:val="single" w:sz="4" w:space="0" w:color="939598"/>
              <w:left w:val="single" w:sz="4" w:space="0" w:color="939598"/>
              <w:bottom w:val="single" w:sz="4" w:space="0" w:color="939598"/>
              <w:right w:val="single" w:sz="4" w:space="0" w:color="939598"/>
            </w:tcBorders>
            <w:shd w:val="clear" w:color="auto" w:fill="0F243E" w:themeFill="text2" w:themeFillShade="80"/>
          </w:tcPr>
          <w:p w14:paraId="5A0A7E50" w14:textId="77777777" w:rsidR="00E35F99" w:rsidRPr="005A1539" w:rsidRDefault="00E35F99" w:rsidP="008C013F">
            <w:pPr>
              <w:pStyle w:val="Tableheading"/>
              <w:rPr>
                <w:sz w:val="18"/>
              </w:rPr>
            </w:pPr>
            <w:r>
              <w:rPr>
                <w:sz w:val="18"/>
              </w:rPr>
              <w:t>YES</w:t>
            </w:r>
          </w:p>
        </w:tc>
        <w:tc>
          <w:tcPr>
            <w:tcW w:w="281" w:type="pct"/>
            <w:tcBorders>
              <w:top w:val="single" w:sz="4" w:space="0" w:color="939598"/>
              <w:left w:val="single" w:sz="4" w:space="0" w:color="939598"/>
              <w:bottom w:val="single" w:sz="4" w:space="0" w:color="939598"/>
              <w:right w:val="single" w:sz="4" w:space="0" w:color="939598"/>
            </w:tcBorders>
            <w:shd w:val="clear" w:color="auto" w:fill="0F243E" w:themeFill="text2" w:themeFillShade="80"/>
          </w:tcPr>
          <w:p w14:paraId="5F9CA72A" w14:textId="77777777" w:rsidR="00E35F99" w:rsidRPr="005A1539" w:rsidRDefault="00E35F99" w:rsidP="008C013F">
            <w:pPr>
              <w:pStyle w:val="Tableheading"/>
              <w:rPr>
                <w:sz w:val="18"/>
              </w:rPr>
            </w:pPr>
            <w:r w:rsidRPr="005A1539">
              <w:rPr>
                <w:sz w:val="18"/>
              </w:rPr>
              <w:t>N</w:t>
            </w:r>
            <w:r>
              <w:rPr>
                <w:sz w:val="18"/>
              </w:rPr>
              <w:t>O</w:t>
            </w:r>
          </w:p>
        </w:tc>
        <w:tc>
          <w:tcPr>
            <w:tcW w:w="289" w:type="pct"/>
            <w:tcBorders>
              <w:top w:val="single" w:sz="4" w:space="0" w:color="939598"/>
              <w:left w:val="single" w:sz="4" w:space="0" w:color="939598"/>
              <w:bottom w:val="single" w:sz="4" w:space="0" w:color="939598"/>
            </w:tcBorders>
            <w:shd w:val="clear" w:color="auto" w:fill="0F243E" w:themeFill="text2" w:themeFillShade="80"/>
          </w:tcPr>
          <w:p w14:paraId="17C5E9E0" w14:textId="77777777" w:rsidR="00E35F99" w:rsidRPr="005A1539" w:rsidRDefault="00E35F99" w:rsidP="008C013F">
            <w:pPr>
              <w:pStyle w:val="Tableheading"/>
              <w:rPr>
                <w:sz w:val="18"/>
              </w:rPr>
            </w:pPr>
            <w:r w:rsidRPr="005A1539">
              <w:rPr>
                <w:sz w:val="18"/>
              </w:rPr>
              <w:t>N/A</w:t>
            </w:r>
          </w:p>
        </w:tc>
      </w:tr>
      <w:tr w:rsidR="007A007A" w:rsidRPr="00B340A7" w14:paraId="5C4DFE1A" w14:textId="77777777" w:rsidTr="007A007A">
        <w:tc>
          <w:tcPr>
            <w:tcW w:w="5000" w:type="pct"/>
            <w:gridSpan w:val="4"/>
            <w:tcBorders>
              <w:top w:val="single" w:sz="4" w:space="0" w:color="939598"/>
              <w:bottom w:val="single" w:sz="4" w:space="0" w:color="939598"/>
            </w:tcBorders>
            <w:shd w:val="clear" w:color="auto" w:fill="D9D9D9" w:themeFill="background1" w:themeFillShade="D9"/>
          </w:tcPr>
          <w:p w14:paraId="15FE6AA5" w14:textId="0F4C0519" w:rsidR="007A007A" w:rsidRPr="00B340A7" w:rsidRDefault="007A007A" w:rsidP="00D0554E">
            <w:pPr>
              <w:pStyle w:val="Tableheading"/>
            </w:pPr>
            <w:r w:rsidRPr="00CF4387">
              <w:t>G</w:t>
            </w:r>
            <w:r w:rsidR="00E35F99">
              <w:t>ENERAL</w:t>
            </w:r>
          </w:p>
        </w:tc>
      </w:tr>
      <w:tr w:rsidR="00895519" w14:paraId="615A68B9" w14:textId="77777777" w:rsidTr="00E35F99">
        <w:tc>
          <w:tcPr>
            <w:tcW w:w="4078" w:type="pct"/>
            <w:tcBorders>
              <w:top w:val="single" w:sz="4" w:space="0" w:color="939598"/>
              <w:bottom w:val="single" w:sz="4" w:space="0" w:color="939598"/>
              <w:right w:val="single" w:sz="4" w:space="0" w:color="939598"/>
            </w:tcBorders>
          </w:tcPr>
          <w:p w14:paraId="371A1432" w14:textId="77777777" w:rsidR="00895519" w:rsidRPr="00CC31E6" w:rsidRDefault="00895519" w:rsidP="00D0554E">
            <w:pPr>
              <w:pStyle w:val="Table"/>
              <w:spacing w:before="100" w:after="100"/>
            </w:pPr>
            <w:r w:rsidRPr="00CC31E6">
              <w:t xml:space="preserve">Have all balance sheet items been reviewed (e.g. deductibility of consumable stores, </w:t>
            </w:r>
            <w:r w:rsidR="00E04CD9">
              <w:t xml:space="preserve">asset </w:t>
            </w:r>
            <w:r w:rsidRPr="00CC31E6">
              <w:t>write-offs, assessability of deferred income, tax treatment of bills of exchange etc.)?</w:t>
            </w:r>
          </w:p>
        </w:tc>
        <w:tc>
          <w:tcPr>
            <w:tcW w:w="352" w:type="pct"/>
            <w:tcBorders>
              <w:top w:val="single" w:sz="4" w:space="0" w:color="939598"/>
              <w:left w:val="single" w:sz="4" w:space="0" w:color="939598"/>
              <w:bottom w:val="single" w:sz="4" w:space="0" w:color="939598"/>
              <w:right w:val="single" w:sz="4" w:space="0" w:color="939598"/>
            </w:tcBorders>
          </w:tcPr>
          <w:p w14:paraId="7E859974" w14:textId="77777777" w:rsidR="00895519" w:rsidRDefault="00895519" w:rsidP="00D0554E">
            <w:pPr>
              <w:pStyle w:val="Table"/>
              <w:spacing w:before="100" w:after="100"/>
            </w:pPr>
          </w:p>
        </w:tc>
        <w:tc>
          <w:tcPr>
            <w:tcW w:w="281" w:type="pct"/>
            <w:tcBorders>
              <w:top w:val="single" w:sz="4" w:space="0" w:color="939598"/>
              <w:left w:val="single" w:sz="4" w:space="0" w:color="939598"/>
              <w:bottom w:val="single" w:sz="4" w:space="0" w:color="939598"/>
              <w:right w:val="single" w:sz="4" w:space="0" w:color="939598"/>
            </w:tcBorders>
          </w:tcPr>
          <w:p w14:paraId="665CE86E" w14:textId="77777777" w:rsidR="00895519" w:rsidRDefault="00895519" w:rsidP="00D0554E">
            <w:pPr>
              <w:pStyle w:val="Table"/>
              <w:spacing w:before="100" w:after="100"/>
            </w:pPr>
          </w:p>
        </w:tc>
        <w:tc>
          <w:tcPr>
            <w:tcW w:w="289" w:type="pct"/>
            <w:tcBorders>
              <w:top w:val="single" w:sz="4" w:space="0" w:color="939598"/>
              <w:left w:val="single" w:sz="4" w:space="0" w:color="939598"/>
              <w:bottom w:val="single" w:sz="4" w:space="0" w:color="939598"/>
            </w:tcBorders>
          </w:tcPr>
          <w:p w14:paraId="154DB661" w14:textId="77777777" w:rsidR="00895519" w:rsidRDefault="00895519" w:rsidP="00D0554E">
            <w:pPr>
              <w:pStyle w:val="Table"/>
              <w:spacing w:before="100" w:after="100"/>
            </w:pPr>
          </w:p>
        </w:tc>
      </w:tr>
      <w:tr w:rsidR="00895519" w14:paraId="5AB533ED" w14:textId="77777777" w:rsidTr="00E35F99">
        <w:tc>
          <w:tcPr>
            <w:tcW w:w="4078" w:type="pct"/>
            <w:tcBorders>
              <w:top w:val="single" w:sz="4" w:space="0" w:color="939598"/>
              <w:bottom w:val="single" w:sz="4" w:space="0" w:color="939598"/>
              <w:right w:val="single" w:sz="4" w:space="0" w:color="939598"/>
            </w:tcBorders>
          </w:tcPr>
          <w:p w14:paraId="647077F7" w14:textId="77777777" w:rsidR="00895519" w:rsidRPr="00CC31E6" w:rsidRDefault="00895519" w:rsidP="00D0554E">
            <w:pPr>
              <w:pStyle w:val="Table"/>
              <w:spacing w:before="100" w:after="100"/>
            </w:pPr>
            <w:r w:rsidRPr="00CC31E6">
              <w:t>Have all movements in provisions been adjusted for (e.g. provision for annual leave, provision for long service leave, provision for obsolete stock, provision for doubtful debts</w:t>
            </w:r>
            <w:r w:rsidR="00E04CD9">
              <w:t>, provision for warranties</w:t>
            </w:r>
            <w:r w:rsidRPr="00CC31E6">
              <w:t xml:space="preserve"> etc.)?</w:t>
            </w:r>
          </w:p>
        </w:tc>
        <w:tc>
          <w:tcPr>
            <w:tcW w:w="352" w:type="pct"/>
            <w:tcBorders>
              <w:top w:val="single" w:sz="4" w:space="0" w:color="939598"/>
              <w:left w:val="single" w:sz="4" w:space="0" w:color="939598"/>
              <w:bottom w:val="single" w:sz="4" w:space="0" w:color="939598"/>
              <w:right w:val="single" w:sz="4" w:space="0" w:color="939598"/>
            </w:tcBorders>
          </w:tcPr>
          <w:p w14:paraId="49B73B1C" w14:textId="77777777" w:rsidR="00895519" w:rsidRDefault="00895519" w:rsidP="00D0554E">
            <w:pPr>
              <w:pStyle w:val="Table"/>
              <w:spacing w:before="100" w:after="100"/>
            </w:pPr>
          </w:p>
        </w:tc>
        <w:tc>
          <w:tcPr>
            <w:tcW w:w="281" w:type="pct"/>
            <w:tcBorders>
              <w:top w:val="single" w:sz="4" w:space="0" w:color="939598"/>
              <w:left w:val="single" w:sz="4" w:space="0" w:color="939598"/>
              <w:bottom w:val="single" w:sz="4" w:space="0" w:color="939598"/>
              <w:right w:val="single" w:sz="4" w:space="0" w:color="939598"/>
            </w:tcBorders>
          </w:tcPr>
          <w:p w14:paraId="15638F18" w14:textId="77777777" w:rsidR="00895519" w:rsidRDefault="00895519" w:rsidP="00D0554E">
            <w:pPr>
              <w:pStyle w:val="Table"/>
              <w:spacing w:before="100" w:after="100"/>
            </w:pPr>
          </w:p>
        </w:tc>
        <w:tc>
          <w:tcPr>
            <w:tcW w:w="289" w:type="pct"/>
            <w:tcBorders>
              <w:top w:val="single" w:sz="4" w:space="0" w:color="939598"/>
              <w:left w:val="single" w:sz="4" w:space="0" w:color="939598"/>
              <w:bottom w:val="single" w:sz="4" w:space="0" w:color="939598"/>
            </w:tcBorders>
          </w:tcPr>
          <w:p w14:paraId="2775511B" w14:textId="77777777" w:rsidR="00895519" w:rsidRDefault="00895519" w:rsidP="00D0554E">
            <w:pPr>
              <w:pStyle w:val="Table"/>
              <w:spacing w:before="100" w:after="100"/>
            </w:pPr>
          </w:p>
        </w:tc>
      </w:tr>
      <w:tr w:rsidR="00895519" w14:paraId="4D3EA2EF" w14:textId="77777777" w:rsidTr="00E35F99">
        <w:tc>
          <w:tcPr>
            <w:tcW w:w="4078" w:type="pct"/>
            <w:tcBorders>
              <w:top w:val="single" w:sz="4" w:space="0" w:color="939598"/>
              <w:bottom w:val="single" w:sz="4" w:space="0" w:color="939598"/>
              <w:right w:val="single" w:sz="4" w:space="0" w:color="939598"/>
            </w:tcBorders>
          </w:tcPr>
          <w:p w14:paraId="7495F0FF" w14:textId="77777777" w:rsidR="00895519" w:rsidRPr="00CC31E6" w:rsidRDefault="00895519" w:rsidP="00D0554E">
            <w:pPr>
              <w:pStyle w:val="Table"/>
              <w:spacing w:before="100" w:after="100"/>
            </w:pPr>
            <w:r w:rsidRPr="00CC31E6">
              <w:t xml:space="preserve">Have sundry creditors been reviewed for accruals / provisions which have not been legally incurred by year end and for non-deductible accrued expenditure (e.g. accrued audit expenditure </w:t>
            </w:r>
            <w:r w:rsidR="00E04CD9">
              <w:t xml:space="preserve">under </w:t>
            </w:r>
            <w:r w:rsidR="00E04CD9" w:rsidRPr="00385822">
              <w:rPr>
                <w:i/>
              </w:rPr>
              <w:t>Income Tax Ruling IT 2625</w:t>
            </w:r>
            <w:r w:rsidR="00E04CD9">
              <w:t xml:space="preserve"> </w:t>
            </w:r>
            <w:r w:rsidRPr="00CC31E6">
              <w:t>and accrued superannuation expenditure)?</w:t>
            </w:r>
          </w:p>
        </w:tc>
        <w:tc>
          <w:tcPr>
            <w:tcW w:w="352" w:type="pct"/>
            <w:tcBorders>
              <w:top w:val="single" w:sz="4" w:space="0" w:color="939598"/>
              <w:left w:val="single" w:sz="4" w:space="0" w:color="939598"/>
              <w:bottom w:val="single" w:sz="4" w:space="0" w:color="939598"/>
              <w:right w:val="single" w:sz="4" w:space="0" w:color="939598"/>
            </w:tcBorders>
          </w:tcPr>
          <w:p w14:paraId="374B680A" w14:textId="77777777" w:rsidR="00895519" w:rsidRDefault="00895519" w:rsidP="00D0554E">
            <w:pPr>
              <w:pStyle w:val="Table"/>
              <w:spacing w:before="100" w:after="100"/>
            </w:pPr>
          </w:p>
        </w:tc>
        <w:tc>
          <w:tcPr>
            <w:tcW w:w="281" w:type="pct"/>
            <w:tcBorders>
              <w:top w:val="single" w:sz="4" w:space="0" w:color="939598"/>
              <w:left w:val="single" w:sz="4" w:space="0" w:color="939598"/>
              <w:bottom w:val="single" w:sz="4" w:space="0" w:color="939598"/>
              <w:right w:val="single" w:sz="4" w:space="0" w:color="939598"/>
            </w:tcBorders>
          </w:tcPr>
          <w:p w14:paraId="62E315C8" w14:textId="77777777" w:rsidR="00895519" w:rsidRDefault="00895519" w:rsidP="00D0554E">
            <w:pPr>
              <w:pStyle w:val="Table"/>
              <w:spacing w:before="100" w:after="100"/>
            </w:pPr>
          </w:p>
        </w:tc>
        <w:tc>
          <w:tcPr>
            <w:tcW w:w="289" w:type="pct"/>
            <w:tcBorders>
              <w:top w:val="single" w:sz="4" w:space="0" w:color="939598"/>
              <w:left w:val="single" w:sz="4" w:space="0" w:color="939598"/>
              <w:bottom w:val="single" w:sz="4" w:space="0" w:color="939598"/>
            </w:tcBorders>
          </w:tcPr>
          <w:p w14:paraId="3CC784CE" w14:textId="77777777" w:rsidR="00895519" w:rsidRDefault="00895519" w:rsidP="00D0554E">
            <w:pPr>
              <w:pStyle w:val="Table"/>
              <w:spacing w:before="100" w:after="100"/>
            </w:pPr>
          </w:p>
        </w:tc>
      </w:tr>
      <w:tr w:rsidR="00895519" w14:paraId="5C222D16" w14:textId="77777777" w:rsidTr="00E35F99">
        <w:tc>
          <w:tcPr>
            <w:tcW w:w="4078" w:type="pct"/>
            <w:tcBorders>
              <w:top w:val="single" w:sz="4" w:space="0" w:color="939598"/>
              <w:bottom w:val="single" w:sz="4" w:space="0" w:color="939598"/>
              <w:right w:val="single" w:sz="4" w:space="0" w:color="939598"/>
            </w:tcBorders>
          </w:tcPr>
          <w:p w14:paraId="76FD8B54" w14:textId="77777777" w:rsidR="00895519" w:rsidRPr="00CC31E6" w:rsidRDefault="00895519" w:rsidP="00D0554E">
            <w:pPr>
              <w:pStyle w:val="Table"/>
              <w:spacing w:before="100" w:after="100"/>
            </w:pPr>
            <w:r w:rsidRPr="00CC31E6">
              <w:t>Have sundry debtors been reviewed for prepayments and accrued income (e.g. interest receivable)?</w:t>
            </w:r>
          </w:p>
        </w:tc>
        <w:tc>
          <w:tcPr>
            <w:tcW w:w="352" w:type="pct"/>
            <w:tcBorders>
              <w:top w:val="single" w:sz="4" w:space="0" w:color="939598"/>
              <w:left w:val="single" w:sz="4" w:space="0" w:color="939598"/>
              <w:bottom w:val="single" w:sz="4" w:space="0" w:color="939598"/>
              <w:right w:val="single" w:sz="4" w:space="0" w:color="939598"/>
            </w:tcBorders>
          </w:tcPr>
          <w:p w14:paraId="77D713EB" w14:textId="77777777" w:rsidR="00895519" w:rsidRDefault="00895519" w:rsidP="00D0554E">
            <w:pPr>
              <w:pStyle w:val="Table"/>
              <w:spacing w:before="100" w:after="100"/>
            </w:pPr>
          </w:p>
        </w:tc>
        <w:tc>
          <w:tcPr>
            <w:tcW w:w="281" w:type="pct"/>
            <w:tcBorders>
              <w:top w:val="single" w:sz="4" w:space="0" w:color="939598"/>
              <w:left w:val="single" w:sz="4" w:space="0" w:color="939598"/>
              <w:bottom w:val="single" w:sz="4" w:space="0" w:color="939598"/>
              <w:right w:val="single" w:sz="4" w:space="0" w:color="939598"/>
            </w:tcBorders>
          </w:tcPr>
          <w:p w14:paraId="112408B3" w14:textId="77777777" w:rsidR="00895519" w:rsidRDefault="00895519" w:rsidP="00D0554E">
            <w:pPr>
              <w:pStyle w:val="Table"/>
              <w:spacing w:before="100" w:after="100"/>
            </w:pPr>
          </w:p>
        </w:tc>
        <w:tc>
          <w:tcPr>
            <w:tcW w:w="289" w:type="pct"/>
            <w:tcBorders>
              <w:top w:val="single" w:sz="4" w:space="0" w:color="939598"/>
              <w:left w:val="single" w:sz="4" w:space="0" w:color="939598"/>
              <w:bottom w:val="single" w:sz="4" w:space="0" w:color="939598"/>
            </w:tcBorders>
          </w:tcPr>
          <w:p w14:paraId="2E6E64EA" w14:textId="77777777" w:rsidR="00895519" w:rsidRDefault="00895519" w:rsidP="00D0554E">
            <w:pPr>
              <w:pStyle w:val="Table"/>
              <w:spacing w:before="100" w:after="100"/>
            </w:pPr>
          </w:p>
        </w:tc>
      </w:tr>
      <w:tr w:rsidR="00895519" w14:paraId="190C6EF2" w14:textId="77777777" w:rsidTr="00E35F99">
        <w:tc>
          <w:tcPr>
            <w:tcW w:w="4078" w:type="pct"/>
            <w:tcBorders>
              <w:top w:val="single" w:sz="4" w:space="0" w:color="939598"/>
              <w:bottom w:val="single" w:sz="4" w:space="0" w:color="939598"/>
              <w:right w:val="single" w:sz="4" w:space="0" w:color="939598"/>
            </w:tcBorders>
          </w:tcPr>
          <w:p w14:paraId="728BDA02" w14:textId="02BD5043" w:rsidR="00895519" w:rsidRDefault="00890E38" w:rsidP="00D0554E">
            <w:pPr>
              <w:pStyle w:val="Table"/>
              <w:spacing w:before="100" w:after="100"/>
            </w:pPr>
            <w:r>
              <w:t>Has</w:t>
            </w:r>
            <w:r w:rsidRPr="00FB07A7">
              <w:t xml:space="preserve"> accrued FBT </w:t>
            </w:r>
            <w:r>
              <w:t>been correctly calculated on the basis that a deduction is being claimed for the FBT instalment referable to the June 201</w:t>
            </w:r>
            <w:r w:rsidR="00CF2D9F">
              <w:t>8</w:t>
            </w:r>
            <w:r>
              <w:t xml:space="preserve"> quarter and an amount added-back of the FBT instalment referable to the June 201</w:t>
            </w:r>
            <w:r w:rsidR="00CF2D9F">
              <w:t>7</w:t>
            </w:r>
            <w:r>
              <w:t xml:space="preserve"> quarter if claimed in the prior year</w:t>
            </w:r>
            <w:r w:rsidRPr="00FB07A7">
              <w:t xml:space="preserve"> </w:t>
            </w:r>
            <w:r>
              <w:t>(</w:t>
            </w:r>
            <w:r w:rsidR="00895519" w:rsidRPr="00CC31E6">
              <w:t>as per</w:t>
            </w:r>
            <w:r w:rsidR="00B32BE9">
              <w:t xml:space="preserve"> </w:t>
            </w:r>
            <w:r w:rsidR="00B32BE9" w:rsidRPr="00385822">
              <w:rPr>
                <w:i/>
              </w:rPr>
              <w:t>Taxation Ruling</w:t>
            </w:r>
            <w:r w:rsidR="00895519" w:rsidRPr="00385822">
              <w:rPr>
                <w:i/>
              </w:rPr>
              <w:t xml:space="preserve"> TR 95/24</w:t>
            </w:r>
            <w:r w:rsidR="00895519" w:rsidRPr="00CC31E6">
              <w:t>)?</w:t>
            </w:r>
          </w:p>
          <w:p w14:paraId="26289B28" w14:textId="346A561C" w:rsidR="0038597E" w:rsidRPr="00211718" w:rsidRDefault="0038597E" w:rsidP="00D0554E">
            <w:pPr>
              <w:pStyle w:val="Table"/>
              <w:spacing w:before="100" w:after="100"/>
              <w:rPr>
                <w:sz w:val="15"/>
                <w:szCs w:val="15"/>
              </w:rPr>
            </w:pPr>
            <w:r w:rsidRPr="00211718">
              <w:rPr>
                <w:b/>
                <w:sz w:val="15"/>
                <w:szCs w:val="15"/>
              </w:rPr>
              <w:t>Note:</w:t>
            </w:r>
            <w:r w:rsidRPr="00211718">
              <w:rPr>
                <w:sz w:val="15"/>
                <w:szCs w:val="15"/>
              </w:rPr>
              <w:t xml:space="preserve"> refer to CPA Australia’s </w:t>
            </w:r>
            <w:hyperlink r:id="rId12" w:history="1">
              <w:r w:rsidRPr="00E35F99">
                <w:rPr>
                  <w:rStyle w:val="Hyperlink"/>
                  <w:sz w:val="15"/>
                  <w:szCs w:val="15"/>
                </w:rPr>
                <w:t>2018 FBT checklist</w:t>
              </w:r>
            </w:hyperlink>
            <w:r w:rsidRPr="00211718">
              <w:rPr>
                <w:sz w:val="15"/>
                <w:szCs w:val="15"/>
              </w:rPr>
              <w:t xml:space="preserve"> for details of each category of fringe benefits and their valuation rules.</w:t>
            </w:r>
          </w:p>
        </w:tc>
        <w:tc>
          <w:tcPr>
            <w:tcW w:w="352" w:type="pct"/>
            <w:tcBorders>
              <w:top w:val="single" w:sz="4" w:space="0" w:color="939598"/>
              <w:left w:val="single" w:sz="4" w:space="0" w:color="939598"/>
              <w:bottom w:val="single" w:sz="4" w:space="0" w:color="939598"/>
              <w:right w:val="single" w:sz="4" w:space="0" w:color="939598"/>
            </w:tcBorders>
          </w:tcPr>
          <w:p w14:paraId="7ED51229" w14:textId="77777777" w:rsidR="00895519" w:rsidRDefault="00895519" w:rsidP="00D0554E">
            <w:pPr>
              <w:pStyle w:val="Table"/>
              <w:spacing w:before="100" w:after="100"/>
            </w:pPr>
          </w:p>
        </w:tc>
        <w:tc>
          <w:tcPr>
            <w:tcW w:w="281" w:type="pct"/>
            <w:tcBorders>
              <w:top w:val="single" w:sz="4" w:space="0" w:color="939598"/>
              <w:left w:val="single" w:sz="4" w:space="0" w:color="939598"/>
              <w:bottom w:val="single" w:sz="4" w:space="0" w:color="939598"/>
              <w:right w:val="single" w:sz="4" w:space="0" w:color="939598"/>
            </w:tcBorders>
          </w:tcPr>
          <w:p w14:paraId="4F26BDC8" w14:textId="77777777" w:rsidR="00895519" w:rsidRDefault="00895519" w:rsidP="00D0554E">
            <w:pPr>
              <w:pStyle w:val="Table"/>
              <w:spacing w:before="100" w:after="100"/>
            </w:pPr>
          </w:p>
        </w:tc>
        <w:tc>
          <w:tcPr>
            <w:tcW w:w="289" w:type="pct"/>
            <w:tcBorders>
              <w:top w:val="single" w:sz="4" w:space="0" w:color="939598"/>
              <w:left w:val="single" w:sz="4" w:space="0" w:color="939598"/>
              <w:bottom w:val="single" w:sz="4" w:space="0" w:color="939598"/>
            </w:tcBorders>
          </w:tcPr>
          <w:p w14:paraId="1C4B8A7C" w14:textId="77777777" w:rsidR="00895519" w:rsidRDefault="00895519" w:rsidP="00D0554E">
            <w:pPr>
              <w:pStyle w:val="Table"/>
              <w:spacing w:before="100" w:after="100"/>
            </w:pPr>
          </w:p>
        </w:tc>
      </w:tr>
      <w:tr w:rsidR="009E7E4F" w:rsidRPr="00AF24CF" w14:paraId="2D6D85A3" w14:textId="77777777" w:rsidTr="00990CCA">
        <w:tc>
          <w:tcPr>
            <w:tcW w:w="5000" w:type="pct"/>
            <w:gridSpan w:val="4"/>
            <w:tcBorders>
              <w:top w:val="single" w:sz="4" w:space="0" w:color="939598"/>
              <w:bottom w:val="single" w:sz="4" w:space="0" w:color="939598"/>
            </w:tcBorders>
            <w:shd w:val="clear" w:color="auto" w:fill="D9D9D9" w:themeFill="background1" w:themeFillShade="D9"/>
          </w:tcPr>
          <w:p w14:paraId="0D0900BA" w14:textId="2D3D525D" w:rsidR="009E7E4F" w:rsidRPr="00AF24CF" w:rsidRDefault="009E7E4F" w:rsidP="00D0554E">
            <w:pPr>
              <w:pStyle w:val="Tableheading"/>
            </w:pPr>
            <w:r w:rsidRPr="00CC31E6">
              <w:t>D</w:t>
            </w:r>
            <w:r w:rsidR="00E35F99">
              <w:t>IVISION</w:t>
            </w:r>
            <w:r w:rsidRPr="00CC31E6">
              <w:t xml:space="preserve"> 7A</w:t>
            </w:r>
          </w:p>
        </w:tc>
      </w:tr>
      <w:tr w:rsidR="00895519" w14:paraId="42711EDC" w14:textId="77777777" w:rsidTr="00E35F99">
        <w:tc>
          <w:tcPr>
            <w:tcW w:w="4078" w:type="pct"/>
            <w:tcBorders>
              <w:top w:val="single" w:sz="4" w:space="0" w:color="939598"/>
              <w:bottom w:val="single" w:sz="4" w:space="0" w:color="939598"/>
              <w:right w:val="single" w:sz="4" w:space="0" w:color="939598"/>
            </w:tcBorders>
          </w:tcPr>
          <w:p w14:paraId="5DAC7C2E" w14:textId="2D3D38AA" w:rsidR="00895519" w:rsidRPr="00CC31E6" w:rsidRDefault="00895519" w:rsidP="00D0554E">
            <w:pPr>
              <w:pStyle w:val="Table"/>
              <w:spacing w:before="100" w:after="100"/>
            </w:pPr>
            <w:r w:rsidRPr="00CC31E6">
              <w:t xml:space="preserve">For private companies, have loans, payments and debt forgiveness to shareholders or their associates </w:t>
            </w:r>
            <w:r w:rsidR="00C72E6E">
              <w:t xml:space="preserve">(or former shareholders and their associates) </w:t>
            </w:r>
            <w:r w:rsidRPr="00CC31E6">
              <w:t>been considered</w:t>
            </w:r>
            <w:r w:rsidR="00890E38">
              <w:t xml:space="preserve"> for </w:t>
            </w:r>
            <w:r w:rsidRPr="00CC31E6">
              <w:t xml:space="preserve">Division 7A </w:t>
            </w:r>
            <w:r w:rsidR="00890E38">
              <w:t>purposes</w:t>
            </w:r>
            <w:r w:rsidRPr="00CC31E6">
              <w:t xml:space="preserve">? If Division 7A applies, please refer to CPA Australia’s </w:t>
            </w:r>
            <w:hyperlink r:id="rId13" w:history="1">
              <w:r w:rsidR="00F11224" w:rsidRPr="00E35F99">
                <w:rPr>
                  <w:rStyle w:val="Hyperlink"/>
                </w:rPr>
                <w:t>201</w:t>
              </w:r>
              <w:r w:rsidR="00CF2D9F" w:rsidRPr="00E35F99">
                <w:rPr>
                  <w:rStyle w:val="Hyperlink"/>
                </w:rPr>
                <w:t>8</w:t>
              </w:r>
              <w:r w:rsidR="00F11224" w:rsidRPr="00E35F99">
                <w:rPr>
                  <w:rStyle w:val="Hyperlink"/>
                </w:rPr>
                <w:t xml:space="preserve"> Division 7A</w:t>
              </w:r>
              <w:r w:rsidR="00E35F99">
                <w:rPr>
                  <w:rStyle w:val="Hyperlink"/>
                </w:rPr>
                <w:t xml:space="preserve"> c</w:t>
              </w:r>
              <w:r w:rsidR="00F11224" w:rsidRPr="00E35F99">
                <w:rPr>
                  <w:rStyle w:val="Hyperlink"/>
                </w:rPr>
                <w:t>hecklist</w:t>
              </w:r>
            </w:hyperlink>
            <w:r w:rsidR="00E04CD9">
              <w:t xml:space="preserve"> </w:t>
            </w:r>
            <w:r w:rsidRPr="00CC31E6">
              <w:t>for further information.</w:t>
            </w:r>
          </w:p>
        </w:tc>
        <w:tc>
          <w:tcPr>
            <w:tcW w:w="352" w:type="pct"/>
            <w:tcBorders>
              <w:top w:val="single" w:sz="4" w:space="0" w:color="939598"/>
              <w:left w:val="single" w:sz="4" w:space="0" w:color="939598"/>
              <w:bottom w:val="single" w:sz="4" w:space="0" w:color="939598"/>
              <w:right w:val="single" w:sz="4" w:space="0" w:color="939598"/>
            </w:tcBorders>
          </w:tcPr>
          <w:p w14:paraId="3D24D2DE" w14:textId="77777777" w:rsidR="00895519" w:rsidRDefault="00895519" w:rsidP="00D0554E">
            <w:pPr>
              <w:pStyle w:val="Table"/>
              <w:spacing w:before="100" w:after="100"/>
            </w:pPr>
          </w:p>
        </w:tc>
        <w:tc>
          <w:tcPr>
            <w:tcW w:w="281" w:type="pct"/>
            <w:tcBorders>
              <w:top w:val="single" w:sz="4" w:space="0" w:color="939598"/>
              <w:left w:val="single" w:sz="4" w:space="0" w:color="939598"/>
              <w:bottom w:val="single" w:sz="4" w:space="0" w:color="939598"/>
              <w:right w:val="single" w:sz="4" w:space="0" w:color="939598"/>
            </w:tcBorders>
          </w:tcPr>
          <w:p w14:paraId="48BA668A" w14:textId="77777777" w:rsidR="00895519" w:rsidRDefault="00895519" w:rsidP="00D0554E">
            <w:pPr>
              <w:pStyle w:val="Table"/>
              <w:spacing w:before="100" w:after="100"/>
            </w:pPr>
          </w:p>
        </w:tc>
        <w:tc>
          <w:tcPr>
            <w:tcW w:w="289" w:type="pct"/>
            <w:tcBorders>
              <w:top w:val="single" w:sz="4" w:space="0" w:color="939598"/>
              <w:left w:val="single" w:sz="4" w:space="0" w:color="939598"/>
              <w:bottom w:val="single" w:sz="4" w:space="0" w:color="939598"/>
            </w:tcBorders>
          </w:tcPr>
          <w:p w14:paraId="31FC9872" w14:textId="77777777" w:rsidR="00895519" w:rsidRPr="00AF24CF" w:rsidRDefault="00895519" w:rsidP="00D0554E">
            <w:pPr>
              <w:pStyle w:val="Table"/>
              <w:spacing w:before="100" w:after="100"/>
            </w:pPr>
          </w:p>
        </w:tc>
      </w:tr>
    </w:tbl>
    <w:p w14:paraId="242E7392" w14:textId="77777777" w:rsidR="00517040" w:rsidRDefault="00517040" w:rsidP="00D0554E">
      <w:pPr>
        <w:spacing w:before="100" w:after="100"/>
      </w:pPr>
      <w:r>
        <w:br w:type="page"/>
      </w:r>
    </w:p>
    <w:tbl>
      <w:tblPr>
        <w:tblW w:w="5000" w:type="pct"/>
        <w:tblBorders>
          <w:top w:val="single" w:sz="4" w:space="0" w:color="939598"/>
          <w:left w:val="single" w:sz="4" w:space="0" w:color="939598"/>
          <w:bottom w:val="single" w:sz="4" w:space="0" w:color="939598"/>
          <w:right w:val="single" w:sz="4" w:space="0" w:color="939598"/>
        </w:tblBorders>
        <w:tblLayout w:type="fixed"/>
        <w:tblLook w:val="00A0" w:firstRow="1" w:lastRow="0" w:firstColumn="1" w:lastColumn="0" w:noHBand="0" w:noVBand="0"/>
      </w:tblPr>
      <w:tblGrid>
        <w:gridCol w:w="8075"/>
        <w:gridCol w:w="709"/>
        <w:gridCol w:w="566"/>
        <w:gridCol w:w="725"/>
      </w:tblGrid>
      <w:tr w:rsidR="00E35F99" w:rsidRPr="005A1539" w14:paraId="5F9E3E9E" w14:textId="77777777" w:rsidTr="00E35F99">
        <w:tc>
          <w:tcPr>
            <w:tcW w:w="4007" w:type="pct"/>
            <w:tcBorders>
              <w:top w:val="single" w:sz="4" w:space="0" w:color="939598"/>
              <w:bottom w:val="single" w:sz="4" w:space="0" w:color="939598"/>
              <w:right w:val="single" w:sz="4" w:space="0" w:color="939598"/>
            </w:tcBorders>
            <w:shd w:val="clear" w:color="auto" w:fill="0F243E" w:themeFill="text2" w:themeFillShade="80"/>
          </w:tcPr>
          <w:p w14:paraId="25146927" w14:textId="3BBC48D4" w:rsidR="00E35F99" w:rsidRPr="005A1539" w:rsidRDefault="00E35F99" w:rsidP="00E35F99">
            <w:pPr>
              <w:pStyle w:val="Tableheading"/>
              <w:rPr>
                <w:sz w:val="18"/>
              </w:rPr>
            </w:pPr>
            <w:r>
              <w:rPr>
                <w:sz w:val="18"/>
              </w:rPr>
              <w:lastRenderedPageBreak/>
              <w:t>STATEMENT OF FINANCIAL POSITION (BALANCE SHEET)</w:t>
            </w:r>
          </w:p>
        </w:tc>
        <w:tc>
          <w:tcPr>
            <w:tcW w:w="352" w:type="pct"/>
            <w:tcBorders>
              <w:top w:val="single" w:sz="4" w:space="0" w:color="939598"/>
              <w:left w:val="single" w:sz="4" w:space="0" w:color="939598"/>
              <w:bottom w:val="single" w:sz="4" w:space="0" w:color="939598"/>
              <w:right w:val="single" w:sz="4" w:space="0" w:color="939598"/>
            </w:tcBorders>
            <w:shd w:val="clear" w:color="auto" w:fill="0F243E" w:themeFill="text2" w:themeFillShade="80"/>
          </w:tcPr>
          <w:p w14:paraId="1B12D117" w14:textId="74974BF1" w:rsidR="00E35F99" w:rsidRPr="005A1539" w:rsidRDefault="00E35F99" w:rsidP="00E35F99">
            <w:pPr>
              <w:pStyle w:val="Tableheading"/>
              <w:rPr>
                <w:sz w:val="18"/>
              </w:rPr>
            </w:pPr>
            <w:r>
              <w:rPr>
                <w:sz w:val="18"/>
              </w:rPr>
              <w:t>YES</w:t>
            </w:r>
          </w:p>
        </w:tc>
        <w:tc>
          <w:tcPr>
            <w:tcW w:w="281" w:type="pct"/>
            <w:tcBorders>
              <w:top w:val="single" w:sz="4" w:space="0" w:color="939598"/>
              <w:left w:val="single" w:sz="4" w:space="0" w:color="939598"/>
              <w:bottom w:val="single" w:sz="4" w:space="0" w:color="939598"/>
              <w:right w:val="single" w:sz="4" w:space="0" w:color="939598"/>
            </w:tcBorders>
            <w:shd w:val="clear" w:color="auto" w:fill="0F243E" w:themeFill="text2" w:themeFillShade="80"/>
          </w:tcPr>
          <w:p w14:paraId="3BEC239E" w14:textId="76DFFC39" w:rsidR="00E35F99" w:rsidRPr="005A1539" w:rsidRDefault="00E35F99" w:rsidP="00E35F99">
            <w:pPr>
              <w:pStyle w:val="Tableheading"/>
              <w:rPr>
                <w:sz w:val="18"/>
              </w:rPr>
            </w:pPr>
            <w:r w:rsidRPr="005A1539">
              <w:rPr>
                <w:sz w:val="18"/>
              </w:rPr>
              <w:t>N</w:t>
            </w:r>
            <w:r>
              <w:rPr>
                <w:sz w:val="18"/>
              </w:rPr>
              <w:t>O</w:t>
            </w:r>
          </w:p>
        </w:tc>
        <w:tc>
          <w:tcPr>
            <w:tcW w:w="360" w:type="pct"/>
            <w:tcBorders>
              <w:top w:val="single" w:sz="4" w:space="0" w:color="939598"/>
              <w:left w:val="single" w:sz="4" w:space="0" w:color="939598"/>
              <w:bottom w:val="single" w:sz="4" w:space="0" w:color="939598"/>
            </w:tcBorders>
            <w:shd w:val="clear" w:color="auto" w:fill="0F243E" w:themeFill="text2" w:themeFillShade="80"/>
          </w:tcPr>
          <w:p w14:paraId="6D1F2A14" w14:textId="581AA069" w:rsidR="00E35F99" w:rsidRPr="005A1539" w:rsidRDefault="00E35F99" w:rsidP="00E35F99">
            <w:pPr>
              <w:pStyle w:val="Tableheading"/>
              <w:rPr>
                <w:sz w:val="18"/>
              </w:rPr>
            </w:pPr>
            <w:r w:rsidRPr="005A1539">
              <w:rPr>
                <w:sz w:val="18"/>
              </w:rPr>
              <w:t>N/A</w:t>
            </w:r>
          </w:p>
        </w:tc>
      </w:tr>
      <w:tr w:rsidR="00517040" w14:paraId="1182B41F" w14:textId="77777777" w:rsidTr="00990CCA">
        <w:tc>
          <w:tcPr>
            <w:tcW w:w="5000" w:type="pct"/>
            <w:gridSpan w:val="4"/>
            <w:tcBorders>
              <w:top w:val="single" w:sz="4" w:space="0" w:color="939598"/>
              <w:bottom w:val="single" w:sz="4" w:space="0" w:color="939598"/>
            </w:tcBorders>
            <w:shd w:val="clear" w:color="auto" w:fill="D9D9D9" w:themeFill="background1" w:themeFillShade="D9"/>
          </w:tcPr>
          <w:p w14:paraId="54D52F41" w14:textId="4C12450F" w:rsidR="00517040" w:rsidRPr="00517040" w:rsidRDefault="00517040" w:rsidP="00D0554E">
            <w:pPr>
              <w:pStyle w:val="Table"/>
              <w:spacing w:before="100" w:after="100"/>
              <w:rPr>
                <w:b/>
              </w:rPr>
            </w:pPr>
            <w:r w:rsidRPr="00517040">
              <w:rPr>
                <w:b/>
              </w:rPr>
              <w:t>P</w:t>
            </w:r>
            <w:r w:rsidR="006E4772">
              <w:rPr>
                <w:b/>
              </w:rPr>
              <w:t>REPAYMENTS</w:t>
            </w:r>
          </w:p>
        </w:tc>
      </w:tr>
      <w:tr w:rsidR="00E35F99" w14:paraId="17C93CD7" w14:textId="77777777" w:rsidTr="00E35F99">
        <w:tc>
          <w:tcPr>
            <w:tcW w:w="4007" w:type="pct"/>
            <w:tcBorders>
              <w:top w:val="single" w:sz="4" w:space="0" w:color="939598"/>
              <w:bottom w:val="single" w:sz="4" w:space="0" w:color="939598"/>
              <w:right w:val="single" w:sz="4" w:space="0" w:color="939598"/>
            </w:tcBorders>
          </w:tcPr>
          <w:p w14:paraId="56910DF3" w14:textId="59B3E59D" w:rsidR="00E35F99" w:rsidRPr="00CC31E6" w:rsidRDefault="00E35F99" w:rsidP="00E35F99">
            <w:pPr>
              <w:pStyle w:val="Table"/>
              <w:spacing w:before="100" w:after="100"/>
            </w:pPr>
            <w:r w:rsidRPr="00CC31E6">
              <w:t>Have all prepayments of less than $1,000 been claimed as an immediate tax deduction?</w:t>
            </w:r>
          </w:p>
        </w:tc>
        <w:tc>
          <w:tcPr>
            <w:tcW w:w="352" w:type="pct"/>
            <w:tcBorders>
              <w:top w:val="single" w:sz="4" w:space="0" w:color="939598"/>
              <w:left w:val="single" w:sz="4" w:space="0" w:color="939598"/>
              <w:bottom w:val="single" w:sz="4" w:space="0" w:color="939598"/>
              <w:right w:val="single" w:sz="4" w:space="0" w:color="939598"/>
            </w:tcBorders>
          </w:tcPr>
          <w:p w14:paraId="15D10EBA" w14:textId="77777777" w:rsidR="00E35F99" w:rsidRDefault="00E35F99" w:rsidP="00E35F99">
            <w:pPr>
              <w:pStyle w:val="Table"/>
              <w:spacing w:before="100" w:after="100"/>
            </w:pPr>
          </w:p>
        </w:tc>
        <w:tc>
          <w:tcPr>
            <w:tcW w:w="281" w:type="pct"/>
            <w:tcBorders>
              <w:top w:val="single" w:sz="4" w:space="0" w:color="939598"/>
              <w:left w:val="single" w:sz="4" w:space="0" w:color="939598"/>
              <w:bottom w:val="single" w:sz="4" w:space="0" w:color="939598"/>
              <w:right w:val="single" w:sz="4" w:space="0" w:color="939598"/>
            </w:tcBorders>
          </w:tcPr>
          <w:p w14:paraId="102EBB2F" w14:textId="77777777" w:rsidR="00E35F99" w:rsidRDefault="00E35F99" w:rsidP="00E35F99">
            <w:pPr>
              <w:pStyle w:val="Table"/>
              <w:spacing w:before="100" w:after="100"/>
            </w:pPr>
          </w:p>
        </w:tc>
        <w:tc>
          <w:tcPr>
            <w:tcW w:w="360" w:type="pct"/>
            <w:tcBorders>
              <w:top w:val="single" w:sz="4" w:space="0" w:color="939598"/>
              <w:left w:val="single" w:sz="4" w:space="0" w:color="939598"/>
              <w:bottom w:val="single" w:sz="4" w:space="0" w:color="939598"/>
            </w:tcBorders>
          </w:tcPr>
          <w:p w14:paraId="6BCFA3BB" w14:textId="77777777" w:rsidR="00E35F99" w:rsidRPr="00AF24CF" w:rsidRDefault="00E35F99" w:rsidP="00E35F99">
            <w:pPr>
              <w:pStyle w:val="Table"/>
              <w:spacing w:before="100" w:after="100"/>
            </w:pPr>
          </w:p>
        </w:tc>
      </w:tr>
      <w:tr w:rsidR="00E35F99" w14:paraId="47EA225D" w14:textId="77777777" w:rsidTr="00E35F99">
        <w:tc>
          <w:tcPr>
            <w:tcW w:w="4007" w:type="pct"/>
            <w:tcBorders>
              <w:top w:val="single" w:sz="4" w:space="0" w:color="939598"/>
              <w:bottom w:val="single" w:sz="4" w:space="0" w:color="939598"/>
              <w:right w:val="single" w:sz="4" w:space="0" w:color="939598"/>
            </w:tcBorders>
          </w:tcPr>
          <w:p w14:paraId="2F16A0C2" w14:textId="657C9ADD" w:rsidR="00E35F99" w:rsidRPr="00CC31E6" w:rsidRDefault="00E35F99" w:rsidP="00E35F99">
            <w:pPr>
              <w:pStyle w:val="Table"/>
              <w:spacing w:before="100" w:after="100"/>
            </w:pPr>
            <w:r w:rsidRPr="00CC31E6">
              <w:t>Have all prepayments required to be made by law or under an order of a court (e.g. prepaid workcover expenditure) been claimed as an immediate tax deduction?</w:t>
            </w:r>
          </w:p>
        </w:tc>
        <w:tc>
          <w:tcPr>
            <w:tcW w:w="352" w:type="pct"/>
            <w:tcBorders>
              <w:top w:val="single" w:sz="4" w:space="0" w:color="939598"/>
              <w:left w:val="single" w:sz="4" w:space="0" w:color="939598"/>
              <w:bottom w:val="single" w:sz="4" w:space="0" w:color="939598"/>
              <w:right w:val="single" w:sz="4" w:space="0" w:color="939598"/>
            </w:tcBorders>
          </w:tcPr>
          <w:p w14:paraId="122200EE" w14:textId="77777777" w:rsidR="00E35F99" w:rsidRDefault="00E35F99" w:rsidP="00E35F99">
            <w:pPr>
              <w:pStyle w:val="Table"/>
              <w:spacing w:before="100" w:after="100"/>
            </w:pPr>
          </w:p>
        </w:tc>
        <w:tc>
          <w:tcPr>
            <w:tcW w:w="281" w:type="pct"/>
            <w:tcBorders>
              <w:top w:val="single" w:sz="4" w:space="0" w:color="939598"/>
              <w:left w:val="single" w:sz="4" w:space="0" w:color="939598"/>
              <w:bottom w:val="single" w:sz="4" w:space="0" w:color="939598"/>
              <w:right w:val="single" w:sz="4" w:space="0" w:color="939598"/>
            </w:tcBorders>
          </w:tcPr>
          <w:p w14:paraId="3D8A64C1" w14:textId="77777777" w:rsidR="00E35F99" w:rsidRDefault="00E35F99" w:rsidP="00E35F99">
            <w:pPr>
              <w:pStyle w:val="Table"/>
              <w:spacing w:before="100" w:after="100"/>
            </w:pPr>
          </w:p>
        </w:tc>
        <w:tc>
          <w:tcPr>
            <w:tcW w:w="360" w:type="pct"/>
            <w:tcBorders>
              <w:top w:val="single" w:sz="4" w:space="0" w:color="939598"/>
              <w:left w:val="single" w:sz="4" w:space="0" w:color="939598"/>
              <w:bottom w:val="single" w:sz="4" w:space="0" w:color="939598"/>
            </w:tcBorders>
          </w:tcPr>
          <w:p w14:paraId="01482618" w14:textId="77777777" w:rsidR="00E35F99" w:rsidRPr="00AF24CF" w:rsidRDefault="00E35F99" w:rsidP="00E35F99">
            <w:pPr>
              <w:pStyle w:val="Table"/>
              <w:spacing w:before="100" w:after="100"/>
            </w:pPr>
          </w:p>
        </w:tc>
      </w:tr>
      <w:tr w:rsidR="00895519" w14:paraId="52E0A953" w14:textId="77777777" w:rsidTr="00E35F99">
        <w:tc>
          <w:tcPr>
            <w:tcW w:w="4007" w:type="pct"/>
            <w:tcBorders>
              <w:top w:val="single" w:sz="4" w:space="0" w:color="939598"/>
              <w:bottom w:val="single" w:sz="4" w:space="0" w:color="939598"/>
              <w:right w:val="single" w:sz="4" w:space="0" w:color="939598"/>
            </w:tcBorders>
          </w:tcPr>
          <w:p w14:paraId="5E44C521" w14:textId="77777777" w:rsidR="00895519" w:rsidRPr="00CC31E6" w:rsidRDefault="00895519" w:rsidP="00D0554E">
            <w:pPr>
              <w:pStyle w:val="Table"/>
              <w:spacing w:before="100" w:after="100"/>
            </w:pPr>
            <w:r w:rsidRPr="00CC31E6">
              <w:t>Have all prepayments of more than $1,000 which were not required to be made under a law or a court order been capitalised and apportioned over the eligible service period to which the prepayment relates?</w:t>
            </w:r>
          </w:p>
        </w:tc>
        <w:tc>
          <w:tcPr>
            <w:tcW w:w="352" w:type="pct"/>
            <w:tcBorders>
              <w:top w:val="single" w:sz="4" w:space="0" w:color="939598"/>
              <w:left w:val="single" w:sz="4" w:space="0" w:color="939598"/>
              <w:bottom w:val="single" w:sz="4" w:space="0" w:color="939598"/>
              <w:right w:val="single" w:sz="4" w:space="0" w:color="939598"/>
            </w:tcBorders>
          </w:tcPr>
          <w:p w14:paraId="0F4B61DA" w14:textId="77777777" w:rsidR="00895519" w:rsidRDefault="00895519" w:rsidP="00D0554E">
            <w:pPr>
              <w:pStyle w:val="Table"/>
              <w:spacing w:before="100" w:after="100"/>
            </w:pPr>
          </w:p>
        </w:tc>
        <w:tc>
          <w:tcPr>
            <w:tcW w:w="281" w:type="pct"/>
            <w:tcBorders>
              <w:top w:val="single" w:sz="4" w:space="0" w:color="939598"/>
              <w:left w:val="single" w:sz="4" w:space="0" w:color="939598"/>
              <w:bottom w:val="single" w:sz="4" w:space="0" w:color="939598"/>
              <w:right w:val="single" w:sz="4" w:space="0" w:color="939598"/>
            </w:tcBorders>
          </w:tcPr>
          <w:p w14:paraId="59F59A05" w14:textId="77777777" w:rsidR="00895519" w:rsidRDefault="00895519" w:rsidP="00D0554E">
            <w:pPr>
              <w:pStyle w:val="Table"/>
              <w:spacing w:before="100" w:after="100"/>
            </w:pPr>
          </w:p>
        </w:tc>
        <w:tc>
          <w:tcPr>
            <w:tcW w:w="360" w:type="pct"/>
            <w:tcBorders>
              <w:top w:val="single" w:sz="4" w:space="0" w:color="939598"/>
              <w:left w:val="single" w:sz="4" w:space="0" w:color="939598"/>
              <w:bottom w:val="single" w:sz="4" w:space="0" w:color="939598"/>
            </w:tcBorders>
          </w:tcPr>
          <w:p w14:paraId="3E22AA00" w14:textId="77777777" w:rsidR="00895519" w:rsidRPr="00AF24CF" w:rsidRDefault="00895519" w:rsidP="00D0554E">
            <w:pPr>
              <w:pStyle w:val="Table"/>
              <w:spacing w:before="100" w:after="100"/>
            </w:pPr>
          </w:p>
        </w:tc>
      </w:tr>
      <w:tr w:rsidR="00DF281D" w14:paraId="22AD093A" w14:textId="77777777" w:rsidTr="00E35F99">
        <w:tc>
          <w:tcPr>
            <w:tcW w:w="4007" w:type="pct"/>
            <w:tcBorders>
              <w:top w:val="single" w:sz="4" w:space="0" w:color="939598"/>
              <w:bottom w:val="single" w:sz="4" w:space="0" w:color="939598"/>
              <w:right w:val="single" w:sz="4" w:space="0" w:color="939598"/>
            </w:tcBorders>
          </w:tcPr>
          <w:p w14:paraId="0CB9B354" w14:textId="1FC53CD6" w:rsidR="0038597E" w:rsidRDefault="00DF281D" w:rsidP="00D0554E">
            <w:pPr>
              <w:pStyle w:val="Table"/>
              <w:spacing w:before="100" w:after="100"/>
            </w:pPr>
            <w:r>
              <w:t xml:space="preserve">Where the company is a </w:t>
            </w:r>
            <w:r w:rsidR="00C72E6E">
              <w:t>S</w:t>
            </w:r>
            <w:r>
              <w:t>mall</w:t>
            </w:r>
            <w:r w:rsidR="00C72E6E">
              <w:t xml:space="preserve"> B</w:t>
            </w:r>
            <w:r>
              <w:t xml:space="preserve">usiness </w:t>
            </w:r>
            <w:r w:rsidR="00C72E6E">
              <w:t>E</w:t>
            </w:r>
            <w:r>
              <w:t xml:space="preserve">ntity </w:t>
            </w:r>
            <w:r w:rsidR="00C72E6E">
              <w:t>(SBE)</w:t>
            </w:r>
            <w:r w:rsidR="006E4772">
              <w:t>,</w:t>
            </w:r>
            <w:r w:rsidR="00C72E6E">
              <w:t xml:space="preserve"> is</w:t>
            </w:r>
            <w:r>
              <w:t xml:space="preserve"> </w:t>
            </w:r>
            <w:r w:rsidR="0038597E">
              <w:t>an immediate d</w:t>
            </w:r>
            <w:r w:rsidR="009D17F6">
              <w:t>eduction available under the 12-</w:t>
            </w:r>
            <w:r w:rsidR="0038597E">
              <w:t>month rule where the eligible service period is 12 months or less</w:t>
            </w:r>
            <w:r w:rsidR="006E4772">
              <w:t>?</w:t>
            </w:r>
          </w:p>
          <w:p w14:paraId="5E53B6D8" w14:textId="3DBE6C52" w:rsidR="00DF281D" w:rsidRPr="00211718" w:rsidRDefault="0038597E" w:rsidP="00D0554E">
            <w:pPr>
              <w:pStyle w:val="Table"/>
              <w:spacing w:before="100" w:after="100"/>
              <w:rPr>
                <w:sz w:val="15"/>
                <w:szCs w:val="15"/>
              </w:rPr>
            </w:pPr>
            <w:r w:rsidRPr="00211718">
              <w:rPr>
                <w:b/>
                <w:sz w:val="15"/>
                <w:szCs w:val="15"/>
              </w:rPr>
              <w:t>Note</w:t>
            </w:r>
            <w:r w:rsidRPr="00211718">
              <w:rPr>
                <w:sz w:val="15"/>
                <w:szCs w:val="15"/>
              </w:rPr>
              <w:t xml:space="preserve">: an entity will be regarded as an SBE for the year ended 30 June 2018 if it carries on business in the 2018 year and its aggregated turnover is less than $10 million for that year. The aggregated turnover test not only requires the calculation of the taxpayer’s annual turnover but also that of any affiliate or entity connected with the taxpayer at any time during the year. Aggregated turnover can be calculated under the look back, look forward or actual results tests. </w:t>
            </w:r>
          </w:p>
        </w:tc>
        <w:tc>
          <w:tcPr>
            <w:tcW w:w="352" w:type="pct"/>
            <w:tcBorders>
              <w:top w:val="single" w:sz="4" w:space="0" w:color="939598"/>
              <w:left w:val="single" w:sz="4" w:space="0" w:color="939598"/>
              <w:bottom w:val="single" w:sz="4" w:space="0" w:color="939598"/>
              <w:right w:val="single" w:sz="4" w:space="0" w:color="939598"/>
            </w:tcBorders>
          </w:tcPr>
          <w:p w14:paraId="4C9A588E" w14:textId="77777777" w:rsidR="00DF281D" w:rsidRDefault="00DF281D" w:rsidP="00D0554E">
            <w:pPr>
              <w:pStyle w:val="Table"/>
              <w:spacing w:before="100" w:after="100"/>
            </w:pPr>
          </w:p>
        </w:tc>
        <w:tc>
          <w:tcPr>
            <w:tcW w:w="281" w:type="pct"/>
            <w:tcBorders>
              <w:top w:val="single" w:sz="4" w:space="0" w:color="939598"/>
              <w:left w:val="single" w:sz="4" w:space="0" w:color="939598"/>
              <w:bottom w:val="single" w:sz="4" w:space="0" w:color="939598"/>
              <w:right w:val="single" w:sz="4" w:space="0" w:color="939598"/>
            </w:tcBorders>
          </w:tcPr>
          <w:p w14:paraId="5844227D" w14:textId="77777777" w:rsidR="00DF281D" w:rsidRDefault="00DF281D" w:rsidP="00D0554E">
            <w:pPr>
              <w:pStyle w:val="Table"/>
              <w:spacing w:before="100" w:after="100"/>
            </w:pPr>
          </w:p>
        </w:tc>
        <w:tc>
          <w:tcPr>
            <w:tcW w:w="360" w:type="pct"/>
            <w:tcBorders>
              <w:top w:val="single" w:sz="4" w:space="0" w:color="939598"/>
              <w:left w:val="single" w:sz="4" w:space="0" w:color="939598"/>
              <w:bottom w:val="single" w:sz="4" w:space="0" w:color="939598"/>
            </w:tcBorders>
          </w:tcPr>
          <w:p w14:paraId="48EC0C9F" w14:textId="77777777" w:rsidR="00DF281D" w:rsidRPr="00AF24CF" w:rsidRDefault="00DF281D" w:rsidP="00D0554E">
            <w:pPr>
              <w:pStyle w:val="Table"/>
              <w:spacing w:before="100" w:after="100"/>
            </w:pPr>
          </w:p>
        </w:tc>
      </w:tr>
      <w:tr w:rsidR="00990CCA" w:rsidRPr="00AF24CF" w14:paraId="3D281801" w14:textId="77777777" w:rsidTr="00990CCA">
        <w:tc>
          <w:tcPr>
            <w:tcW w:w="5000" w:type="pct"/>
            <w:gridSpan w:val="4"/>
            <w:tcBorders>
              <w:top w:val="single" w:sz="4" w:space="0" w:color="939598"/>
              <w:bottom w:val="single" w:sz="4" w:space="0" w:color="939598"/>
            </w:tcBorders>
            <w:shd w:val="clear" w:color="auto" w:fill="D9D9D9" w:themeFill="background1" w:themeFillShade="D9"/>
          </w:tcPr>
          <w:p w14:paraId="0FCCC180" w14:textId="1CE0DF4D" w:rsidR="00990CCA" w:rsidRPr="00AF24CF" w:rsidRDefault="00990CCA" w:rsidP="00D0554E">
            <w:pPr>
              <w:pStyle w:val="Tableheading"/>
              <w:keepNext/>
            </w:pPr>
            <w:r w:rsidRPr="00CC31E6">
              <w:t>T</w:t>
            </w:r>
            <w:r w:rsidR="006E4772">
              <w:t>RADING STOCK</w:t>
            </w:r>
            <w:r>
              <w:t xml:space="preserve"> </w:t>
            </w:r>
          </w:p>
        </w:tc>
      </w:tr>
      <w:tr w:rsidR="00895519" w:rsidRPr="00FC3B3B" w14:paraId="17F9E547" w14:textId="77777777" w:rsidTr="00E35F99">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Ex>
        <w:tc>
          <w:tcPr>
            <w:tcW w:w="4007" w:type="pct"/>
            <w:tcBorders>
              <w:top w:val="single" w:sz="4" w:space="0" w:color="939598"/>
              <w:left w:val="single" w:sz="4" w:space="0" w:color="939598"/>
              <w:bottom w:val="single" w:sz="4" w:space="0" w:color="939598"/>
              <w:right w:val="single" w:sz="4" w:space="0" w:color="939598"/>
            </w:tcBorders>
          </w:tcPr>
          <w:p w14:paraId="462DA34C" w14:textId="77777777" w:rsidR="00895519" w:rsidRPr="00FC3B3B" w:rsidRDefault="00895519" w:rsidP="00D0554E">
            <w:pPr>
              <w:pStyle w:val="Table"/>
              <w:spacing w:before="100" w:after="100"/>
            </w:pPr>
            <w:r w:rsidRPr="00FC3B3B">
              <w:t>Does the company have trading stock?</w:t>
            </w:r>
            <w:r w:rsidR="00B82FCF">
              <w:t xml:space="preserve">   </w:t>
            </w:r>
          </w:p>
        </w:tc>
        <w:tc>
          <w:tcPr>
            <w:tcW w:w="352" w:type="pct"/>
            <w:tcBorders>
              <w:top w:val="single" w:sz="4" w:space="0" w:color="939598"/>
              <w:left w:val="single" w:sz="4" w:space="0" w:color="939598"/>
              <w:bottom w:val="single" w:sz="4" w:space="0" w:color="939598"/>
              <w:right w:val="single" w:sz="4" w:space="0" w:color="939598"/>
            </w:tcBorders>
          </w:tcPr>
          <w:p w14:paraId="5FDE78A5" w14:textId="77777777" w:rsidR="00895519" w:rsidRPr="00FC3B3B" w:rsidRDefault="00895519" w:rsidP="00D0554E">
            <w:pPr>
              <w:pStyle w:val="Table"/>
              <w:spacing w:before="100" w:after="100"/>
            </w:pPr>
          </w:p>
        </w:tc>
        <w:tc>
          <w:tcPr>
            <w:tcW w:w="281" w:type="pct"/>
            <w:tcBorders>
              <w:top w:val="single" w:sz="4" w:space="0" w:color="939598"/>
              <w:left w:val="single" w:sz="4" w:space="0" w:color="939598"/>
              <w:bottom w:val="single" w:sz="4" w:space="0" w:color="939598"/>
              <w:right w:val="single" w:sz="4" w:space="0" w:color="939598"/>
            </w:tcBorders>
          </w:tcPr>
          <w:p w14:paraId="74C72A34" w14:textId="77777777" w:rsidR="00895519" w:rsidRPr="00FC3B3B" w:rsidRDefault="00895519" w:rsidP="00D0554E">
            <w:pPr>
              <w:pStyle w:val="Table"/>
              <w:spacing w:before="100" w:after="100"/>
            </w:pPr>
          </w:p>
        </w:tc>
        <w:tc>
          <w:tcPr>
            <w:tcW w:w="360" w:type="pct"/>
            <w:tcBorders>
              <w:top w:val="single" w:sz="4" w:space="0" w:color="939598"/>
              <w:left w:val="single" w:sz="4" w:space="0" w:color="939598"/>
              <w:bottom w:val="single" w:sz="4" w:space="0" w:color="939598"/>
              <w:right w:val="single" w:sz="4" w:space="0" w:color="939598"/>
            </w:tcBorders>
          </w:tcPr>
          <w:p w14:paraId="17AB0C0C" w14:textId="77777777" w:rsidR="00895519" w:rsidRPr="00FC3B3B" w:rsidRDefault="00895519" w:rsidP="00D0554E">
            <w:pPr>
              <w:pStyle w:val="Table"/>
              <w:spacing w:before="100" w:after="100"/>
            </w:pPr>
          </w:p>
        </w:tc>
      </w:tr>
      <w:tr w:rsidR="00895519" w:rsidRPr="00FC3B3B" w14:paraId="70E69055" w14:textId="77777777" w:rsidTr="00E35F99">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Ex>
        <w:tc>
          <w:tcPr>
            <w:tcW w:w="4007" w:type="pct"/>
            <w:tcBorders>
              <w:top w:val="single" w:sz="4" w:space="0" w:color="939598"/>
              <w:left w:val="single" w:sz="4" w:space="0" w:color="939598"/>
              <w:bottom w:val="single" w:sz="4" w:space="0" w:color="939598"/>
              <w:right w:val="single" w:sz="4" w:space="0" w:color="939598"/>
            </w:tcBorders>
          </w:tcPr>
          <w:p w14:paraId="68DDA21E" w14:textId="77777777" w:rsidR="00895519" w:rsidRPr="00FC3B3B" w:rsidRDefault="00895519" w:rsidP="00D0554E">
            <w:pPr>
              <w:pStyle w:val="Table"/>
              <w:spacing w:before="100" w:after="100"/>
            </w:pPr>
            <w:r w:rsidRPr="00FC3B3B">
              <w:t>Does the opening balance of trading stock for tax purposes agree with the closing balance of trading stock in last year’s income tax return?</w:t>
            </w:r>
            <w:r>
              <w:t xml:space="preserve"> </w:t>
            </w:r>
          </w:p>
        </w:tc>
        <w:tc>
          <w:tcPr>
            <w:tcW w:w="352" w:type="pct"/>
            <w:tcBorders>
              <w:top w:val="single" w:sz="4" w:space="0" w:color="939598"/>
              <w:left w:val="single" w:sz="4" w:space="0" w:color="939598"/>
              <w:bottom w:val="single" w:sz="4" w:space="0" w:color="939598"/>
              <w:right w:val="single" w:sz="4" w:space="0" w:color="939598"/>
            </w:tcBorders>
          </w:tcPr>
          <w:p w14:paraId="19A14420" w14:textId="77777777" w:rsidR="00895519" w:rsidRPr="00FC3B3B" w:rsidRDefault="00895519" w:rsidP="00D0554E">
            <w:pPr>
              <w:pStyle w:val="Table"/>
              <w:spacing w:before="100" w:after="100"/>
            </w:pPr>
          </w:p>
        </w:tc>
        <w:tc>
          <w:tcPr>
            <w:tcW w:w="281" w:type="pct"/>
            <w:tcBorders>
              <w:top w:val="single" w:sz="4" w:space="0" w:color="939598"/>
              <w:left w:val="single" w:sz="4" w:space="0" w:color="939598"/>
              <w:bottom w:val="single" w:sz="4" w:space="0" w:color="939598"/>
              <w:right w:val="single" w:sz="4" w:space="0" w:color="939598"/>
            </w:tcBorders>
          </w:tcPr>
          <w:p w14:paraId="5ABF3054" w14:textId="77777777" w:rsidR="00895519" w:rsidRPr="00FC3B3B" w:rsidRDefault="00895519" w:rsidP="00D0554E">
            <w:pPr>
              <w:pStyle w:val="Table"/>
              <w:spacing w:before="100" w:after="100"/>
            </w:pPr>
          </w:p>
        </w:tc>
        <w:tc>
          <w:tcPr>
            <w:tcW w:w="360" w:type="pct"/>
            <w:tcBorders>
              <w:top w:val="single" w:sz="4" w:space="0" w:color="939598"/>
              <w:left w:val="single" w:sz="4" w:space="0" w:color="939598"/>
              <w:bottom w:val="single" w:sz="4" w:space="0" w:color="939598"/>
              <w:right w:val="single" w:sz="4" w:space="0" w:color="939598"/>
            </w:tcBorders>
          </w:tcPr>
          <w:p w14:paraId="73ADE2E6" w14:textId="77777777" w:rsidR="00895519" w:rsidRPr="00FC3B3B" w:rsidRDefault="00895519" w:rsidP="00D0554E">
            <w:pPr>
              <w:pStyle w:val="Table"/>
              <w:spacing w:before="100" w:after="100"/>
            </w:pPr>
          </w:p>
        </w:tc>
      </w:tr>
      <w:tr w:rsidR="00895519" w:rsidRPr="00FC3B3B" w14:paraId="2D6CB697" w14:textId="77777777" w:rsidTr="00E35F99">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Ex>
        <w:tc>
          <w:tcPr>
            <w:tcW w:w="4007" w:type="pct"/>
            <w:tcBorders>
              <w:top w:val="single" w:sz="4" w:space="0" w:color="939598"/>
              <w:left w:val="single" w:sz="4" w:space="0" w:color="939598"/>
              <w:bottom w:val="single" w:sz="4" w:space="0" w:color="939598"/>
              <w:right w:val="single" w:sz="4" w:space="0" w:color="939598"/>
            </w:tcBorders>
          </w:tcPr>
          <w:p w14:paraId="15F07BB9" w14:textId="77777777" w:rsidR="00895519" w:rsidRDefault="00895519" w:rsidP="00D0554E">
            <w:pPr>
              <w:pStyle w:val="Table"/>
              <w:spacing w:before="100" w:after="100"/>
            </w:pPr>
            <w:r w:rsidRPr="00FC3B3B">
              <w:t>Is the closing stock valuation method adopted by the company acceptable for both accounting and tax purposes?</w:t>
            </w:r>
            <w:r w:rsidR="003557B2" w:rsidRPr="00FC3B3B">
              <w:t xml:space="preserve"> If not, can </w:t>
            </w:r>
            <w:r w:rsidR="00811E61">
              <w:t>the tax valuation</w:t>
            </w:r>
            <w:r w:rsidR="003557B2" w:rsidRPr="00FC3B3B">
              <w:t xml:space="preserve"> be justified and is it adequately documented?</w:t>
            </w:r>
            <w:r w:rsidR="00A837FB">
              <w:t xml:space="preserve"> Should the valuation method be reviewed to either defer or bring forward assessable income?</w:t>
            </w:r>
          </w:p>
          <w:p w14:paraId="583BF39B" w14:textId="28C70734" w:rsidR="00E90156" w:rsidRPr="00211718" w:rsidRDefault="00E90156" w:rsidP="00D0554E">
            <w:pPr>
              <w:spacing w:before="100" w:after="100"/>
              <w:rPr>
                <w:sz w:val="15"/>
                <w:szCs w:val="15"/>
              </w:rPr>
            </w:pPr>
            <w:r w:rsidRPr="00211718">
              <w:rPr>
                <w:b/>
                <w:sz w:val="15"/>
                <w:szCs w:val="15"/>
              </w:rPr>
              <w:t>Note:</w:t>
            </w:r>
            <w:r w:rsidRPr="00211718">
              <w:rPr>
                <w:sz w:val="15"/>
                <w:szCs w:val="15"/>
              </w:rPr>
              <w:t xml:space="preserve"> consider the benefits of revaluing closing value of trading stock at year</w:t>
            </w:r>
            <w:r w:rsidR="00AC21A2">
              <w:rPr>
                <w:sz w:val="15"/>
                <w:szCs w:val="15"/>
              </w:rPr>
              <w:t xml:space="preserve"> </w:t>
            </w:r>
            <w:r w:rsidRPr="00211718">
              <w:rPr>
                <w:sz w:val="15"/>
                <w:szCs w:val="15"/>
              </w:rPr>
              <w:t xml:space="preserve">end using the lower of cost, market selling value or replacement value </w:t>
            </w:r>
            <w:r w:rsidR="00C72E6E" w:rsidRPr="00211718">
              <w:rPr>
                <w:sz w:val="15"/>
                <w:szCs w:val="15"/>
              </w:rPr>
              <w:t xml:space="preserve">if seeking </w:t>
            </w:r>
            <w:r w:rsidRPr="00211718">
              <w:rPr>
                <w:sz w:val="15"/>
                <w:szCs w:val="15"/>
              </w:rPr>
              <w:t xml:space="preserve">to </w:t>
            </w:r>
            <w:r w:rsidR="00DF281D" w:rsidRPr="00211718">
              <w:rPr>
                <w:sz w:val="15"/>
                <w:szCs w:val="15"/>
              </w:rPr>
              <w:t>reduce</w:t>
            </w:r>
            <w:r w:rsidRPr="00211718">
              <w:rPr>
                <w:sz w:val="15"/>
                <w:szCs w:val="15"/>
              </w:rPr>
              <w:t xml:space="preserve"> taxable income. T</w:t>
            </w:r>
            <w:r w:rsidR="00DF281D" w:rsidRPr="00211718">
              <w:rPr>
                <w:sz w:val="15"/>
                <w:szCs w:val="15"/>
              </w:rPr>
              <w:t xml:space="preserve">his </w:t>
            </w:r>
            <w:r w:rsidRPr="00211718">
              <w:rPr>
                <w:sz w:val="15"/>
                <w:szCs w:val="15"/>
              </w:rPr>
              <w:t xml:space="preserve">choice is available in relation to each item or category of trading stock.        </w:t>
            </w:r>
          </w:p>
        </w:tc>
        <w:tc>
          <w:tcPr>
            <w:tcW w:w="352" w:type="pct"/>
            <w:tcBorders>
              <w:top w:val="single" w:sz="4" w:space="0" w:color="939598"/>
              <w:left w:val="single" w:sz="4" w:space="0" w:color="939598"/>
              <w:bottom w:val="single" w:sz="4" w:space="0" w:color="939598"/>
              <w:right w:val="single" w:sz="4" w:space="0" w:color="939598"/>
            </w:tcBorders>
          </w:tcPr>
          <w:p w14:paraId="0EFD5C5A" w14:textId="77777777" w:rsidR="00895519" w:rsidRPr="00FC3B3B" w:rsidRDefault="00895519" w:rsidP="00D0554E">
            <w:pPr>
              <w:pStyle w:val="Table"/>
              <w:spacing w:before="100" w:after="100"/>
            </w:pPr>
          </w:p>
        </w:tc>
        <w:tc>
          <w:tcPr>
            <w:tcW w:w="281" w:type="pct"/>
            <w:tcBorders>
              <w:top w:val="single" w:sz="4" w:space="0" w:color="939598"/>
              <w:left w:val="single" w:sz="4" w:space="0" w:color="939598"/>
              <w:bottom w:val="single" w:sz="4" w:space="0" w:color="939598"/>
              <w:right w:val="single" w:sz="4" w:space="0" w:color="939598"/>
            </w:tcBorders>
          </w:tcPr>
          <w:p w14:paraId="28CC9069" w14:textId="77777777" w:rsidR="00895519" w:rsidRPr="00FC3B3B" w:rsidRDefault="00895519" w:rsidP="00D0554E">
            <w:pPr>
              <w:pStyle w:val="Table"/>
              <w:spacing w:before="100" w:after="100"/>
            </w:pPr>
          </w:p>
        </w:tc>
        <w:tc>
          <w:tcPr>
            <w:tcW w:w="360" w:type="pct"/>
            <w:tcBorders>
              <w:top w:val="single" w:sz="4" w:space="0" w:color="939598"/>
              <w:left w:val="single" w:sz="4" w:space="0" w:color="939598"/>
              <w:bottom w:val="single" w:sz="4" w:space="0" w:color="939598"/>
              <w:right w:val="single" w:sz="4" w:space="0" w:color="939598"/>
            </w:tcBorders>
          </w:tcPr>
          <w:p w14:paraId="4ACCC9F6" w14:textId="77777777" w:rsidR="00895519" w:rsidRPr="00FC3B3B" w:rsidRDefault="00895519" w:rsidP="00D0554E">
            <w:pPr>
              <w:pStyle w:val="Table"/>
              <w:spacing w:before="100" w:after="100"/>
            </w:pPr>
          </w:p>
        </w:tc>
      </w:tr>
      <w:tr w:rsidR="00895519" w:rsidRPr="00FC3B3B" w14:paraId="705063F5" w14:textId="77777777" w:rsidTr="00E35F99">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Ex>
        <w:tc>
          <w:tcPr>
            <w:tcW w:w="4007" w:type="pct"/>
            <w:tcBorders>
              <w:top w:val="single" w:sz="4" w:space="0" w:color="939598"/>
              <w:left w:val="single" w:sz="4" w:space="0" w:color="939598"/>
              <w:bottom w:val="single" w:sz="4" w:space="0" w:color="939598"/>
              <w:right w:val="single" w:sz="4" w:space="0" w:color="939598"/>
            </w:tcBorders>
          </w:tcPr>
          <w:p w14:paraId="3EA578A0" w14:textId="6C112988" w:rsidR="00895519" w:rsidRPr="00FC3B3B" w:rsidRDefault="00895519" w:rsidP="00D0554E">
            <w:pPr>
              <w:pStyle w:val="Table"/>
              <w:spacing w:before="100" w:after="100"/>
            </w:pPr>
            <w:r w:rsidRPr="00FC3B3B">
              <w:t xml:space="preserve">Has the company disposed of any trading stock outside the normal course of business? If so, has the market value of the trading stock on the day of the disposal been included in the company’s assessable income in accordance with section 70-90 of the </w:t>
            </w:r>
            <w:r w:rsidRPr="00517040">
              <w:rPr>
                <w:i/>
              </w:rPr>
              <w:t>Income Tax Assessment Act 1997</w:t>
            </w:r>
            <w:r w:rsidRPr="00FC3B3B">
              <w:t>?</w:t>
            </w:r>
          </w:p>
        </w:tc>
        <w:tc>
          <w:tcPr>
            <w:tcW w:w="352" w:type="pct"/>
            <w:tcBorders>
              <w:top w:val="single" w:sz="4" w:space="0" w:color="939598"/>
              <w:left w:val="single" w:sz="4" w:space="0" w:color="939598"/>
              <w:bottom w:val="single" w:sz="4" w:space="0" w:color="939598"/>
              <w:right w:val="single" w:sz="4" w:space="0" w:color="939598"/>
            </w:tcBorders>
          </w:tcPr>
          <w:p w14:paraId="6D116DAF" w14:textId="77777777" w:rsidR="00895519" w:rsidRPr="00FC3B3B" w:rsidRDefault="00895519" w:rsidP="00D0554E">
            <w:pPr>
              <w:pStyle w:val="Table"/>
              <w:spacing w:before="100" w:after="100"/>
            </w:pPr>
          </w:p>
        </w:tc>
        <w:tc>
          <w:tcPr>
            <w:tcW w:w="281" w:type="pct"/>
            <w:tcBorders>
              <w:top w:val="single" w:sz="4" w:space="0" w:color="939598"/>
              <w:left w:val="single" w:sz="4" w:space="0" w:color="939598"/>
              <w:bottom w:val="single" w:sz="4" w:space="0" w:color="939598"/>
              <w:right w:val="single" w:sz="4" w:space="0" w:color="939598"/>
            </w:tcBorders>
          </w:tcPr>
          <w:p w14:paraId="50A9D16D" w14:textId="77777777" w:rsidR="00895519" w:rsidRPr="00FC3B3B" w:rsidRDefault="00895519" w:rsidP="00D0554E">
            <w:pPr>
              <w:pStyle w:val="Table"/>
              <w:spacing w:before="100" w:after="100"/>
            </w:pPr>
          </w:p>
        </w:tc>
        <w:tc>
          <w:tcPr>
            <w:tcW w:w="360" w:type="pct"/>
            <w:tcBorders>
              <w:top w:val="single" w:sz="4" w:space="0" w:color="939598"/>
              <w:left w:val="single" w:sz="4" w:space="0" w:color="939598"/>
              <w:bottom w:val="single" w:sz="4" w:space="0" w:color="939598"/>
              <w:right w:val="single" w:sz="4" w:space="0" w:color="939598"/>
            </w:tcBorders>
          </w:tcPr>
          <w:p w14:paraId="1DD4305F" w14:textId="77777777" w:rsidR="00895519" w:rsidRPr="00FC3B3B" w:rsidRDefault="00895519" w:rsidP="00D0554E">
            <w:pPr>
              <w:pStyle w:val="Table"/>
              <w:spacing w:before="100" w:after="100"/>
            </w:pPr>
          </w:p>
        </w:tc>
      </w:tr>
      <w:tr w:rsidR="00895519" w:rsidRPr="00FC3B3B" w14:paraId="59B0C88C" w14:textId="77777777" w:rsidTr="00E35F99">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Ex>
        <w:tc>
          <w:tcPr>
            <w:tcW w:w="4007" w:type="pct"/>
            <w:tcBorders>
              <w:top w:val="single" w:sz="4" w:space="0" w:color="939598"/>
              <w:left w:val="single" w:sz="4" w:space="0" w:color="939598"/>
              <w:bottom w:val="single" w:sz="4" w:space="0" w:color="939598"/>
              <w:right w:val="single" w:sz="4" w:space="0" w:color="939598"/>
            </w:tcBorders>
          </w:tcPr>
          <w:p w14:paraId="571797BA" w14:textId="77777777" w:rsidR="00895519" w:rsidRPr="00FC3B3B" w:rsidRDefault="00895519" w:rsidP="00D0554E">
            <w:pPr>
              <w:pStyle w:val="Table"/>
              <w:spacing w:before="100" w:after="100"/>
            </w:pPr>
            <w:r w:rsidRPr="00FC3B3B">
              <w:t>Where stock is valued at cost price, is a full absorption costing basis being used?</w:t>
            </w:r>
          </w:p>
        </w:tc>
        <w:tc>
          <w:tcPr>
            <w:tcW w:w="352" w:type="pct"/>
            <w:tcBorders>
              <w:top w:val="single" w:sz="4" w:space="0" w:color="939598"/>
              <w:left w:val="single" w:sz="4" w:space="0" w:color="939598"/>
              <w:bottom w:val="single" w:sz="4" w:space="0" w:color="939598"/>
              <w:right w:val="single" w:sz="4" w:space="0" w:color="939598"/>
            </w:tcBorders>
          </w:tcPr>
          <w:p w14:paraId="3F249FCC" w14:textId="77777777" w:rsidR="00895519" w:rsidRPr="00FC3B3B" w:rsidRDefault="00895519" w:rsidP="00D0554E">
            <w:pPr>
              <w:pStyle w:val="Table"/>
              <w:spacing w:before="100" w:after="100"/>
            </w:pPr>
          </w:p>
        </w:tc>
        <w:tc>
          <w:tcPr>
            <w:tcW w:w="281" w:type="pct"/>
            <w:tcBorders>
              <w:top w:val="single" w:sz="4" w:space="0" w:color="939598"/>
              <w:left w:val="single" w:sz="4" w:space="0" w:color="939598"/>
              <w:bottom w:val="single" w:sz="4" w:space="0" w:color="939598"/>
              <w:right w:val="single" w:sz="4" w:space="0" w:color="939598"/>
            </w:tcBorders>
          </w:tcPr>
          <w:p w14:paraId="7B133E28" w14:textId="77777777" w:rsidR="00895519" w:rsidRPr="00FC3B3B" w:rsidRDefault="00895519" w:rsidP="00D0554E">
            <w:pPr>
              <w:pStyle w:val="Table"/>
              <w:spacing w:before="100" w:after="100"/>
            </w:pPr>
          </w:p>
        </w:tc>
        <w:tc>
          <w:tcPr>
            <w:tcW w:w="360" w:type="pct"/>
            <w:tcBorders>
              <w:top w:val="single" w:sz="4" w:space="0" w:color="939598"/>
              <w:left w:val="single" w:sz="4" w:space="0" w:color="939598"/>
              <w:bottom w:val="single" w:sz="4" w:space="0" w:color="939598"/>
              <w:right w:val="single" w:sz="4" w:space="0" w:color="939598"/>
            </w:tcBorders>
          </w:tcPr>
          <w:p w14:paraId="2C4477B3" w14:textId="77777777" w:rsidR="00895519" w:rsidRPr="00FC3B3B" w:rsidRDefault="00895519" w:rsidP="00D0554E">
            <w:pPr>
              <w:pStyle w:val="Table"/>
              <w:spacing w:before="100" w:after="100"/>
            </w:pPr>
          </w:p>
        </w:tc>
      </w:tr>
      <w:tr w:rsidR="00895519" w:rsidRPr="00FC3B3B" w14:paraId="7E9AD0AC" w14:textId="77777777" w:rsidTr="00E35F99">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Ex>
        <w:tc>
          <w:tcPr>
            <w:tcW w:w="4007" w:type="pct"/>
            <w:tcBorders>
              <w:top w:val="single" w:sz="4" w:space="0" w:color="939598"/>
              <w:left w:val="single" w:sz="4" w:space="0" w:color="939598"/>
              <w:bottom w:val="single" w:sz="4" w:space="0" w:color="939598"/>
              <w:right w:val="single" w:sz="4" w:space="0" w:color="939598"/>
            </w:tcBorders>
          </w:tcPr>
          <w:p w14:paraId="6E0A7760" w14:textId="77777777" w:rsidR="00895519" w:rsidRPr="00FC3B3B" w:rsidRDefault="00895519" w:rsidP="00D0554E">
            <w:pPr>
              <w:pStyle w:val="Table"/>
              <w:spacing w:before="100" w:after="100"/>
            </w:pPr>
            <w:r w:rsidRPr="00FC3B3B">
              <w:t>Has the treatment of goods-in transit and consignment stock been conside</w:t>
            </w:r>
            <w:r>
              <w:t>red in the valuation of trading </w:t>
            </w:r>
            <w:r w:rsidRPr="00FC3B3B">
              <w:t>stock?</w:t>
            </w:r>
          </w:p>
        </w:tc>
        <w:tc>
          <w:tcPr>
            <w:tcW w:w="352" w:type="pct"/>
            <w:tcBorders>
              <w:top w:val="single" w:sz="4" w:space="0" w:color="939598"/>
              <w:left w:val="single" w:sz="4" w:space="0" w:color="939598"/>
              <w:bottom w:val="single" w:sz="4" w:space="0" w:color="939598"/>
              <w:right w:val="single" w:sz="4" w:space="0" w:color="939598"/>
            </w:tcBorders>
          </w:tcPr>
          <w:p w14:paraId="229299E2" w14:textId="77777777" w:rsidR="00895519" w:rsidRPr="00FC3B3B" w:rsidRDefault="00895519" w:rsidP="00D0554E">
            <w:pPr>
              <w:pStyle w:val="Table"/>
              <w:spacing w:before="100" w:after="100"/>
            </w:pPr>
          </w:p>
        </w:tc>
        <w:tc>
          <w:tcPr>
            <w:tcW w:w="281" w:type="pct"/>
            <w:tcBorders>
              <w:top w:val="single" w:sz="4" w:space="0" w:color="939598"/>
              <w:left w:val="single" w:sz="4" w:space="0" w:color="939598"/>
              <w:bottom w:val="single" w:sz="4" w:space="0" w:color="939598"/>
              <w:right w:val="single" w:sz="4" w:space="0" w:color="939598"/>
            </w:tcBorders>
          </w:tcPr>
          <w:p w14:paraId="6D263E41" w14:textId="77777777" w:rsidR="00895519" w:rsidRPr="00FC3B3B" w:rsidRDefault="00895519" w:rsidP="00D0554E">
            <w:pPr>
              <w:pStyle w:val="Table"/>
              <w:spacing w:before="100" w:after="100"/>
            </w:pPr>
          </w:p>
        </w:tc>
        <w:tc>
          <w:tcPr>
            <w:tcW w:w="360" w:type="pct"/>
            <w:tcBorders>
              <w:top w:val="single" w:sz="4" w:space="0" w:color="939598"/>
              <w:left w:val="single" w:sz="4" w:space="0" w:color="939598"/>
              <w:bottom w:val="single" w:sz="4" w:space="0" w:color="939598"/>
              <w:right w:val="single" w:sz="4" w:space="0" w:color="939598"/>
            </w:tcBorders>
          </w:tcPr>
          <w:p w14:paraId="6F2F2491" w14:textId="77777777" w:rsidR="00895519" w:rsidRPr="00FC3B3B" w:rsidRDefault="00895519" w:rsidP="00D0554E">
            <w:pPr>
              <w:pStyle w:val="Table"/>
              <w:spacing w:before="100" w:after="100"/>
            </w:pPr>
          </w:p>
        </w:tc>
      </w:tr>
      <w:tr w:rsidR="00895519" w:rsidRPr="00FC3B3B" w14:paraId="540C24A1" w14:textId="77777777" w:rsidTr="00E35F99">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Ex>
        <w:tc>
          <w:tcPr>
            <w:tcW w:w="4007" w:type="pct"/>
            <w:tcBorders>
              <w:top w:val="single" w:sz="4" w:space="0" w:color="939598"/>
              <w:left w:val="single" w:sz="4" w:space="0" w:color="939598"/>
              <w:bottom w:val="single" w:sz="4" w:space="0" w:color="939598"/>
              <w:right w:val="single" w:sz="4" w:space="0" w:color="939598"/>
            </w:tcBorders>
          </w:tcPr>
          <w:p w14:paraId="14445C62" w14:textId="77777777" w:rsidR="00895519" w:rsidRPr="00FC3B3B" w:rsidRDefault="00895519" w:rsidP="00D0554E">
            <w:pPr>
              <w:pStyle w:val="Table"/>
              <w:spacing w:before="100" w:after="100"/>
            </w:pPr>
            <w:r w:rsidRPr="00FC3B3B">
              <w:t>Has a deduction been claimed for consumable stores on hand at balance date?</w:t>
            </w:r>
          </w:p>
        </w:tc>
        <w:tc>
          <w:tcPr>
            <w:tcW w:w="352" w:type="pct"/>
            <w:tcBorders>
              <w:top w:val="single" w:sz="4" w:space="0" w:color="939598"/>
              <w:left w:val="single" w:sz="4" w:space="0" w:color="939598"/>
              <w:bottom w:val="single" w:sz="4" w:space="0" w:color="939598"/>
              <w:right w:val="single" w:sz="4" w:space="0" w:color="939598"/>
            </w:tcBorders>
          </w:tcPr>
          <w:p w14:paraId="1D98E5DC" w14:textId="77777777" w:rsidR="00895519" w:rsidRPr="00FC3B3B" w:rsidRDefault="00895519" w:rsidP="00D0554E">
            <w:pPr>
              <w:pStyle w:val="Table"/>
              <w:spacing w:before="100" w:after="100"/>
            </w:pPr>
          </w:p>
        </w:tc>
        <w:tc>
          <w:tcPr>
            <w:tcW w:w="281" w:type="pct"/>
            <w:tcBorders>
              <w:top w:val="single" w:sz="4" w:space="0" w:color="939598"/>
              <w:left w:val="single" w:sz="4" w:space="0" w:color="939598"/>
              <w:bottom w:val="single" w:sz="4" w:space="0" w:color="939598"/>
              <w:right w:val="single" w:sz="4" w:space="0" w:color="939598"/>
            </w:tcBorders>
          </w:tcPr>
          <w:p w14:paraId="0DB6DCA0" w14:textId="77777777" w:rsidR="00895519" w:rsidRPr="00FC3B3B" w:rsidRDefault="00895519" w:rsidP="00D0554E">
            <w:pPr>
              <w:pStyle w:val="Table"/>
              <w:spacing w:before="100" w:after="100"/>
            </w:pPr>
          </w:p>
        </w:tc>
        <w:tc>
          <w:tcPr>
            <w:tcW w:w="360" w:type="pct"/>
            <w:tcBorders>
              <w:top w:val="single" w:sz="4" w:space="0" w:color="939598"/>
              <w:left w:val="single" w:sz="4" w:space="0" w:color="939598"/>
              <w:bottom w:val="single" w:sz="4" w:space="0" w:color="939598"/>
              <w:right w:val="single" w:sz="4" w:space="0" w:color="939598"/>
            </w:tcBorders>
          </w:tcPr>
          <w:p w14:paraId="3B3AA657" w14:textId="77777777" w:rsidR="00895519" w:rsidRPr="00FC3B3B" w:rsidRDefault="00895519" w:rsidP="00D0554E">
            <w:pPr>
              <w:pStyle w:val="Table"/>
              <w:spacing w:before="100" w:after="100"/>
            </w:pPr>
          </w:p>
        </w:tc>
      </w:tr>
      <w:tr w:rsidR="00890E38" w:rsidRPr="00FC3B3B" w14:paraId="2EAF9653" w14:textId="77777777" w:rsidTr="00E35F99">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Ex>
        <w:tc>
          <w:tcPr>
            <w:tcW w:w="4007" w:type="pct"/>
            <w:tcBorders>
              <w:top w:val="single" w:sz="4" w:space="0" w:color="939598"/>
              <w:left w:val="single" w:sz="4" w:space="0" w:color="939598"/>
              <w:bottom w:val="single" w:sz="4" w:space="0" w:color="939598"/>
              <w:right w:val="single" w:sz="4" w:space="0" w:color="939598"/>
            </w:tcBorders>
          </w:tcPr>
          <w:p w14:paraId="70E62A33" w14:textId="77777777" w:rsidR="00890E38" w:rsidRPr="00FC3B3B" w:rsidRDefault="00890E38" w:rsidP="00D0554E">
            <w:pPr>
              <w:pStyle w:val="Table"/>
              <w:spacing w:before="100" w:after="100"/>
            </w:pPr>
            <w:r>
              <w:t xml:space="preserve">Has a review been conducted to identify whether any stock is obsolete?  </w:t>
            </w:r>
          </w:p>
        </w:tc>
        <w:tc>
          <w:tcPr>
            <w:tcW w:w="352" w:type="pct"/>
            <w:tcBorders>
              <w:top w:val="single" w:sz="4" w:space="0" w:color="939598"/>
              <w:left w:val="single" w:sz="4" w:space="0" w:color="939598"/>
              <w:bottom w:val="single" w:sz="4" w:space="0" w:color="939598"/>
              <w:right w:val="single" w:sz="4" w:space="0" w:color="939598"/>
            </w:tcBorders>
          </w:tcPr>
          <w:p w14:paraId="48EDCE14" w14:textId="77777777" w:rsidR="00890E38" w:rsidRPr="00FC3B3B" w:rsidRDefault="00890E38" w:rsidP="00D0554E">
            <w:pPr>
              <w:pStyle w:val="Table"/>
              <w:spacing w:before="100" w:after="100"/>
            </w:pPr>
          </w:p>
        </w:tc>
        <w:tc>
          <w:tcPr>
            <w:tcW w:w="281" w:type="pct"/>
            <w:tcBorders>
              <w:top w:val="single" w:sz="4" w:space="0" w:color="939598"/>
              <w:left w:val="single" w:sz="4" w:space="0" w:color="939598"/>
              <w:bottom w:val="single" w:sz="4" w:space="0" w:color="939598"/>
              <w:right w:val="single" w:sz="4" w:space="0" w:color="939598"/>
            </w:tcBorders>
          </w:tcPr>
          <w:p w14:paraId="6607B04D" w14:textId="77777777" w:rsidR="00890E38" w:rsidRPr="00FC3B3B" w:rsidRDefault="00890E38" w:rsidP="00D0554E">
            <w:pPr>
              <w:pStyle w:val="Table"/>
              <w:spacing w:before="100" w:after="100"/>
            </w:pPr>
          </w:p>
        </w:tc>
        <w:tc>
          <w:tcPr>
            <w:tcW w:w="360" w:type="pct"/>
            <w:tcBorders>
              <w:top w:val="single" w:sz="4" w:space="0" w:color="939598"/>
              <w:left w:val="single" w:sz="4" w:space="0" w:color="939598"/>
              <w:bottom w:val="single" w:sz="4" w:space="0" w:color="939598"/>
              <w:right w:val="single" w:sz="4" w:space="0" w:color="939598"/>
            </w:tcBorders>
          </w:tcPr>
          <w:p w14:paraId="50036E69" w14:textId="77777777" w:rsidR="00890E38" w:rsidRPr="00FC3B3B" w:rsidRDefault="00890E38" w:rsidP="00D0554E">
            <w:pPr>
              <w:pStyle w:val="Table"/>
              <w:spacing w:before="100" w:after="100"/>
            </w:pPr>
          </w:p>
        </w:tc>
      </w:tr>
      <w:tr w:rsidR="00990CCA" w:rsidRPr="00AF24CF" w14:paraId="66FB96A5" w14:textId="77777777" w:rsidTr="00990CCA">
        <w:tc>
          <w:tcPr>
            <w:tcW w:w="5000" w:type="pct"/>
            <w:gridSpan w:val="4"/>
            <w:tcBorders>
              <w:top w:val="single" w:sz="4" w:space="0" w:color="939598"/>
              <w:bottom w:val="single" w:sz="4" w:space="0" w:color="939598"/>
            </w:tcBorders>
            <w:shd w:val="clear" w:color="auto" w:fill="D9D9D9" w:themeFill="background1" w:themeFillShade="D9"/>
          </w:tcPr>
          <w:p w14:paraId="2126C260" w14:textId="47503FDD" w:rsidR="00990CCA" w:rsidRPr="00AF24CF" w:rsidRDefault="00990CCA" w:rsidP="00D0554E">
            <w:pPr>
              <w:pStyle w:val="Tableheading"/>
            </w:pPr>
            <w:r w:rsidRPr="00CC31E6">
              <w:t>I</w:t>
            </w:r>
            <w:r w:rsidR="00F87661">
              <w:t>NTELLECTUAL PROPERTY</w:t>
            </w:r>
            <w:r w:rsidRPr="00CC31E6">
              <w:t xml:space="preserve"> </w:t>
            </w:r>
          </w:p>
        </w:tc>
      </w:tr>
      <w:tr w:rsidR="00895519" w:rsidRPr="00FC3B3B" w14:paraId="393E4E02" w14:textId="77777777" w:rsidTr="00E35F99">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Ex>
        <w:trPr>
          <w:trHeight w:val="1159"/>
        </w:trPr>
        <w:tc>
          <w:tcPr>
            <w:tcW w:w="4007" w:type="pct"/>
            <w:tcBorders>
              <w:top w:val="single" w:sz="4" w:space="0" w:color="939598"/>
              <w:left w:val="single" w:sz="4" w:space="0" w:color="939598"/>
              <w:bottom w:val="single" w:sz="4" w:space="0" w:color="939598"/>
              <w:right w:val="single" w:sz="4" w:space="0" w:color="939598"/>
            </w:tcBorders>
          </w:tcPr>
          <w:p w14:paraId="5CCF1381" w14:textId="77777777" w:rsidR="00895519" w:rsidRDefault="00895519" w:rsidP="00D0554E">
            <w:pPr>
              <w:pStyle w:val="Table"/>
              <w:spacing w:before="100" w:after="100"/>
            </w:pPr>
            <w:r w:rsidRPr="00FC3B3B">
              <w:t xml:space="preserve">Have you considered the </w:t>
            </w:r>
            <w:r w:rsidR="00877354">
              <w:t>depreciation</w:t>
            </w:r>
            <w:r w:rsidR="00877354" w:rsidRPr="00FC3B3B">
              <w:t xml:space="preserve"> </w:t>
            </w:r>
            <w:r w:rsidRPr="00FC3B3B">
              <w:t xml:space="preserve">rules for </w:t>
            </w:r>
            <w:r w:rsidR="00890E38">
              <w:t xml:space="preserve">certain </w:t>
            </w:r>
            <w:r w:rsidRPr="00FC3B3B">
              <w:t xml:space="preserve">intellectual property </w:t>
            </w:r>
            <w:r w:rsidR="004170E9">
              <w:t xml:space="preserve">(e.g. certain patents and copyrights) </w:t>
            </w:r>
            <w:r w:rsidRPr="00FC3B3B">
              <w:t xml:space="preserve">under </w:t>
            </w:r>
            <w:r w:rsidR="004170E9">
              <w:t xml:space="preserve">section </w:t>
            </w:r>
            <w:r w:rsidRPr="00FC3B3B">
              <w:t>40</w:t>
            </w:r>
            <w:r w:rsidR="004170E9">
              <w:t>-95(7)</w:t>
            </w:r>
            <w:r w:rsidRPr="00FC3B3B">
              <w:t xml:space="preserve"> of the </w:t>
            </w:r>
            <w:r w:rsidRPr="00385822">
              <w:rPr>
                <w:i/>
              </w:rPr>
              <w:t>I</w:t>
            </w:r>
            <w:r w:rsidR="00A837FB" w:rsidRPr="00385822">
              <w:rPr>
                <w:i/>
              </w:rPr>
              <w:t xml:space="preserve">ncome </w:t>
            </w:r>
            <w:r w:rsidRPr="00385822">
              <w:rPr>
                <w:i/>
              </w:rPr>
              <w:t>T</w:t>
            </w:r>
            <w:r w:rsidR="00A837FB" w:rsidRPr="00385822">
              <w:rPr>
                <w:i/>
              </w:rPr>
              <w:t xml:space="preserve">ax </w:t>
            </w:r>
            <w:r w:rsidRPr="00385822">
              <w:rPr>
                <w:i/>
              </w:rPr>
              <w:t>A</w:t>
            </w:r>
            <w:r w:rsidR="00A837FB" w:rsidRPr="00385822">
              <w:rPr>
                <w:i/>
              </w:rPr>
              <w:t xml:space="preserve">ssessment </w:t>
            </w:r>
            <w:r w:rsidRPr="00385822">
              <w:rPr>
                <w:i/>
              </w:rPr>
              <w:t>A</w:t>
            </w:r>
            <w:r w:rsidR="00A837FB" w:rsidRPr="00385822">
              <w:rPr>
                <w:i/>
              </w:rPr>
              <w:t>ct</w:t>
            </w:r>
            <w:r w:rsidRPr="00385822">
              <w:rPr>
                <w:i/>
              </w:rPr>
              <w:t xml:space="preserve"> </w:t>
            </w:r>
            <w:r w:rsidR="00DE5ED9">
              <w:rPr>
                <w:i/>
              </w:rPr>
              <w:t>(</w:t>
            </w:r>
            <w:r w:rsidRPr="00385822">
              <w:rPr>
                <w:i/>
              </w:rPr>
              <w:t>1997</w:t>
            </w:r>
            <w:r w:rsidR="00DE5ED9">
              <w:rPr>
                <w:i/>
              </w:rPr>
              <w:t>)</w:t>
            </w:r>
            <w:r w:rsidRPr="00FC3B3B">
              <w:t>?</w:t>
            </w:r>
          </w:p>
          <w:p w14:paraId="0F2C145B" w14:textId="62535F79" w:rsidR="00F11224" w:rsidRPr="00C15F05" w:rsidRDefault="004170E9" w:rsidP="00D0554E">
            <w:pPr>
              <w:spacing w:before="100" w:after="100"/>
              <w:rPr>
                <w:rFonts w:cs="Arial"/>
                <w:sz w:val="15"/>
                <w:szCs w:val="15"/>
              </w:rPr>
            </w:pPr>
            <w:r w:rsidRPr="00C15F05">
              <w:rPr>
                <w:rFonts w:cs="Arial"/>
                <w:b/>
                <w:sz w:val="15"/>
                <w:szCs w:val="15"/>
              </w:rPr>
              <w:t>Note:</w:t>
            </w:r>
            <w:r w:rsidRPr="00C15F05">
              <w:rPr>
                <w:rFonts w:cs="Arial"/>
                <w:sz w:val="15"/>
                <w:szCs w:val="15"/>
              </w:rPr>
              <w:t xml:space="preserve"> </w:t>
            </w:r>
            <w:r w:rsidR="0038597E" w:rsidRPr="00C15F05">
              <w:rPr>
                <w:sz w:val="15"/>
                <w:szCs w:val="15"/>
              </w:rPr>
              <w:t>t</w:t>
            </w:r>
            <w:r w:rsidR="0038597E" w:rsidRPr="00C15F05">
              <w:rPr>
                <w:rFonts w:cs="Arial"/>
                <w:sz w:val="15"/>
                <w:szCs w:val="15"/>
                <w:lang w:eastAsia="en-AU"/>
              </w:rPr>
              <w:t>he</w:t>
            </w:r>
            <w:r w:rsidR="00C15F05" w:rsidRPr="00C15F05">
              <w:rPr>
                <w:rFonts w:cs="Arial"/>
                <w:sz w:val="15"/>
                <w:szCs w:val="15"/>
                <w:lang w:eastAsia="en-AU"/>
              </w:rPr>
              <w:t xml:space="preserve"> </w:t>
            </w:r>
            <w:r w:rsidR="0038597E" w:rsidRPr="00C15F05">
              <w:rPr>
                <w:rFonts w:cs="Arial"/>
                <w:i/>
                <w:sz w:val="15"/>
                <w:szCs w:val="15"/>
                <w:lang w:eastAsia="en-AU"/>
              </w:rPr>
              <w:t>Treasury Laws Amendment (2017 Enterprises Incentive No.1) Bill 2017</w:t>
            </w:r>
            <w:r w:rsidR="0038597E" w:rsidRPr="00C15F05">
              <w:rPr>
                <w:rFonts w:cs="Arial"/>
                <w:sz w:val="15"/>
                <w:szCs w:val="15"/>
                <w:lang w:eastAsia="en-AU"/>
              </w:rPr>
              <w:t xml:space="preserve"> proposes </w:t>
            </w:r>
            <w:r w:rsidRPr="00C15F05">
              <w:rPr>
                <w:rFonts w:cs="Arial"/>
                <w:sz w:val="15"/>
                <w:szCs w:val="15"/>
              </w:rPr>
              <w:t>that taxpayers be able to self-assess the effective life of the above intangible depreciating assets rather than mandatorily apply the existing statutory effective life specified in the table in s.40-95(7) where the taxpayer starts to hold such assets from 1 July 2016.</w:t>
            </w:r>
            <w:r w:rsidR="0038597E" w:rsidRPr="00C15F05">
              <w:rPr>
                <w:rFonts w:cs="Arial"/>
                <w:sz w:val="15"/>
                <w:szCs w:val="15"/>
              </w:rPr>
              <w:t xml:space="preserve"> However, the Bill has not been enacted as at the time of this update. </w:t>
            </w:r>
          </w:p>
        </w:tc>
        <w:tc>
          <w:tcPr>
            <w:tcW w:w="352" w:type="pct"/>
            <w:tcBorders>
              <w:top w:val="single" w:sz="4" w:space="0" w:color="939598"/>
              <w:left w:val="single" w:sz="4" w:space="0" w:color="939598"/>
              <w:bottom w:val="single" w:sz="4" w:space="0" w:color="939598"/>
              <w:right w:val="single" w:sz="4" w:space="0" w:color="939598"/>
            </w:tcBorders>
          </w:tcPr>
          <w:p w14:paraId="2915AE64" w14:textId="77777777" w:rsidR="00895519" w:rsidRPr="00FC3B3B" w:rsidRDefault="00895519" w:rsidP="00D0554E">
            <w:pPr>
              <w:pStyle w:val="Table"/>
              <w:spacing w:before="100" w:after="100"/>
            </w:pPr>
          </w:p>
        </w:tc>
        <w:tc>
          <w:tcPr>
            <w:tcW w:w="281" w:type="pct"/>
            <w:tcBorders>
              <w:top w:val="single" w:sz="4" w:space="0" w:color="939598"/>
              <w:left w:val="single" w:sz="4" w:space="0" w:color="939598"/>
              <w:bottom w:val="single" w:sz="4" w:space="0" w:color="939598"/>
              <w:right w:val="single" w:sz="4" w:space="0" w:color="939598"/>
            </w:tcBorders>
          </w:tcPr>
          <w:p w14:paraId="3FD0092C" w14:textId="77777777" w:rsidR="00895519" w:rsidRPr="00FC3B3B" w:rsidRDefault="00895519" w:rsidP="00D0554E">
            <w:pPr>
              <w:pStyle w:val="Table"/>
              <w:spacing w:before="100" w:after="100"/>
            </w:pPr>
          </w:p>
        </w:tc>
        <w:tc>
          <w:tcPr>
            <w:tcW w:w="360" w:type="pct"/>
            <w:tcBorders>
              <w:top w:val="single" w:sz="4" w:space="0" w:color="939598"/>
              <w:left w:val="single" w:sz="4" w:space="0" w:color="939598"/>
              <w:bottom w:val="single" w:sz="4" w:space="0" w:color="939598"/>
              <w:right w:val="single" w:sz="4" w:space="0" w:color="939598"/>
            </w:tcBorders>
          </w:tcPr>
          <w:p w14:paraId="2AFCA478" w14:textId="77777777" w:rsidR="00895519" w:rsidRPr="00FC3B3B" w:rsidRDefault="00895519" w:rsidP="00D0554E">
            <w:pPr>
              <w:pStyle w:val="Table"/>
              <w:spacing w:before="100" w:after="100"/>
            </w:pPr>
          </w:p>
        </w:tc>
      </w:tr>
      <w:tr w:rsidR="00990CCA" w:rsidRPr="00AF24CF" w14:paraId="07D1E40C" w14:textId="77777777" w:rsidTr="00990CCA">
        <w:tc>
          <w:tcPr>
            <w:tcW w:w="5000" w:type="pct"/>
            <w:gridSpan w:val="4"/>
            <w:tcBorders>
              <w:top w:val="single" w:sz="4" w:space="0" w:color="939598"/>
              <w:bottom w:val="single" w:sz="4" w:space="0" w:color="939598"/>
            </w:tcBorders>
            <w:shd w:val="clear" w:color="auto" w:fill="D9D9D9" w:themeFill="background1" w:themeFillShade="D9"/>
          </w:tcPr>
          <w:p w14:paraId="26438855" w14:textId="72A67EBB" w:rsidR="00990CCA" w:rsidRPr="00AF24CF" w:rsidRDefault="00990CCA" w:rsidP="00D0554E">
            <w:pPr>
              <w:pStyle w:val="Tableheading"/>
            </w:pPr>
            <w:r w:rsidRPr="00CC31E6">
              <w:t>D</w:t>
            </w:r>
            <w:r w:rsidR="00C15F05">
              <w:t>EBT / EQUITY</w:t>
            </w:r>
            <w:r w:rsidRPr="00CC31E6">
              <w:t xml:space="preserve"> </w:t>
            </w:r>
          </w:p>
        </w:tc>
      </w:tr>
      <w:tr w:rsidR="00895519" w:rsidRPr="00FC3B3B" w14:paraId="5B07313A" w14:textId="77777777" w:rsidTr="00E35F99">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Ex>
        <w:tc>
          <w:tcPr>
            <w:tcW w:w="4007" w:type="pct"/>
            <w:tcBorders>
              <w:top w:val="single" w:sz="4" w:space="0" w:color="939598"/>
              <w:left w:val="single" w:sz="4" w:space="0" w:color="939598"/>
              <w:bottom w:val="single" w:sz="4" w:space="0" w:color="939598"/>
              <w:right w:val="single" w:sz="4" w:space="0" w:color="939598"/>
            </w:tcBorders>
          </w:tcPr>
          <w:p w14:paraId="1A26588F" w14:textId="149A1DF8" w:rsidR="00895519" w:rsidRPr="00FC3B3B" w:rsidRDefault="00796F1B" w:rsidP="00D0554E">
            <w:pPr>
              <w:pStyle w:val="Table"/>
              <w:spacing w:before="100" w:after="100"/>
            </w:pPr>
            <w:r w:rsidRPr="00FC3B3B">
              <w:t>Has</w:t>
            </w:r>
            <w:r w:rsidR="00895519" w:rsidRPr="00FC3B3B">
              <w:t xml:space="preserve"> the application of the Debt / Equity rules </w:t>
            </w:r>
            <w:r w:rsidR="001D2FEF">
              <w:t xml:space="preserve">under </w:t>
            </w:r>
            <w:r w:rsidR="001D2FEF" w:rsidRPr="00470384">
              <w:t xml:space="preserve">Subdivision 974-B of the </w:t>
            </w:r>
            <w:r w:rsidR="001D2FEF" w:rsidRPr="00BA674A">
              <w:rPr>
                <w:i/>
              </w:rPr>
              <w:t>Income Tax Assessment Act (1997)</w:t>
            </w:r>
            <w:r w:rsidR="001D2FEF" w:rsidRPr="00470384">
              <w:t xml:space="preserve">) </w:t>
            </w:r>
            <w:r w:rsidR="00895519" w:rsidRPr="00FC3B3B">
              <w:t>been considered for all related party loan interests</w:t>
            </w:r>
            <w:r w:rsidR="00C719C8">
              <w:t>,</w:t>
            </w:r>
            <w:r w:rsidR="00895519" w:rsidRPr="00FC3B3B">
              <w:t xml:space="preserve"> hybrid securities </w:t>
            </w:r>
            <w:r w:rsidR="00C719C8">
              <w:t xml:space="preserve">and other financial instruments </w:t>
            </w:r>
            <w:r w:rsidR="00895519" w:rsidRPr="00FC3B3B">
              <w:t>issued by the company?</w:t>
            </w:r>
            <w:r w:rsidR="00C719C8">
              <w:t xml:space="preserve"> If so, has the characterisation of the financial arrangement as being a debt or equity interest been correctly characterised for income tax purposes? </w:t>
            </w:r>
          </w:p>
          <w:p w14:paraId="4C202244" w14:textId="602725CD" w:rsidR="00895519" w:rsidRPr="00211718" w:rsidRDefault="00895519" w:rsidP="00D0554E">
            <w:pPr>
              <w:pStyle w:val="Table"/>
              <w:spacing w:before="100" w:after="100"/>
              <w:rPr>
                <w:sz w:val="15"/>
                <w:szCs w:val="15"/>
              </w:rPr>
            </w:pPr>
            <w:r w:rsidRPr="00211718">
              <w:rPr>
                <w:b/>
                <w:sz w:val="15"/>
                <w:szCs w:val="15"/>
              </w:rPr>
              <w:t>Note:</w:t>
            </w:r>
            <w:r w:rsidRPr="00211718">
              <w:rPr>
                <w:sz w:val="15"/>
                <w:szCs w:val="15"/>
              </w:rPr>
              <w:t xml:space="preserve"> </w:t>
            </w:r>
            <w:r w:rsidR="00A73C31" w:rsidRPr="00211718">
              <w:rPr>
                <w:sz w:val="15"/>
                <w:szCs w:val="15"/>
              </w:rPr>
              <w:t xml:space="preserve">from 1July 2005 </w:t>
            </w:r>
            <w:r w:rsidR="00E25DA6" w:rsidRPr="00211718">
              <w:rPr>
                <w:sz w:val="15"/>
                <w:szCs w:val="15"/>
              </w:rPr>
              <w:t xml:space="preserve">an </w:t>
            </w:r>
            <w:r w:rsidR="00A73C31" w:rsidRPr="00211718">
              <w:rPr>
                <w:sz w:val="15"/>
                <w:szCs w:val="15"/>
              </w:rPr>
              <w:t>at call loan</w:t>
            </w:r>
            <w:r w:rsidR="00E25DA6" w:rsidRPr="00211718">
              <w:rPr>
                <w:sz w:val="15"/>
                <w:szCs w:val="15"/>
              </w:rPr>
              <w:t xml:space="preserve"> is</w:t>
            </w:r>
            <w:r w:rsidR="00A73C31" w:rsidRPr="00211718">
              <w:rPr>
                <w:sz w:val="15"/>
                <w:szCs w:val="15"/>
              </w:rPr>
              <w:t xml:space="preserve"> treated as </w:t>
            </w:r>
            <w:r w:rsidR="00E25DA6" w:rsidRPr="00211718">
              <w:rPr>
                <w:sz w:val="15"/>
                <w:szCs w:val="15"/>
              </w:rPr>
              <w:t xml:space="preserve">a </w:t>
            </w:r>
            <w:r w:rsidR="00A73C31" w:rsidRPr="00211718">
              <w:rPr>
                <w:sz w:val="15"/>
                <w:szCs w:val="15"/>
              </w:rPr>
              <w:t>debt interes</w:t>
            </w:r>
            <w:r w:rsidR="00E25DA6" w:rsidRPr="00211718">
              <w:rPr>
                <w:sz w:val="15"/>
                <w:szCs w:val="15"/>
              </w:rPr>
              <w:t>t</w:t>
            </w:r>
            <w:r w:rsidR="00A73C31" w:rsidRPr="00211718">
              <w:rPr>
                <w:sz w:val="15"/>
                <w:szCs w:val="15"/>
              </w:rPr>
              <w:t xml:space="preserve"> where the amount is a related party at call loan, and the borrowing company has an annual GST exclusive turnover of less than $20 million at the end of the income year. However, that loan will be treated as equity for tax purposes for any year in which that $20 million threshold is exceeded.</w:t>
            </w:r>
            <w:r w:rsidR="00C719C8" w:rsidRPr="00211718">
              <w:rPr>
                <w:sz w:val="15"/>
                <w:szCs w:val="15"/>
              </w:rPr>
              <w:t xml:space="preserve"> Accordingly, it may be necessary in some cases to annually review the company’s turnover to determine if the at call loan should be treated as debt or equity for tax purposes.</w:t>
            </w:r>
            <w:r w:rsidR="00B32BE9" w:rsidRPr="00211718">
              <w:rPr>
                <w:sz w:val="15"/>
                <w:szCs w:val="15"/>
              </w:rPr>
              <w:t xml:space="preserve"> </w:t>
            </w:r>
          </w:p>
        </w:tc>
        <w:tc>
          <w:tcPr>
            <w:tcW w:w="352" w:type="pct"/>
            <w:tcBorders>
              <w:top w:val="single" w:sz="4" w:space="0" w:color="939598"/>
              <w:left w:val="single" w:sz="4" w:space="0" w:color="939598"/>
              <w:bottom w:val="single" w:sz="4" w:space="0" w:color="939598"/>
              <w:right w:val="single" w:sz="4" w:space="0" w:color="939598"/>
            </w:tcBorders>
          </w:tcPr>
          <w:p w14:paraId="07CF6D03" w14:textId="77777777" w:rsidR="00895519" w:rsidRPr="00FC3B3B" w:rsidRDefault="00895519" w:rsidP="00D0554E">
            <w:pPr>
              <w:pStyle w:val="Table"/>
              <w:spacing w:before="100" w:after="100"/>
            </w:pPr>
          </w:p>
        </w:tc>
        <w:tc>
          <w:tcPr>
            <w:tcW w:w="281" w:type="pct"/>
            <w:tcBorders>
              <w:top w:val="single" w:sz="4" w:space="0" w:color="939598"/>
              <w:left w:val="single" w:sz="4" w:space="0" w:color="939598"/>
              <w:bottom w:val="single" w:sz="4" w:space="0" w:color="939598"/>
              <w:right w:val="single" w:sz="4" w:space="0" w:color="939598"/>
            </w:tcBorders>
          </w:tcPr>
          <w:p w14:paraId="3B95CB8E" w14:textId="77777777" w:rsidR="00895519" w:rsidRPr="00FC3B3B" w:rsidRDefault="00895519" w:rsidP="00D0554E">
            <w:pPr>
              <w:pStyle w:val="Table"/>
              <w:spacing w:before="100" w:after="100"/>
            </w:pPr>
          </w:p>
        </w:tc>
        <w:tc>
          <w:tcPr>
            <w:tcW w:w="360" w:type="pct"/>
            <w:tcBorders>
              <w:top w:val="single" w:sz="4" w:space="0" w:color="939598"/>
              <w:left w:val="single" w:sz="4" w:space="0" w:color="939598"/>
              <w:bottom w:val="single" w:sz="4" w:space="0" w:color="939598"/>
              <w:right w:val="single" w:sz="4" w:space="0" w:color="939598"/>
            </w:tcBorders>
          </w:tcPr>
          <w:p w14:paraId="7CAEDAA7" w14:textId="77777777" w:rsidR="00895519" w:rsidRPr="00FC3B3B" w:rsidRDefault="00895519" w:rsidP="00D0554E">
            <w:pPr>
              <w:pStyle w:val="Table"/>
              <w:spacing w:before="100" w:after="100"/>
            </w:pPr>
          </w:p>
        </w:tc>
      </w:tr>
      <w:tr w:rsidR="00C15F05" w:rsidRPr="005A1539" w14:paraId="65466E3C" w14:textId="77777777" w:rsidTr="00866E2E">
        <w:tc>
          <w:tcPr>
            <w:tcW w:w="4007" w:type="pct"/>
            <w:tcBorders>
              <w:top w:val="single" w:sz="4" w:space="0" w:color="939598"/>
              <w:bottom w:val="single" w:sz="4" w:space="0" w:color="939598"/>
              <w:right w:val="single" w:sz="4" w:space="0" w:color="939598"/>
            </w:tcBorders>
            <w:shd w:val="clear" w:color="auto" w:fill="0F243E" w:themeFill="text2" w:themeFillShade="80"/>
          </w:tcPr>
          <w:p w14:paraId="3DF861F3" w14:textId="1BDAD07D" w:rsidR="00C15F05" w:rsidRPr="005A1539" w:rsidRDefault="00C15F05" w:rsidP="00C15F05">
            <w:pPr>
              <w:pStyle w:val="Tableheading"/>
              <w:rPr>
                <w:sz w:val="18"/>
              </w:rPr>
            </w:pPr>
            <w:r>
              <w:rPr>
                <w:sz w:val="18"/>
              </w:rPr>
              <w:lastRenderedPageBreak/>
              <w:t>STATEMENT OF COMPREHENSIVE INCOME (PROFIT AND LOSS)</w:t>
            </w:r>
          </w:p>
        </w:tc>
        <w:tc>
          <w:tcPr>
            <w:tcW w:w="352" w:type="pct"/>
            <w:tcBorders>
              <w:top w:val="single" w:sz="4" w:space="0" w:color="939598"/>
              <w:left w:val="single" w:sz="4" w:space="0" w:color="939598"/>
              <w:bottom w:val="single" w:sz="4" w:space="0" w:color="939598"/>
              <w:right w:val="single" w:sz="4" w:space="0" w:color="939598"/>
            </w:tcBorders>
            <w:shd w:val="clear" w:color="auto" w:fill="051C3C"/>
          </w:tcPr>
          <w:p w14:paraId="7CD285FC" w14:textId="7976FD0D" w:rsidR="00C15F05" w:rsidRPr="005A1539" w:rsidRDefault="00C15F05" w:rsidP="00C15F05">
            <w:pPr>
              <w:pStyle w:val="Tableheading"/>
              <w:rPr>
                <w:sz w:val="18"/>
              </w:rPr>
            </w:pPr>
            <w:r>
              <w:rPr>
                <w:sz w:val="18"/>
              </w:rPr>
              <w:t>YES</w:t>
            </w:r>
          </w:p>
        </w:tc>
        <w:tc>
          <w:tcPr>
            <w:tcW w:w="281" w:type="pct"/>
            <w:tcBorders>
              <w:top w:val="single" w:sz="4" w:space="0" w:color="939598"/>
              <w:left w:val="single" w:sz="4" w:space="0" w:color="939598"/>
              <w:bottom w:val="single" w:sz="4" w:space="0" w:color="939598"/>
              <w:right w:val="single" w:sz="4" w:space="0" w:color="939598"/>
            </w:tcBorders>
            <w:shd w:val="clear" w:color="auto" w:fill="051C3C"/>
          </w:tcPr>
          <w:p w14:paraId="336B052A" w14:textId="1118D3F7" w:rsidR="00C15F05" w:rsidRPr="005A1539" w:rsidRDefault="00C15F05" w:rsidP="00C15F05">
            <w:pPr>
              <w:pStyle w:val="Tableheading"/>
              <w:rPr>
                <w:sz w:val="18"/>
              </w:rPr>
            </w:pPr>
            <w:r>
              <w:rPr>
                <w:sz w:val="18"/>
              </w:rPr>
              <w:t>NO</w:t>
            </w:r>
          </w:p>
        </w:tc>
        <w:tc>
          <w:tcPr>
            <w:tcW w:w="360" w:type="pct"/>
            <w:tcBorders>
              <w:top w:val="single" w:sz="4" w:space="0" w:color="939598"/>
              <w:left w:val="single" w:sz="4" w:space="0" w:color="939598"/>
              <w:bottom w:val="single" w:sz="4" w:space="0" w:color="939598"/>
            </w:tcBorders>
            <w:shd w:val="clear" w:color="auto" w:fill="051C3C"/>
          </w:tcPr>
          <w:p w14:paraId="2BB1F666" w14:textId="77777777" w:rsidR="00C15F05" w:rsidRPr="005A1539" w:rsidRDefault="00C15F05" w:rsidP="00C15F05">
            <w:pPr>
              <w:pStyle w:val="Tableheading"/>
              <w:rPr>
                <w:sz w:val="18"/>
              </w:rPr>
            </w:pPr>
            <w:r w:rsidRPr="005A1539">
              <w:rPr>
                <w:sz w:val="18"/>
              </w:rPr>
              <w:t>N/A</w:t>
            </w:r>
          </w:p>
        </w:tc>
      </w:tr>
      <w:tr w:rsidR="00990CCA" w:rsidRPr="00DA4DA8" w14:paraId="48B6D2E6" w14:textId="77777777" w:rsidTr="00990CCA">
        <w:tc>
          <w:tcPr>
            <w:tcW w:w="5000" w:type="pct"/>
            <w:gridSpan w:val="4"/>
            <w:tcBorders>
              <w:top w:val="single" w:sz="4" w:space="0" w:color="939598"/>
              <w:bottom w:val="single" w:sz="4" w:space="0" w:color="939598"/>
            </w:tcBorders>
            <w:shd w:val="clear" w:color="auto" w:fill="D9D9D9" w:themeFill="background1" w:themeFillShade="D9"/>
          </w:tcPr>
          <w:p w14:paraId="59FFE310" w14:textId="1DF9B232" w:rsidR="00990CCA" w:rsidRPr="00DA4DA8" w:rsidRDefault="00990CCA" w:rsidP="00D0554E">
            <w:pPr>
              <w:pStyle w:val="Tableheading"/>
            </w:pPr>
            <w:r w:rsidRPr="00DA4DA8">
              <w:rPr>
                <w:rFonts w:cs="Arial"/>
              </w:rPr>
              <w:t>G</w:t>
            </w:r>
            <w:r w:rsidR="0087155B">
              <w:rPr>
                <w:rFonts w:cs="Arial"/>
              </w:rPr>
              <w:t>ENERAL</w:t>
            </w:r>
            <w:r w:rsidRPr="00DA4DA8">
              <w:t xml:space="preserve"> </w:t>
            </w:r>
          </w:p>
        </w:tc>
      </w:tr>
      <w:tr w:rsidR="00895519" w:rsidRPr="00FC3B3B" w14:paraId="07C03958" w14:textId="77777777" w:rsidTr="00E35F99">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Ex>
        <w:tc>
          <w:tcPr>
            <w:tcW w:w="4007" w:type="pct"/>
            <w:tcBorders>
              <w:top w:val="single" w:sz="4" w:space="0" w:color="939598"/>
              <w:left w:val="single" w:sz="4" w:space="0" w:color="939598"/>
              <w:bottom w:val="single" w:sz="4" w:space="0" w:color="939598"/>
              <w:right w:val="single" w:sz="4" w:space="0" w:color="939598"/>
            </w:tcBorders>
          </w:tcPr>
          <w:p w14:paraId="28C5A596" w14:textId="77777777" w:rsidR="00895519" w:rsidRPr="00FC3B3B" w:rsidRDefault="00895519" w:rsidP="00D0554E">
            <w:pPr>
              <w:pStyle w:val="Table"/>
              <w:spacing w:before="100" w:after="100"/>
            </w:pPr>
            <w:r>
              <w:t xml:space="preserve">Have you considered whether accounting </w:t>
            </w:r>
            <w:r w:rsidR="00AA1E78">
              <w:t xml:space="preserve">net </w:t>
            </w:r>
            <w:r>
              <w:t xml:space="preserve">profit/loss before tax (Item 6 label </w:t>
            </w:r>
            <w:r w:rsidR="00877354">
              <w:t>T</w:t>
            </w:r>
            <w:r>
              <w:t xml:space="preserve">) reconciles to the profit and loss statement? If these do not reconcile, determine </w:t>
            </w:r>
            <w:r w:rsidR="00CF2D9F">
              <w:t xml:space="preserve">the </w:t>
            </w:r>
            <w:r>
              <w:t>nature of the difference</w:t>
            </w:r>
            <w:r w:rsidR="00626C8F">
              <w:t>(s)</w:t>
            </w:r>
            <w:r w:rsidR="00877354">
              <w:t>.</w:t>
            </w:r>
          </w:p>
        </w:tc>
        <w:tc>
          <w:tcPr>
            <w:tcW w:w="352" w:type="pct"/>
            <w:tcBorders>
              <w:top w:val="single" w:sz="4" w:space="0" w:color="939598"/>
              <w:left w:val="single" w:sz="4" w:space="0" w:color="939598"/>
              <w:bottom w:val="single" w:sz="4" w:space="0" w:color="939598"/>
              <w:right w:val="single" w:sz="4" w:space="0" w:color="939598"/>
            </w:tcBorders>
          </w:tcPr>
          <w:p w14:paraId="416E31C6" w14:textId="77777777" w:rsidR="00895519" w:rsidRPr="00FC3B3B" w:rsidRDefault="00895519" w:rsidP="00D0554E">
            <w:pPr>
              <w:pStyle w:val="Table"/>
              <w:spacing w:before="100" w:after="100"/>
            </w:pPr>
          </w:p>
        </w:tc>
        <w:tc>
          <w:tcPr>
            <w:tcW w:w="281" w:type="pct"/>
            <w:tcBorders>
              <w:top w:val="single" w:sz="4" w:space="0" w:color="939598"/>
              <w:left w:val="single" w:sz="4" w:space="0" w:color="939598"/>
              <w:bottom w:val="single" w:sz="4" w:space="0" w:color="939598"/>
              <w:right w:val="single" w:sz="4" w:space="0" w:color="939598"/>
            </w:tcBorders>
          </w:tcPr>
          <w:p w14:paraId="3B78614E" w14:textId="77777777" w:rsidR="00895519" w:rsidRPr="00FC3B3B" w:rsidRDefault="00895519" w:rsidP="00D0554E">
            <w:pPr>
              <w:pStyle w:val="Table"/>
              <w:spacing w:before="100" w:after="100"/>
            </w:pPr>
          </w:p>
        </w:tc>
        <w:tc>
          <w:tcPr>
            <w:tcW w:w="360" w:type="pct"/>
            <w:tcBorders>
              <w:top w:val="single" w:sz="4" w:space="0" w:color="939598"/>
              <w:left w:val="single" w:sz="4" w:space="0" w:color="939598"/>
              <w:bottom w:val="single" w:sz="4" w:space="0" w:color="939598"/>
              <w:right w:val="single" w:sz="4" w:space="0" w:color="939598"/>
            </w:tcBorders>
          </w:tcPr>
          <w:p w14:paraId="1439C827" w14:textId="77777777" w:rsidR="00895519" w:rsidRPr="00FC3B3B" w:rsidRDefault="00895519" w:rsidP="00D0554E">
            <w:pPr>
              <w:pStyle w:val="Table"/>
              <w:spacing w:before="100" w:after="100"/>
            </w:pPr>
          </w:p>
        </w:tc>
      </w:tr>
      <w:tr w:rsidR="00895519" w:rsidRPr="00FC3B3B" w14:paraId="1C01378B" w14:textId="77777777" w:rsidTr="00E35F99">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Ex>
        <w:tc>
          <w:tcPr>
            <w:tcW w:w="4007" w:type="pct"/>
            <w:tcBorders>
              <w:top w:val="single" w:sz="4" w:space="0" w:color="939598"/>
              <w:left w:val="single" w:sz="4" w:space="0" w:color="939598"/>
              <w:bottom w:val="single" w:sz="4" w:space="0" w:color="939598"/>
              <w:right w:val="single" w:sz="4" w:space="0" w:color="939598"/>
            </w:tcBorders>
          </w:tcPr>
          <w:p w14:paraId="746488C8" w14:textId="564453BA" w:rsidR="00895519" w:rsidRPr="00FC3B3B" w:rsidRDefault="00895519" w:rsidP="00D0554E">
            <w:pPr>
              <w:pStyle w:val="Table"/>
              <w:spacing w:before="100" w:after="100"/>
            </w:pPr>
            <w:r w:rsidRPr="00FC3B3B">
              <w:t xml:space="preserve">Have expenses </w:t>
            </w:r>
            <w:r w:rsidR="00AA1E78">
              <w:t xml:space="preserve">in the detailed profit and loss statement </w:t>
            </w:r>
            <w:r w:rsidRPr="00FC3B3B">
              <w:t>been reviewed generally for non-deductible items (e.g. for non-deductible entertainment, private expenses, donations made to entities who are not deductible gift recipients, subscriptions to private publications, capital legal expenses etc.)?</w:t>
            </w:r>
          </w:p>
        </w:tc>
        <w:tc>
          <w:tcPr>
            <w:tcW w:w="352" w:type="pct"/>
            <w:tcBorders>
              <w:top w:val="single" w:sz="4" w:space="0" w:color="939598"/>
              <w:left w:val="single" w:sz="4" w:space="0" w:color="939598"/>
              <w:bottom w:val="single" w:sz="4" w:space="0" w:color="939598"/>
              <w:right w:val="single" w:sz="4" w:space="0" w:color="939598"/>
            </w:tcBorders>
          </w:tcPr>
          <w:p w14:paraId="4FE05A1D" w14:textId="77777777" w:rsidR="00895519" w:rsidRPr="00FC3B3B" w:rsidRDefault="00895519" w:rsidP="00D0554E">
            <w:pPr>
              <w:pStyle w:val="Table"/>
              <w:spacing w:before="100" w:after="100"/>
            </w:pPr>
          </w:p>
        </w:tc>
        <w:tc>
          <w:tcPr>
            <w:tcW w:w="281" w:type="pct"/>
            <w:tcBorders>
              <w:top w:val="single" w:sz="4" w:space="0" w:color="939598"/>
              <w:left w:val="single" w:sz="4" w:space="0" w:color="939598"/>
              <w:bottom w:val="single" w:sz="4" w:space="0" w:color="939598"/>
              <w:right w:val="single" w:sz="4" w:space="0" w:color="939598"/>
            </w:tcBorders>
          </w:tcPr>
          <w:p w14:paraId="6CEDF54E" w14:textId="77777777" w:rsidR="00895519" w:rsidRPr="00FC3B3B" w:rsidRDefault="00895519" w:rsidP="00D0554E">
            <w:pPr>
              <w:pStyle w:val="Table"/>
              <w:spacing w:before="100" w:after="100"/>
            </w:pPr>
          </w:p>
        </w:tc>
        <w:tc>
          <w:tcPr>
            <w:tcW w:w="360" w:type="pct"/>
            <w:tcBorders>
              <w:top w:val="single" w:sz="4" w:space="0" w:color="939598"/>
              <w:left w:val="single" w:sz="4" w:space="0" w:color="939598"/>
              <w:bottom w:val="single" w:sz="4" w:space="0" w:color="939598"/>
              <w:right w:val="single" w:sz="4" w:space="0" w:color="939598"/>
            </w:tcBorders>
          </w:tcPr>
          <w:p w14:paraId="7FE8AB51" w14:textId="77777777" w:rsidR="00895519" w:rsidRPr="00FC3B3B" w:rsidRDefault="00895519" w:rsidP="00D0554E">
            <w:pPr>
              <w:pStyle w:val="Table"/>
              <w:spacing w:before="100" w:after="100"/>
            </w:pPr>
          </w:p>
        </w:tc>
      </w:tr>
      <w:tr w:rsidR="00895519" w:rsidRPr="00FC3B3B" w14:paraId="69F1DD0D" w14:textId="77777777" w:rsidTr="00E35F99">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Ex>
        <w:tc>
          <w:tcPr>
            <w:tcW w:w="4007" w:type="pct"/>
            <w:tcBorders>
              <w:top w:val="single" w:sz="4" w:space="0" w:color="939598"/>
              <w:left w:val="single" w:sz="4" w:space="0" w:color="939598"/>
              <w:bottom w:val="single" w:sz="4" w:space="0" w:color="939598"/>
              <w:right w:val="single" w:sz="4" w:space="0" w:color="939598"/>
            </w:tcBorders>
          </w:tcPr>
          <w:p w14:paraId="75BC7F5F" w14:textId="77777777" w:rsidR="00895519" w:rsidRPr="00FC3B3B" w:rsidRDefault="00895519" w:rsidP="00D0554E">
            <w:pPr>
              <w:pStyle w:val="Table"/>
              <w:spacing w:before="100" w:after="100"/>
            </w:pPr>
            <w:r w:rsidRPr="00FC3B3B">
              <w:t>Have operating</w:t>
            </w:r>
            <w:r w:rsidR="00877354">
              <w:t xml:space="preserve"> and</w:t>
            </w:r>
            <w:r w:rsidRPr="00FC3B3B">
              <w:t xml:space="preserve"> /</w:t>
            </w:r>
            <w:r w:rsidR="00877354">
              <w:t xml:space="preserve"> or</w:t>
            </w:r>
            <w:r w:rsidRPr="00FC3B3B">
              <w:t xml:space="preserve"> finance leases and hire purchase agreements been properly treated for tax purposes?</w:t>
            </w:r>
          </w:p>
        </w:tc>
        <w:tc>
          <w:tcPr>
            <w:tcW w:w="352" w:type="pct"/>
            <w:tcBorders>
              <w:top w:val="single" w:sz="4" w:space="0" w:color="939598"/>
              <w:left w:val="single" w:sz="4" w:space="0" w:color="939598"/>
              <w:bottom w:val="single" w:sz="4" w:space="0" w:color="939598"/>
              <w:right w:val="single" w:sz="4" w:space="0" w:color="939598"/>
            </w:tcBorders>
          </w:tcPr>
          <w:p w14:paraId="5B6F6256" w14:textId="77777777" w:rsidR="00895519" w:rsidRPr="00FC3B3B" w:rsidRDefault="00895519" w:rsidP="00D0554E">
            <w:pPr>
              <w:pStyle w:val="Table"/>
              <w:spacing w:before="100" w:after="100"/>
            </w:pPr>
          </w:p>
        </w:tc>
        <w:tc>
          <w:tcPr>
            <w:tcW w:w="281" w:type="pct"/>
            <w:tcBorders>
              <w:top w:val="single" w:sz="4" w:space="0" w:color="939598"/>
              <w:left w:val="single" w:sz="4" w:space="0" w:color="939598"/>
              <w:bottom w:val="single" w:sz="4" w:space="0" w:color="939598"/>
              <w:right w:val="single" w:sz="4" w:space="0" w:color="939598"/>
            </w:tcBorders>
          </w:tcPr>
          <w:p w14:paraId="5B1C5CC6" w14:textId="77777777" w:rsidR="00895519" w:rsidRPr="00FC3B3B" w:rsidRDefault="00895519" w:rsidP="00D0554E">
            <w:pPr>
              <w:pStyle w:val="Table"/>
              <w:spacing w:before="100" w:after="100"/>
            </w:pPr>
          </w:p>
        </w:tc>
        <w:tc>
          <w:tcPr>
            <w:tcW w:w="360" w:type="pct"/>
            <w:tcBorders>
              <w:top w:val="single" w:sz="4" w:space="0" w:color="939598"/>
              <w:left w:val="single" w:sz="4" w:space="0" w:color="939598"/>
              <w:bottom w:val="single" w:sz="4" w:space="0" w:color="939598"/>
              <w:right w:val="single" w:sz="4" w:space="0" w:color="939598"/>
            </w:tcBorders>
          </w:tcPr>
          <w:p w14:paraId="6A200878" w14:textId="77777777" w:rsidR="00895519" w:rsidRPr="00FC3B3B" w:rsidRDefault="00895519" w:rsidP="00D0554E">
            <w:pPr>
              <w:pStyle w:val="Table"/>
              <w:spacing w:before="100" w:after="100"/>
            </w:pPr>
          </w:p>
        </w:tc>
      </w:tr>
      <w:tr w:rsidR="00895519" w:rsidRPr="00FC3B3B" w14:paraId="30908D2D" w14:textId="77777777" w:rsidTr="00E35F99">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Ex>
        <w:tc>
          <w:tcPr>
            <w:tcW w:w="4007" w:type="pct"/>
            <w:tcBorders>
              <w:top w:val="single" w:sz="4" w:space="0" w:color="939598"/>
              <w:left w:val="single" w:sz="4" w:space="0" w:color="939598"/>
              <w:bottom w:val="single" w:sz="4" w:space="0" w:color="939598"/>
              <w:right w:val="single" w:sz="4" w:space="0" w:color="939598"/>
            </w:tcBorders>
          </w:tcPr>
          <w:p w14:paraId="7EBA266B" w14:textId="77777777" w:rsidR="00895519" w:rsidRPr="00FC3B3B" w:rsidRDefault="00895519" w:rsidP="00D0554E">
            <w:pPr>
              <w:pStyle w:val="Table"/>
              <w:spacing w:before="100" w:after="100"/>
            </w:pPr>
            <w:r w:rsidRPr="00FC3B3B">
              <w:t>For interest claimed, has the deductibility of the interest been considered in the light of the use of borrowed funds?</w:t>
            </w:r>
          </w:p>
        </w:tc>
        <w:tc>
          <w:tcPr>
            <w:tcW w:w="352" w:type="pct"/>
            <w:tcBorders>
              <w:top w:val="single" w:sz="4" w:space="0" w:color="939598"/>
              <w:left w:val="single" w:sz="4" w:space="0" w:color="939598"/>
              <w:bottom w:val="single" w:sz="4" w:space="0" w:color="939598"/>
              <w:right w:val="single" w:sz="4" w:space="0" w:color="939598"/>
            </w:tcBorders>
          </w:tcPr>
          <w:p w14:paraId="4660C9E3" w14:textId="77777777" w:rsidR="00895519" w:rsidRPr="00FC3B3B" w:rsidRDefault="00895519" w:rsidP="00D0554E">
            <w:pPr>
              <w:pStyle w:val="Table"/>
              <w:spacing w:before="100" w:after="100"/>
            </w:pPr>
          </w:p>
        </w:tc>
        <w:tc>
          <w:tcPr>
            <w:tcW w:w="281" w:type="pct"/>
            <w:tcBorders>
              <w:top w:val="single" w:sz="4" w:space="0" w:color="939598"/>
              <w:left w:val="single" w:sz="4" w:space="0" w:color="939598"/>
              <w:bottom w:val="single" w:sz="4" w:space="0" w:color="939598"/>
              <w:right w:val="single" w:sz="4" w:space="0" w:color="939598"/>
            </w:tcBorders>
          </w:tcPr>
          <w:p w14:paraId="0A2DDC6A" w14:textId="77777777" w:rsidR="00895519" w:rsidRPr="00FC3B3B" w:rsidRDefault="00895519" w:rsidP="00D0554E">
            <w:pPr>
              <w:pStyle w:val="Table"/>
              <w:spacing w:before="100" w:after="100"/>
            </w:pPr>
          </w:p>
        </w:tc>
        <w:tc>
          <w:tcPr>
            <w:tcW w:w="360" w:type="pct"/>
            <w:tcBorders>
              <w:top w:val="single" w:sz="4" w:space="0" w:color="939598"/>
              <w:left w:val="single" w:sz="4" w:space="0" w:color="939598"/>
              <w:bottom w:val="single" w:sz="4" w:space="0" w:color="939598"/>
              <w:right w:val="single" w:sz="4" w:space="0" w:color="939598"/>
            </w:tcBorders>
          </w:tcPr>
          <w:p w14:paraId="1C6D84E9" w14:textId="77777777" w:rsidR="00895519" w:rsidRPr="00FC3B3B" w:rsidRDefault="00895519" w:rsidP="00D0554E">
            <w:pPr>
              <w:pStyle w:val="Table"/>
              <w:spacing w:before="100" w:after="100"/>
            </w:pPr>
          </w:p>
        </w:tc>
      </w:tr>
      <w:tr w:rsidR="00F2186F" w:rsidRPr="00FC3B3B" w14:paraId="710DB04F" w14:textId="77777777" w:rsidTr="00E35F99">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Ex>
        <w:tc>
          <w:tcPr>
            <w:tcW w:w="4007" w:type="pct"/>
            <w:tcBorders>
              <w:top w:val="single" w:sz="4" w:space="0" w:color="939598"/>
              <w:left w:val="single" w:sz="4" w:space="0" w:color="939598"/>
              <w:bottom w:val="single" w:sz="4" w:space="0" w:color="939598"/>
              <w:right w:val="single" w:sz="4" w:space="0" w:color="939598"/>
            </w:tcBorders>
          </w:tcPr>
          <w:p w14:paraId="4F2C9C8A" w14:textId="5987893C" w:rsidR="00F2186F" w:rsidRPr="00FC3B3B" w:rsidRDefault="00F2186F" w:rsidP="00D0554E">
            <w:pPr>
              <w:pStyle w:val="Table"/>
              <w:spacing w:before="100" w:after="100"/>
            </w:pPr>
            <w:r>
              <w:t xml:space="preserve">Have all timing differences been identified such as foreign exchange gains and losses which are only generally recognised when realised for non-TOFA entities?  </w:t>
            </w:r>
          </w:p>
        </w:tc>
        <w:tc>
          <w:tcPr>
            <w:tcW w:w="352" w:type="pct"/>
            <w:tcBorders>
              <w:top w:val="single" w:sz="4" w:space="0" w:color="939598"/>
              <w:left w:val="single" w:sz="4" w:space="0" w:color="939598"/>
              <w:bottom w:val="single" w:sz="4" w:space="0" w:color="939598"/>
              <w:right w:val="single" w:sz="4" w:space="0" w:color="939598"/>
            </w:tcBorders>
          </w:tcPr>
          <w:p w14:paraId="7D7E3159" w14:textId="77777777" w:rsidR="00F2186F" w:rsidRPr="00FC3B3B" w:rsidRDefault="00F2186F" w:rsidP="00D0554E">
            <w:pPr>
              <w:pStyle w:val="Table"/>
              <w:spacing w:before="100" w:after="100"/>
            </w:pPr>
          </w:p>
        </w:tc>
        <w:tc>
          <w:tcPr>
            <w:tcW w:w="281" w:type="pct"/>
            <w:tcBorders>
              <w:top w:val="single" w:sz="4" w:space="0" w:color="939598"/>
              <w:left w:val="single" w:sz="4" w:space="0" w:color="939598"/>
              <w:bottom w:val="single" w:sz="4" w:space="0" w:color="939598"/>
              <w:right w:val="single" w:sz="4" w:space="0" w:color="939598"/>
            </w:tcBorders>
          </w:tcPr>
          <w:p w14:paraId="6D380DA7" w14:textId="77777777" w:rsidR="00F2186F" w:rsidRPr="00FC3B3B" w:rsidRDefault="00F2186F" w:rsidP="00D0554E">
            <w:pPr>
              <w:pStyle w:val="Table"/>
              <w:spacing w:before="100" w:after="100"/>
            </w:pPr>
          </w:p>
        </w:tc>
        <w:tc>
          <w:tcPr>
            <w:tcW w:w="360" w:type="pct"/>
            <w:tcBorders>
              <w:top w:val="single" w:sz="4" w:space="0" w:color="939598"/>
              <w:left w:val="single" w:sz="4" w:space="0" w:color="939598"/>
              <w:bottom w:val="single" w:sz="4" w:space="0" w:color="939598"/>
              <w:right w:val="single" w:sz="4" w:space="0" w:color="939598"/>
            </w:tcBorders>
          </w:tcPr>
          <w:p w14:paraId="1A70B648" w14:textId="77777777" w:rsidR="00F2186F" w:rsidRPr="00FC3B3B" w:rsidRDefault="00F2186F" w:rsidP="00D0554E">
            <w:pPr>
              <w:pStyle w:val="Table"/>
              <w:spacing w:before="100" w:after="100"/>
            </w:pPr>
          </w:p>
        </w:tc>
      </w:tr>
      <w:tr w:rsidR="00895519" w:rsidRPr="00FC3B3B" w14:paraId="0436BFE2" w14:textId="77777777" w:rsidTr="00E35F99">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Ex>
        <w:tc>
          <w:tcPr>
            <w:tcW w:w="4007" w:type="pct"/>
            <w:tcBorders>
              <w:top w:val="single" w:sz="4" w:space="0" w:color="939598"/>
              <w:left w:val="single" w:sz="4" w:space="0" w:color="939598"/>
              <w:bottom w:val="single" w:sz="4" w:space="0" w:color="939598"/>
              <w:right w:val="single" w:sz="4" w:space="0" w:color="939598"/>
            </w:tcBorders>
          </w:tcPr>
          <w:p w14:paraId="3484C978" w14:textId="070EC853" w:rsidR="00895519" w:rsidRPr="00FC3B3B" w:rsidRDefault="00895519" w:rsidP="00D0554E">
            <w:pPr>
              <w:pStyle w:val="Table"/>
              <w:spacing w:before="100" w:after="100"/>
            </w:pPr>
            <w:r w:rsidRPr="00FC3B3B">
              <w:t xml:space="preserve">If the ATO notified you of a </w:t>
            </w:r>
            <w:r w:rsidR="001D2FEF">
              <w:t>Shortfall Interest Charge (</w:t>
            </w:r>
            <w:r w:rsidRPr="00FC3B3B">
              <w:t>SIC</w:t>
            </w:r>
            <w:r w:rsidR="001D2FEF">
              <w:t>)</w:t>
            </w:r>
            <w:r w:rsidRPr="00FC3B3B">
              <w:t xml:space="preserve"> or </w:t>
            </w:r>
            <w:r w:rsidR="001D2FEF">
              <w:t>General Interest Charge (</w:t>
            </w:r>
            <w:r w:rsidRPr="00FC3B3B">
              <w:t>GIC</w:t>
            </w:r>
            <w:r w:rsidR="001D2FEF">
              <w:t>)</w:t>
            </w:r>
            <w:r w:rsidRPr="00FC3B3B">
              <w:t xml:space="preserve"> liability, has this been claimed as a deduction?</w:t>
            </w:r>
          </w:p>
        </w:tc>
        <w:tc>
          <w:tcPr>
            <w:tcW w:w="352" w:type="pct"/>
            <w:tcBorders>
              <w:top w:val="single" w:sz="4" w:space="0" w:color="939598"/>
              <w:left w:val="single" w:sz="4" w:space="0" w:color="939598"/>
              <w:bottom w:val="single" w:sz="4" w:space="0" w:color="939598"/>
              <w:right w:val="single" w:sz="4" w:space="0" w:color="939598"/>
            </w:tcBorders>
          </w:tcPr>
          <w:p w14:paraId="6531DD6E" w14:textId="77777777" w:rsidR="00895519" w:rsidRPr="00FC3B3B" w:rsidRDefault="00895519" w:rsidP="00D0554E">
            <w:pPr>
              <w:pStyle w:val="Table"/>
              <w:spacing w:before="100" w:after="100"/>
            </w:pPr>
          </w:p>
        </w:tc>
        <w:tc>
          <w:tcPr>
            <w:tcW w:w="281" w:type="pct"/>
            <w:tcBorders>
              <w:top w:val="single" w:sz="4" w:space="0" w:color="939598"/>
              <w:left w:val="single" w:sz="4" w:space="0" w:color="939598"/>
              <w:bottom w:val="single" w:sz="4" w:space="0" w:color="939598"/>
              <w:right w:val="single" w:sz="4" w:space="0" w:color="939598"/>
            </w:tcBorders>
          </w:tcPr>
          <w:p w14:paraId="4508A0D3" w14:textId="77777777" w:rsidR="00895519" w:rsidRPr="00FC3B3B" w:rsidRDefault="00895519" w:rsidP="00D0554E">
            <w:pPr>
              <w:pStyle w:val="Table"/>
              <w:spacing w:before="100" w:after="100"/>
            </w:pPr>
          </w:p>
        </w:tc>
        <w:tc>
          <w:tcPr>
            <w:tcW w:w="360" w:type="pct"/>
            <w:tcBorders>
              <w:top w:val="single" w:sz="4" w:space="0" w:color="939598"/>
              <w:left w:val="single" w:sz="4" w:space="0" w:color="939598"/>
              <w:bottom w:val="single" w:sz="4" w:space="0" w:color="939598"/>
              <w:right w:val="single" w:sz="4" w:space="0" w:color="939598"/>
            </w:tcBorders>
          </w:tcPr>
          <w:p w14:paraId="770E8CA6" w14:textId="77777777" w:rsidR="00895519" w:rsidRPr="00FC3B3B" w:rsidRDefault="00895519" w:rsidP="00D0554E">
            <w:pPr>
              <w:pStyle w:val="Table"/>
              <w:spacing w:before="100" w:after="100"/>
            </w:pPr>
          </w:p>
        </w:tc>
      </w:tr>
      <w:tr w:rsidR="007D5332" w:rsidRPr="00FC3B3B" w14:paraId="2C6F7440" w14:textId="77777777" w:rsidTr="0087155B">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Ex>
        <w:tc>
          <w:tcPr>
            <w:tcW w:w="4007" w:type="pct"/>
            <w:tcBorders>
              <w:top w:val="single" w:sz="4" w:space="0" w:color="939598"/>
              <w:left w:val="single" w:sz="4" w:space="0" w:color="939598"/>
              <w:bottom w:val="single" w:sz="4" w:space="0" w:color="939598"/>
              <w:right w:val="single" w:sz="4" w:space="0" w:color="939598"/>
            </w:tcBorders>
          </w:tcPr>
          <w:p w14:paraId="777E818B" w14:textId="3AE0987E" w:rsidR="007D5332" w:rsidRDefault="007D5332" w:rsidP="00D0554E">
            <w:pPr>
              <w:pStyle w:val="Table"/>
              <w:spacing w:before="100" w:after="100"/>
            </w:pPr>
            <w:r w:rsidRPr="00FC3B3B">
              <w:t>Have penalties paid (excluding GIC</w:t>
            </w:r>
            <w:r>
              <w:t xml:space="preserve"> or SIC</w:t>
            </w:r>
            <w:r w:rsidRPr="00FC3B3B">
              <w:t>) to the ATO or as otherwise charged under an Australian or foreign law been treated as non-deductible and interest received from the ATO brought to account as assessable</w:t>
            </w:r>
            <w:r w:rsidR="00C72E6E">
              <w:t xml:space="preserve"> income</w:t>
            </w:r>
            <w:r w:rsidRPr="00FC3B3B">
              <w:t>?</w:t>
            </w:r>
          </w:p>
        </w:tc>
        <w:tc>
          <w:tcPr>
            <w:tcW w:w="352" w:type="pct"/>
            <w:tcBorders>
              <w:top w:val="single" w:sz="4" w:space="0" w:color="939598"/>
              <w:left w:val="single" w:sz="4" w:space="0" w:color="939598"/>
              <w:bottom w:val="single" w:sz="4" w:space="0" w:color="939598"/>
              <w:right w:val="single" w:sz="4" w:space="0" w:color="939598"/>
            </w:tcBorders>
          </w:tcPr>
          <w:p w14:paraId="4B3CA76F" w14:textId="77777777" w:rsidR="007D5332" w:rsidRPr="00FC3B3B" w:rsidRDefault="007D5332" w:rsidP="00D0554E">
            <w:pPr>
              <w:pStyle w:val="Table"/>
              <w:spacing w:before="100" w:after="100"/>
            </w:pPr>
          </w:p>
        </w:tc>
        <w:tc>
          <w:tcPr>
            <w:tcW w:w="281" w:type="pct"/>
            <w:tcBorders>
              <w:top w:val="single" w:sz="4" w:space="0" w:color="939598"/>
              <w:left w:val="single" w:sz="4" w:space="0" w:color="939598"/>
              <w:bottom w:val="single" w:sz="4" w:space="0" w:color="939598"/>
              <w:right w:val="single" w:sz="4" w:space="0" w:color="939598"/>
            </w:tcBorders>
          </w:tcPr>
          <w:p w14:paraId="70F02390" w14:textId="77777777" w:rsidR="007D5332" w:rsidRPr="00FC3B3B" w:rsidRDefault="007D5332" w:rsidP="00D0554E">
            <w:pPr>
              <w:pStyle w:val="Table"/>
              <w:spacing w:before="100" w:after="100"/>
            </w:pPr>
          </w:p>
        </w:tc>
        <w:tc>
          <w:tcPr>
            <w:tcW w:w="360" w:type="pct"/>
            <w:tcBorders>
              <w:top w:val="single" w:sz="4" w:space="0" w:color="939598"/>
              <w:left w:val="single" w:sz="4" w:space="0" w:color="939598"/>
              <w:bottom w:val="single" w:sz="4" w:space="0" w:color="939598"/>
              <w:right w:val="single" w:sz="4" w:space="0" w:color="939598"/>
            </w:tcBorders>
          </w:tcPr>
          <w:p w14:paraId="47914E23" w14:textId="77777777" w:rsidR="007D5332" w:rsidRPr="00FC3B3B" w:rsidRDefault="007D5332" w:rsidP="00D0554E">
            <w:pPr>
              <w:pStyle w:val="Table"/>
              <w:spacing w:before="100" w:after="100"/>
            </w:pPr>
          </w:p>
        </w:tc>
      </w:tr>
      <w:tr w:rsidR="007D5332" w:rsidRPr="00FC3B3B" w14:paraId="0695735C" w14:textId="77777777" w:rsidTr="0087155B">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Ex>
        <w:tc>
          <w:tcPr>
            <w:tcW w:w="4007" w:type="pct"/>
            <w:tcBorders>
              <w:top w:val="single" w:sz="4" w:space="0" w:color="939598"/>
              <w:left w:val="single" w:sz="4" w:space="0" w:color="939598"/>
              <w:bottom w:val="single" w:sz="4" w:space="0" w:color="939598"/>
              <w:right w:val="single" w:sz="4" w:space="0" w:color="939598"/>
            </w:tcBorders>
          </w:tcPr>
          <w:p w14:paraId="4ACB856E" w14:textId="77777777" w:rsidR="007D5332" w:rsidRPr="00FC3B3B" w:rsidRDefault="007D5332" w:rsidP="00D0554E">
            <w:pPr>
              <w:pStyle w:val="Table"/>
              <w:spacing w:before="100" w:after="100"/>
            </w:pPr>
            <w:r w:rsidRPr="00FC3B3B">
              <w:t>Has the treatment of discounts on short-term securities (e.g. bills of exchange, promissory notes) been considered?</w:t>
            </w:r>
          </w:p>
        </w:tc>
        <w:tc>
          <w:tcPr>
            <w:tcW w:w="352" w:type="pct"/>
            <w:tcBorders>
              <w:top w:val="single" w:sz="4" w:space="0" w:color="939598"/>
              <w:left w:val="single" w:sz="4" w:space="0" w:color="939598"/>
              <w:bottom w:val="single" w:sz="4" w:space="0" w:color="939598"/>
              <w:right w:val="single" w:sz="4" w:space="0" w:color="939598"/>
            </w:tcBorders>
          </w:tcPr>
          <w:p w14:paraId="7CCAA00E" w14:textId="77777777" w:rsidR="007D5332" w:rsidRPr="00FC3B3B" w:rsidRDefault="007D5332" w:rsidP="00D0554E">
            <w:pPr>
              <w:pStyle w:val="Table"/>
              <w:spacing w:before="100" w:after="100"/>
            </w:pPr>
          </w:p>
        </w:tc>
        <w:tc>
          <w:tcPr>
            <w:tcW w:w="281" w:type="pct"/>
            <w:tcBorders>
              <w:top w:val="single" w:sz="4" w:space="0" w:color="939598"/>
              <w:left w:val="single" w:sz="4" w:space="0" w:color="939598"/>
              <w:bottom w:val="single" w:sz="4" w:space="0" w:color="939598"/>
              <w:right w:val="single" w:sz="4" w:space="0" w:color="939598"/>
            </w:tcBorders>
          </w:tcPr>
          <w:p w14:paraId="046B23CA" w14:textId="77777777" w:rsidR="007D5332" w:rsidRPr="00FC3B3B" w:rsidRDefault="007D5332" w:rsidP="00D0554E">
            <w:pPr>
              <w:pStyle w:val="Table"/>
              <w:spacing w:before="100" w:after="100"/>
            </w:pPr>
          </w:p>
        </w:tc>
        <w:tc>
          <w:tcPr>
            <w:tcW w:w="360" w:type="pct"/>
            <w:tcBorders>
              <w:top w:val="single" w:sz="4" w:space="0" w:color="939598"/>
              <w:left w:val="single" w:sz="4" w:space="0" w:color="939598"/>
              <w:bottom w:val="single" w:sz="4" w:space="0" w:color="939598"/>
              <w:right w:val="single" w:sz="4" w:space="0" w:color="939598"/>
            </w:tcBorders>
          </w:tcPr>
          <w:p w14:paraId="1D48A2AC" w14:textId="77777777" w:rsidR="007D5332" w:rsidRPr="00FC3B3B" w:rsidRDefault="007D5332" w:rsidP="00D0554E">
            <w:pPr>
              <w:pStyle w:val="Table"/>
              <w:spacing w:before="100" w:after="100"/>
            </w:pPr>
          </w:p>
        </w:tc>
      </w:tr>
      <w:tr w:rsidR="007D5332" w:rsidRPr="00FC3B3B" w14:paraId="25D6D98C" w14:textId="77777777" w:rsidTr="0087155B">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Ex>
        <w:tc>
          <w:tcPr>
            <w:tcW w:w="4007" w:type="pct"/>
            <w:tcBorders>
              <w:top w:val="single" w:sz="4" w:space="0" w:color="939598"/>
              <w:left w:val="single" w:sz="4" w:space="0" w:color="939598"/>
              <w:bottom w:val="single" w:sz="4" w:space="0" w:color="939598"/>
              <w:right w:val="single" w:sz="4" w:space="0" w:color="939598"/>
            </w:tcBorders>
          </w:tcPr>
          <w:p w14:paraId="2E773FDA" w14:textId="77777777" w:rsidR="007D5332" w:rsidRPr="00FC3B3B" w:rsidRDefault="007D5332" w:rsidP="00D0554E">
            <w:pPr>
              <w:pStyle w:val="Table"/>
              <w:spacing w:before="100" w:after="100"/>
            </w:pPr>
            <w:r w:rsidRPr="00FC3B3B">
              <w:t xml:space="preserve">Has interest received been grossed up for any TFN withholding tax deducted and a </w:t>
            </w:r>
            <w:r>
              <w:t xml:space="preserve">credit </w:t>
            </w:r>
            <w:r w:rsidRPr="00FC3B3B">
              <w:t>claim</w:t>
            </w:r>
            <w:r>
              <w:t>ed in respect of</w:t>
            </w:r>
            <w:r w:rsidRPr="00FC3B3B">
              <w:t xml:space="preserve"> the amount </w:t>
            </w:r>
            <w:r>
              <w:t xml:space="preserve">of tax </w:t>
            </w:r>
            <w:r w:rsidRPr="00FC3B3B">
              <w:t>deducted?</w:t>
            </w:r>
          </w:p>
        </w:tc>
        <w:tc>
          <w:tcPr>
            <w:tcW w:w="352" w:type="pct"/>
            <w:tcBorders>
              <w:top w:val="single" w:sz="4" w:space="0" w:color="939598"/>
              <w:left w:val="single" w:sz="4" w:space="0" w:color="939598"/>
              <w:bottom w:val="single" w:sz="4" w:space="0" w:color="939598"/>
              <w:right w:val="single" w:sz="4" w:space="0" w:color="939598"/>
            </w:tcBorders>
          </w:tcPr>
          <w:p w14:paraId="2FD96736" w14:textId="77777777" w:rsidR="007D5332" w:rsidRPr="00FC3B3B" w:rsidRDefault="007D5332" w:rsidP="00D0554E">
            <w:pPr>
              <w:pStyle w:val="Table"/>
              <w:spacing w:before="100" w:after="100"/>
            </w:pPr>
          </w:p>
        </w:tc>
        <w:tc>
          <w:tcPr>
            <w:tcW w:w="281" w:type="pct"/>
            <w:tcBorders>
              <w:top w:val="single" w:sz="4" w:space="0" w:color="939598"/>
              <w:left w:val="single" w:sz="4" w:space="0" w:color="939598"/>
              <w:bottom w:val="single" w:sz="4" w:space="0" w:color="939598"/>
              <w:right w:val="single" w:sz="4" w:space="0" w:color="939598"/>
            </w:tcBorders>
          </w:tcPr>
          <w:p w14:paraId="4259545D" w14:textId="77777777" w:rsidR="007D5332" w:rsidRPr="00FC3B3B" w:rsidRDefault="007D5332" w:rsidP="00D0554E">
            <w:pPr>
              <w:pStyle w:val="Table"/>
              <w:spacing w:before="100" w:after="100"/>
            </w:pPr>
          </w:p>
        </w:tc>
        <w:tc>
          <w:tcPr>
            <w:tcW w:w="360" w:type="pct"/>
            <w:tcBorders>
              <w:top w:val="single" w:sz="4" w:space="0" w:color="939598"/>
              <w:left w:val="single" w:sz="4" w:space="0" w:color="939598"/>
              <w:bottom w:val="single" w:sz="4" w:space="0" w:color="939598"/>
              <w:right w:val="single" w:sz="4" w:space="0" w:color="939598"/>
            </w:tcBorders>
          </w:tcPr>
          <w:p w14:paraId="78065424" w14:textId="77777777" w:rsidR="007D5332" w:rsidRPr="00FC3B3B" w:rsidRDefault="007D5332" w:rsidP="00D0554E">
            <w:pPr>
              <w:pStyle w:val="Table"/>
              <w:spacing w:before="100" w:after="100"/>
            </w:pPr>
          </w:p>
        </w:tc>
      </w:tr>
      <w:tr w:rsidR="007D5332" w:rsidRPr="00FC3B3B" w14:paraId="3250C1AE" w14:textId="77777777" w:rsidTr="0087155B">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Ex>
        <w:tc>
          <w:tcPr>
            <w:tcW w:w="4007" w:type="pct"/>
            <w:tcBorders>
              <w:top w:val="single" w:sz="4" w:space="0" w:color="939598"/>
              <w:left w:val="single" w:sz="4" w:space="0" w:color="939598"/>
              <w:bottom w:val="single" w:sz="4" w:space="0" w:color="939598"/>
              <w:right w:val="single" w:sz="4" w:space="0" w:color="939598"/>
            </w:tcBorders>
          </w:tcPr>
          <w:p w14:paraId="3E649C10" w14:textId="77777777" w:rsidR="007D5332" w:rsidRPr="00FC3B3B" w:rsidRDefault="007D5332" w:rsidP="00D0554E">
            <w:pPr>
              <w:pStyle w:val="Table"/>
              <w:spacing w:before="100" w:after="100"/>
            </w:pPr>
            <w:r w:rsidRPr="00FC3B3B">
              <w:t xml:space="preserve">Has the entity derived income that is exempt from tax or which is non-assessable non-exempt income (e.g. non-portfolio </w:t>
            </w:r>
            <w:r>
              <w:t xml:space="preserve">foreign </w:t>
            </w:r>
            <w:r w:rsidRPr="00FC3B3B">
              <w:t xml:space="preserve">dividends </w:t>
            </w:r>
            <w:r>
              <w:t>received on equity interests in overseas subsidiaries or exempt foreign branch income</w:t>
            </w:r>
            <w:r w:rsidRPr="00FC3B3B">
              <w:t>)?</w:t>
            </w:r>
          </w:p>
        </w:tc>
        <w:tc>
          <w:tcPr>
            <w:tcW w:w="352" w:type="pct"/>
            <w:tcBorders>
              <w:top w:val="single" w:sz="4" w:space="0" w:color="939598"/>
              <w:left w:val="single" w:sz="4" w:space="0" w:color="939598"/>
              <w:bottom w:val="single" w:sz="4" w:space="0" w:color="939598"/>
              <w:right w:val="single" w:sz="4" w:space="0" w:color="939598"/>
            </w:tcBorders>
          </w:tcPr>
          <w:p w14:paraId="34C3E13D" w14:textId="77777777" w:rsidR="007D5332" w:rsidRPr="00FC3B3B" w:rsidRDefault="007D5332" w:rsidP="00D0554E">
            <w:pPr>
              <w:pStyle w:val="Table"/>
              <w:spacing w:before="100" w:after="100"/>
            </w:pPr>
          </w:p>
        </w:tc>
        <w:tc>
          <w:tcPr>
            <w:tcW w:w="281" w:type="pct"/>
            <w:tcBorders>
              <w:top w:val="single" w:sz="4" w:space="0" w:color="939598"/>
              <w:left w:val="single" w:sz="4" w:space="0" w:color="939598"/>
              <w:bottom w:val="single" w:sz="4" w:space="0" w:color="939598"/>
              <w:right w:val="single" w:sz="4" w:space="0" w:color="939598"/>
            </w:tcBorders>
          </w:tcPr>
          <w:p w14:paraId="59A4A951" w14:textId="77777777" w:rsidR="007D5332" w:rsidRPr="00FC3B3B" w:rsidRDefault="007D5332" w:rsidP="00D0554E">
            <w:pPr>
              <w:pStyle w:val="Table"/>
              <w:spacing w:before="100" w:after="100"/>
            </w:pPr>
          </w:p>
        </w:tc>
        <w:tc>
          <w:tcPr>
            <w:tcW w:w="360" w:type="pct"/>
            <w:tcBorders>
              <w:top w:val="single" w:sz="4" w:space="0" w:color="939598"/>
              <w:left w:val="single" w:sz="4" w:space="0" w:color="939598"/>
              <w:bottom w:val="single" w:sz="4" w:space="0" w:color="939598"/>
              <w:right w:val="single" w:sz="4" w:space="0" w:color="939598"/>
            </w:tcBorders>
          </w:tcPr>
          <w:p w14:paraId="1D005F32" w14:textId="77777777" w:rsidR="007D5332" w:rsidRPr="00FC3B3B" w:rsidRDefault="007D5332" w:rsidP="00D0554E">
            <w:pPr>
              <w:pStyle w:val="Table"/>
              <w:spacing w:before="100" w:after="100"/>
            </w:pPr>
          </w:p>
        </w:tc>
      </w:tr>
      <w:tr w:rsidR="007D5332" w:rsidRPr="00FC3B3B" w14:paraId="57B51A8D" w14:textId="77777777" w:rsidTr="0087155B">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Ex>
        <w:tc>
          <w:tcPr>
            <w:tcW w:w="4007" w:type="pct"/>
            <w:tcBorders>
              <w:top w:val="single" w:sz="4" w:space="0" w:color="939598"/>
              <w:left w:val="single" w:sz="4" w:space="0" w:color="939598"/>
              <w:bottom w:val="single" w:sz="4" w:space="0" w:color="939598"/>
              <w:right w:val="single" w:sz="4" w:space="0" w:color="939598"/>
            </w:tcBorders>
          </w:tcPr>
          <w:p w14:paraId="1D9A95B5" w14:textId="77777777" w:rsidR="007D5332" w:rsidRDefault="007D5332" w:rsidP="00D0554E">
            <w:pPr>
              <w:pStyle w:val="Table"/>
              <w:spacing w:before="100" w:after="100"/>
            </w:pPr>
            <w:r>
              <w:t>Have you considered if any of the income recorded in the accounts could be regarded as unearned income in accordance with the principle in Arthur Murray and therefore should not be included in income for the current year?</w:t>
            </w:r>
          </w:p>
          <w:p w14:paraId="5F22F2BF" w14:textId="659CB516" w:rsidR="001D2FEF" w:rsidRPr="00211718" w:rsidRDefault="001D2FEF" w:rsidP="00D0554E">
            <w:pPr>
              <w:pStyle w:val="Table"/>
              <w:spacing w:before="100" w:after="100"/>
              <w:rPr>
                <w:sz w:val="15"/>
                <w:szCs w:val="15"/>
              </w:rPr>
            </w:pPr>
            <w:r w:rsidRPr="00211718">
              <w:rPr>
                <w:b/>
                <w:sz w:val="15"/>
                <w:szCs w:val="15"/>
              </w:rPr>
              <w:t>Note:</w:t>
            </w:r>
            <w:r w:rsidRPr="00211718">
              <w:rPr>
                <w:sz w:val="15"/>
                <w:szCs w:val="15"/>
              </w:rPr>
              <w:t xml:space="preserve"> review any deferred income or other creditors shown in the balance sheet to ensure that there is no income which needs to be recognised as being derived for income tax purposes applying the principle in </w:t>
            </w:r>
            <w:r w:rsidRPr="00211718">
              <w:rPr>
                <w:i/>
                <w:sz w:val="15"/>
                <w:szCs w:val="15"/>
              </w:rPr>
              <w:t>Arthur Murray (NSW) Pty Ltd v FCT (1965) 114 CLR 314</w:t>
            </w:r>
            <w:r w:rsidR="00071517">
              <w:rPr>
                <w:i/>
                <w:sz w:val="15"/>
                <w:szCs w:val="15"/>
              </w:rPr>
              <w:t>.</w:t>
            </w:r>
          </w:p>
        </w:tc>
        <w:tc>
          <w:tcPr>
            <w:tcW w:w="352" w:type="pct"/>
            <w:tcBorders>
              <w:top w:val="single" w:sz="4" w:space="0" w:color="939598"/>
              <w:left w:val="single" w:sz="4" w:space="0" w:color="939598"/>
              <w:bottom w:val="single" w:sz="4" w:space="0" w:color="939598"/>
              <w:right w:val="single" w:sz="4" w:space="0" w:color="939598"/>
            </w:tcBorders>
          </w:tcPr>
          <w:p w14:paraId="5AC76E9D" w14:textId="77777777" w:rsidR="007D5332" w:rsidRPr="00FC3B3B" w:rsidRDefault="007D5332" w:rsidP="00D0554E">
            <w:pPr>
              <w:pStyle w:val="Table"/>
              <w:spacing w:before="100" w:after="100"/>
            </w:pPr>
          </w:p>
        </w:tc>
        <w:tc>
          <w:tcPr>
            <w:tcW w:w="281" w:type="pct"/>
            <w:tcBorders>
              <w:top w:val="single" w:sz="4" w:space="0" w:color="939598"/>
              <w:left w:val="single" w:sz="4" w:space="0" w:color="939598"/>
              <w:bottom w:val="single" w:sz="4" w:space="0" w:color="939598"/>
              <w:right w:val="single" w:sz="4" w:space="0" w:color="939598"/>
            </w:tcBorders>
          </w:tcPr>
          <w:p w14:paraId="2FEB6616" w14:textId="77777777" w:rsidR="007D5332" w:rsidRPr="00FC3B3B" w:rsidRDefault="007D5332" w:rsidP="00D0554E">
            <w:pPr>
              <w:pStyle w:val="Table"/>
              <w:spacing w:before="100" w:after="100"/>
            </w:pPr>
          </w:p>
        </w:tc>
        <w:tc>
          <w:tcPr>
            <w:tcW w:w="360" w:type="pct"/>
            <w:tcBorders>
              <w:top w:val="single" w:sz="4" w:space="0" w:color="939598"/>
              <w:left w:val="single" w:sz="4" w:space="0" w:color="939598"/>
              <w:bottom w:val="single" w:sz="4" w:space="0" w:color="939598"/>
              <w:right w:val="single" w:sz="4" w:space="0" w:color="939598"/>
            </w:tcBorders>
          </w:tcPr>
          <w:p w14:paraId="74B826CA" w14:textId="77777777" w:rsidR="007D5332" w:rsidRPr="00FC3B3B" w:rsidRDefault="007D5332" w:rsidP="00D0554E">
            <w:pPr>
              <w:pStyle w:val="Table"/>
              <w:spacing w:before="100" w:after="100"/>
            </w:pPr>
          </w:p>
        </w:tc>
      </w:tr>
      <w:tr w:rsidR="007D5332" w:rsidRPr="00FC3B3B" w14:paraId="3D7E6D0B" w14:textId="77777777" w:rsidTr="0087155B">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Ex>
        <w:tc>
          <w:tcPr>
            <w:tcW w:w="4007" w:type="pct"/>
            <w:tcBorders>
              <w:top w:val="single" w:sz="4" w:space="0" w:color="939598"/>
              <w:left w:val="single" w:sz="4" w:space="0" w:color="939598"/>
              <w:bottom w:val="single" w:sz="4" w:space="0" w:color="939598"/>
              <w:right w:val="single" w:sz="4" w:space="0" w:color="939598"/>
            </w:tcBorders>
          </w:tcPr>
          <w:p w14:paraId="59C88723" w14:textId="77777777" w:rsidR="007D5332" w:rsidRPr="00FC3B3B" w:rsidRDefault="007D5332" w:rsidP="00D0554E">
            <w:pPr>
              <w:pStyle w:val="Table"/>
              <w:spacing w:before="100" w:after="100"/>
            </w:pPr>
            <w:r w:rsidRPr="00FC3B3B">
              <w:t>For travel expenses, have travel diaries been kept (where applicable) along with other supporting documentation?</w:t>
            </w:r>
          </w:p>
        </w:tc>
        <w:tc>
          <w:tcPr>
            <w:tcW w:w="352" w:type="pct"/>
            <w:tcBorders>
              <w:top w:val="single" w:sz="4" w:space="0" w:color="939598"/>
              <w:left w:val="single" w:sz="4" w:space="0" w:color="939598"/>
              <w:bottom w:val="single" w:sz="4" w:space="0" w:color="939598"/>
              <w:right w:val="single" w:sz="4" w:space="0" w:color="939598"/>
            </w:tcBorders>
          </w:tcPr>
          <w:p w14:paraId="7CF5237A" w14:textId="77777777" w:rsidR="007D5332" w:rsidRPr="00FC3B3B" w:rsidRDefault="007D5332" w:rsidP="00D0554E">
            <w:pPr>
              <w:pStyle w:val="Table"/>
              <w:spacing w:before="100" w:after="100"/>
            </w:pPr>
          </w:p>
        </w:tc>
        <w:tc>
          <w:tcPr>
            <w:tcW w:w="281" w:type="pct"/>
            <w:tcBorders>
              <w:top w:val="single" w:sz="4" w:space="0" w:color="939598"/>
              <w:left w:val="single" w:sz="4" w:space="0" w:color="939598"/>
              <w:bottom w:val="single" w:sz="4" w:space="0" w:color="939598"/>
              <w:right w:val="single" w:sz="4" w:space="0" w:color="939598"/>
            </w:tcBorders>
          </w:tcPr>
          <w:p w14:paraId="635EF063" w14:textId="77777777" w:rsidR="007D5332" w:rsidRPr="00FC3B3B" w:rsidRDefault="007D5332" w:rsidP="00D0554E">
            <w:pPr>
              <w:pStyle w:val="Table"/>
              <w:spacing w:before="100" w:after="100"/>
            </w:pPr>
          </w:p>
        </w:tc>
        <w:tc>
          <w:tcPr>
            <w:tcW w:w="360" w:type="pct"/>
            <w:tcBorders>
              <w:top w:val="single" w:sz="4" w:space="0" w:color="939598"/>
              <w:left w:val="single" w:sz="4" w:space="0" w:color="939598"/>
              <w:bottom w:val="single" w:sz="4" w:space="0" w:color="939598"/>
              <w:right w:val="single" w:sz="4" w:space="0" w:color="939598"/>
            </w:tcBorders>
          </w:tcPr>
          <w:p w14:paraId="4C38E38D" w14:textId="77777777" w:rsidR="007D5332" w:rsidRPr="00FC3B3B" w:rsidRDefault="007D5332" w:rsidP="00D0554E">
            <w:pPr>
              <w:pStyle w:val="Table"/>
              <w:spacing w:before="100" w:after="100"/>
            </w:pPr>
          </w:p>
        </w:tc>
      </w:tr>
      <w:tr w:rsidR="007D5332" w:rsidRPr="00FC3B3B" w14:paraId="4B4BCB16" w14:textId="77777777" w:rsidTr="0087155B">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Ex>
        <w:tc>
          <w:tcPr>
            <w:tcW w:w="4007" w:type="pct"/>
            <w:tcBorders>
              <w:top w:val="single" w:sz="4" w:space="0" w:color="939598"/>
              <w:left w:val="single" w:sz="4" w:space="0" w:color="939598"/>
              <w:bottom w:val="single" w:sz="4" w:space="0" w:color="939598"/>
              <w:right w:val="single" w:sz="4" w:space="0" w:color="939598"/>
            </w:tcBorders>
          </w:tcPr>
          <w:p w14:paraId="362A0A26" w14:textId="5E96105B" w:rsidR="007D5332" w:rsidRPr="00FC3B3B" w:rsidRDefault="007D5332" w:rsidP="00D0554E">
            <w:pPr>
              <w:pStyle w:val="Table"/>
              <w:spacing w:before="100" w:after="100"/>
            </w:pPr>
            <w:r w:rsidRPr="00FC3B3B">
              <w:t>Has the timing of income and expenditure been considered for long-term construction contracts</w:t>
            </w:r>
            <w:r w:rsidR="00C72E6E">
              <w:t xml:space="preserve"> (if applicable)</w:t>
            </w:r>
            <w:r w:rsidRPr="00FC3B3B">
              <w:t>?</w:t>
            </w:r>
          </w:p>
        </w:tc>
        <w:tc>
          <w:tcPr>
            <w:tcW w:w="352" w:type="pct"/>
            <w:tcBorders>
              <w:top w:val="single" w:sz="4" w:space="0" w:color="939598"/>
              <w:left w:val="single" w:sz="4" w:space="0" w:color="939598"/>
              <w:bottom w:val="single" w:sz="4" w:space="0" w:color="939598"/>
              <w:right w:val="single" w:sz="4" w:space="0" w:color="939598"/>
            </w:tcBorders>
          </w:tcPr>
          <w:p w14:paraId="05D434C4" w14:textId="77777777" w:rsidR="007D5332" w:rsidRPr="00FC3B3B" w:rsidRDefault="007D5332" w:rsidP="00D0554E">
            <w:pPr>
              <w:pStyle w:val="Table"/>
              <w:spacing w:before="100" w:after="100"/>
            </w:pPr>
          </w:p>
        </w:tc>
        <w:tc>
          <w:tcPr>
            <w:tcW w:w="281" w:type="pct"/>
            <w:tcBorders>
              <w:top w:val="single" w:sz="4" w:space="0" w:color="939598"/>
              <w:left w:val="single" w:sz="4" w:space="0" w:color="939598"/>
              <w:bottom w:val="single" w:sz="4" w:space="0" w:color="939598"/>
              <w:right w:val="single" w:sz="4" w:space="0" w:color="939598"/>
            </w:tcBorders>
          </w:tcPr>
          <w:p w14:paraId="38F8F854" w14:textId="77777777" w:rsidR="007D5332" w:rsidRPr="00FC3B3B" w:rsidRDefault="007D5332" w:rsidP="00D0554E">
            <w:pPr>
              <w:pStyle w:val="Table"/>
              <w:spacing w:before="100" w:after="100"/>
            </w:pPr>
          </w:p>
        </w:tc>
        <w:tc>
          <w:tcPr>
            <w:tcW w:w="360" w:type="pct"/>
            <w:tcBorders>
              <w:top w:val="single" w:sz="4" w:space="0" w:color="939598"/>
              <w:left w:val="single" w:sz="4" w:space="0" w:color="939598"/>
              <w:bottom w:val="single" w:sz="4" w:space="0" w:color="939598"/>
              <w:right w:val="single" w:sz="4" w:space="0" w:color="939598"/>
            </w:tcBorders>
          </w:tcPr>
          <w:p w14:paraId="425B800A" w14:textId="77777777" w:rsidR="007D5332" w:rsidRPr="00FC3B3B" w:rsidRDefault="007D5332" w:rsidP="00D0554E">
            <w:pPr>
              <w:pStyle w:val="Table"/>
              <w:spacing w:before="100" w:after="100"/>
            </w:pPr>
          </w:p>
        </w:tc>
      </w:tr>
      <w:tr w:rsidR="007D5332" w:rsidRPr="00FC3B3B" w14:paraId="02D4F7FE" w14:textId="77777777" w:rsidTr="0087155B">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Ex>
        <w:tc>
          <w:tcPr>
            <w:tcW w:w="4007" w:type="pct"/>
            <w:tcBorders>
              <w:top w:val="single" w:sz="4" w:space="0" w:color="939598"/>
              <w:left w:val="single" w:sz="4" w:space="0" w:color="939598"/>
              <w:bottom w:val="single" w:sz="4" w:space="0" w:color="939598"/>
              <w:right w:val="single" w:sz="4" w:space="0" w:color="939598"/>
            </w:tcBorders>
          </w:tcPr>
          <w:p w14:paraId="35BAE176" w14:textId="77777777" w:rsidR="007D5332" w:rsidRPr="00FC3B3B" w:rsidRDefault="007D5332" w:rsidP="00D0554E">
            <w:pPr>
              <w:pStyle w:val="Table"/>
              <w:spacing w:before="100" w:after="100"/>
            </w:pPr>
            <w:r w:rsidRPr="00FC3B3B">
              <w:t xml:space="preserve">Has the potential deductibility of expenditure which has been capitalised for accounting purposes </w:t>
            </w:r>
            <w:r>
              <w:br/>
            </w:r>
            <w:r w:rsidRPr="00FC3B3B">
              <w:t>(e.g. capitalised interest) been considered?</w:t>
            </w:r>
          </w:p>
        </w:tc>
        <w:tc>
          <w:tcPr>
            <w:tcW w:w="352" w:type="pct"/>
            <w:tcBorders>
              <w:top w:val="single" w:sz="4" w:space="0" w:color="939598"/>
              <w:left w:val="single" w:sz="4" w:space="0" w:color="939598"/>
              <w:bottom w:val="single" w:sz="4" w:space="0" w:color="939598"/>
              <w:right w:val="single" w:sz="4" w:space="0" w:color="939598"/>
            </w:tcBorders>
          </w:tcPr>
          <w:p w14:paraId="5D6836DE" w14:textId="77777777" w:rsidR="007D5332" w:rsidRPr="00FC3B3B" w:rsidRDefault="007D5332" w:rsidP="00D0554E">
            <w:pPr>
              <w:pStyle w:val="Table"/>
              <w:spacing w:before="100" w:after="100"/>
            </w:pPr>
          </w:p>
        </w:tc>
        <w:tc>
          <w:tcPr>
            <w:tcW w:w="281" w:type="pct"/>
            <w:tcBorders>
              <w:top w:val="single" w:sz="4" w:space="0" w:color="939598"/>
              <w:left w:val="single" w:sz="4" w:space="0" w:color="939598"/>
              <w:bottom w:val="single" w:sz="4" w:space="0" w:color="939598"/>
              <w:right w:val="single" w:sz="4" w:space="0" w:color="939598"/>
            </w:tcBorders>
          </w:tcPr>
          <w:p w14:paraId="020DDC09" w14:textId="77777777" w:rsidR="007D5332" w:rsidRPr="00FC3B3B" w:rsidRDefault="007D5332" w:rsidP="00D0554E">
            <w:pPr>
              <w:pStyle w:val="Table"/>
              <w:spacing w:before="100" w:after="100"/>
            </w:pPr>
          </w:p>
        </w:tc>
        <w:tc>
          <w:tcPr>
            <w:tcW w:w="360" w:type="pct"/>
            <w:tcBorders>
              <w:top w:val="single" w:sz="4" w:space="0" w:color="939598"/>
              <w:left w:val="single" w:sz="4" w:space="0" w:color="939598"/>
              <w:bottom w:val="single" w:sz="4" w:space="0" w:color="939598"/>
              <w:right w:val="single" w:sz="4" w:space="0" w:color="939598"/>
            </w:tcBorders>
          </w:tcPr>
          <w:p w14:paraId="68BF02A2" w14:textId="77777777" w:rsidR="007D5332" w:rsidRPr="00FC3B3B" w:rsidRDefault="007D5332" w:rsidP="00D0554E">
            <w:pPr>
              <w:pStyle w:val="Table"/>
              <w:spacing w:before="100" w:after="100"/>
            </w:pPr>
          </w:p>
        </w:tc>
      </w:tr>
      <w:tr w:rsidR="007D5332" w:rsidRPr="00FC3B3B" w14:paraId="27D5DA01" w14:textId="77777777" w:rsidTr="0087155B">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Ex>
        <w:tc>
          <w:tcPr>
            <w:tcW w:w="4007" w:type="pct"/>
            <w:tcBorders>
              <w:top w:val="single" w:sz="4" w:space="0" w:color="939598"/>
              <w:left w:val="single" w:sz="4" w:space="0" w:color="939598"/>
              <w:bottom w:val="single" w:sz="4" w:space="0" w:color="939598"/>
              <w:right w:val="single" w:sz="4" w:space="0" w:color="939598"/>
            </w:tcBorders>
          </w:tcPr>
          <w:p w14:paraId="3F3A8E69" w14:textId="24CA1435" w:rsidR="007D5332" w:rsidRPr="00FC3B3B" w:rsidRDefault="007D5332" w:rsidP="00D0554E">
            <w:pPr>
              <w:pStyle w:val="Table"/>
              <w:spacing w:before="100" w:after="100"/>
            </w:pPr>
            <w:r w:rsidRPr="00FC3B3B">
              <w:t xml:space="preserve">Are management fees / consultancy fees paid to related entities </w:t>
            </w:r>
            <w:r w:rsidR="00C72E6E">
              <w:t>calculated on an arm’s length basis</w:t>
            </w:r>
            <w:r w:rsidRPr="00FC3B3B">
              <w:t xml:space="preserve"> and supported by appropriate documentation?</w:t>
            </w:r>
            <w:r w:rsidR="001D2FEF">
              <w:t xml:space="preserve"> </w:t>
            </w:r>
          </w:p>
        </w:tc>
        <w:tc>
          <w:tcPr>
            <w:tcW w:w="352" w:type="pct"/>
            <w:tcBorders>
              <w:top w:val="single" w:sz="4" w:space="0" w:color="939598"/>
              <w:left w:val="single" w:sz="4" w:space="0" w:color="939598"/>
              <w:bottom w:val="single" w:sz="4" w:space="0" w:color="939598"/>
              <w:right w:val="single" w:sz="4" w:space="0" w:color="939598"/>
            </w:tcBorders>
          </w:tcPr>
          <w:p w14:paraId="44762265" w14:textId="77777777" w:rsidR="007D5332" w:rsidRPr="00FC3B3B" w:rsidRDefault="007D5332" w:rsidP="00D0554E">
            <w:pPr>
              <w:pStyle w:val="Table"/>
              <w:spacing w:before="100" w:after="100"/>
            </w:pPr>
          </w:p>
        </w:tc>
        <w:tc>
          <w:tcPr>
            <w:tcW w:w="281" w:type="pct"/>
            <w:tcBorders>
              <w:top w:val="single" w:sz="4" w:space="0" w:color="939598"/>
              <w:left w:val="single" w:sz="4" w:space="0" w:color="939598"/>
              <w:bottom w:val="single" w:sz="4" w:space="0" w:color="939598"/>
              <w:right w:val="single" w:sz="4" w:space="0" w:color="939598"/>
            </w:tcBorders>
          </w:tcPr>
          <w:p w14:paraId="03125BC8" w14:textId="77777777" w:rsidR="007D5332" w:rsidRPr="00FC3B3B" w:rsidRDefault="007D5332" w:rsidP="00D0554E">
            <w:pPr>
              <w:pStyle w:val="Table"/>
              <w:spacing w:before="100" w:after="100"/>
            </w:pPr>
          </w:p>
        </w:tc>
        <w:tc>
          <w:tcPr>
            <w:tcW w:w="360" w:type="pct"/>
            <w:tcBorders>
              <w:top w:val="single" w:sz="4" w:space="0" w:color="939598"/>
              <w:left w:val="single" w:sz="4" w:space="0" w:color="939598"/>
              <w:bottom w:val="single" w:sz="4" w:space="0" w:color="939598"/>
              <w:right w:val="single" w:sz="4" w:space="0" w:color="939598"/>
            </w:tcBorders>
          </w:tcPr>
          <w:p w14:paraId="7257A806" w14:textId="77777777" w:rsidR="007D5332" w:rsidRPr="00FC3B3B" w:rsidRDefault="007D5332" w:rsidP="00D0554E">
            <w:pPr>
              <w:pStyle w:val="Table"/>
              <w:spacing w:before="100" w:after="100"/>
            </w:pPr>
          </w:p>
        </w:tc>
      </w:tr>
      <w:tr w:rsidR="001D2FEF" w:rsidRPr="00FC3B3B" w14:paraId="381F1921" w14:textId="77777777" w:rsidTr="0087155B">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Ex>
        <w:tc>
          <w:tcPr>
            <w:tcW w:w="4007" w:type="pct"/>
            <w:tcBorders>
              <w:top w:val="single" w:sz="4" w:space="0" w:color="939598"/>
              <w:left w:val="single" w:sz="4" w:space="0" w:color="939598"/>
              <w:bottom w:val="single" w:sz="4" w:space="0" w:color="939598"/>
              <w:right w:val="single" w:sz="4" w:space="0" w:color="939598"/>
            </w:tcBorders>
          </w:tcPr>
          <w:p w14:paraId="10697B32" w14:textId="77777777" w:rsidR="001D2FEF" w:rsidRDefault="001D2FEF" w:rsidP="00D0554E">
            <w:pPr>
              <w:pStyle w:val="Table"/>
              <w:spacing w:before="100" w:after="100"/>
            </w:pPr>
            <w:r>
              <w:t xml:space="preserve">Where the company is carrying on a professional services business does it have a service trust, and is the service fee charged deductible under section 8-1 of the </w:t>
            </w:r>
            <w:r w:rsidRPr="00A260A5">
              <w:rPr>
                <w:i/>
              </w:rPr>
              <w:t>Income Tax Assessment Act (1997)</w:t>
            </w:r>
            <w:r>
              <w:t xml:space="preserve"> in accordance with the principles set out in </w:t>
            </w:r>
            <w:r w:rsidRPr="00A260A5">
              <w:rPr>
                <w:i/>
              </w:rPr>
              <w:t>Taxation Ruling TR 2006/2</w:t>
            </w:r>
            <w:r>
              <w:rPr>
                <w:i/>
              </w:rPr>
              <w:t>?</w:t>
            </w:r>
            <w:r>
              <w:t xml:space="preserve">   </w:t>
            </w:r>
          </w:p>
          <w:p w14:paraId="48AF3022" w14:textId="56C88B4A" w:rsidR="001D2FEF" w:rsidRPr="00211718" w:rsidRDefault="001D2FEF" w:rsidP="00D0554E">
            <w:pPr>
              <w:spacing w:before="100" w:after="100"/>
              <w:rPr>
                <w:sz w:val="15"/>
                <w:szCs w:val="15"/>
              </w:rPr>
            </w:pPr>
            <w:r w:rsidRPr="00211718">
              <w:rPr>
                <w:rFonts w:cs="Arial"/>
                <w:b/>
                <w:sz w:val="15"/>
                <w:szCs w:val="15"/>
                <w:lang w:val="en-GB" w:eastAsia="en-AU"/>
              </w:rPr>
              <w:t>Note:</w:t>
            </w:r>
            <w:r w:rsidR="0091499C">
              <w:rPr>
                <w:rFonts w:cs="Arial"/>
                <w:sz w:val="15"/>
                <w:szCs w:val="15"/>
                <w:lang w:val="en-GB" w:eastAsia="en-AU"/>
              </w:rPr>
              <w:t xml:space="preserve"> ATO guidance,</w:t>
            </w:r>
            <w:r w:rsidRPr="00211718">
              <w:rPr>
                <w:rFonts w:cs="Arial"/>
                <w:sz w:val="15"/>
                <w:szCs w:val="15"/>
                <w:lang w:val="en-GB" w:eastAsia="en-AU"/>
              </w:rPr>
              <w:t xml:space="preserve"> </w:t>
            </w:r>
            <w:r w:rsidRPr="00211718">
              <w:rPr>
                <w:rFonts w:cs="Arial"/>
                <w:i/>
                <w:sz w:val="15"/>
                <w:szCs w:val="15"/>
                <w:lang w:val="en-GB" w:eastAsia="en-AU"/>
              </w:rPr>
              <w:t>‘</w:t>
            </w:r>
            <w:hyperlink r:id="rId14" w:history="1">
              <w:r w:rsidRPr="0091499C">
                <w:rPr>
                  <w:rStyle w:val="Hyperlink"/>
                  <w:rFonts w:cs="Arial"/>
                  <w:sz w:val="15"/>
                  <w:szCs w:val="15"/>
                  <w:lang w:val="en-GB" w:eastAsia="en-AU"/>
                </w:rPr>
                <w:t>Your service entity arrangements</w:t>
              </w:r>
            </w:hyperlink>
            <w:r w:rsidRPr="00211718">
              <w:rPr>
                <w:rFonts w:cs="Arial"/>
                <w:i/>
                <w:sz w:val="15"/>
                <w:szCs w:val="15"/>
                <w:lang w:val="en-GB" w:eastAsia="en-AU"/>
              </w:rPr>
              <w:t xml:space="preserve">’ </w:t>
            </w:r>
            <w:r w:rsidRPr="00211718">
              <w:rPr>
                <w:rFonts w:cs="Arial"/>
                <w:sz w:val="15"/>
                <w:szCs w:val="15"/>
                <w:lang w:val="en-GB" w:eastAsia="en-AU"/>
              </w:rPr>
              <w:t>provides practical guidance as to whether the fees charged under a service arrangement are commercially realistic and reasonably connected to the business carried on by the professional practice including a range of ‘safe harbour’ commercial rates that could be applied as a mark-up on the cost of p</w:t>
            </w:r>
            <w:r w:rsidR="0091499C">
              <w:rPr>
                <w:rFonts w:cs="Arial"/>
                <w:sz w:val="15"/>
                <w:szCs w:val="15"/>
                <w:lang w:val="en-GB" w:eastAsia="en-AU"/>
              </w:rPr>
              <w:t>roviding particular services.</w:t>
            </w:r>
            <w:r w:rsidRPr="00211718">
              <w:rPr>
                <w:sz w:val="15"/>
                <w:szCs w:val="15"/>
              </w:rPr>
              <w:t xml:space="preserve">  </w:t>
            </w:r>
          </w:p>
        </w:tc>
        <w:tc>
          <w:tcPr>
            <w:tcW w:w="352" w:type="pct"/>
            <w:tcBorders>
              <w:top w:val="single" w:sz="4" w:space="0" w:color="939598"/>
              <w:left w:val="single" w:sz="4" w:space="0" w:color="939598"/>
              <w:bottom w:val="single" w:sz="4" w:space="0" w:color="939598"/>
              <w:right w:val="single" w:sz="4" w:space="0" w:color="939598"/>
            </w:tcBorders>
          </w:tcPr>
          <w:p w14:paraId="03D655AF" w14:textId="77777777" w:rsidR="001D2FEF" w:rsidRPr="00FC3B3B" w:rsidRDefault="001D2FEF" w:rsidP="00D0554E">
            <w:pPr>
              <w:pStyle w:val="Table"/>
              <w:spacing w:before="100" w:after="100"/>
            </w:pPr>
          </w:p>
        </w:tc>
        <w:tc>
          <w:tcPr>
            <w:tcW w:w="281" w:type="pct"/>
            <w:tcBorders>
              <w:top w:val="single" w:sz="4" w:space="0" w:color="939598"/>
              <w:left w:val="single" w:sz="4" w:space="0" w:color="939598"/>
              <w:bottom w:val="single" w:sz="4" w:space="0" w:color="939598"/>
              <w:right w:val="single" w:sz="4" w:space="0" w:color="939598"/>
            </w:tcBorders>
          </w:tcPr>
          <w:p w14:paraId="50A1D013" w14:textId="77777777" w:rsidR="001D2FEF" w:rsidRPr="00FC3B3B" w:rsidRDefault="001D2FEF" w:rsidP="00D0554E">
            <w:pPr>
              <w:pStyle w:val="Table"/>
              <w:spacing w:before="100" w:after="100"/>
            </w:pPr>
          </w:p>
        </w:tc>
        <w:tc>
          <w:tcPr>
            <w:tcW w:w="360" w:type="pct"/>
            <w:tcBorders>
              <w:top w:val="single" w:sz="4" w:space="0" w:color="939598"/>
              <w:left w:val="single" w:sz="4" w:space="0" w:color="939598"/>
              <w:bottom w:val="single" w:sz="4" w:space="0" w:color="939598"/>
              <w:right w:val="single" w:sz="4" w:space="0" w:color="939598"/>
            </w:tcBorders>
          </w:tcPr>
          <w:p w14:paraId="6AB836E7" w14:textId="77777777" w:rsidR="001D2FEF" w:rsidRPr="00FC3B3B" w:rsidRDefault="001D2FEF" w:rsidP="00D0554E">
            <w:pPr>
              <w:pStyle w:val="Table"/>
              <w:spacing w:before="100" w:after="100"/>
            </w:pPr>
          </w:p>
        </w:tc>
      </w:tr>
    </w:tbl>
    <w:p w14:paraId="7AFE8B2F" w14:textId="77777777" w:rsidR="0091499C" w:rsidRDefault="0091499C">
      <w:r>
        <w:rPr>
          <w:b/>
        </w:rPr>
        <w:br w:type="page"/>
      </w:r>
    </w:p>
    <w:tbl>
      <w:tblPr>
        <w:tblW w:w="5000" w:type="pct"/>
        <w:tblBorders>
          <w:top w:val="single" w:sz="4" w:space="0" w:color="939598"/>
          <w:left w:val="single" w:sz="4" w:space="0" w:color="939598"/>
          <w:bottom w:val="single" w:sz="4" w:space="0" w:color="939598"/>
          <w:right w:val="single" w:sz="4" w:space="0" w:color="939598"/>
        </w:tblBorders>
        <w:tblLayout w:type="fixed"/>
        <w:tblLook w:val="00A0" w:firstRow="1" w:lastRow="0" w:firstColumn="1" w:lastColumn="0" w:noHBand="0" w:noVBand="0"/>
      </w:tblPr>
      <w:tblGrid>
        <w:gridCol w:w="8075"/>
        <w:gridCol w:w="709"/>
        <w:gridCol w:w="566"/>
        <w:gridCol w:w="725"/>
      </w:tblGrid>
      <w:tr w:rsidR="0091499C" w:rsidRPr="005A1539" w14:paraId="29D9E47E" w14:textId="77777777" w:rsidTr="008C013F">
        <w:tc>
          <w:tcPr>
            <w:tcW w:w="4007" w:type="pct"/>
            <w:tcBorders>
              <w:top w:val="single" w:sz="4" w:space="0" w:color="939598"/>
              <w:bottom w:val="single" w:sz="4" w:space="0" w:color="939598"/>
              <w:right w:val="single" w:sz="4" w:space="0" w:color="939598"/>
            </w:tcBorders>
            <w:shd w:val="clear" w:color="auto" w:fill="0F243E" w:themeFill="text2" w:themeFillShade="80"/>
          </w:tcPr>
          <w:p w14:paraId="521E29C7" w14:textId="33E533BC" w:rsidR="0091499C" w:rsidRPr="005A1539" w:rsidRDefault="0091499C" w:rsidP="008C013F">
            <w:pPr>
              <w:pStyle w:val="Tableheading"/>
              <w:rPr>
                <w:sz w:val="18"/>
              </w:rPr>
            </w:pPr>
            <w:r>
              <w:rPr>
                <w:sz w:val="18"/>
              </w:rPr>
              <w:lastRenderedPageBreak/>
              <w:t>STATEMENT OF COMPREHENSIVE INCOME (PROFIT AND LOSS)</w:t>
            </w:r>
          </w:p>
        </w:tc>
        <w:tc>
          <w:tcPr>
            <w:tcW w:w="352" w:type="pct"/>
            <w:tcBorders>
              <w:top w:val="single" w:sz="4" w:space="0" w:color="939598"/>
              <w:left w:val="single" w:sz="4" w:space="0" w:color="939598"/>
              <w:bottom w:val="single" w:sz="4" w:space="0" w:color="939598"/>
              <w:right w:val="single" w:sz="4" w:space="0" w:color="939598"/>
            </w:tcBorders>
            <w:shd w:val="clear" w:color="auto" w:fill="051C3C"/>
          </w:tcPr>
          <w:p w14:paraId="6A358C69" w14:textId="77777777" w:rsidR="0091499C" w:rsidRPr="005A1539" w:rsidRDefault="0091499C" w:rsidP="008C013F">
            <w:pPr>
              <w:pStyle w:val="Tableheading"/>
              <w:rPr>
                <w:sz w:val="18"/>
              </w:rPr>
            </w:pPr>
            <w:r>
              <w:rPr>
                <w:sz w:val="18"/>
              </w:rPr>
              <w:t>YES</w:t>
            </w:r>
          </w:p>
        </w:tc>
        <w:tc>
          <w:tcPr>
            <w:tcW w:w="281" w:type="pct"/>
            <w:tcBorders>
              <w:top w:val="single" w:sz="4" w:space="0" w:color="939598"/>
              <w:left w:val="single" w:sz="4" w:space="0" w:color="939598"/>
              <w:bottom w:val="single" w:sz="4" w:space="0" w:color="939598"/>
              <w:right w:val="single" w:sz="4" w:space="0" w:color="939598"/>
            </w:tcBorders>
            <w:shd w:val="clear" w:color="auto" w:fill="051C3C"/>
          </w:tcPr>
          <w:p w14:paraId="23587F2C" w14:textId="77777777" w:rsidR="0091499C" w:rsidRPr="005A1539" w:rsidRDefault="0091499C" w:rsidP="008C013F">
            <w:pPr>
              <w:pStyle w:val="Tableheading"/>
              <w:rPr>
                <w:sz w:val="18"/>
              </w:rPr>
            </w:pPr>
            <w:r>
              <w:rPr>
                <w:sz w:val="18"/>
              </w:rPr>
              <w:t>NO</w:t>
            </w:r>
          </w:p>
        </w:tc>
        <w:tc>
          <w:tcPr>
            <w:tcW w:w="360" w:type="pct"/>
            <w:tcBorders>
              <w:top w:val="single" w:sz="4" w:space="0" w:color="939598"/>
              <w:left w:val="single" w:sz="4" w:space="0" w:color="939598"/>
              <w:bottom w:val="single" w:sz="4" w:space="0" w:color="939598"/>
            </w:tcBorders>
            <w:shd w:val="clear" w:color="auto" w:fill="051C3C"/>
          </w:tcPr>
          <w:p w14:paraId="15138B76" w14:textId="77777777" w:rsidR="0091499C" w:rsidRPr="005A1539" w:rsidRDefault="0091499C" w:rsidP="008C013F">
            <w:pPr>
              <w:pStyle w:val="Tableheading"/>
              <w:rPr>
                <w:sz w:val="18"/>
              </w:rPr>
            </w:pPr>
            <w:r w:rsidRPr="005A1539">
              <w:rPr>
                <w:sz w:val="18"/>
              </w:rPr>
              <w:t>N/A</w:t>
            </w:r>
          </w:p>
        </w:tc>
      </w:tr>
      <w:tr w:rsidR="007D5332" w:rsidRPr="00DA4DA8" w14:paraId="2B8B07DB" w14:textId="77777777" w:rsidTr="00990CCA">
        <w:tc>
          <w:tcPr>
            <w:tcW w:w="5000" w:type="pct"/>
            <w:gridSpan w:val="4"/>
            <w:tcBorders>
              <w:top w:val="single" w:sz="4" w:space="0" w:color="939598"/>
              <w:bottom w:val="single" w:sz="4" w:space="0" w:color="939598"/>
            </w:tcBorders>
            <w:shd w:val="clear" w:color="auto" w:fill="D9D9D9" w:themeFill="background1" w:themeFillShade="D9"/>
          </w:tcPr>
          <w:p w14:paraId="52193174" w14:textId="6F5B70A1" w:rsidR="007D5332" w:rsidRPr="00DA4DA8" w:rsidRDefault="007D5332" w:rsidP="00D0554E">
            <w:pPr>
              <w:pStyle w:val="Tableheading"/>
            </w:pPr>
            <w:r w:rsidRPr="00DA4DA8">
              <w:rPr>
                <w:rFonts w:cs="Arial"/>
              </w:rPr>
              <w:t>D</w:t>
            </w:r>
            <w:r w:rsidR="003366D6">
              <w:rPr>
                <w:rFonts w:cs="Arial"/>
              </w:rPr>
              <w:t>ECLINE IN VALUE (DEPRECIATION)</w:t>
            </w:r>
            <w:r w:rsidRPr="00DA4DA8">
              <w:t xml:space="preserve"> </w:t>
            </w:r>
          </w:p>
        </w:tc>
      </w:tr>
      <w:tr w:rsidR="007D5332" w:rsidRPr="00FC3B3B" w14:paraId="5F47ADC7" w14:textId="77777777" w:rsidTr="0087155B">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Ex>
        <w:tc>
          <w:tcPr>
            <w:tcW w:w="4007" w:type="pct"/>
            <w:tcBorders>
              <w:top w:val="single" w:sz="4" w:space="0" w:color="939598"/>
              <w:left w:val="single" w:sz="4" w:space="0" w:color="939598"/>
              <w:bottom w:val="single" w:sz="4" w:space="0" w:color="939598"/>
              <w:right w:val="single" w:sz="4" w:space="0" w:color="939598"/>
            </w:tcBorders>
          </w:tcPr>
          <w:p w14:paraId="0FB938CC" w14:textId="05C3ADB1" w:rsidR="007D5332" w:rsidRPr="00FC3B3B" w:rsidRDefault="007D5332" w:rsidP="00D0554E">
            <w:pPr>
              <w:pStyle w:val="Table"/>
              <w:spacing w:before="100" w:after="100"/>
            </w:pPr>
            <w:r w:rsidRPr="00FC3B3B">
              <w:t xml:space="preserve">Have you ensured this year’s tax opening </w:t>
            </w:r>
            <w:r w:rsidR="005641D9">
              <w:t xml:space="preserve">adjustable value </w:t>
            </w:r>
            <w:r w:rsidRPr="00FC3B3B">
              <w:t xml:space="preserve">agrees to last year’s closing </w:t>
            </w:r>
            <w:r w:rsidR="005641D9">
              <w:t>adjust</w:t>
            </w:r>
            <w:r w:rsidR="00C72E6E">
              <w:t>able</w:t>
            </w:r>
            <w:r w:rsidR="005641D9">
              <w:t xml:space="preserve"> value</w:t>
            </w:r>
            <w:r w:rsidRPr="00FC3B3B">
              <w:t>?</w:t>
            </w:r>
          </w:p>
        </w:tc>
        <w:tc>
          <w:tcPr>
            <w:tcW w:w="352" w:type="pct"/>
            <w:tcBorders>
              <w:top w:val="single" w:sz="4" w:space="0" w:color="939598"/>
              <w:left w:val="single" w:sz="4" w:space="0" w:color="939598"/>
              <w:bottom w:val="single" w:sz="4" w:space="0" w:color="939598"/>
              <w:right w:val="single" w:sz="4" w:space="0" w:color="939598"/>
            </w:tcBorders>
          </w:tcPr>
          <w:p w14:paraId="4FC4B496" w14:textId="77777777" w:rsidR="007D5332" w:rsidRPr="00FC3B3B" w:rsidRDefault="007D5332" w:rsidP="00D0554E">
            <w:pPr>
              <w:pStyle w:val="Table"/>
              <w:spacing w:before="100" w:after="100"/>
            </w:pPr>
          </w:p>
        </w:tc>
        <w:tc>
          <w:tcPr>
            <w:tcW w:w="281" w:type="pct"/>
            <w:tcBorders>
              <w:top w:val="single" w:sz="4" w:space="0" w:color="939598"/>
              <w:left w:val="single" w:sz="4" w:space="0" w:color="939598"/>
              <w:bottom w:val="single" w:sz="4" w:space="0" w:color="939598"/>
              <w:right w:val="single" w:sz="4" w:space="0" w:color="939598"/>
            </w:tcBorders>
          </w:tcPr>
          <w:p w14:paraId="4850CD76" w14:textId="77777777" w:rsidR="007D5332" w:rsidRPr="00FC3B3B" w:rsidRDefault="007D5332" w:rsidP="00D0554E">
            <w:pPr>
              <w:pStyle w:val="Table"/>
              <w:spacing w:before="100" w:after="100"/>
            </w:pPr>
          </w:p>
        </w:tc>
        <w:tc>
          <w:tcPr>
            <w:tcW w:w="360" w:type="pct"/>
            <w:tcBorders>
              <w:top w:val="single" w:sz="4" w:space="0" w:color="939598"/>
              <w:left w:val="single" w:sz="4" w:space="0" w:color="939598"/>
              <w:bottom w:val="single" w:sz="4" w:space="0" w:color="939598"/>
              <w:right w:val="single" w:sz="4" w:space="0" w:color="939598"/>
            </w:tcBorders>
          </w:tcPr>
          <w:p w14:paraId="5EE70214" w14:textId="77777777" w:rsidR="007D5332" w:rsidRPr="00FC3B3B" w:rsidRDefault="007D5332" w:rsidP="00D0554E">
            <w:pPr>
              <w:pStyle w:val="Table"/>
              <w:spacing w:before="100" w:after="100"/>
            </w:pPr>
          </w:p>
        </w:tc>
      </w:tr>
      <w:tr w:rsidR="007D5332" w:rsidRPr="00FC3B3B" w14:paraId="3B388CDF" w14:textId="77777777" w:rsidTr="0087155B">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Ex>
        <w:tc>
          <w:tcPr>
            <w:tcW w:w="4007" w:type="pct"/>
            <w:tcBorders>
              <w:top w:val="single" w:sz="4" w:space="0" w:color="939598"/>
              <w:left w:val="single" w:sz="4" w:space="0" w:color="939598"/>
              <w:bottom w:val="single" w:sz="4" w:space="0" w:color="939598"/>
              <w:right w:val="single" w:sz="4" w:space="0" w:color="939598"/>
            </w:tcBorders>
          </w:tcPr>
          <w:p w14:paraId="5BE29670" w14:textId="139F48CD" w:rsidR="002F72D4" w:rsidRDefault="007D5332" w:rsidP="00D0554E">
            <w:pPr>
              <w:pStyle w:val="Table"/>
              <w:spacing w:before="100" w:after="100"/>
            </w:pPr>
            <w:r w:rsidRPr="00FC3B3B">
              <w:t xml:space="preserve">Has the effective life of new </w:t>
            </w:r>
            <w:r w:rsidR="00D65147">
              <w:t>additions</w:t>
            </w:r>
            <w:r w:rsidRPr="00FC3B3B">
              <w:t xml:space="preserve"> been reviewed</w:t>
            </w:r>
            <w:r w:rsidR="00666621">
              <w:t>,</w:t>
            </w:r>
            <w:r>
              <w:t xml:space="preserve"> applying </w:t>
            </w:r>
            <w:r w:rsidRPr="00385822">
              <w:rPr>
                <w:i/>
              </w:rPr>
              <w:t>Taxation Ruling TR 201</w:t>
            </w:r>
            <w:r w:rsidR="005641D9">
              <w:rPr>
                <w:i/>
              </w:rPr>
              <w:t>7</w:t>
            </w:r>
            <w:r w:rsidRPr="00385822">
              <w:rPr>
                <w:i/>
              </w:rPr>
              <w:t>/</w:t>
            </w:r>
            <w:r w:rsidR="005641D9">
              <w:rPr>
                <w:i/>
              </w:rPr>
              <w:t>2</w:t>
            </w:r>
            <w:r w:rsidRPr="00FC3B3B">
              <w:t>?</w:t>
            </w:r>
            <w:r>
              <w:t xml:space="preserve"> </w:t>
            </w:r>
          </w:p>
          <w:p w14:paraId="1EB23D27" w14:textId="77777777" w:rsidR="007D5332" w:rsidRPr="00FC3B3B" w:rsidRDefault="007D5332" w:rsidP="00D0554E">
            <w:pPr>
              <w:pStyle w:val="Table"/>
              <w:spacing w:before="100" w:after="100"/>
            </w:pPr>
            <w:r>
              <w:t xml:space="preserve">Is there merit in self-assessing the effective life of any acquired depreciating assets during the year, (and if so has any documentation been retained to justify any shorter effective life applied, and disclosure been made in the return)? </w:t>
            </w:r>
          </w:p>
        </w:tc>
        <w:tc>
          <w:tcPr>
            <w:tcW w:w="352" w:type="pct"/>
            <w:tcBorders>
              <w:top w:val="single" w:sz="4" w:space="0" w:color="939598"/>
              <w:left w:val="single" w:sz="4" w:space="0" w:color="939598"/>
              <w:bottom w:val="single" w:sz="4" w:space="0" w:color="939598"/>
              <w:right w:val="single" w:sz="4" w:space="0" w:color="939598"/>
            </w:tcBorders>
          </w:tcPr>
          <w:p w14:paraId="36E0BB50" w14:textId="77777777" w:rsidR="007D5332" w:rsidRPr="00FC3B3B" w:rsidRDefault="007D5332" w:rsidP="00D0554E">
            <w:pPr>
              <w:pStyle w:val="Table"/>
              <w:spacing w:before="100" w:after="100"/>
            </w:pPr>
          </w:p>
        </w:tc>
        <w:tc>
          <w:tcPr>
            <w:tcW w:w="281" w:type="pct"/>
            <w:tcBorders>
              <w:top w:val="single" w:sz="4" w:space="0" w:color="939598"/>
              <w:left w:val="single" w:sz="4" w:space="0" w:color="939598"/>
              <w:bottom w:val="single" w:sz="4" w:space="0" w:color="939598"/>
              <w:right w:val="single" w:sz="4" w:space="0" w:color="939598"/>
            </w:tcBorders>
          </w:tcPr>
          <w:p w14:paraId="667EC41A" w14:textId="77777777" w:rsidR="007D5332" w:rsidRPr="00FC3B3B" w:rsidRDefault="007D5332" w:rsidP="00D0554E">
            <w:pPr>
              <w:pStyle w:val="Table"/>
              <w:spacing w:before="100" w:after="100"/>
            </w:pPr>
          </w:p>
        </w:tc>
        <w:tc>
          <w:tcPr>
            <w:tcW w:w="360" w:type="pct"/>
            <w:tcBorders>
              <w:top w:val="single" w:sz="4" w:space="0" w:color="939598"/>
              <w:left w:val="single" w:sz="4" w:space="0" w:color="939598"/>
              <w:bottom w:val="single" w:sz="4" w:space="0" w:color="939598"/>
              <w:right w:val="single" w:sz="4" w:space="0" w:color="939598"/>
            </w:tcBorders>
          </w:tcPr>
          <w:p w14:paraId="283603B2" w14:textId="77777777" w:rsidR="007D5332" w:rsidRPr="00FC3B3B" w:rsidRDefault="007D5332" w:rsidP="00D0554E">
            <w:pPr>
              <w:pStyle w:val="Table"/>
              <w:spacing w:before="100" w:after="100"/>
            </w:pPr>
          </w:p>
        </w:tc>
      </w:tr>
      <w:tr w:rsidR="00D65147" w:rsidRPr="00FC3B3B" w14:paraId="23199775" w14:textId="77777777" w:rsidTr="0087155B">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Ex>
        <w:tc>
          <w:tcPr>
            <w:tcW w:w="4007" w:type="pct"/>
            <w:tcBorders>
              <w:top w:val="single" w:sz="4" w:space="0" w:color="939598"/>
              <w:left w:val="single" w:sz="4" w:space="0" w:color="939598"/>
              <w:bottom w:val="single" w:sz="4" w:space="0" w:color="939598"/>
              <w:right w:val="single" w:sz="4" w:space="0" w:color="939598"/>
            </w:tcBorders>
          </w:tcPr>
          <w:p w14:paraId="252BAF55" w14:textId="318218E4" w:rsidR="00D65147" w:rsidRPr="00FC3B3B" w:rsidRDefault="00D65147" w:rsidP="00D0554E">
            <w:pPr>
              <w:pStyle w:val="Table"/>
              <w:spacing w:before="100" w:after="100"/>
            </w:pPr>
            <w:r w:rsidRPr="008E4E2C">
              <w:t xml:space="preserve">Have additions been reviewed to ensure depreciation has been </w:t>
            </w:r>
            <w:r>
              <w:t xml:space="preserve">correctly </w:t>
            </w:r>
            <w:r w:rsidRPr="008E4E2C">
              <w:t>claimed on depreciating assets?</w:t>
            </w:r>
            <w:r>
              <w:t xml:space="preserve"> Have additions for accounting and tax purposes been reconciled?  </w:t>
            </w:r>
          </w:p>
        </w:tc>
        <w:tc>
          <w:tcPr>
            <w:tcW w:w="352" w:type="pct"/>
            <w:tcBorders>
              <w:top w:val="single" w:sz="4" w:space="0" w:color="939598"/>
              <w:left w:val="single" w:sz="4" w:space="0" w:color="939598"/>
              <w:bottom w:val="single" w:sz="4" w:space="0" w:color="939598"/>
              <w:right w:val="single" w:sz="4" w:space="0" w:color="939598"/>
            </w:tcBorders>
          </w:tcPr>
          <w:p w14:paraId="17F21052" w14:textId="77777777" w:rsidR="00D65147" w:rsidRPr="00FC3B3B" w:rsidRDefault="00D65147" w:rsidP="00D0554E">
            <w:pPr>
              <w:pStyle w:val="Table"/>
              <w:spacing w:before="100" w:after="100"/>
            </w:pPr>
          </w:p>
        </w:tc>
        <w:tc>
          <w:tcPr>
            <w:tcW w:w="281" w:type="pct"/>
            <w:tcBorders>
              <w:top w:val="single" w:sz="4" w:space="0" w:color="939598"/>
              <w:left w:val="single" w:sz="4" w:space="0" w:color="939598"/>
              <w:bottom w:val="single" w:sz="4" w:space="0" w:color="939598"/>
              <w:right w:val="single" w:sz="4" w:space="0" w:color="939598"/>
            </w:tcBorders>
          </w:tcPr>
          <w:p w14:paraId="3C68D55C" w14:textId="77777777" w:rsidR="00D65147" w:rsidRPr="00FC3B3B" w:rsidRDefault="00D65147" w:rsidP="00D0554E">
            <w:pPr>
              <w:pStyle w:val="Table"/>
              <w:spacing w:before="100" w:after="100"/>
            </w:pPr>
          </w:p>
        </w:tc>
        <w:tc>
          <w:tcPr>
            <w:tcW w:w="360" w:type="pct"/>
            <w:tcBorders>
              <w:top w:val="single" w:sz="4" w:space="0" w:color="939598"/>
              <w:left w:val="single" w:sz="4" w:space="0" w:color="939598"/>
              <w:bottom w:val="single" w:sz="4" w:space="0" w:color="939598"/>
              <w:right w:val="single" w:sz="4" w:space="0" w:color="939598"/>
            </w:tcBorders>
          </w:tcPr>
          <w:p w14:paraId="1CCDED69" w14:textId="77777777" w:rsidR="00D65147" w:rsidRPr="00FC3B3B" w:rsidRDefault="00D65147" w:rsidP="00D0554E">
            <w:pPr>
              <w:pStyle w:val="Table"/>
              <w:spacing w:before="100" w:after="100"/>
            </w:pPr>
          </w:p>
        </w:tc>
      </w:tr>
      <w:tr w:rsidR="007D5332" w:rsidRPr="00FC3B3B" w14:paraId="4A707C33" w14:textId="77777777" w:rsidTr="0087155B">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Ex>
        <w:tc>
          <w:tcPr>
            <w:tcW w:w="4007" w:type="pct"/>
            <w:tcBorders>
              <w:top w:val="single" w:sz="4" w:space="0" w:color="939598"/>
              <w:left w:val="single" w:sz="4" w:space="0" w:color="939598"/>
              <w:bottom w:val="single" w:sz="4" w:space="0" w:color="939598"/>
              <w:right w:val="single" w:sz="4" w:space="0" w:color="939598"/>
            </w:tcBorders>
          </w:tcPr>
          <w:p w14:paraId="03810C40" w14:textId="3B9A492D" w:rsidR="007D5332" w:rsidRPr="00FC3B3B" w:rsidRDefault="007D5332" w:rsidP="00D0554E">
            <w:pPr>
              <w:pStyle w:val="Table"/>
              <w:spacing w:before="100" w:after="100"/>
            </w:pPr>
            <w:r w:rsidRPr="00FC3B3B">
              <w:t>Has the balancing adjustment for disposed or scrapped assets been reviewed?</w:t>
            </w:r>
            <w:r w:rsidR="005641D9">
              <w:t xml:space="preserve"> </w:t>
            </w:r>
            <w:r w:rsidR="00D65147">
              <w:t xml:space="preserve">Has any salvage value been included in assessable income? </w:t>
            </w:r>
          </w:p>
        </w:tc>
        <w:tc>
          <w:tcPr>
            <w:tcW w:w="352" w:type="pct"/>
            <w:tcBorders>
              <w:top w:val="single" w:sz="4" w:space="0" w:color="939598"/>
              <w:left w:val="single" w:sz="4" w:space="0" w:color="939598"/>
              <w:bottom w:val="single" w:sz="4" w:space="0" w:color="939598"/>
              <w:right w:val="single" w:sz="4" w:space="0" w:color="939598"/>
            </w:tcBorders>
          </w:tcPr>
          <w:p w14:paraId="08BFA06F" w14:textId="77777777" w:rsidR="007D5332" w:rsidRPr="00FC3B3B" w:rsidRDefault="007D5332" w:rsidP="00D0554E">
            <w:pPr>
              <w:pStyle w:val="Table"/>
              <w:spacing w:before="100" w:after="100"/>
            </w:pPr>
          </w:p>
        </w:tc>
        <w:tc>
          <w:tcPr>
            <w:tcW w:w="281" w:type="pct"/>
            <w:tcBorders>
              <w:top w:val="single" w:sz="4" w:space="0" w:color="939598"/>
              <w:left w:val="single" w:sz="4" w:space="0" w:color="939598"/>
              <w:bottom w:val="single" w:sz="4" w:space="0" w:color="939598"/>
              <w:right w:val="single" w:sz="4" w:space="0" w:color="939598"/>
            </w:tcBorders>
          </w:tcPr>
          <w:p w14:paraId="3A7A8A1B" w14:textId="77777777" w:rsidR="007D5332" w:rsidRPr="00FC3B3B" w:rsidRDefault="007D5332" w:rsidP="00D0554E">
            <w:pPr>
              <w:pStyle w:val="Table"/>
              <w:spacing w:before="100" w:after="100"/>
            </w:pPr>
          </w:p>
        </w:tc>
        <w:tc>
          <w:tcPr>
            <w:tcW w:w="360" w:type="pct"/>
            <w:tcBorders>
              <w:top w:val="single" w:sz="4" w:space="0" w:color="939598"/>
              <w:left w:val="single" w:sz="4" w:space="0" w:color="939598"/>
              <w:bottom w:val="single" w:sz="4" w:space="0" w:color="939598"/>
              <w:right w:val="single" w:sz="4" w:space="0" w:color="939598"/>
            </w:tcBorders>
          </w:tcPr>
          <w:p w14:paraId="0A11081A" w14:textId="77777777" w:rsidR="007D5332" w:rsidRPr="00FC3B3B" w:rsidRDefault="007D5332" w:rsidP="00D0554E">
            <w:pPr>
              <w:pStyle w:val="Table"/>
              <w:spacing w:before="100" w:after="100"/>
            </w:pPr>
          </w:p>
        </w:tc>
      </w:tr>
      <w:tr w:rsidR="007D5332" w:rsidRPr="00FC3B3B" w14:paraId="216E3606" w14:textId="77777777" w:rsidTr="0087155B">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Ex>
        <w:tc>
          <w:tcPr>
            <w:tcW w:w="4007" w:type="pct"/>
            <w:tcBorders>
              <w:top w:val="single" w:sz="4" w:space="0" w:color="939598"/>
              <w:left w:val="single" w:sz="4" w:space="0" w:color="939598"/>
              <w:bottom w:val="single" w:sz="4" w:space="0" w:color="939598"/>
              <w:right w:val="single" w:sz="4" w:space="0" w:color="939598"/>
            </w:tcBorders>
          </w:tcPr>
          <w:p w14:paraId="5859978D" w14:textId="18F8F86B" w:rsidR="007D5332" w:rsidRPr="00FC3B3B" w:rsidRDefault="00D65147" w:rsidP="00D0554E">
            <w:pPr>
              <w:pStyle w:val="Table"/>
              <w:spacing w:before="100" w:after="100"/>
            </w:pPr>
            <w:r>
              <w:t>Has the company stopped using a depreciating asset which has not otherwise been sold or physically scrapped during the 2018 year</w:t>
            </w:r>
            <w:r w:rsidR="00166127">
              <w:t>,</w:t>
            </w:r>
            <w:r>
              <w:t xml:space="preserve"> in which case a balancing adjustment deduction may be available?    </w:t>
            </w:r>
          </w:p>
        </w:tc>
        <w:tc>
          <w:tcPr>
            <w:tcW w:w="352" w:type="pct"/>
            <w:tcBorders>
              <w:top w:val="single" w:sz="4" w:space="0" w:color="939598"/>
              <w:left w:val="single" w:sz="4" w:space="0" w:color="939598"/>
              <w:bottom w:val="single" w:sz="4" w:space="0" w:color="939598"/>
              <w:right w:val="single" w:sz="4" w:space="0" w:color="939598"/>
            </w:tcBorders>
          </w:tcPr>
          <w:p w14:paraId="0017F310" w14:textId="77777777" w:rsidR="007D5332" w:rsidRPr="00FC3B3B" w:rsidRDefault="007D5332" w:rsidP="00D0554E">
            <w:pPr>
              <w:pStyle w:val="Table"/>
              <w:spacing w:before="100" w:after="100"/>
            </w:pPr>
          </w:p>
        </w:tc>
        <w:tc>
          <w:tcPr>
            <w:tcW w:w="281" w:type="pct"/>
            <w:tcBorders>
              <w:top w:val="single" w:sz="4" w:space="0" w:color="939598"/>
              <w:left w:val="single" w:sz="4" w:space="0" w:color="939598"/>
              <w:bottom w:val="single" w:sz="4" w:space="0" w:color="939598"/>
              <w:right w:val="single" w:sz="4" w:space="0" w:color="939598"/>
            </w:tcBorders>
          </w:tcPr>
          <w:p w14:paraId="31D46370" w14:textId="77777777" w:rsidR="007D5332" w:rsidRPr="00FC3B3B" w:rsidRDefault="007D5332" w:rsidP="00D0554E">
            <w:pPr>
              <w:pStyle w:val="Table"/>
              <w:spacing w:before="100" w:after="100"/>
            </w:pPr>
          </w:p>
        </w:tc>
        <w:tc>
          <w:tcPr>
            <w:tcW w:w="360" w:type="pct"/>
            <w:tcBorders>
              <w:top w:val="single" w:sz="4" w:space="0" w:color="939598"/>
              <w:left w:val="single" w:sz="4" w:space="0" w:color="939598"/>
              <w:bottom w:val="single" w:sz="4" w:space="0" w:color="939598"/>
              <w:right w:val="single" w:sz="4" w:space="0" w:color="939598"/>
            </w:tcBorders>
          </w:tcPr>
          <w:p w14:paraId="3BF78320" w14:textId="77777777" w:rsidR="007D5332" w:rsidRPr="00FC3B3B" w:rsidRDefault="007D5332" w:rsidP="00D0554E">
            <w:pPr>
              <w:pStyle w:val="Table"/>
              <w:spacing w:before="100" w:after="100"/>
            </w:pPr>
          </w:p>
        </w:tc>
      </w:tr>
      <w:tr w:rsidR="007D5332" w:rsidRPr="00FC3B3B" w14:paraId="4258D94B" w14:textId="77777777" w:rsidTr="0087155B">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Ex>
        <w:tc>
          <w:tcPr>
            <w:tcW w:w="4007" w:type="pct"/>
            <w:tcBorders>
              <w:top w:val="single" w:sz="4" w:space="0" w:color="939598"/>
              <w:left w:val="single" w:sz="4" w:space="0" w:color="939598"/>
              <w:bottom w:val="single" w:sz="4" w:space="0" w:color="939598"/>
              <w:right w:val="single" w:sz="4" w:space="0" w:color="939598"/>
            </w:tcBorders>
          </w:tcPr>
          <w:p w14:paraId="1C1B3E07" w14:textId="7A0652BD" w:rsidR="007D5332" w:rsidRPr="00FC3B3B" w:rsidRDefault="00D65147" w:rsidP="00D0554E">
            <w:pPr>
              <w:pStyle w:val="Table"/>
              <w:spacing w:before="100" w:after="100"/>
            </w:pPr>
            <w:r w:rsidRPr="00FC3B3B">
              <w:t xml:space="preserve">Have repairs </w:t>
            </w:r>
            <w:r>
              <w:t xml:space="preserve">to depreciating assets been </w:t>
            </w:r>
            <w:r w:rsidRPr="00FC3B3B">
              <w:t>expensed for accounting purposes, but capitalised for tax purposes</w:t>
            </w:r>
            <w:r>
              <w:t xml:space="preserve"> as an improvement</w:t>
            </w:r>
            <w:r w:rsidRPr="00FC3B3B">
              <w:t>, been treated as additions to the tax fixed assets schedule and depreciated?</w:t>
            </w:r>
          </w:p>
        </w:tc>
        <w:tc>
          <w:tcPr>
            <w:tcW w:w="352" w:type="pct"/>
            <w:tcBorders>
              <w:top w:val="single" w:sz="4" w:space="0" w:color="939598"/>
              <w:left w:val="single" w:sz="4" w:space="0" w:color="939598"/>
              <w:bottom w:val="single" w:sz="4" w:space="0" w:color="939598"/>
              <w:right w:val="single" w:sz="4" w:space="0" w:color="939598"/>
            </w:tcBorders>
          </w:tcPr>
          <w:p w14:paraId="5C274EB6" w14:textId="77777777" w:rsidR="007D5332" w:rsidRPr="00FC3B3B" w:rsidRDefault="007D5332" w:rsidP="00D0554E">
            <w:pPr>
              <w:pStyle w:val="Table"/>
              <w:spacing w:before="100" w:after="100"/>
            </w:pPr>
          </w:p>
        </w:tc>
        <w:tc>
          <w:tcPr>
            <w:tcW w:w="281" w:type="pct"/>
            <w:tcBorders>
              <w:top w:val="single" w:sz="4" w:space="0" w:color="939598"/>
              <w:left w:val="single" w:sz="4" w:space="0" w:color="939598"/>
              <w:bottom w:val="single" w:sz="4" w:space="0" w:color="939598"/>
              <w:right w:val="single" w:sz="4" w:space="0" w:color="939598"/>
            </w:tcBorders>
          </w:tcPr>
          <w:p w14:paraId="6B03707C" w14:textId="77777777" w:rsidR="007D5332" w:rsidRPr="00FC3B3B" w:rsidRDefault="007D5332" w:rsidP="00D0554E">
            <w:pPr>
              <w:pStyle w:val="Table"/>
              <w:spacing w:before="100" w:after="100"/>
            </w:pPr>
          </w:p>
        </w:tc>
        <w:tc>
          <w:tcPr>
            <w:tcW w:w="360" w:type="pct"/>
            <w:tcBorders>
              <w:top w:val="single" w:sz="4" w:space="0" w:color="939598"/>
              <w:left w:val="single" w:sz="4" w:space="0" w:color="939598"/>
              <w:bottom w:val="single" w:sz="4" w:space="0" w:color="939598"/>
              <w:right w:val="single" w:sz="4" w:space="0" w:color="939598"/>
            </w:tcBorders>
          </w:tcPr>
          <w:p w14:paraId="7DFF331D" w14:textId="77777777" w:rsidR="007D5332" w:rsidRPr="00FC3B3B" w:rsidRDefault="007D5332" w:rsidP="00D0554E">
            <w:pPr>
              <w:pStyle w:val="Table"/>
              <w:spacing w:before="100" w:after="100"/>
            </w:pPr>
          </w:p>
        </w:tc>
      </w:tr>
      <w:tr w:rsidR="007D5332" w:rsidRPr="00FC3B3B" w14:paraId="24E92754" w14:textId="77777777" w:rsidTr="0087155B">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Ex>
        <w:tc>
          <w:tcPr>
            <w:tcW w:w="4007" w:type="pct"/>
            <w:tcBorders>
              <w:top w:val="single" w:sz="4" w:space="0" w:color="939598"/>
              <w:left w:val="single" w:sz="4" w:space="0" w:color="939598"/>
              <w:bottom w:val="single" w:sz="4" w:space="0" w:color="939598"/>
              <w:right w:val="single" w:sz="4" w:space="0" w:color="939598"/>
            </w:tcBorders>
          </w:tcPr>
          <w:p w14:paraId="1E290E8B" w14:textId="459229F6" w:rsidR="007D5332" w:rsidRPr="00FC3B3B" w:rsidRDefault="00D65147" w:rsidP="00D0554E">
            <w:pPr>
              <w:pStyle w:val="Table"/>
              <w:spacing w:before="100" w:after="100"/>
            </w:pPr>
            <w:r w:rsidRPr="00FC3B3B">
              <w:t xml:space="preserve">Has the motor vehicle depreciation cost limit of </w:t>
            </w:r>
            <w:r w:rsidRPr="00E9415D">
              <w:t>$5</w:t>
            </w:r>
            <w:r>
              <w:t xml:space="preserve">7,581 </w:t>
            </w:r>
            <w:r w:rsidRPr="00F47D7F">
              <w:t>been applied when calculating depreciation</w:t>
            </w:r>
            <w:r>
              <w:t xml:space="preserve"> on a car acquired during the 2018 year for tax purposes</w:t>
            </w:r>
            <w:r w:rsidRPr="00F47D7F">
              <w:t>?</w:t>
            </w:r>
            <w:r>
              <w:t xml:space="preserve"> Refer to </w:t>
            </w:r>
            <w:r>
              <w:rPr>
                <w:i/>
              </w:rPr>
              <w:t xml:space="preserve">Taxation Determination TD2017/18 </w:t>
            </w:r>
            <w:r>
              <w:t>for further details.</w:t>
            </w:r>
            <w:r>
              <w:rPr>
                <w:i/>
              </w:rPr>
              <w:t xml:space="preserve">  </w:t>
            </w:r>
          </w:p>
        </w:tc>
        <w:tc>
          <w:tcPr>
            <w:tcW w:w="352" w:type="pct"/>
            <w:tcBorders>
              <w:top w:val="single" w:sz="4" w:space="0" w:color="939598"/>
              <w:left w:val="single" w:sz="4" w:space="0" w:color="939598"/>
              <w:bottom w:val="single" w:sz="4" w:space="0" w:color="939598"/>
              <w:right w:val="single" w:sz="4" w:space="0" w:color="939598"/>
            </w:tcBorders>
          </w:tcPr>
          <w:p w14:paraId="281FBABF" w14:textId="77777777" w:rsidR="007D5332" w:rsidRPr="00FC3B3B" w:rsidRDefault="007D5332" w:rsidP="00D0554E">
            <w:pPr>
              <w:pStyle w:val="Table"/>
              <w:spacing w:before="100" w:after="100"/>
            </w:pPr>
          </w:p>
        </w:tc>
        <w:tc>
          <w:tcPr>
            <w:tcW w:w="281" w:type="pct"/>
            <w:tcBorders>
              <w:top w:val="single" w:sz="4" w:space="0" w:color="939598"/>
              <w:left w:val="single" w:sz="4" w:space="0" w:color="939598"/>
              <w:bottom w:val="single" w:sz="4" w:space="0" w:color="939598"/>
              <w:right w:val="single" w:sz="4" w:space="0" w:color="939598"/>
            </w:tcBorders>
          </w:tcPr>
          <w:p w14:paraId="644BF977" w14:textId="77777777" w:rsidR="007D5332" w:rsidRPr="00FC3B3B" w:rsidRDefault="007D5332" w:rsidP="00D0554E">
            <w:pPr>
              <w:pStyle w:val="Table"/>
              <w:spacing w:before="100" w:after="100"/>
            </w:pPr>
          </w:p>
        </w:tc>
        <w:tc>
          <w:tcPr>
            <w:tcW w:w="360" w:type="pct"/>
            <w:tcBorders>
              <w:top w:val="single" w:sz="4" w:space="0" w:color="939598"/>
              <w:left w:val="single" w:sz="4" w:space="0" w:color="939598"/>
              <w:bottom w:val="single" w:sz="4" w:space="0" w:color="939598"/>
              <w:right w:val="single" w:sz="4" w:space="0" w:color="939598"/>
            </w:tcBorders>
          </w:tcPr>
          <w:p w14:paraId="51AE4064" w14:textId="77777777" w:rsidR="007D5332" w:rsidRPr="00FC3B3B" w:rsidRDefault="007D5332" w:rsidP="00D0554E">
            <w:pPr>
              <w:pStyle w:val="Table"/>
              <w:spacing w:before="100" w:after="100"/>
            </w:pPr>
          </w:p>
        </w:tc>
      </w:tr>
      <w:tr w:rsidR="00D65147" w:rsidRPr="00FC3B3B" w14:paraId="2539C19E" w14:textId="77777777" w:rsidTr="0087155B">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Ex>
        <w:tc>
          <w:tcPr>
            <w:tcW w:w="4007" w:type="pct"/>
            <w:tcBorders>
              <w:top w:val="single" w:sz="4" w:space="0" w:color="939598"/>
              <w:left w:val="single" w:sz="4" w:space="0" w:color="939598"/>
              <w:bottom w:val="single" w:sz="4" w:space="0" w:color="939598"/>
              <w:right w:val="single" w:sz="4" w:space="0" w:color="939598"/>
            </w:tcBorders>
          </w:tcPr>
          <w:p w14:paraId="47127B27" w14:textId="5F09C610" w:rsidR="00D65147" w:rsidRPr="00FC3B3B" w:rsidRDefault="00D65147" w:rsidP="00D0554E">
            <w:pPr>
              <w:pStyle w:val="Table"/>
              <w:spacing w:before="100" w:after="100"/>
            </w:pPr>
            <w:r w:rsidRPr="00FC3B3B">
              <w:t>Has a profit on the sale of previously leased motor vehicles been brought into account?</w:t>
            </w:r>
          </w:p>
        </w:tc>
        <w:tc>
          <w:tcPr>
            <w:tcW w:w="352" w:type="pct"/>
            <w:tcBorders>
              <w:top w:val="single" w:sz="4" w:space="0" w:color="939598"/>
              <w:left w:val="single" w:sz="4" w:space="0" w:color="939598"/>
              <w:bottom w:val="single" w:sz="4" w:space="0" w:color="939598"/>
              <w:right w:val="single" w:sz="4" w:space="0" w:color="939598"/>
            </w:tcBorders>
          </w:tcPr>
          <w:p w14:paraId="2B0B558B" w14:textId="77777777" w:rsidR="00D65147" w:rsidRPr="00FC3B3B" w:rsidRDefault="00D65147" w:rsidP="00D0554E">
            <w:pPr>
              <w:pStyle w:val="Table"/>
              <w:spacing w:before="100" w:after="100"/>
            </w:pPr>
          </w:p>
        </w:tc>
        <w:tc>
          <w:tcPr>
            <w:tcW w:w="281" w:type="pct"/>
            <w:tcBorders>
              <w:top w:val="single" w:sz="4" w:space="0" w:color="939598"/>
              <w:left w:val="single" w:sz="4" w:space="0" w:color="939598"/>
              <w:bottom w:val="single" w:sz="4" w:space="0" w:color="939598"/>
              <w:right w:val="single" w:sz="4" w:space="0" w:color="939598"/>
            </w:tcBorders>
          </w:tcPr>
          <w:p w14:paraId="6CDD8F2F" w14:textId="77777777" w:rsidR="00D65147" w:rsidRPr="00FC3B3B" w:rsidRDefault="00D65147" w:rsidP="00D0554E">
            <w:pPr>
              <w:pStyle w:val="Table"/>
              <w:spacing w:before="100" w:after="100"/>
            </w:pPr>
          </w:p>
        </w:tc>
        <w:tc>
          <w:tcPr>
            <w:tcW w:w="360" w:type="pct"/>
            <w:tcBorders>
              <w:top w:val="single" w:sz="4" w:space="0" w:color="939598"/>
              <w:left w:val="single" w:sz="4" w:space="0" w:color="939598"/>
              <w:bottom w:val="single" w:sz="4" w:space="0" w:color="939598"/>
              <w:right w:val="single" w:sz="4" w:space="0" w:color="939598"/>
            </w:tcBorders>
          </w:tcPr>
          <w:p w14:paraId="0ACAE82D" w14:textId="77777777" w:rsidR="00D65147" w:rsidRPr="00FC3B3B" w:rsidRDefault="00D65147" w:rsidP="00D0554E">
            <w:pPr>
              <w:pStyle w:val="Table"/>
              <w:spacing w:before="100" w:after="100"/>
            </w:pPr>
          </w:p>
        </w:tc>
      </w:tr>
      <w:tr w:rsidR="00D65147" w:rsidRPr="00FC3B3B" w14:paraId="7523C842" w14:textId="77777777" w:rsidTr="0087155B">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Ex>
        <w:tc>
          <w:tcPr>
            <w:tcW w:w="4007" w:type="pct"/>
            <w:tcBorders>
              <w:top w:val="single" w:sz="4" w:space="0" w:color="939598"/>
              <w:left w:val="single" w:sz="4" w:space="0" w:color="939598"/>
              <w:bottom w:val="single" w:sz="4" w:space="0" w:color="939598"/>
              <w:right w:val="single" w:sz="4" w:space="0" w:color="939598"/>
            </w:tcBorders>
          </w:tcPr>
          <w:p w14:paraId="1F9683AE" w14:textId="7C60EE68" w:rsidR="00D65147" w:rsidRPr="00FC3B3B" w:rsidRDefault="00D65147" w:rsidP="00D0554E">
            <w:pPr>
              <w:pStyle w:val="Table"/>
              <w:spacing w:before="100" w:after="100"/>
            </w:pPr>
            <w:r w:rsidRPr="00FC3B3B">
              <w:t>Have plant conversion and relocation costs been capitalised and depreciated?</w:t>
            </w:r>
          </w:p>
        </w:tc>
        <w:tc>
          <w:tcPr>
            <w:tcW w:w="352" w:type="pct"/>
            <w:tcBorders>
              <w:top w:val="single" w:sz="4" w:space="0" w:color="939598"/>
              <w:left w:val="single" w:sz="4" w:space="0" w:color="939598"/>
              <w:bottom w:val="single" w:sz="4" w:space="0" w:color="939598"/>
              <w:right w:val="single" w:sz="4" w:space="0" w:color="939598"/>
            </w:tcBorders>
          </w:tcPr>
          <w:p w14:paraId="6C466C98" w14:textId="77777777" w:rsidR="00D65147" w:rsidRPr="00FC3B3B" w:rsidRDefault="00D65147" w:rsidP="00D0554E">
            <w:pPr>
              <w:pStyle w:val="Table"/>
              <w:spacing w:before="100" w:after="100"/>
            </w:pPr>
          </w:p>
        </w:tc>
        <w:tc>
          <w:tcPr>
            <w:tcW w:w="281" w:type="pct"/>
            <w:tcBorders>
              <w:top w:val="single" w:sz="4" w:space="0" w:color="939598"/>
              <w:left w:val="single" w:sz="4" w:space="0" w:color="939598"/>
              <w:bottom w:val="single" w:sz="4" w:space="0" w:color="939598"/>
              <w:right w:val="single" w:sz="4" w:space="0" w:color="939598"/>
            </w:tcBorders>
          </w:tcPr>
          <w:p w14:paraId="64C100DF" w14:textId="77777777" w:rsidR="00D65147" w:rsidRPr="00FC3B3B" w:rsidRDefault="00D65147" w:rsidP="00D0554E">
            <w:pPr>
              <w:pStyle w:val="Table"/>
              <w:spacing w:before="100" w:after="100"/>
            </w:pPr>
          </w:p>
        </w:tc>
        <w:tc>
          <w:tcPr>
            <w:tcW w:w="360" w:type="pct"/>
            <w:tcBorders>
              <w:top w:val="single" w:sz="4" w:space="0" w:color="939598"/>
              <w:left w:val="single" w:sz="4" w:space="0" w:color="939598"/>
              <w:bottom w:val="single" w:sz="4" w:space="0" w:color="939598"/>
              <w:right w:val="single" w:sz="4" w:space="0" w:color="939598"/>
            </w:tcBorders>
          </w:tcPr>
          <w:p w14:paraId="5B4B5C60" w14:textId="77777777" w:rsidR="00D65147" w:rsidRPr="00FC3B3B" w:rsidRDefault="00D65147" w:rsidP="00D0554E">
            <w:pPr>
              <w:pStyle w:val="Table"/>
              <w:spacing w:before="100" w:after="100"/>
            </w:pPr>
          </w:p>
        </w:tc>
      </w:tr>
      <w:tr w:rsidR="00D65147" w:rsidRPr="00FC3B3B" w14:paraId="24692C00" w14:textId="77777777" w:rsidTr="0087155B">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Ex>
        <w:tc>
          <w:tcPr>
            <w:tcW w:w="4007" w:type="pct"/>
            <w:tcBorders>
              <w:top w:val="single" w:sz="4" w:space="0" w:color="939598"/>
              <w:left w:val="single" w:sz="4" w:space="0" w:color="939598"/>
              <w:bottom w:val="single" w:sz="4" w:space="0" w:color="939598"/>
              <w:right w:val="single" w:sz="4" w:space="0" w:color="939598"/>
            </w:tcBorders>
          </w:tcPr>
          <w:p w14:paraId="78C66FB4" w14:textId="14775CEE" w:rsidR="00D65147" w:rsidRPr="00A260A5" w:rsidRDefault="00D65147" w:rsidP="00D0554E">
            <w:pPr>
              <w:pStyle w:val="Table"/>
              <w:spacing w:before="100" w:after="100"/>
              <w:rPr>
                <w:i/>
              </w:rPr>
            </w:pPr>
            <w:r w:rsidRPr="00FC3B3B">
              <w:t xml:space="preserve">For construction of income-producing buildings or for </w:t>
            </w:r>
            <w:r>
              <w:t xml:space="preserve">building </w:t>
            </w:r>
            <w:r w:rsidRPr="00FC3B3B">
              <w:t>extensions, alterations</w:t>
            </w:r>
            <w:r>
              <w:t xml:space="preserve"> and improvements</w:t>
            </w:r>
            <w:r w:rsidRPr="00FC3B3B">
              <w:t>, is a capital works deduction available under Division 43</w:t>
            </w:r>
            <w:r w:rsidR="002D6B9C">
              <w:t xml:space="preserve"> of the </w:t>
            </w:r>
            <w:r w:rsidR="002D6B9C" w:rsidRPr="00BA674A">
              <w:rPr>
                <w:i/>
              </w:rPr>
              <w:t>Income Tax Assessment Act (1997</w:t>
            </w:r>
            <w:r w:rsidRPr="00FC3B3B">
              <w:t>?</w:t>
            </w:r>
          </w:p>
        </w:tc>
        <w:tc>
          <w:tcPr>
            <w:tcW w:w="352" w:type="pct"/>
            <w:tcBorders>
              <w:top w:val="single" w:sz="4" w:space="0" w:color="939598"/>
              <w:left w:val="single" w:sz="4" w:space="0" w:color="939598"/>
              <w:bottom w:val="single" w:sz="4" w:space="0" w:color="939598"/>
              <w:right w:val="single" w:sz="4" w:space="0" w:color="939598"/>
            </w:tcBorders>
          </w:tcPr>
          <w:p w14:paraId="6FB84399" w14:textId="77777777" w:rsidR="00D65147" w:rsidRPr="00FC3B3B" w:rsidRDefault="00D65147" w:rsidP="00D0554E">
            <w:pPr>
              <w:pStyle w:val="Table"/>
              <w:spacing w:before="100" w:after="100"/>
            </w:pPr>
          </w:p>
        </w:tc>
        <w:tc>
          <w:tcPr>
            <w:tcW w:w="281" w:type="pct"/>
            <w:tcBorders>
              <w:top w:val="single" w:sz="4" w:space="0" w:color="939598"/>
              <w:left w:val="single" w:sz="4" w:space="0" w:color="939598"/>
              <w:bottom w:val="single" w:sz="4" w:space="0" w:color="939598"/>
              <w:right w:val="single" w:sz="4" w:space="0" w:color="939598"/>
            </w:tcBorders>
          </w:tcPr>
          <w:p w14:paraId="0B06447D" w14:textId="77777777" w:rsidR="00D65147" w:rsidRPr="00FC3B3B" w:rsidRDefault="00D65147" w:rsidP="00D0554E">
            <w:pPr>
              <w:pStyle w:val="Table"/>
              <w:spacing w:before="100" w:after="100"/>
            </w:pPr>
          </w:p>
        </w:tc>
        <w:tc>
          <w:tcPr>
            <w:tcW w:w="360" w:type="pct"/>
            <w:tcBorders>
              <w:top w:val="single" w:sz="4" w:space="0" w:color="939598"/>
              <w:left w:val="single" w:sz="4" w:space="0" w:color="939598"/>
              <w:bottom w:val="single" w:sz="4" w:space="0" w:color="939598"/>
              <w:right w:val="single" w:sz="4" w:space="0" w:color="939598"/>
            </w:tcBorders>
          </w:tcPr>
          <w:p w14:paraId="0A7E254A" w14:textId="77777777" w:rsidR="00D65147" w:rsidRPr="00FC3B3B" w:rsidRDefault="00D65147" w:rsidP="00D0554E">
            <w:pPr>
              <w:pStyle w:val="Table"/>
              <w:spacing w:before="100" w:after="100"/>
            </w:pPr>
          </w:p>
        </w:tc>
      </w:tr>
      <w:tr w:rsidR="00D65147" w:rsidRPr="00FC3B3B" w14:paraId="1503E55C" w14:textId="77777777" w:rsidTr="0087155B">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Ex>
        <w:tc>
          <w:tcPr>
            <w:tcW w:w="4007" w:type="pct"/>
            <w:tcBorders>
              <w:top w:val="single" w:sz="4" w:space="0" w:color="939598"/>
              <w:left w:val="single" w:sz="4" w:space="0" w:color="939598"/>
              <w:bottom w:val="single" w:sz="4" w:space="0" w:color="939598"/>
              <w:right w:val="single" w:sz="4" w:space="0" w:color="939598"/>
            </w:tcBorders>
          </w:tcPr>
          <w:p w14:paraId="71C9C49A" w14:textId="4234DFD1" w:rsidR="00D65147" w:rsidRPr="00FC3B3B" w:rsidRDefault="002D6B9C" w:rsidP="00D0554E">
            <w:pPr>
              <w:pStyle w:val="Table"/>
              <w:spacing w:before="100" w:after="100"/>
            </w:pPr>
            <w:r>
              <w:t xml:space="preserve">Have repairs </w:t>
            </w:r>
            <w:r w:rsidR="00C72E6E">
              <w:t xml:space="preserve">to buildings </w:t>
            </w:r>
            <w:r>
              <w:t xml:space="preserve">which have been expensed for accounting purposes constitute alterations, improvements or extensions to existing buildings which would constitute deductible capital works expenditure under Division 43 of the </w:t>
            </w:r>
            <w:r w:rsidRPr="00A260A5">
              <w:rPr>
                <w:i/>
              </w:rPr>
              <w:t>Income Tax Assessment Act (1997</w:t>
            </w:r>
            <w:r>
              <w:t>)?</w:t>
            </w:r>
          </w:p>
        </w:tc>
        <w:tc>
          <w:tcPr>
            <w:tcW w:w="352" w:type="pct"/>
            <w:tcBorders>
              <w:top w:val="single" w:sz="4" w:space="0" w:color="939598"/>
              <w:left w:val="single" w:sz="4" w:space="0" w:color="939598"/>
              <w:bottom w:val="single" w:sz="4" w:space="0" w:color="939598"/>
              <w:right w:val="single" w:sz="4" w:space="0" w:color="939598"/>
            </w:tcBorders>
          </w:tcPr>
          <w:p w14:paraId="64884885" w14:textId="77777777" w:rsidR="00D65147" w:rsidRPr="00FC3B3B" w:rsidRDefault="00D65147" w:rsidP="00D0554E">
            <w:pPr>
              <w:pStyle w:val="Table"/>
              <w:spacing w:before="100" w:after="100"/>
            </w:pPr>
          </w:p>
        </w:tc>
        <w:tc>
          <w:tcPr>
            <w:tcW w:w="281" w:type="pct"/>
            <w:tcBorders>
              <w:top w:val="single" w:sz="4" w:space="0" w:color="939598"/>
              <w:left w:val="single" w:sz="4" w:space="0" w:color="939598"/>
              <w:bottom w:val="single" w:sz="4" w:space="0" w:color="939598"/>
              <w:right w:val="single" w:sz="4" w:space="0" w:color="939598"/>
            </w:tcBorders>
          </w:tcPr>
          <w:p w14:paraId="5B530AD4" w14:textId="77777777" w:rsidR="00D65147" w:rsidRPr="00FC3B3B" w:rsidRDefault="00D65147" w:rsidP="00D0554E">
            <w:pPr>
              <w:pStyle w:val="Table"/>
              <w:spacing w:before="100" w:after="100"/>
            </w:pPr>
          </w:p>
        </w:tc>
        <w:tc>
          <w:tcPr>
            <w:tcW w:w="360" w:type="pct"/>
            <w:tcBorders>
              <w:top w:val="single" w:sz="4" w:space="0" w:color="939598"/>
              <w:left w:val="single" w:sz="4" w:space="0" w:color="939598"/>
              <w:bottom w:val="single" w:sz="4" w:space="0" w:color="939598"/>
              <w:right w:val="single" w:sz="4" w:space="0" w:color="939598"/>
            </w:tcBorders>
          </w:tcPr>
          <w:p w14:paraId="1BD3522A" w14:textId="77777777" w:rsidR="00D65147" w:rsidRPr="00FC3B3B" w:rsidRDefault="00D65147" w:rsidP="00D0554E">
            <w:pPr>
              <w:pStyle w:val="Table"/>
              <w:spacing w:before="100" w:after="100"/>
            </w:pPr>
          </w:p>
        </w:tc>
      </w:tr>
      <w:tr w:rsidR="00D65147" w:rsidRPr="00FC3B3B" w14:paraId="4DA6B150" w14:textId="77777777" w:rsidTr="0087155B">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Ex>
        <w:tc>
          <w:tcPr>
            <w:tcW w:w="4007" w:type="pct"/>
            <w:tcBorders>
              <w:top w:val="single" w:sz="4" w:space="0" w:color="939598"/>
              <w:left w:val="single" w:sz="4" w:space="0" w:color="939598"/>
              <w:bottom w:val="single" w:sz="4" w:space="0" w:color="939598"/>
              <w:right w:val="single" w:sz="4" w:space="0" w:color="939598"/>
            </w:tcBorders>
          </w:tcPr>
          <w:p w14:paraId="5182B491" w14:textId="017B281A" w:rsidR="00D65147" w:rsidRPr="00FC3B3B" w:rsidRDefault="002D6B9C" w:rsidP="00D0554E">
            <w:pPr>
              <w:pStyle w:val="Table"/>
              <w:spacing w:before="100" w:after="100"/>
            </w:pPr>
            <w:r>
              <w:t xml:space="preserve">Is capital expenditure relating to buildings being correctly claimed </w:t>
            </w:r>
            <w:r w:rsidR="00C72E6E">
              <w:t xml:space="preserve">at </w:t>
            </w:r>
            <w:r>
              <w:t>the rate of 2.5% or 4% (which will differ depending on when the construction expenditure was incurred and whether it relates to industrial buildings)?</w:t>
            </w:r>
          </w:p>
        </w:tc>
        <w:tc>
          <w:tcPr>
            <w:tcW w:w="352" w:type="pct"/>
            <w:tcBorders>
              <w:top w:val="single" w:sz="4" w:space="0" w:color="939598"/>
              <w:left w:val="single" w:sz="4" w:space="0" w:color="939598"/>
              <w:bottom w:val="single" w:sz="4" w:space="0" w:color="939598"/>
              <w:right w:val="single" w:sz="4" w:space="0" w:color="939598"/>
            </w:tcBorders>
          </w:tcPr>
          <w:p w14:paraId="1E55F6B8" w14:textId="77777777" w:rsidR="00D65147" w:rsidRPr="00FC3B3B" w:rsidRDefault="00D65147" w:rsidP="00D0554E">
            <w:pPr>
              <w:pStyle w:val="Table"/>
              <w:spacing w:before="100" w:after="100"/>
            </w:pPr>
          </w:p>
        </w:tc>
        <w:tc>
          <w:tcPr>
            <w:tcW w:w="281" w:type="pct"/>
            <w:tcBorders>
              <w:top w:val="single" w:sz="4" w:space="0" w:color="939598"/>
              <w:left w:val="single" w:sz="4" w:space="0" w:color="939598"/>
              <w:bottom w:val="single" w:sz="4" w:space="0" w:color="939598"/>
              <w:right w:val="single" w:sz="4" w:space="0" w:color="939598"/>
            </w:tcBorders>
          </w:tcPr>
          <w:p w14:paraId="62E6B4BA" w14:textId="77777777" w:rsidR="00D65147" w:rsidRPr="00FC3B3B" w:rsidRDefault="00D65147" w:rsidP="00D0554E">
            <w:pPr>
              <w:pStyle w:val="Table"/>
              <w:spacing w:before="100" w:after="100"/>
            </w:pPr>
          </w:p>
        </w:tc>
        <w:tc>
          <w:tcPr>
            <w:tcW w:w="360" w:type="pct"/>
            <w:tcBorders>
              <w:top w:val="single" w:sz="4" w:space="0" w:color="939598"/>
              <w:left w:val="single" w:sz="4" w:space="0" w:color="939598"/>
              <w:bottom w:val="single" w:sz="4" w:space="0" w:color="939598"/>
              <w:right w:val="single" w:sz="4" w:space="0" w:color="939598"/>
            </w:tcBorders>
          </w:tcPr>
          <w:p w14:paraId="47B03323" w14:textId="77777777" w:rsidR="00D65147" w:rsidRPr="00FC3B3B" w:rsidRDefault="00D65147" w:rsidP="00D0554E">
            <w:pPr>
              <w:pStyle w:val="Table"/>
              <w:spacing w:before="100" w:after="100"/>
            </w:pPr>
          </w:p>
        </w:tc>
      </w:tr>
      <w:tr w:rsidR="00D65147" w:rsidRPr="00FC3B3B" w14:paraId="6A52EDE2" w14:textId="77777777" w:rsidTr="0087155B">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Ex>
        <w:tc>
          <w:tcPr>
            <w:tcW w:w="4007" w:type="pct"/>
            <w:tcBorders>
              <w:top w:val="single" w:sz="4" w:space="0" w:color="939598"/>
              <w:left w:val="single" w:sz="4" w:space="0" w:color="939598"/>
              <w:bottom w:val="single" w:sz="4" w:space="0" w:color="939598"/>
              <w:right w:val="single" w:sz="4" w:space="0" w:color="939598"/>
            </w:tcBorders>
          </w:tcPr>
          <w:p w14:paraId="609E5CC2" w14:textId="3B92B868" w:rsidR="00D65147" w:rsidRPr="00FC3B3B" w:rsidRDefault="00D65147" w:rsidP="00D0554E">
            <w:pPr>
              <w:pStyle w:val="Table"/>
              <w:spacing w:before="100" w:after="100"/>
            </w:pPr>
            <w:r>
              <w:t>Can the company write-off the cost of any structural improvements or environment protection earthworks under Division 43</w:t>
            </w:r>
            <w:r w:rsidR="002D6B9C">
              <w:t xml:space="preserve"> of the </w:t>
            </w:r>
            <w:r w:rsidR="002D6B9C" w:rsidRPr="00BA674A">
              <w:rPr>
                <w:i/>
              </w:rPr>
              <w:t>Income Tax Assessment Act (1997</w:t>
            </w:r>
            <w:r w:rsidR="00DE1FC8">
              <w:rPr>
                <w:i/>
              </w:rPr>
              <w:t>)</w:t>
            </w:r>
            <w:r>
              <w:t>?</w:t>
            </w:r>
          </w:p>
        </w:tc>
        <w:tc>
          <w:tcPr>
            <w:tcW w:w="352" w:type="pct"/>
            <w:tcBorders>
              <w:top w:val="single" w:sz="4" w:space="0" w:color="939598"/>
              <w:left w:val="single" w:sz="4" w:space="0" w:color="939598"/>
              <w:bottom w:val="single" w:sz="4" w:space="0" w:color="939598"/>
              <w:right w:val="single" w:sz="4" w:space="0" w:color="939598"/>
            </w:tcBorders>
          </w:tcPr>
          <w:p w14:paraId="36597623" w14:textId="77777777" w:rsidR="00D65147" w:rsidRPr="00FC3B3B" w:rsidRDefault="00D65147" w:rsidP="00D0554E">
            <w:pPr>
              <w:pStyle w:val="Table"/>
              <w:spacing w:before="100" w:after="100"/>
            </w:pPr>
          </w:p>
        </w:tc>
        <w:tc>
          <w:tcPr>
            <w:tcW w:w="281" w:type="pct"/>
            <w:tcBorders>
              <w:top w:val="single" w:sz="4" w:space="0" w:color="939598"/>
              <w:left w:val="single" w:sz="4" w:space="0" w:color="939598"/>
              <w:bottom w:val="single" w:sz="4" w:space="0" w:color="939598"/>
              <w:right w:val="single" w:sz="4" w:space="0" w:color="939598"/>
            </w:tcBorders>
          </w:tcPr>
          <w:p w14:paraId="2115F9A1" w14:textId="77777777" w:rsidR="00D65147" w:rsidRPr="00FC3B3B" w:rsidRDefault="00D65147" w:rsidP="00D0554E">
            <w:pPr>
              <w:pStyle w:val="Table"/>
              <w:spacing w:before="100" w:after="100"/>
            </w:pPr>
          </w:p>
        </w:tc>
        <w:tc>
          <w:tcPr>
            <w:tcW w:w="360" w:type="pct"/>
            <w:tcBorders>
              <w:top w:val="single" w:sz="4" w:space="0" w:color="939598"/>
              <w:left w:val="single" w:sz="4" w:space="0" w:color="939598"/>
              <w:bottom w:val="single" w:sz="4" w:space="0" w:color="939598"/>
              <w:right w:val="single" w:sz="4" w:space="0" w:color="939598"/>
            </w:tcBorders>
          </w:tcPr>
          <w:p w14:paraId="631651F4" w14:textId="77777777" w:rsidR="00D65147" w:rsidRPr="00FC3B3B" w:rsidRDefault="00D65147" w:rsidP="00D0554E">
            <w:pPr>
              <w:pStyle w:val="Table"/>
              <w:spacing w:before="100" w:after="100"/>
            </w:pPr>
          </w:p>
        </w:tc>
      </w:tr>
      <w:tr w:rsidR="002F72D4" w:rsidRPr="00FC3B3B" w14:paraId="7DA4CCC7" w14:textId="77777777" w:rsidTr="001B30DF">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Ex>
        <w:tc>
          <w:tcPr>
            <w:tcW w:w="4007" w:type="pct"/>
            <w:tcBorders>
              <w:top w:val="single" w:sz="4" w:space="0" w:color="939598"/>
              <w:left w:val="single" w:sz="4" w:space="0" w:color="939598"/>
              <w:bottom w:val="single" w:sz="4" w:space="0" w:color="939598"/>
              <w:right w:val="single" w:sz="4" w:space="0" w:color="939598"/>
            </w:tcBorders>
          </w:tcPr>
          <w:p w14:paraId="5D4CD9AF" w14:textId="43FA18F7" w:rsidR="002F72D4" w:rsidRDefault="002F72D4" w:rsidP="00D0554E">
            <w:pPr>
              <w:pStyle w:val="Table"/>
              <w:spacing w:before="100" w:after="100"/>
            </w:pPr>
            <w:r>
              <w:t>For companies</w:t>
            </w:r>
            <w:r w:rsidRPr="008E4E2C">
              <w:t xml:space="preserve"> that </w:t>
            </w:r>
            <w:r>
              <w:t>are</w:t>
            </w:r>
            <w:r w:rsidRPr="008E4E2C">
              <w:t xml:space="preserve"> </w:t>
            </w:r>
            <w:r>
              <w:t>S</w:t>
            </w:r>
            <w:r w:rsidRPr="008E4E2C">
              <w:t xml:space="preserve">mall </w:t>
            </w:r>
            <w:r>
              <w:t>B</w:t>
            </w:r>
            <w:r w:rsidRPr="008E4E2C">
              <w:t xml:space="preserve">usiness </w:t>
            </w:r>
            <w:r>
              <w:t>E</w:t>
            </w:r>
            <w:r w:rsidRPr="008E4E2C">
              <w:t>ntit</w:t>
            </w:r>
            <w:r>
              <w:t>y (SBE) taxpayers</w:t>
            </w:r>
            <w:r w:rsidRPr="00FC3B3B">
              <w:t xml:space="preserve">, </w:t>
            </w:r>
            <w:r>
              <w:t>can</w:t>
            </w:r>
            <w:r w:rsidRPr="00FC3B3B">
              <w:t xml:space="preserve"> </w:t>
            </w:r>
            <w:r w:rsidR="005641D9">
              <w:t xml:space="preserve">depreciating </w:t>
            </w:r>
            <w:r w:rsidRPr="00FC3B3B">
              <w:t>assets</w:t>
            </w:r>
            <w:r>
              <w:t xml:space="preserve"> acquired during the 201</w:t>
            </w:r>
            <w:r w:rsidR="005641D9">
              <w:t>8</w:t>
            </w:r>
            <w:r>
              <w:t xml:space="preserve"> year, costing less than $20,000, be written off immediately</w:t>
            </w:r>
            <w:r w:rsidR="00E96509">
              <w:t xml:space="preserve"> under the SBE capital allowance provisions</w:t>
            </w:r>
            <w:r>
              <w:t xml:space="preserve">? Have such assets been used or </w:t>
            </w:r>
            <w:r w:rsidR="00CF6371">
              <w:t xml:space="preserve">installed ready for use by year </w:t>
            </w:r>
            <w:r>
              <w:t>end?</w:t>
            </w:r>
          </w:p>
          <w:p w14:paraId="6847EC88" w14:textId="77777777" w:rsidR="005641D9" w:rsidRPr="00211718" w:rsidRDefault="005641D9" w:rsidP="00D0554E">
            <w:pPr>
              <w:pStyle w:val="Table"/>
              <w:spacing w:before="100" w:after="100"/>
              <w:rPr>
                <w:sz w:val="15"/>
                <w:szCs w:val="15"/>
              </w:rPr>
            </w:pPr>
            <w:r w:rsidRPr="00211718">
              <w:rPr>
                <w:b/>
                <w:sz w:val="15"/>
                <w:szCs w:val="15"/>
              </w:rPr>
              <w:t>Note</w:t>
            </w:r>
            <w:r w:rsidRPr="00211718">
              <w:rPr>
                <w:sz w:val="15"/>
                <w:szCs w:val="15"/>
              </w:rPr>
              <w:t>: an entity will be regarded as an SBE for the year ended 30 June 2018 if it carries on business in the 2018 year and its aggregated turnover is less than $10 million for that year. The aggregated turnover test not only requires the calculation of the taxpayer’s annual turnover but also that of any affiliate or entity connected with the taxpayer at any time during the year. Aggregated turnover can be calculated under the look back, look forward or actual results tests.</w:t>
            </w:r>
          </w:p>
          <w:p w14:paraId="2A4A1512" w14:textId="77777777" w:rsidR="005641D9" w:rsidRPr="00211718" w:rsidRDefault="005641D9" w:rsidP="00D0554E">
            <w:pPr>
              <w:pStyle w:val="Table"/>
              <w:spacing w:before="100" w:after="100"/>
              <w:rPr>
                <w:sz w:val="15"/>
                <w:szCs w:val="15"/>
              </w:rPr>
            </w:pPr>
            <w:r w:rsidRPr="00211718">
              <w:rPr>
                <w:b/>
                <w:sz w:val="15"/>
                <w:szCs w:val="15"/>
              </w:rPr>
              <w:t>Note</w:t>
            </w:r>
            <w:r w:rsidRPr="00211718">
              <w:rPr>
                <w:sz w:val="15"/>
                <w:szCs w:val="15"/>
              </w:rPr>
              <w:t xml:space="preserve">: the $20,000 threshold for the immediate asset write-off is calculated on a GST exclusive basis for a purchasing entity which is registered for GST purposes      </w:t>
            </w:r>
          </w:p>
          <w:p w14:paraId="2DE6F190" w14:textId="2BFDB9D7" w:rsidR="002F72D4" w:rsidRPr="001B30DF" w:rsidRDefault="00663916" w:rsidP="00D0554E">
            <w:pPr>
              <w:pStyle w:val="Table"/>
              <w:spacing w:before="100" w:after="100"/>
              <w:rPr>
                <w:sz w:val="15"/>
                <w:szCs w:val="15"/>
              </w:rPr>
            </w:pPr>
            <w:r w:rsidRPr="00211718">
              <w:rPr>
                <w:b/>
                <w:sz w:val="15"/>
                <w:szCs w:val="15"/>
              </w:rPr>
              <w:t>Note</w:t>
            </w:r>
            <w:r w:rsidRPr="00211718">
              <w:rPr>
                <w:sz w:val="15"/>
                <w:szCs w:val="15"/>
              </w:rPr>
              <w:t xml:space="preserve"> an SBE’s assets excluded from concessional treatment include horticultural plants, assets allocated to a low value pool or software development pool and certain other assets.         </w:t>
            </w:r>
          </w:p>
        </w:tc>
        <w:tc>
          <w:tcPr>
            <w:tcW w:w="352" w:type="pct"/>
            <w:tcBorders>
              <w:top w:val="single" w:sz="4" w:space="0" w:color="939598"/>
              <w:left w:val="single" w:sz="4" w:space="0" w:color="939598"/>
              <w:bottom w:val="single" w:sz="4" w:space="0" w:color="939598"/>
              <w:right w:val="single" w:sz="4" w:space="0" w:color="939598"/>
            </w:tcBorders>
          </w:tcPr>
          <w:p w14:paraId="0FCDFBAE" w14:textId="77777777" w:rsidR="002F72D4" w:rsidRPr="00FC3B3B" w:rsidRDefault="002F72D4" w:rsidP="00D0554E">
            <w:pPr>
              <w:pStyle w:val="Table"/>
              <w:spacing w:before="100" w:after="100"/>
            </w:pPr>
          </w:p>
        </w:tc>
        <w:tc>
          <w:tcPr>
            <w:tcW w:w="281" w:type="pct"/>
            <w:tcBorders>
              <w:top w:val="single" w:sz="4" w:space="0" w:color="939598"/>
              <w:left w:val="single" w:sz="4" w:space="0" w:color="939598"/>
              <w:bottom w:val="single" w:sz="4" w:space="0" w:color="939598"/>
              <w:right w:val="single" w:sz="4" w:space="0" w:color="939598"/>
            </w:tcBorders>
          </w:tcPr>
          <w:p w14:paraId="6C3CF7EF" w14:textId="77777777" w:rsidR="002F72D4" w:rsidRPr="00FC3B3B" w:rsidRDefault="002F72D4" w:rsidP="00D0554E">
            <w:pPr>
              <w:pStyle w:val="Table"/>
              <w:spacing w:before="100" w:after="100"/>
            </w:pPr>
          </w:p>
        </w:tc>
        <w:tc>
          <w:tcPr>
            <w:tcW w:w="360" w:type="pct"/>
            <w:tcBorders>
              <w:top w:val="single" w:sz="4" w:space="0" w:color="939598"/>
              <w:left w:val="single" w:sz="4" w:space="0" w:color="939598"/>
              <w:bottom w:val="single" w:sz="4" w:space="0" w:color="939598"/>
              <w:right w:val="single" w:sz="4" w:space="0" w:color="939598"/>
            </w:tcBorders>
          </w:tcPr>
          <w:p w14:paraId="7A006EBA" w14:textId="77777777" w:rsidR="002F72D4" w:rsidRPr="00FC3B3B" w:rsidRDefault="002F72D4" w:rsidP="00D0554E">
            <w:pPr>
              <w:pStyle w:val="Table"/>
              <w:spacing w:before="100" w:after="100"/>
            </w:pPr>
          </w:p>
        </w:tc>
      </w:tr>
    </w:tbl>
    <w:p w14:paraId="6213F30B" w14:textId="77777777" w:rsidR="001B30DF" w:rsidRDefault="001B30DF">
      <w:r>
        <w:br w:type="page"/>
      </w:r>
    </w:p>
    <w:tbl>
      <w:tblPr>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firstRow="1" w:lastRow="1" w:firstColumn="1" w:lastColumn="1" w:noHBand="0" w:noVBand="0"/>
      </w:tblPr>
      <w:tblGrid>
        <w:gridCol w:w="8075"/>
        <w:gridCol w:w="709"/>
        <w:gridCol w:w="566"/>
        <w:gridCol w:w="725"/>
      </w:tblGrid>
      <w:tr w:rsidR="001B30DF" w:rsidRPr="00FC3B3B" w14:paraId="133F3E77" w14:textId="77777777" w:rsidTr="001B30DF">
        <w:tc>
          <w:tcPr>
            <w:tcW w:w="4007" w:type="pct"/>
            <w:tcBorders>
              <w:top w:val="single" w:sz="4" w:space="0" w:color="939598"/>
              <w:bottom w:val="single" w:sz="4" w:space="0" w:color="939598"/>
              <w:right w:val="single" w:sz="4" w:space="0" w:color="939598"/>
            </w:tcBorders>
            <w:shd w:val="clear" w:color="auto" w:fill="0F243E" w:themeFill="text2" w:themeFillShade="80"/>
          </w:tcPr>
          <w:p w14:paraId="1B3F2869" w14:textId="75C001DA" w:rsidR="001B30DF" w:rsidRPr="00637458" w:rsidRDefault="001B30DF" w:rsidP="001B30DF">
            <w:pPr>
              <w:pStyle w:val="Table"/>
              <w:spacing w:before="100" w:after="100"/>
              <w:rPr>
                <w:b/>
              </w:rPr>
            </w:pPr>
            <w:r w:rsidRPr="00637458">
              <w:rPr>
                <w:b/>
                <w:sz w:val="18"/>
              </w:rPr>
              <w:lastRenderedPageBreak/>
              <w:t>STATEMENT OF COMPREHENSIVE INCOME (PROFIT AND LOSS)</w:t>
            </w:r>
          </w:p>
        </w:tc>
        <w:tc>
          <w:tcPr>
            <w:tcW w:w="352" w:type="pct"/>
            <w:tcBorders>
              <w:top w:val="single" w:sz="4" w:space="0" w:color="939598"/>
              <w:left w:val="single" w:sz="4" w:space="0" w:color="939598"/>
              <w:bottom w:val="single" w:sz="4" w:space="0" w:color="939598"/>
              <w:right w:val="single" w:sz="4" w:space="0" w:color="939598"/>
            </w:tcBorders>
            <w:shd w:val="clear" w:color="auto" w:fill="051C3C"/>
          </w:tcPr>
          <w:p w14:paraId="60FE16F0" w14:textId="386B9C25" w:rsidR="001B30DF" w:rsidRPr="00637458" w:rsidRDefault="001B30DF" w:rsidP="001B30DF">
            <w:pPr>
              <w:pStyle w:val="Table"/>
              <w:spacing w:before="100" w:after="100"/>
              <w:rPr>
                <w:b/>
              </w:rPr>
            </w:pPr>
            <w:r w:rsidRPr="00637458">
              <w:rPr>
                <w:b/>
                <w:sz w:val="18"/>
              </w:rPr>
              <w:t>YES</w:t>
            </w:r>
          </w:p>
        </w:tc>
        <w:tc>
          <w:tcPr>
            <w:tcW w:w="281" w:type="pct"/>
            <w:tcBorders>
              <w:top w:val="single" w:sz="4" w:space="0" w:color="939598"/>
              <w:left w:val="single" w:sz="4" w:space="0" w:color="939598"/>
              <w:bottom w:val="single" w:sz="4" w:space="0" w:color="939598"/>
              <w:right w:val="single" w:sz="4" w:space="0" w:color="939598"/>
            </w:tcBorders>
            <w:shd w:val="clear" w:color="auto" w:fill="051C3C"/>
          </w:tcPr>
          <w:p w14:paraId="0EC2EA61" w14:textId="135205E5" w:rsidR="001B30DF" w:rsidRPr="00637458" w:rsidRDefault="001B30DF" w:rsidP="001B30DF">
            <w:pPr>
              <w:pStyle w:val="Table"/>
              <w:spacing w:before="100" w:after="100"/>
              <w:rPr>
                <w:b/>
              </w:rPr>
            </w:pPr>
            <w:r w:rsidRPr="00637458">
              <w:rPr>
                <w:b/>
                <w:sz w:val="18"/>
              </w:rPr>
              <w:t>NO</w:t>
            </w:r>
          </w:p>
        </w:tc>
        <w:tc>
          <w:tcPr>
            <w:tcW w:w="360" w:type="pct"/>
            <w:tcBorders>
              <w:top w:val="single" w:sz="4" w:space="0" w:color="939598"/>
              <w:left w:val="single" w:sz="4" w:space="0" w:color="939598"/>
              <w:bottom w:val="single" w:sz="4" w:space="0" w:color="939598"/>
            </w:tcBorders>
            <w:shd w:val="clear" w:color="auto" w:fill="051C3C"/>
          </w:tcPr>
          <w:p w14:paraId="66A64202" w14:textId="4CB8DC7C" w:rsidR="001B30DF" w:rsidRPr="00637458" w:rsidRDefault="001B30DF" w:rsidP="001B30DF">
            <w:pPr>
              <w:pStyle w:val="Table"/>
              <w:spacing w:before="100" w:after="100"/>
              <w:rPr>
                <w:b/>
              </w:rPr>
            </w:pPr>
            <w:r w:rsidRPr="00637458">
              <w:rPr>
                <w:b/>
                <w:sz w:val="18"/>
              </w:rPr>
              <w:t>N/A</w:t>
            </w:r>
          </w:p>
        </w:tc>
      </w:tr>
      <w:tr w:rsidR="001B30DF" w:rsidRPr="00FC3B3B" w14:paraId="379285A5" w14:textId="77777777" w:rsidTr="00706F13">
        <w:tc>
          <w:tcPr>
            <w:tcW w:w="5000" w:type="pct"/>
            <w:gridSpan w:val="4"/>
            <w:tcBorders>
              <w:top w:val="single" w:sz="4" w:space="0" w:color="939598"/>
              <w:bottom w:val="single" w:sz="4" w:space="0" w:color="939598"/>
            </w:tcBorders>
            <w:shd w:val="clear" w:color="auto" w:fill="D9D9D9" w:themeFill="background1" w:themeFillShade="D9"/>
          </w:tcPr>
          <w:p w14:paraId="5B1E6195" w14:textId="2DCD0F62" w:rsidR="001B30DF" w:rsidRPr="001B30DF" w:rsidRDefault="001B30DF" w:rsidP="001B30DF">
            <w:pPr>
              <w:pStyle w:val="Table"/>
              <w:spacing w:before="100" w:after="100"/>
              <w:rPr>
                <w:b/>
              </w:rPr>
            </w:pPr>
            <w:r w:rsidRPr="001B30DF">
              <w:rPr>
                <w:rFonts w:cs="Arial"/>
                <w:b/>
              </w:rPr>
              <w:t>DECLINE IN VALUE (DEPRECIATION)</w:t>
            </w:r>
            <w:r w:rsidRPr="001B30DF">
              <w:rPr>
                <w:b/>
              </w:rPr>
              <w:t xml:space="preserve"> </w:t>
            </w:r>
            <w:r>
              <w:rPr>
                <w:b/>
              </w:rPr>
              <w:t>(continued)</w:t>
            </w:r>
          </w:p>
        </w:tc>
      </w:tr>
      <w:tr w:rsidR="001B30DF" w:rsidRPr="00FC3B3B" w14:paraId="2399630A" w14:textId="77777777" w:rsidTr="001B30DF">
        <w:tc>
          <w:tcPr>
            <w:tcW w:w="4007" w:type="pct"/>
            <w:tcBorders>
              <w:top w:val="single" w:sz="4" w:space="0" w:color="939598"/>
              <w:left w:val="single" w:sz="4" w:space="0" w:color="939598"/>
              <w:bottom w:val="single" w:sz="4" w:space="0" w:color="939598"/>
              <w:right w:val="single" w:sz="4" w:space="0" w:color="939598"/>
            </w:tcBorders>
          </w:tcPr>
          <w:p w14:paraId="498664F0" w14:textId="77777777" w:rsidR="001B30DF" w:rsidRPr="009E39EA" w:rsidRDefault="001B30DF" w:rsidP="001B30DF">
            <w:pPr>
              <w:pStyle w:val="Table"/>
              <w:spacing w:before="100" w:after="100"/>
            </w:pPr>
            <w:r>
              <w:t xml:space="preserve">Is the 2018 closing balance of the low value pool of an SBE taxpayer’s depreciating assets less than $20,000 as that balance can be immediately written off? </w:t>
            </w:r>
          </w:p>
          <w:p w14:paraId="43DB368F" w14:textId="77777777" w:rsidR="001B30DF" w:rsidRPr="009E39EA" w:rsidRDefault="001B30DF" w:rsidP="001B30DF">
            <w:pPr>
              <w:pStyle w:val="Table"/>
              <w:spacing w:before="100" w:after="100"/>
            </w:pPr>
            <w:r>
              <w:t xml:space="preserve">Have assets costing more than $20,000, acquired during the 2018 year, been depreciated as an addition to the SBE’s general small business pool at 15% (regardless of the date of acquisition) if used or installed ready for use by 30 June 2018 (and at 30% in subsequent years)? </w:t>
            </w:r>
            <w:r w:rsidRPr="009E39EA">
              <w:t xml:space="preserve">The opening balance of </w:t>
            </w:r>
            <w:r>
              <w:t xml:space="preserve">prior year </w:t>
            </w:r>
            <w:r w:rsidRPr="009E39EA">
              <w:t xml:space="preserve">pooled assets is similarly depreciated at 30%.    </w:t>
            </w:r>
          </w:p>
          <w:p w14:paraId="755C90AA" w14:textId="4BC8F0F4" w:rsidR="001B30DF" w:rsidRDefault="001B30DF" w:rsidP="001B30DF">
            <w:pPr>
              <w:pStyle w:val="Table"/>
              <w:spacing w:before="100" w:after="100"/>
            </w:pPr>
            <w:r w:rsidRPr="00211718">
              <w:rPr>
                <w:b/>
                <w:sz w:val="15"/>
                <w:szCs w:val="15"/>
              </w:rPr>
              <w:t>Note</w:t>
            </w:r>
            <w:r w:rsidRPr="00211718">
              <w:rPr>
                <w:sz w:val="15"/>
                <w:szCs w:val="15"/>
              </w:rPr>
              <w:t>: the Federal Government proposed in the 2017-18 Federal Budget on 8 May 2018 to extend the $20,000 threshold applied under the small business entity depreciation rules for a further 12 months until 30 June 2019. Accordingly, small business entities will be able to, amongst other things, claim an immediate deduction for eligible depreciating assets that cost less than $20.000 if used or installed ready for use by 30 June 2019 should this proposal be enacted</w:t>
            </w:r>
            <w:r>
              <w:rPr>
                <w:sz w:val="14"/>
                <w:szCs w:val="14"/>
              </w:rPr>
              <w:t>.</w:t>
            </w:r>
          </w:p>
        </w:tc>
        <w:tc>
          <w:tcPr>
            <w:tcW w:w="352" w:type="pct"/>
            <w:tcBorders>
              <w:top w:val="single" w:sz="4" w:space="0" w:color="939598"/>
              <w:left w:val="single" w:sz="4" w:space="0" w:color="939598"/>
              <w:bottom w:val="single" w:sz="4" w:space="0" w:color="939598"/>
              <w:right w:val="single" w:sz="4" w:space="0" w:color="939598"/>
            </w:tcBorders>
          </w:tcPr>
          <w:p w14:paraId="7B26B0C8" w14:textId="77777777" w:rsidR="001B30DF" w:rsidRPr="00FC3B3B" w:rsidRDefault="001B30DF" w:rsidP="001B30DF">
            <w:pPr>
              <w:pStyle w:val="Table"/>
              <w:spacing w:before="100" w:after="100"/>
            </w:pPr>
          </w:p>
        </w:tc>
        <w:tc>
          <w:tcPr>
            <w:tcW w:w="281" w:type="pct"/>
            <w:tcBorders>
              <w:top w:val="single" w:sz="4" w:space="0" w:color="939598"/>
              <w:left w:val="single" w:sz="4" w:space="0" w:color="939598"/>
              <w:bottom w:val="single" w:sz="4" w:space="0" w:color="939598"/>
              <w:right w:val="single" w:sz="4" w:space="0" w:color="939598"/>
            </w:tcBorders>
          </w:tcPr>
          <w:p w14:paraId="1658DF92" w14:textId="77777777" w:rsidR="001B30DF" w:rsidRPr="00FC3B3B" w:rsidRDefault="001B30DF" w:rsidP="001B30DF">
            <w:pPr>
              <w:pStyle w:val="Table"/>
              <w:spacing w:before="100" w:after="100"/>
            </w:pPr>
          </w:p>
        </w:tc>
        <w:tc>
          <w:tcPr>
            <w:tcW w:w="360" w:type="pct"/>
            <w:tcBorders>
              <w:top w:val="single" w:sz="4" w:space="0" w:color="939598"/>
              <w:left w:val="single" w:sz="4" w:space="0" w:color="939598"/>
              <w:bottom w:val="single" w:sz="4" w:space="0" w:color="939598"/>
              <w:right w:val="single" w:sz="4" w:space="0" w:color="939598"/>
            </w:tcBorders>
          </w:tcPr>
          <w:p w14:paraId="6A85A1B4" w14:textId="77777777" w:rsidR="001B30DF" w:rsidRPr="00FC3B3B" w:rsidRDefault="001B30DF" w:rsidP="001B30DF">
            <w:pPr>
              <w:pStyle w:val="Table"/>
              <w:spacing w:before="100" w:after="100"/>
            </w:pPr>
          </w:p>
        </w:tc>
      </w:tr>
      <w:tr w:rsidR="001B30DF" w:rsidRPr="00FC3B3B" w14:paraId="3D8C8C51" w14:textId="77777777" w:rsidTr="001B30DF">
        <w:tc>
          <w:tcPr>
            <w:tcW w:w="4007" w:type="pct"/>
            <w:tcBorders>
              <w:top w:val="single" w:sz="4" w:space="0" w:color="939598"/>
              <w:left w:val="single" w:sz="4" w:space="0" w:color="939598"/>
              <w:bottom w:val="single" w:sz="4" w:space="0" w:color="939598"/>
              <w:right w:val="single" w:sz="4" w:space="0" w:color="939598"/>
            </w:tcBorders>
          </w:tcPr>
          <w:p w14:paraId="3650EE32" w14:textId="77777777" w:rsidR="001B30DF" w:rsidRDefault="001B30DF" w:rsidP="001B30DF">
            <w:pPr>
              <w:spacing w:before="100" w:after="100"/>
              <w:rPr>
                <w:sz w:val="17"/>
                <w:szCs w:val="17"/>
              </w:rPr>
            </w:pPr>
            <w:r w:rsidRPr="00385822">
              <w:rPr>
                <w:sz w:val="17"/>
                <w:szCs w:val="17"/>
              </w:rPr>
              <w:t xml:space="preserve">For companies that are not small business entities, have </w:t>
            </w:r>
            <w:r>
              <w:rPr>
                <w:sz w:val="17"/>
                <w:szCs w:val="17"/>
              </w:rPr>
              <w:t xml:space="preserve">depreciating </w:t>
            </w:r>
            <w:r w:rsidRPr="00385822">
              <w:rPr>
                <w:sz w:val="17"/>
                <w:szCs w:val="17"/>
              </w:rPr>
              <w:t xml:space="preserve">assets costing less than $1,000 been included in a low-value depreciation pool? </w:t>
            </w:r>
          </w:p>
          <w:p w14:paraId="59CED066" w14:textId="0D205CB8" w:rsidR="001B30DF" w:rsidRPr="00211718" w:rsidRDefault="001B30DF" w:rsidP="001B30DF">
            <w:pPr>
              <w:spacing w:before="100" w:after="100"/>
              <w:rPr>
                <w:sz w:val="15"/>
                <w:szCs w:val="15"/>
              </w:rPr>
            </w:pPr>
            <w:r w:rsidRPr="00211718">
              <w:rPr>
                <w:b/>
                <w:sz w:val="15"/>
                <w:szCs w:val="15"/>
              </w:rPr>
              <w:t>Note</w:t>
            </w:r>
            <w:r w:rsidRPr="00211718">
              <w:rPr>
                <w:sz w:val="15"/>
                <w:szCs w:val="15"/>
              </w:rPr>
              <w:t>: the depreciation rate for such low-cost assets is 18.75% in the year of addition and 37.5% in subsequent years.</w:t>
            </w:r>
          </w:p>
          <w:p w14:paraId="47A6DA27" w14:textId="77777777" w:rsidR="001B30DF" w:rsidRPr="00211718" w:rsidRDefault="001B30DF" w:rsidP="001B30DF">
            <w:pPr>
              <w:spacing w:before="100" w:after="100"/>
              <w:rPr>
                <w:sz w:val="15"/>
                <w:szCs w:val="15"/>
              </w:rPr>
            </w:pPr>
            <w:r w:rsidRPr="00211718">
              <w:rPr>
                <w:b/>
                <w:sz w:val="15"/>
                <w:szCs w:val="15"/>
              </w:rPr>
              <w:t>Note:</w:t>
            </w:r>
            <w:r w:rsidRPr="00211718">
              <w:rPr>
                <w:sz w:val="15"/>
                <w:szCs w:val="15"/>
              </w:rPr>
              <w:t xml:space="preserve"> once a non-SBE taxpayer has allocated a low-cost asset to a low-value pool all low-cost assets subsequently acquired must be allocated to that pool.</w:t>
            </w:r>
          </w:p>
          <w:p w14:paraId="07D7452A" w14:textId="16288E2E" w:rsidR="001B30DF" w:rsidRDefault="001B30DF" w:rsidP="001B30DF">
            <w:pPr>
              <w:spacing w:before="100" w:after="100"/>
              <w:rPr>
                <w:sz w:val="17"/>
                <w:szCs w:val="17"/>
              </w:rPr>
            </w:pPr>
            <w:r>
              <w:rPr>
                <w:sz w:val="17"/>
                <w:szCs w:val="17"/>
              </w:rPr>
              <w:t xml:space="preserve">Have </w:t>
            </w:r>
            <w:r w:rsidRPr="00385822">
              <w:rPr>
                <w:sz w:val="17"/>
                <w:szCs w:val="17"/>
              </w:rPr>
              <w:t>low-value</w:t>
            </w:r>
            <w:r>
              <w:rPr>
                <w:sz w:val="17"/>
                <w:szCs w:val="17"/>
              </w:rPr>
              <w:t xml:space="preserve"> depreciating</w:t>
            </w:r>
            <w:r w:rsidRPr="00385822">
              <w:rPr>
                <w:sz w:val="16"/>
                <w:szCs w:val="16"/>
              </w:rPr>
              <w:t xml:space="preserve"> </w:t>
            </w:r>
            <w:r w:rsidRPr="00385822">
              <w:rPr>
                <w:sz w:val="17"/>
                <w:szCs w:val="17"/>
              </w:rPr>
              <w:t>assets which have been written off to less than $1,000 under the diminishing value method</w:t>
            </w:r>
            <w:r>
              <w:rPr>
                <w:sz w:val="17"/>
                <w:szCs w:val="17"/>
              </w:rPr>
              <w:t xml:space="preserve"> as at 1 July 2017 also been included in this pool? </w:t>
            </w:r>
          </w:p>
          <w:p w14:paraId="6885102E" w14:textId="1D787A05" w:rsidR="001B30DF" w:rsidRPr="00211718" w:rsidRDefault="001B30DF" w:rsidP="001B30DF">
            <w:pPr>
              <w:spacing w:before="100" w:after="100"/>
              <w:rPr>
                <w:sz w:val="15"/>
                <w:szCs w:val="15"/>
              </w:rPr>
            </w:pPr>
            <w:r w:rsidRPr="00211718">
              <w:rPr>
                <w:b/>
                <w:sz w:val="15"/>
                <w:szCs w:val="15"/>
              </w:rPr>
              <w:t>Note</w:t>
            </w:r>
            <w:r w:rsidRPr="00211718">
              <w:rPr>
                <w:sz w:val="15"/>
                <w:szCs w:val="15"/>
              </w:rPr>
              <w:t>: the depreciation rate for low-value assets added to the pool is essentially 37.5% of the opening adjustable value of such assets at the start of the year when th</w:t>
            </w:r>
            <w:r>
              <w:rPr>
                <w:sz w:val="15"/>
                <w:szCs w:val="15"/>
              </w:rPr>
              <w:t>ey are allocated to the pool.</w:t>
            </w:r>
          </w:p>
          <w:p w14:paraId="30CF4B7D" w14:textId="77ACF696" w:rsidR="001B30DF" w:rsidRPr="00211718" w:rsidRDefault="001B30DF" w:rsidP="001B30DF">
            <w:pPr>
              <w:pStyle w:val="Table"/>
              <w:spacing w:before="100" w:after="100"/>
              <w:rPr>
                <w:sz w:val="15"/>
                <w:szCs w:val="15"/>
              </w:rPr>
            </w:pPr>
            <w:r w:rsidRPr="00211718">
              <w:rPr>
                <w:b/>
                <w:sz w:val="15"/>
                <w:szCs w:val="15"/>
              </w:rPr>
              <w:t>Note:</w:t>
            </w:r>
            <w:r w:rsidRPr="00211718">
              <w:rPr>
                <w:sz w:val="15"/>
                <w:szCs w:val="15"/>
              </w:rPr>
              <w:t xml:space="preserve"> certain depreciating assets cannot be pooled, including non-business assets costing $300 or less, certain portable electronic devices, horticultural plants, assets previously depreciated under the prime cost method and assets subject to the small business entity capital allowance rules.    </w:t>
            </w:r>
          </w:p>
          <w:p w14:paraId="1B8FD766" w14:textId="7A3E45D2" w:rsidR="001B30DF" w:rsidRPr="00FC3B3B" w:rsidRDefault="001B30DF" w:rsidP="001B30DF">
            <w:pPr>
              <w:pStyle w:val="Table"/>
              <w:spacing w:before="100" w:after="100"/>
            </w:pPr>
            <w:r w:rsidRPr="00211718">
              <w:rPr>
                <w:b/>
                <w:sz w:val="15"/>
                <w:szCs w:val="15"/>
              </w:rPr>
              <w:t>Note:</w:t>
            </w:r>
            <w:r w:rsidRPr="00211718">
              <w:rPr>
                <w:sz w:val="15"/>
                <w:szCs w:val="15"/>
              </w:rPr>
              <w:t xml:space="preserve"> a deduction for the decline in value is only available to the extent of the taxable percentage use of any pooled depreciating assets</w:t>
            </w:r>
            <w:r>
              <w:rPr>
                <w:sz w:val="14"/>
                <w:szCs w:val="14"/>
              </w:rPr>
              <w:t>.</w:t>
            </w:r>
          </w:p>
        </w:tc>
        <w:tc>
          <w:tcPr>
            <w:tcW w:w="352" w:type="pct"/>
            <w:tcBorders>
              <w:top w:val="single" w:sz="4" w:space="0" w:color="939598"/>
              <w:left w:val="single" w:sz="4" w:space="0" w:color="939598"/>
              <w:bottom w:val="single" w:sz="4" w:space="0" w:color="939598"/>
              <w:right w:val="single" w:sz="4" w:space="0" w:color="939598"/>
            </w:tcBorders>
          </w:tcPr>
          <w:p w14:paraId="7847277D" w14:textId="77777777" w:rsidR="001B30DF" w:rsidRPr="00FC3B3B" w:rsidRDefault="001B30DF" w:rsidP="001B30DF">
            <w:pPr>
              <w:pStyle w:val="Table"/>
              <w:spacing w:before="100" w:after="100"/>
            </w:pPr>
          </w:p>
        </w:tc>
        <w:tc>
          <w:tcPr>
            <w:tcW w:w="281" w:type="pct"/>
            <w:tcBorders>
              <w:top w:val="single" w:sz="4" w:space="0" w:color="939598"/>
              <w:left w:val="single" w:sz="4" w:space="0" w:color="939598"/>
              <w:bottom w:val="single" w:sz="4" w:space="0" w:color="939598"/>
              <w:right w:val="single" w:sz="4" w:space="0" w:color="939598"/>
            </w:tcBorders>
          </w:tcPr>
          <w:p w14:paraId="5CC2D288" w14:textId="77777777" w:rsidR="001B30DF" w:rsidRPr="00FC3B3B" w:rsidRDefault="001B30DF" w:rsidP="001B30DF">
            <w:pPr>
              <w:pStyle w:val="Table"/>
              <w:spacing w:before="100" w:after="100"/>
            </w:pPr>
          </w:p>
        </w:tc>
        <w:tc>
          <w:tcPr>
            <w:tcW w:w="360" w:type="pct"/>
            <w:tcBorders>
              <w:top w:val="single" w:sz="4" w:space="0" w:color="939598"/>
              <w:left w:val="single" w:sz="4" w:space="0" w:color="939598"/>
              <w:bottom w:val="single" w:sz="4" w:space="0" w:color="939598"/>
              <w:right w:val="single" w:sz="4" w:space="0" w:color="939598"/>
            </w:tcBorders>
          </w:tcPr>
          <w:p w14:paraId="39138971" w14:textId="77777777" w:rsidR="001B30DF" w:rsidRPr="00FC3B3B" w:rsidRDefault="001B30DF" w:rsidP="001B30DF">
            <w:pPr>
              <w:pStyle w:val="Table"/>
              <w:spacing w:before="100" w:after="100"/>
            </w:pPr>
          </w:p>
        </w:tc>
      </w:tr>
      <w:tr w:rsidR="001B30DF" w:rsidRPr="00FC3B3B" w14:paraId="30966058" w14:textId="77777777" w:rsidTr="001B30DF">
        <w:tc>
          <w:tcPr>
            <w:tcW w:w="4007" w:type="pct"/>
            <w:tcBorders>
              <w:top w:val="single" w:sz="4" w:space="0" w:color="939598"/>
              <w:left w:val="single" w:sz="4" w:space="0" w:color="939598"/>
              <w:bottom w:val="single" w:sz="4" w:space="0" w:color="939598"/>
              <w:right w:val="single" w:sz="4" w:space="0" w:color="939598"/>
            </w:tcBorders>
          </w:tcPr>
          <w:p w14:paraId="53EFD837" w14:textId="649F39A6" w:rsidR="001B30DF" w:rsidRPr="00663916" w:rsidRDefault="001B30DF" w:rsidP="001B30DF">
            <w:pPr>
              <w:spacing w:before="100" w:after="100"/>
              <w:rPr>
                <w:sz w:val="17"/>
                <w:szCs w:val="17"/>
              </w:rPr>
            </w:pPr>
            <w:r>
              <w:rPr>
                <w:sz w:val="17"/>
                <w:szCs w:val="17"/>
              </w:rPr>
              <w:t xml:space="preserve">Has the company allocated </w:t>
            </w:r>
            <w:r w:rsidRPr="00663916">
              <w:rPr>
                <w:sz w:val="17"/>
                <w:szCs w:val="17"/>
              </w:rPr>
              <w:t xml:space="preserve">expenditure incurred on the development of in-house software </w:t>
            </w:r>
            <w:r>
              <w:rPr>
                <w:sz w:val="17"/>
                <w:szCs w:val="17"/>
              </w:rPr>
              <w:t xml:space="preserve">which is used solely for a taxable purpose to a </w:t>
            </w:r>
            <w:r w:rsidRPr="00663916">
              <w:rPr>
                <w:sz w:val="17"/>
                <w:szCs w:val="17"/>
              </w:rPr>
              <w:t xml:space="preserve">software development pool rather than wait until </w:t>
            </w:r>
            <w:r>
              <w:rPr>
                <w:sz w:val="17"/>
                <w:szCs w:val="17"/>
              </w:rPr>
              <w:t>the</w:t>
            </w:r>
            <w:r w:rsidRPr="00663916">
              <w:rPr>
                <w:sz w:val="17"/>
                <w:szCs w:val="17"/>
              </w:rPr>
              <w:t xml:space="preserve"> software is created </w:t>
            </w:r>
            <w:r>
              <w:rPr>
                <w:sz w:val="17"/>
                <w:szCs w:val="17"/>
              </w:rPr>
              <w:t xml:space="preserve">and </w:t>
            </w:r>
            <w:r w:rsidRPr="00663916">
              <w:rPr>
                <w:sz w:val="17"/>
                <w:szCs w:val="17"/>
              </w:rPr>
              <w:t>used or held ready for use</w:t>
            </w:r>
            <w:r>
              <w:rPr>
                <w:sz w:val="17"/>
                <w:szCs w:val="17"/>
              </w:rPr>
              <w:t xml:space="preserve"> as a depreciating asset</w:t>
            </w:r>
            <w:r w:rsidRPr="00663916">
              <w:rPr>
                <w:sz w:val="17"/>
                <w:szCs w:val="17"/>
              </w:rPr>
              <w:t>.</w:t>
            </w:r>
          </w:p>
          <w:p w14:paraId="33469930" w14:textId="44A57511" w:rsidR="001B30DF" w:rsidRPr="00211718" w:rsidRDefault="001B30DF" w:rsidP="001B30DF">
            <w:pPr>
              <w:spacing w:before="100" w:after="100"/>
              <w:rPr>
                <w:sz w:val="15"/>
                <w:szCs w:val="15"/>
              </w:rPr>
            </w:pPr>
            <w:r w:rsidRPr="00211718">
              <w:rPr>
                <w:b/>
                <w:sz w:val="15"/>
                <w:szCs w:val="15"/>
              </w:rPr>
              <w:t>Note</w:t>
            </w:r>
            <w:r w:rsidRPr="00211718">
              <w:rPr>
                <w:sz w:val="15"/>
                <w:szCs w:val="15"/>
              </w:rPr>
              <w:t>: taxpayers are required to create a separate software development pool for each income year for which they incur expenditure on in-house software. Where such expenditure is incurred on or after 1 July 2015</w:t>
            </w:r>
            <w:r>
              <w:rPr>
                <w:sz w:val="15"/>
                <w:szCs w:val="15"/>
              </w:rPr>
              <w:t>,</w:t>
            </w:r>
            <w:r w:rsidRPr="00211718">
              <w:rPr>
                <w:sz w:val="15"/>
                <w:szCs w:val="15"/>
              </w:rPr>
              <w:t xml:space="preserve"> no deduction can be claimed in the first year the expenditure is incurred but such costs will be deductible at a rate of 30% in years </w:t>
            </w:r>
            <w:r>
              <w:rPr>
                <w:sz w:val="15"/>
                <w:szCs w:val="15"/>
              </w:rPr>
              <w:t>two</w:t>
            </w:r>
            <w:r w:rsidRPr="00211718">
              <w:rPr>
                <w:sz w:val="15"/>
                <w:szCs w:val="15"/>
              </w:rPr>
              <w:t xml:space="preserve"> to </w:t>
            </w:r>
            <w:r>
              <w:rPr>
                <w:sz w:val="15"/>
                <w:szCs w:val="15"/>
              </w:rPr>
              <w:t>four and a rate of 10% in year five.</w:t>
            </w:r>
            <w:r w:rsidRPr="00211718">
              <w:rPr>
                <w:sz w:val="15"/>
                <w:szCs w:val="15"/>
              </w:rPr>
              <w:t xml:space="preserve"> </w:t>
            </w:r>
          </w:p>
        </w:tc>
        <w:tc>
          <w:tcPr>
            <w:tcW w:w="352" w:type="pct"/>
            <w:tcBorders>
              <w:top w:val="single" w:sz="4" w:space="0" w:color="939598"/>
              <w:left w:val="single" w:sz="4" w:space="0" w:color="939598"/>
              <w:bottom w:val="single" w:sz="4" w:space="0" w:color="939598"/>
              <w:right w:val="single" w:sz="4" w:space="0" w:color="939598"/>
            </w:tcBorders>
          </w:tcPr>
          <w:p w14:paraId="366F8CCC" w14:textId="77777777" w:rsidR="001B30DF" w:rsidRPr="00FC3B3B" w:rsidRDefault="001B30DF" w:rsidP="001B30DF">
            <w:pPr>
              <w:pStyle w:val="Table"/>
              <w:spacing w:before="100" w:after="100"/>
            </w:pPr>
          </w:p>
        </w:tc>
        <w:tc>
          <w:tcPr>
            <w:tcW w:w="281" w:type="pct"/>
            <w:tcBorders>
              <w:top w:val="single" w:sz="4" w:space="0" w:color="939598"/>
              <w:left w:val="single" w:sz="4" w:space="0" w:color="939598"/>
              <w:bottom w:val="single" w:sz="4" w:space="0" w:color="939598"/>
              <w:right w:val="single" w:sz="4" w:space="0" w:color="939598"/>
            </w:tcBorders>
          </w:tcPr>
          <w:p w14:paraId="70793716" w14:textId="77777777" w:rsidR="001B30DF" w:rsidRPr="00FC3B3B" w:rsidRDefault="001B30DF" w:rsidP="001B30DF">
            <w:pPr>
              <w:pStyle w:val="Table"/>
              <w:spacing w:before="100" w:after="100"/>
            </w:pPr>
          </w:p>
        </w:tc>
        <w:tc>
          <w:tcPr>
            <w:tcW w:w="360" w:type="pct"/>
            <w:tcBorders>
              <w:top w:val="single" w:sz="4" w:space="0" w:color="939598"/>
              <w:left w:val="single" w:sz="4" w:space="0" w:color="939598"/>
              <w:bottom w:val="single" w:sz="4" w:space="0" w:color="939598"/>
              <w:right w:val="single" w:sz="4" w:space="0" w:color="939598"/>
            </w:tcBorders>
          </w:tcPr>
          <w:p w14:paraId="7543440B" w14:textId="77777777" w:rsidR="001B30DF" w:rsidRPr="00FC3B3B" w:rsidRDefault="001B30DF" w:rsidP="001B30DF">
            <w:pPr>
              <w:pStyle w:val="Table"/>
              <w:spacing w:before="100" w:after="100"/>
            </w:pPr>
          </w:p>
        </w:tc>
      </w:tr>
      <w:tr w:rsidR="001B30DF" w:rsidRPr="00FC3B3B" w14:paraId="63424838" w14:textId="77777777" w:rsidTr="001B30DF">
        <w:tc>
          <w:tcPr>
            <w:tcW w:w="4007" w:type="pct"/>
            <w:tcBorders>
              <w:top w:val="single" w:sz="4" w:space="0" w:color="939598"/>
              <w:left w:val="single" w:sz="4" w:space="0" w:color="939598"/>
              <w:bottom w:val="single" w:sz="4" w:space="0" w:color="939598"/>
              <w:right w:val="single" w:sz="4" w:space="0" w:color="939598"/>
            </w:tcBorders>
          </w:tcPr>
          <w:p w14:paraId="13FADDAC" w14:textId="77777777" w:rsidR="001B30DF" w:rsidRDefault="001B30DF" w:rsidP="001B30DF">
            <w:pPr>
              <w:spacing w:before="100" w:after="100"/>
              <w:rPr>
                <w:sz w:val="17"/>
                <w:szCs w:val="17"/>
              </w:rPr>
            </w:pPr>
            <w:r>
              <w:rPr>
                <w:sz w:val="17"/>
                <w:szCs w:val="17"/>
              </w:rPr>
              <w:t>Have the black</w:t>
            </w:r>
            <w:r w:rsidRPr="00385822">
              <w:rPr>
                <w:sz w:val="17"/>
                <w:szCs w:val="17"/>
              </w:rPr>
              <w:t xml:space="preserve">hole expenditure rules in section 40-880 been considered in respect of any business capital expenditure incurred during the year? </w:t>
            </w:r>
          </w:p>
          <w:p w14:paraId="1A16D0D3" w14:textId="1685370A" w:rsidR="001B30DF" w:rsidRDefault="00AB32AB" w:rsidP="001B30DF">
            <w:pPr>
              <w:spacing w:before="100" w:after="100"/>
              <w:rPr>
                <w:sz w:val="17"/>
                <w:szCs w:val="17"/>
              </w:rPr>
            </w:pPr>
            <w:r>
              <w:rPr>
                <w:sz w:val="17"/>
                <w:szCs w:val="17"/>
              </w:rPr>
              <w:t>S</w:t>
            </w:r>
            <w:r w:rsidR="001B30DF" w:rsidRPr="00385822">
              <w:rPr>
                <w:sz w:val="17"/>
                <w:szCs w:val="17"/>
              </w:rPr>
              <w:t xml:space="preserve">uch expenditure may be regarded as eligible blackhole expenditure where it is not deductible, depreciable or included in the cost base of a CGT asset. Eligible blackhole expenditure is deductible over </w:t>
            </w:r>
            <w:r w:rsidR="001B30DF">
              <w:rPr>
                <w:sz w:val="17"/>
                <w:szCs w:val="17"/>
              </w:rPr>
              <w:t>five</w:t>
            </w:r>
            <w:r w:rsidR="001B30DF" w:rsidRPr="00385822">
              <w:rPr>
                <w:sz w:val="17"/>
                <w:szCs w:val="17"/>
              </w:rPr>
              <w:t xml:space="preserve"> years in equal proportions (and there is no pro-rating of the deduction in the year the expenditure is incurred by the taxpayer).</w:t>
            </w:r>
          </w:p>
          <w:p w14:paraId="559A397D" w14:textId="77777777" w:rsidR="001B30DF" w:rsidRPr="00E96509" w:rsidRDefault="001B30DF" w:rsidP="001B30DF">
            <w:pPr>
              <w:spacing w:before="100" w:after="100"/>
              <w:rPr>
                <w:b/>
                <w:sz w:val="14"/>
                <w:szCs w:val="14"/>
              </w:rPr>
            </w:pPr>
            <w:r w:rsidRPr="00E96509">
              <w:rPr>
                <w:sz w:val="17"/>
                <w:szCs w:val="17"/>
              </w:rPr>
              <w:t xml:space="preserve">It may be available in relation to the taxpayer’s business or in respect of a former business that used to be carried on or in respect of a business that is proposed to be carried on provided there is a sufficient and relevant connection between the expenditure incurred and the business carried on (see </w:t>
            </w:r>
            <w:r w:rsidRPr="00E96509">
              <w:rPr>
                <w:i/>
                <w:sz w:val="17"/>
                <w:szCs w:val="17"/>
              </w:rPr>
              <w:t>Taxation Ruling TR 2011/6</w:t>
            </w:r>
            <w:r w:rsidRPr="00E96509">
              <w:rPr>
                <w:sz w:val="17"/>
                <w:szCs w:val="17"/>
              </w:rPr>
              <w:t xml:space="preserve">). </w:t>
            </w:r>
          </w:p>
          <w:p w14:paraId="6C408231" w14:textId="77777777" w:rsidR="001B30DF" w:rsidRPr="00211718" w:rsidRDefault="001B30DF" w:rsidP="001B30DF">
            <w:pPr>
              <w:pStyle w:val="Table"/>
              <w:spacing w:before="100" w:after="100"/>
              <w:rPr>
                <w:sz w:val="15"/>
                <w:szCs w:val="15"/>
              </w:rPr>
            </w:pPr>
            <w:r w:rsidRPr="00211718">
              <w:rPr>
                <w:b/>
                <w:sz w:val="15"/>
                <w:szCs w:val="15"/>
              </w:rPr>
              <w:t xml:space="preserve">Note: </w:t>
            </w:r>
            <w:r w:rsidRPr="00211718">
              <w:rPr>
                <w:sz w:val="15"/>
                <w:szCs w:val="15"/>
              </w:rPr>
              <w:t>section 40-880(5) also provides that no deduction is available under the blackhole deductibility rules where, amongst other things, the expenditure</w:t>
            </w:r>
            <w:r w:rsidRPr="00211718">
              <w:rPr>
                <w:b/>
                <w:sz w:val="15"/>
                <w:szCs w:val="15"/>
              </w:rPr>
              <w:t xml:space="preserve"> </w:t>
            </w:r>
            <w:r w:rsidRPr="00211718">
              <w:rPr>
                <w:sz w:val="15"/>
                <w:szCs w:val="15"/>
              </w:rPr>
              <w:t xml:space="preserve">forms part of the cost of land or depreciating asset; it would be taken into account in working out an assessable profit, a deductible loss, a capital gain or a capital loss; it relates to a lease or other legal or equitable right; or if it is deductible under another provision of the income tax assessment acts.   </w:t>
            </w:r>
          </w:p>
          <w:p w14:paraId="7855F11C" w14:textId="464AEE9A" w:rsidR="001B30DF" w:rsidRPr="00FC3B3B" w:rsidRDefault="001B30DF" w:rsidP="001B30DF">
            <w:pPr>
              <w:pStyle w:val="Table"/>
              <w:spacing w:before="100" w:after="100"/>
            </w:pPr>
            <w:r w:rsidRPr="00211718">
              <w:rPr>
                <w:b/>
                <w:sz w:val="15"/>
                <w:szCs w:val="15"/>
              </w:rPr>
              <w:t xml:space="preserve">Note: </w:t>
            </w:r>
            <w:r w:rsidR="00AB32AB">
              <w:rPr>
                <w:sz w:val="15"/>
                <w:szCs w:val="15"/>
              </w:rPr>
              <w:t>t</w:t>
            </w:r>
            <w:r w:rsidRPr="00211718">
              <w:rPr>
                <w:sz w:val="15"/>
                <w:szCs w:val="15"/>
              </w:rPr>
              <w:t>here is a 100% immediate write off available to an SBE for capital expenditure incurred in relation to a proposed business structure or operation where the costs are incurred on or after 1 July 2015 by an SBE that is not carrying on a business in that income year. Eligible start-up costs which can be written off include, amongst others, legal and accounting advice on how the business can best be structured and implemented.</w:t>
            </w:r>
            <w:r>
              <w:rPr>
                <w:sz w:val="14"/>
                <w:szCs w:val="14"/>
              </w:rPr>
              <w:t xml:space="preserve">  </w:t>
            </w:r>
          </w:p>
        </w:tc>
        <w:tc>
          <w:tcPr>
            <w:tcW w:w="352" w:type="pct"/>
            <w:tcBorders>
              <w:top w:val="single" w:sz="4" w:space="0" w:color="939598"/>
              <w:left w:val="single" w:sz="4" w:space="0" w:color="939598"/>
              <w:bottom w:val="single" w:sz="4" w:space="0" w:color="939598"/>
              <w:right w:val="single" w:sz="4" w:space="0" w:color="939598"/>
            </w:tcBorders>
          </w:tcPr>
          <w:p w14:paraId="140FC3CC" w14:textId="77777777" w:rsidR="001B30DF" w:rsidRPr="00FC3B3B" w:rsidRDefault="001B30DF" w:rsidP="001B30DF">
            <w:pPr>
              <w:pStyle w:val="Table"/>
              <w:spacing w:before="100" w:after="100"/>
            </w:pPr>
          </w:p>
        </w:tc>
        <w:tc>
          <w:tcPr>
            <w:tcW w:w="281" w:type="pct"/>
            <w:tcBorders>
              <w:top w:val="single" w:sz="4" w:space="0" w:color="939598"/>
              <w:left w:val="single" w:sz="4" w:space="0" w:color="939598"/>
              <w:bottom w:val="single" w:sz="4" w:space="0" w:color="939598"/>
              <w:right w:val="single" w:sz="4" w:space="0" w:color="939598"/>
            </w:tcBorders>
          </w:tcPr>
          <w:p w14:paraId="3BD73011" w14:textId="77777777" w:rsidR="001B30DF" w:rsidRPr="00FC3B3B" w:rsidRDefault="001B30DF" w:rsidP="001B30DF">
            <w:pPr>
              <w:pStyle w:val="Table"/>
              <w:spacing w:before="100" w:after="100"/>
            </w:pPr>
          </w:p>
        </w:tc>
        <w:tc>
          <w:tcPr>
            <w:tcW w:w="360" w:type="pct"/>
            <w:tcBorders>
              <w:top w:val="single" w:sz="4" w:space="0" w:color="939598"/>
              <w:left w:val="single" w:sz="4" w:space="0" w:color="939598"/>
              <w:bottom w:val="single" w:sz="4" w:space="0" w:color="939598"/>
              <w:right w:val="single" w:sz="4" w:space="0" w:color="939598"/>
            </w:tcBorders>
          </w:tcPr>
          <w:p w14:paraId="495BD68A" w14:textId="77777777" w:rsidR="001B30DF" w:rsidRPr="00FC3B3B" w:rsidRDefault="001B30DF" w:rsidP="001B30DF">
            <w:pPr>
              <w:pStyle w:val="Table"/>
              <w:spacing w:before="100" w:after="100"/>
            </w:pPr>
          </w:p>
        </w:tc>
      </w:tr>
      <w:tr w:rsidR="001B30DF" w:rsidRPr="00FC3B3B" w14:paraId="330CABE8" w14:textId="77777777" w:rsidTr="001B30DF">
        <w:tc>
          <w:tcPr>
            <w:tcW w:w="4007" w:type="pct"/>
            <w:tcBorders>
              <w:top w:val="single" w:sz="4" w:space="0" w:color="939598"/>
              <w:left w:val="single" w:sz="4" w:space="0" w:color="939598"/>
              <w:bottom w:val="single" w:sz="4" w:space="0" w:color="939598"/>
              <w:right w:val="single" w:sz="4" w:space="0" w:color="939598"/>
            </w:tcBorders>
          </w:tcPr>
          <w:p w14:paraId="00D96F41" w14:textId="00723818" w:rsidR="001B30DF" w:rsidRPr="00211718" w:rsidRDefault="001B30DF" w:rsidP="001B30DF">
            <w:pPr>
              <w:pStyle w:val="Table"/>
              <w:spacing w:before="100" w:after="100"/>
              <w:rPr>
                <w:sz w:val="15"/>
                <w:szCs w:val="15"/>
              </w:rPr>
            </w:pPr>
            <w:r w:rsidRPr="00211718">
              <w:rPr>
                <w:b/>
                <w:sz w:val="15"/>
                <w:szCs w:val="15"/>
              </w:rPr>
              <w:t>Note:</w:t>
            </w:r>
            <w:r w:rsidRPr="00211718">
              <w:rPr>
                <w:sz w:val="15"/>
                <w:szCs w:val="15"/>
              </w:rPr>
              <w:t xml:space="preserve"> disclosures are required to be made at Items 9 and 10 of the income tax return in relation to depreciating assets and depreciation claimed.</w:t>
            </w:r>
          </w:p>
        </w:tc>
        <w:tc>
          <w:tcPr>
            <w:tcW w:w="352" w:type="pct"/>
            <w:tcBorders>
              <w:top w:val="single" w:sz="4" w:space="0" w:color="939598"/>
              <w:left w:val="single" w:sz="4" w:space="0" w:color="939598"/>
              <w:bottom w:val="single" w:sz="4" w:space="0" w:color="939598"/>
              <w:right w:val="single" w:sz="4" w:space="0" w:color="939598"/>
            </w:tcBorders>
          </w:tcPr>
          <w:p w14:paraId="308DBB19" w14:textId="77777777" w:rsidR="001B30DF" w:rsidRPr="00FC3B3B" w:rsidRDefault="001B30DF" w:rsidP="001B30DF">
            <w:pPr>
              <w:pStyle w:val="Table"/>
              <w:spacing w:before="100" w:after="100"/>
            </w:pPr>
          </w:p>
        </w:tc>
        <w:tc>
          <w:tcPr>
            <w:tcW w:w="281" w:type="pct"/>
            <w:tcBorders>
              <w:top w:val="single" w:sz="4" w:space="0" w:color="939598"/>
              <w:left w:val="single" w:sz="4" w:space="0" w:color="939598"/>
              <w:bottom w:val="single" w:sz="4" w:space="0" w:color="939598"/>
              <w:right w:val="single" w:sz="4" w:space="0" w:color="939598"/>
            </w:tcBorders>
          </w:tcPr>
          <w:p w14:paraId="484F878C" w14:textId="77777777" w:rsidR="001B30DF" w:rsidRPr="00FC3B3B" w:rsidRDefault="001B30DF" w:rsidP="001B30DF">
            <w:pPr>
              <w:pStyle w:val="Table"/>
              <w:spacing w:before="100" w:after="100"/>
            </w:pPr>
          </w:p>
        </w:tc>
        <w:tc>
          <w:tcPr>
            <w:tcW w:w="360" w:type="pct"/>
            <w:tcBorders>
              <w:top w:val="single" w:sz="4" w:space="0" w:color="939598"/>
              <w:left w:val="single" w:sz="4" w:space="0" w:color="939598"/>
              <w:bottom w:val="single" w:sz="4" w:space="0" w:color="939598"/>
              <w:right w:val="single" w:sz="4" w:space="0" w:color="939598"/>
            </w:tcBorders>
          </w:tcPr>
          <w:p w14:paraId="2E0FE68E" w14:textId="77777777" w:rsidR="001B30DF" w:rsidRPr="00FC3B3B" w:rsidRDefault="001B30DF" w:rsidP="001B30DF">
            <w:pPr>
              <w:pStyle w:val="Table"/>
              <w:spacing w:before="100" w:after="100"/>
            </w:pPr>
          </w:p>
        </w:tc>
      </w:tr>
    </w:tbl>
    <w:p w14:paraId="177C1299" w14:textId="77777777" w:rsidR="00AB32AB" w:rsidRDefault="00AB32AB">
      <w:r>
        <w:br w:type="page"/>
      </w:r>
    </w:p>
    <w:tbl>
      <w:tblPr>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firstRow="1" w:lastRow="1" w:firstColumn="1" w:lastColumn="1" w:noHBand="0" w:noVBand="0"/>
      </w:tblPr>
      <w:tblGrid>
        <w:gridCol w:w="8075"/>
        <w:gridCol w:w="709"/>
        <w:gridCol w:w="566"/>
        <w:gridCol w:w="725"/>
      </w:tblGrid>
      <w:tr w:rsidR="00AB32AB" w:rsidRPr="00FC3B3B" w14:paraId="30CC5461" w14:textId="77777777" w:rsidTr="008C013F">
        <w:tc>
          <w:tcPr>
            <w:tcW w:w="4007" w:type="pct"/>
            <w:tcBorders>
              <w:top w:val="single" w:sz="4" w:space="0" w:color="939598"/>
              <w:bottom w:val="single" w:sz="4" w:space="0" w:color="939598"/>
              <w:right w:val="single" w:sz="4" w:space="0" w:color="939598"/>
            </w:tcBorders>
            <w:shd w:val="clear" w:color="auto" w:fill="0F243E" w:themeFill="text2" w:themeFillShade="80"/>
          </w:tcPr>
          <w:p w14:paraId="72FDEE59" w14:textId="4198A198" w:rsidR="00AB32AB" w:rsidRPr="00637458" w:rsidRDefault="00AB32AB" w:rsidP="008C013F">
            <w:pPr>
              <w:pStyle w:val="Table"/>
              <w:spacing w:before="100" w:after="100"/>
              <w:rPr>
                <w:b/>
              </w:rPr>
            </w:pPr>
            <w:r w:rsidRPr="00637458">
              <w:rPr>
                <w:b/>
                <w:sz w:val="18"/>
              </w:rPr>
              <w:lastRenderedPageBreak/>
              <w:t>STATEMENT OF COMPREHENSIVE INCOME (PROFIT AND LOSS)</w:t>
            </w:r>
          </w:p>
        </w:tc>
        <w:tc>
          <w:tcPr>
            <w:tcW w:w="352" w:type="pct"/>
            <w:tcBorders>
              <w:top w:val="single" w:sz="4" w:space="0" w:color="939598"/>
              <w:left w:val="single" w:sz="4" w:space="0" w:color="939598"/>
              <w:bottom w:val="single" w:sz="4" w:space="0" w:color="939598"/>
              <w:right w:val="single" w:sz="4" w:space="0" w:color="939598"/>
            </w:tcBorders>
            <w:shd w:val="clear" w:color="auto" w:fill="051C3C"/>
          </w:tcPr>
          <w:p w14:paraId="12ADBA2E" w14:textId="77777777" w:rsidR="00AB32AB" w:rsidRPr="00637458" w:rsidRDefault="00AB32AB" w:rsidP="008C013F">
            <w:pPr>
              <w:pStyle w:val="Table"/>
              <w:spacing w:before="100" w:after="100"/>
              <w:rPr>
                <w:b/>
              </w:rPr>
            </w:pPr>
            <w:r w:rsidRPr="00637458">
              <w:rPr>
                <w:b/>
                <w:sz w:val="18"/>
              </w:rPr>
              <w:t>YES</w:t>
            </w:r>
          </w:p>
        </w:tc>
        <w:tc>
          <w:tcPr>
            <w:tcW w:w="281" w:type="pct"/>
            <w:tcBorders>
              <w:top w:val="single" w:sz="4" w:space="0" w:color="939598"/>
              <w:left w:val="single" w:sz="4" w:space="0" w:color="939598"/>
              <w:bottom w:val="single" w:sz="4" w:space="0" w:color="939598"/>
              <w:right w:val="single" w:sz="4" w:space="0" w:color="939598"/>
            </w:tcBorders>
            <w:shd w:val="clear" w:color="auto" w:fill="051C3C"/>
          </w:tcPr>
          <w:p w14:paraId="2DCC3547" w14:textId="77777777" w:rsidR="00AB32AB" w:rsidRPr="00637458" w:rsidRDefault="00AB32AB" w:rsidP="008C013F">
            <w:pPr>
              <w:pStyle w:val="Table"/>
              <w:spacing w:before="100" w:after="100"/>
              <w:rPr>
                <w:b/>
              </w:rPr>
            </w:pPr>
            <w:r w:rsidRPr="00637458">
              <w:rPr>
                <w:b/>
                <w:sz w:val="18"/>
              </w:rPr>
              <w:t>NO</w:t>
            </w:r>
          </w:p>
        </w:tc>
        <w:tc>
          <w:tcPr>
            <w:tcW w:w="360" w:type="pct"/>
            <w:tcBorders>
              <w:top w:val="single" w:sz="4" w:space="0" w:color="939598"/>
              <w:left w:val="single" w:sz="4" w:space="0" w:color="939598"/>
              <w:bottom w:val="single" w:sz="4" w:space="0" w:color="939598"/>
            </w:tcBorders>
            <w:shd w:val="clear" w:color="auto" w:fill="051C3C"/>
          </w:tcPr>
          <w:p w14:paraId="0E24B1F9" w14:textId="77777777" w:rsidR="00AB32AB" w:rsidRPr="00637458" w:rsidRDefault="00AB32AB" w:rsidP="008C013F">
            <w:pPr>
              <w:pStyle w:val="Table"/>
              <w:spacing w:before="100" w:after="100"/>
              <w:rPr>
                <w:b/>
              </w:rPr>
            </w:pPr>
            <w:r w:rsidRPr="00637458">
              <w:rPr>
                <w:b/>
                <w:sz w:val="18"/>
              </w:rPr>
              <w:t>N/A</w:t>
            </w:r>
          </w:p>
        </w:tc>
      </w:tr>
      <w:tr w:rsidR="001B30DF" w:rsidRPr="00DA4DA8" w14:paraId="0CB35199" w14:textId="77777777" w:rsidTr="008B7772">
        <w:tc>
          <w:tcPr>
            <w:tcW w:w="5000" w:type="pct"/>
            <w:gridSpan w:val="4"/>
            <w:tcBorders>
              <w:top w:val="single" w:sz="4" w:space="0" w:color="939598"/>
              <w:left w:val="single" w:sz="4" w:space="0" w:color="939598"/>
              <w:bottom w:val="single" w:sz="4" w:space="0" w:color="939598"/>
              <w:right w:val="single" w:sz="4" w:space="0" w:color="939598"/>
            </w:tcBorders>
            <w:shd w:val="clear" w:color="auto" w:fill="D9D9D9" w:themeFill="background1" w:themeFillShade="D9"/>
          </w:tcPr>
          <w:p w14:paraId="082BA05A" w14:textId="3618F642" w:rsidR="001B30DF" w:rsidRPr="00DA4DA8" w:rsidRDefault="001B30DF" w:rsidP="001B30DF">
            <w:pPr>
              <w:pStyle w:val="Tableheading"/>
            </w:pPr>
            <w:r w:rsidRPr="00DA4DA8">
              <w:rPr>
                <w:rFonts w:cs="Arial"/>
              </w:rPr>
              <w:t>N</w:t>
            </w:r>
            <w:r w:rsidR="00AB32AB">
              <w:rPr>
                <w:rFonts w:cs="Arial"/>
              </w:rPr>
              <w:t>ON-RESIDENT COMPANIES</w:t>
            </w:r>
            <w:r w:rsidRPr="00DA4DA8">
              <w:rPr>
                <w:rFonts w:cs="Arial"/>
              </w:rPr>
              <w:t xml:space="preserve"> </w:t>
            </w:r>
          </w:p>
        </w:tc>
      </w:tr>
      <w:tr w:rsidR="001B30DF" w:rsidRPr="00FC3B3B" w14:paraId="57BC74F6" w14:textId="77777777" w:rsidTr="001B30DF">
        <w:tc>
          <w:tcPr>
            <w:tcW w:w="4007" w:type="pct"/>
            <w:tcBorders>
              <w:top w:val="single" w:sz="4" w:space="0" w:color="939598"/>
              <w:left w:val="single" w:sz="4" w:space="0" w:color="939598"/>
              <w:bottom w:val="single" w:sz="4" w:space="0" w:color="939598"/>
              <w:right w:val="single" w:sz="4" w:space="0" w:color="939598"/>
            </w:tcBorders>
          </w:tcPr>
          <w:p w14:paraId="084E5FDA" w14:textId="6023D288" w:rsidR="001B30DF" w:rsidRDefault="001B30DF" w:rsidP="001B30DF">
            <w:pPr>
              <w:pStyle w:val="Table"/>
              <w:tabs>
                <w:tab w:val="left" w:pos="7049"/>
              </w:tabs>
              <w:spacing w:before="100" w:after="100"/>
            </w:pPr>
            <w:r>
              <w:t xml:space="preserve">Has the residency status of the company been determined? Where the company is a non-resident the matters listed below should be considered. </w:t>
            </w:r>
          </w:p>
          <w:p w14:paraId="564E1733" w14:textId="58C257FE" w:rsidR="001B30DF" w:rsidRPr="00211718" w:rsidRDefault="001B30DF" w:rsidP="001B30DF">
            <w:pPr>
              <w:pStyle w:val="Table"/>
              <w:tabs>
                <w:tab w:val="left" w:pos="7049"/>
              </w:tabs>
              <w:spacing w:before="100" w:after="100"/>
              <w:rPr>
                <w:sz w:val="15"/>
                <w:szCs w:val="15"/>
              </w:rPr>
            </w:pPr>
            <w:r w:rsidRPr="00211718">
              <w:rPr>
                <w:b/>
                <w:sz w:val="15"/>
                <w:szCs w:val="15"/>
              </w:rPr>
              <w:t xml:space="preserve">Note: </w:t>
            </w:r>
            <w:r w:rsidRPr="00211718">
              <w:rPr>
                <w:b/>
                <w:i/>
                <w:sz w:val="15"/>
                <w:szCs w:val="15"/>
              </w:rPr>
              <w:t>D</w:t>
            </w:r>
            <w:r w:rsidRPr="00211718">
              <w:rPr>
                <w:i/>
                <w:sz w:val="15"/>
                <w:szCs w:val="15"/>
              </w:rPr>
              <w:t>raft Taxation Ruling TR 2017/D2</w:t>
            </w:r>
            <w:r w:rsidRPr="00211718">
              <w:rPr>
                <w:sz w:val="15"/>
                <w:szCs w:val="15"/>
              </w:rPr>
              <w:t xml:space="preserve"> set out the Commissioner’s view on how to apply the central management and control test in determining the residency status of a company under</w:t>
            </w:r>
            <w:r w:rsidRPr="00211718">
              <w:rPr>
                <w:b/>
                <w:sz w:val="15"/>
                <w:szCs w:val="15"/>
              </w:rPr>
              <w:t xml:space="preserve"> the </w:t>
            </w:r>
            <w:r w:rsidRPr="00211718">
              <w:rPr>
                <w:sz w:val="15"/>
                <w:szCs w:val="15"/>
              </w:rPr>
              <w:t xml:space="preserve">definition of a ‘resident’ company under section 6 (1) of the </w:t>
            </w:r>
            <w:r w:rsidRPr="00211718">
              <w:rPr>
                <w:i/>
                <w:sz w:val="15"/>
                <w:szCs w:val="15"/>
              </w:rPr>
              <w:t>Income Tax Assessment Act (1936).</w:t>
            </w:r>
          </w:p>
        </w:tc>
        <w:tc>
          <w:tcPr>
            <w:tcW w:w="352" w:type="pct"/>
            <w:tcBorders>
              <w:top w:val="single" w:sz="4" w:space="0" w:color="939598"/>
              <w:left w:val="single" w:sz="4" w:space="0" w:color="939598"/>
              <w:bottom w:val="single" w:sz="4" w:space="0" w:color="939598"/>
              <w:right w:val="single" w:sz="4" w:space="0" w:color="939598"/>
            </w:tcBorders>
          </w:tcPr>
          <w:p w14:paraId="0CDCD759" w14:textId="77777777" w:rsidR="001B30DF" w:rsidRPr="00FC3B3B" w:rsidRDefault="001B30DF" w:rsidP="001B30DF">
            <w:pPr>
              <w:pStyle w:val="Table"/>
              <w:spacing w:before="100" w:after="100"/>
            </w:pPr>
          </w:p>
        </w:tc>
        <w:tc>
          <w:tcPr>
            <w:tcW w:w="281" w:type="pct"/>
            <w:tcBorders>
              <w:top w:val="single" w:sz="4" w:space="0" w:color="939598"/>
              <w:left w:val="single" w:sz="4" w:space="0" w:color="939598"/>
              <w:bottom w:val="single" w:sz="4" w:space="0" w:color="939598"/>
              <w:right w:val="single" w:sz="4" w:space="0" w:color="939598"/>
            </w:tcBorders>
          </w:tcPr>
          <w:p w14:paraId="0F3E2051" w14:textId="77777777" w:rsidR="001B30DF" w:rsidRPr="00FC3B3B" w:rsidRDefault="001B30DF" w:rsidP="001B30DF">
            <w:pPr>
              <w:pStyle w:val="Table"/>
              <w:spacing w:before="100" w:after="100"/>
            </w:pPr>
          </w:p>
        </w:tc>
        <w:tc>
          <w:tcPr>
            <w:tcW w:w="360" w:type="pct"/>
            <w:tcBorders>
              <w:top w:val="single" w:sz="4" w:space="0" w:color="939598"/>
              <w:left w:val="single" w:sz="4" w:space="0" w:color="939598"/>
              <w:bottom w:val="single" w:sz="4" w:space="0" w:color="939598"/>
              <w:right w:val="single" w:sz="4" w:space="0" w:color="939598"/>
            </w:tcBorders>
          </w:tcPr>
          <w:p w14:paraId="5D6A72A1" w14:textId="77777777" w:rsidR="001B30DF" w:rsidRPr="00FC3B3B" w:rsidRDefault="001B30DF" w:rsidP="001B30DF">
            <w:pPr>
              <w:pStyle w:val="Table"/>
              <w:spacing w:before="100" w:after="100"/>
            </w:pPr>
          </w:p>
        </w:tc>
      </w:tr>
      <w:tr w:rsidR="001B30DF" w:rsidRPr="00FC3B3B" w14:paraId="572293BA" w14:textId="77777777" w:rsidTr="001B30DF">
        <w:tc>
          <w:tcPr>
            <w:tcW w:w="4007" w:type="pct"/>
            <w:tcBorders>
              <w:top w:val="single" w:sz="4" w:space="0" w:color="939598"/>
              <w:left w:val="single" w:sz="4" w:space="0" w:color="939598"/>
              <w:bottom w:val="single" w:sz="4" w:space="0" w:color="939598"/>
              <w:right w:val="single" w:sz="4" w:space="0" w:color="939598"/>
            </w:tcBorders>
          </w:tcPr>
          <w:p w14:paraId="0156E291" w14:textId="1AE5E117" w:rsidR="001B30DF" w:rsidRPr="00FC3B3B" w:rsidRDefault="001B30DF" w:rsidP="001B30DF">
            <w:pPr>
              <w:pStyle w:val="Table"/>
              <w:tabs>
                <w:tab w:val="left" w:pos="7049"/>
              </w:tabs>
              <w:spacing w:before="100" w:after="100"/>
            </w:pPr>
            <w:r w:rsidRPr="00FC3B3B">
              <w:t>Has income from only Australian sources</w:t>
            </w:r>
            <w:r>
              <w:t xml:space="preserve"> / permanent establishments</w:t>
            </w:r>
            <w:r w:rsidRPr="00FC3B3B">
              <w:t xml:space="preserve"> been included</w:t>
            </w:r>
            <w:r>
              <w:t xml:space="preserve"> in assessable income</w:t>
            </w:r>
            <w:r w:rsidRPr="00FC3B3B">
              <w:t>?</w:t>
            </w:r>
          </w:p>
        </w:tc>
        <w:tc>
          <w:tcPr>
            <w:tcW w:w="352" w:type="pct"/>
            <w:tcBorders>
              <w:top w:val="single" w:sz="4" w:space="0" w:color="939598"/>
              <w:left w:val="single" w:sz="4" w:space="0" w:color="939598"/>
              <w:bottom w:val="single" w:sz="4" w:space="0" w:color="939598"/>
              <w:right w:val="single" w:sz="4" w:space="0" w:color="939598"/>
            </w:tcBorders>
          </w:tcPr>
          <w:p w14:paraId="7D3E74AB" w14:textId="77777777" w:rsidR="001B30DF" w:rsidRPr="00FC3B3B" w:rsidRDefault="001B30DF" w:rsidP="001B30DF">
            <w:pPr>
              <w:pStyle w:val="Table"/>
              <w:spacing w:before="100" w:after="100"/>
            </w:pPr>
          </w:p>
        </w:tc>
        <w:tc>
          <w:tcPr>
            <w:tcW w:w="281" w:type="pct"/>
            <w:tcBorders>
              <w:top w:val="single" w:sz="4" w:space="0" w:color="939598"/>
              <w:left w:val="single" w:sz="4" w:space="0" w:color="939598"/>
              <w:bottom w:val="single" w:sz="4" w:space="0" w:color="939598"/>
              <w:right w:val="single" w:sz="4" w:space="0" w:color="939598"/>
            </w:tcBorders>
          </w:tcPr>
          <w:p w14:paraId="600EB377" w14:textId="77777777" w:rsidR="001B30DF" w:rsidRPr="00FC3B3B" w:rsidRDefault="001B30DF" w:rsidP="001B30DF">
            <w:pPr>
              <w:pStyle w:val="Table"/>
              <w:spacing w:before="100" w:after="100"/>
            </w:pPr>
          </w:p>
        </w:tc>
        <w:tc>
          <w:tcPr>
            <w:tcW w:w="360" w:type="pct"/>
            <w:tcBorders>
              <w:top w:val="single" w:sz="4" w:space="0" w:color="939598"/>
              <w:left w:val="single" w:sz="4" w:space="0" w:color="939598"/>
              <w:bottom w:val="single" w:sz="4" w:space="0" w:color="939598"/>
              <w:right w:val="single" w:sz="4" w:space="0" w:color="939598"/>
            </w:tcBorders>
          </w:tcPr>
          <w:p w14:paraId="2F07BE76" w14:textId="77777777" w:rsidR="001B30DF" w:rsidRPr="00FC3B3B" w:rsidRDefault="001B30DF" w:rsidP="001B30DF">
            <w:pPr>
              <w:pStyle w:val="Table"/>
              <w:spacing w:before="100" w:after="100"/>
            </w:pPr>
          </w:p>
        </w:tc>
      </w:tr>
      <w:tr w:rsidR="001B30DF" w:rsidRPr="00FC3B3B" w14:paraId="2C81D5C3" w14:textId="77777777" w:rsidTr="001B30DF">
        <w:tc>
          <w:tcPr>
            <w:tcW w:w="4007" w:type="pct"/>
            <w:tcBorders>
              <w:top w:val="single" w:sz="4" w:space="0" w:color="939598"/>
              <w:left w:val="single" w:sz="4" w:space="0" w:color="939598"/>
              <w:bottom w:val="single" w:sz="4" w:space="0" w:color="939598"/>
              <w:right w:val="single" w:sz="4" w:space="0" w:color="939598"/>
            </w:tcBorders>
          </w:tcPr>
          <w:p w14:paraId="73DFDF79" w14:textId="32B694B3" w:rsidR="001B30DF" w:rsidRPr="00FC3B3B" w:rsidRDefault="001B30DF" w:rsidP="001B30DF">
            <w:pPr>
              <w:pStyle w:val="Table"/>
              <w:spacing w:before="100" w:after="100"/>
            </w:pPr>
            <w:r w:rsidRPr="00FC3B3B">
              <w:t>Have applicable double tax treaties been considered</w:t>
            </w:r>
            <w:r>
              <w:t>, particularly the articles dealing with business profits and permanent establishments</w:t>
            </w:r>
            <w:r w:rsidRPr="00FC3B3B">
              <w:t>?</w:t>
            </w:r>
          </w:p>
        </w:tc>
        <w:tc>
          <w:tcPr>
            <w:tcW w:w="352" w:type="pct"/>
            <w:tcBorders>
              <w:top w:val="single" w:sz="4" w:space="0" w:color="939598"/>
              <w:left w:val="single" w:sz="4" w:space="0" w:color="939598"/>
              <w:bottom w:val="single" w:sz="4" w:space="0" w:color="939598"/>
              <w:right w:val="single" w:sz="4" w:space="0" w:color="939598"/>
            </w:tcBorders>
          </w:tcPr>
          <w:p w14:paraId="6E8D2A8D" w14:textId="77777777" w:rsidR="001B30DF" w:rsidRPr="00FC3B3B" w:rsidRDefault="001B30DF" w:rsidP="001B30DF">
            <w:pPr>
              <w:pStyle w:val="Table"/>
              <w:spacing w:before="100" w:after="100"/>
            </w:pPr>
          </w:p>
        </w:tc>
        <w:tc>
          <w:tcPr>
            <w:tcW w:w="281" w:type="pct"/>
            <w:tcBorders>
              <w:top w:val="single" w:sz="4" w:space="0" w:color="939598"/>
              <w:left w:val="single" w:sz="4" w:space="0" w:color="939598"/>
              <w:bottom w:val="single" w:sz="4" w:space="0" w:color="939598"/>
              <w:right w:val="single" w:sz="4" w:space="0" w:color="939598"/>
            </w:tcBorders>
          </w:tcPr>
          <w:p w14:paraId="38A65E55" w14:textId="77777777" w:rsidR="001B30DF" w:rsidRPr="00FC3B3B" w:rsidRDefault="001B30DF" w:rsidP="001B30DF">
            <w:pPr>
              <w:pStyle w:val="Table"/>
              <w:spacing w:before="100" w:after="100"/>
            </w:pPr>
          </w:p>
        </w:tc>
        <w:tc>
          <w:tcPr>
            <w:tcW w:w="360" w:type="pct"/>
            <w:tcBorders>
              <w:top w:val="single" w:sz="4" w:space="0" w:color="939598"/>
              <w:left w:val="single" w:sz="4" w:space="0" w:color="939598"/>
              <w:bottom w:val="single" w:sz="4" w:space="0" w:color="939598"/>
              <w:right w:val="single" w:sz="4" w:space="0" w:color="939598"/>
            </w:tcBorders>
          </w:tcPr>
          <w:p w14:paraId="617DA723" w14:textId="77777777" w:rsidR="001B30DF" w:rsidRPr="00FC3B3B" w:rsidRDefault="001B30DF" w:rsidP="001B30DF">
            <w:pPr>
              <w:pStyle w:val="Table"/>
              <w:spacing w:before="100" w:after="100"/>
            </w:pPr>
          </w:p>
        </w:tc>
      </w:tr>
      <w:tr w:rsidR="001B30DF" w:rsidRPr="00FC3B3B" w14:paraId="0EB2A99B" w14:textId="77777777" w:rsidTr="001B30DF">
        <w:tc>
          <w:tcPr>
            <w:tcW w:w="4007" w:type="pct"/>
            <w:tcBorders>
              <w:top w:val="single" w:sz="4" w:space="0" w:color="939598"/>
              <w:left w:val="single" w:sz="4" w:space="0" w:color="939598"/>
              <w:bottom w:val="single" w:sz="4" w:space="0" w:color="939598"/>
              <w:right w:val="single" w:sz="4" w:space="0" w:color="939598"/>
            </w:tcBorders>
          </w:tcPr>
          <w:p w14:paraId="0BF270D6" w14:textId="77777777" w:rsidR="001B30DF" w:rsidRPr="00FC3B3B" w:rsidRDefault="001B30DF" w:rsidP="001B30DF">
            <w:pPr>
              <w:pStyle w:val="Table"/>
              <w:spacing w:before="100" w:after="100"/>
            </w:pPr>
            <w:r w:rsidRPr="00FC3B3B">
              <w:t>For companies that do not have a permanent establishment in Australia – have dividends, interest and amounts attributed to MIT fund payments (that are franked or subject to withholding tax) been excluded from the calculation of taxable income?</w:t>
            </w:r>
          </w:p>
        </w:tc>
        <w:tc>
          <w:tcPr>
            <w:tcW w:w="352" w:type="pct"/>
            <w:tcBorders>
              <w:top w:val="single" w:sz="4" w:space="0" w:color="939598"/>
              <w:left w:val="single" w:sz="4" w:space="0" w:color="939598"/>
              <w:bottom w:val="single" w:sz="4" w:space="0" w:color="939598"/>
              <w:right w:val="single" w:sz="4" w:space="0" w:color="939598"/>
            </w:tcBorders>
          </w:tcPr>
          <w:p w14:paraId="6EDF70CB" w14:textId="77777777" w:rsidR="001B30DF" w:rsidRPr="00FC3B3B" w:rsidRDefault="001B30DF" w:rsidP="001B30DF">
            <w:pPr>
              <w:pStyle w:val="Table"/>
              <w:spacing w:before="100" w:after="100"/>
            </w:pPr>
          </w:p>
        </w:tc>
        <w:tc>
          <w:tcPr>
            <w:tcW w:w="281" w:type="pct"/>
            <w:tcBorders>
              <w:top w:val="single" w:sz="4" w:space="0" w:color="939598"/>
              <w:left w:val="single" w:sz="4" w:space="0" w:color="939598"/>
              <w:bottom w:val="single" w:sz="4" w:space="0" w:color="939598"/>
              <w:right w:val="single" w:sz="4" w:space="0" w:color="939598"/>
            </w:tcBorders>
          </w:tcPr>
          <w:p w14:paraId="0CF71EA6" w14:textId="77777777" w:rsidR="001B30DF" w:rsidRPr="00FC3B3B" w:rsidRDefault="001B30DF" w:rsidP="001B30DF">
            <w:pPr>
              <w:pStyle w:val="Table"/>
              <w:spacing w:before="100" w:after="100"/>
            </w:pPr>
          </w:p>
        </w:tc>
        <w:tc>
          <w:tcPr>
            <w:tcW w:w="360" w:type="pct"/>
            <w:tcBorders>
              <w:top w:val="single" w:sz="4" w:space="0" w:color="939598"/>
              <w:left w:val="single" w:sz="4" w:space="0" w:color="939598"/>
              <w:bottom w:val="single" w:sz="4" w:space="0" w:color="939598"/>
              <w:right w:val="single" w:sz="4" w:space="0" w:color="939598"/>
            </w:tcBorders>
          </w:tcPr>
          <w:p w14:paraId="7F5F865D" w14:textId="77777777" w:rsidR="001B30DF" w:rsidRPr="00FC3B3B" w:rsidRDefault="001B30DF" w:rsidP="001B30DF">
            <w:pPr>
              <w:pStyle w:val="Table"/>
              <w:spacing w:before="100" w:after="100"/>
            </w:pPr>
          </w:p>
        </w:tc>
      </w:tr>
      <w:tr w:rsidR="001B30DF" w:rsidRPr="00FC3B3B" w14:paraId="036D0940" w14:textId="77777777" w:rsidTr="001B30DF">
        <w:tc>
          <w:tcPr>
            <w:tcW w:w="4007" w:type="pct"/>
            <w:tcBorders>
              <w:top w:val="single" w:sz="4" w:space="0" w:color="939598"/>
              <w:left w:val="single" w:sz="4" w:space="0" w:color="939598"/>
              <w:bottom w:val="single" w:sz="4" w:space="0" w:color="939598"/>
              <w:right w:val="single" w:sz="4" w:space="0" w:color="939598"/>
            </w:tcBorders>
          </w:tcPr>
          <w:p w14:paraId="772150AF" w14:textId="77777777" w:rsidR="001B30DF" w:rsidRPr="00FC3B3B" w:rsidRDefault="001B30DF" w:rsidP="001B30DF">
            <w:pPr>
              <w:pStyle w:val="Table"/>
              <w:spacing w:before="100" w:after="100"/>
            </w:pPr>
            <w:r w:rsidRPr="00FC3B3B">
              <w:t>For companies that have a permanent establishment in Australia – have interest, amounts attributed to MIT fund payments, dividends and their franking credits (that are not subject to withholding tax) been included in the calculation of taxable income?</w:t>
            </w:r>
          </w:p>
        </w:tc>
        <w:tc>
          <w:tcPr>
            <w:tcW w:w="352" w:type="pct"/>
            <w:tcBorders>
              <w:top w:val="single" w:sz="4" w:space="0" w:color="939598"/>
              <w:left w:val="single" w:sz="4" w:space="0" w:color="939598"/>
              <w:bottom w:val="single" w:sz="4" w:space="0" w:color="939598"/>
              <w:right w:val="single" w:sz="4" w:space="0" w:color="939598"/>
            </w:tcBorders>
          </w:tcPr>
          <w:p w14:paraId="54213E50" w14:textId="77777777" w:rsidR="001B30DF" w:rsidRPr="00FC3B3B" w:rsidRDefault="001B30DF" w:rsidP="001B30DF">
            <w:pPr>
              <w:pStyle w:val="Table"/>
              <w:spacing w:before="100" w:after="100"/>
            </w:pPr>
          </w:p>
        </w:tc>
        <w:tc>
          <w:tcPr>
            <w:tcW w:w="281" w:type="pct"/>
            <w:tcBorders>
              <w:top w:val="single" w:sz="4" w:space="0" w:color="939598"/>
              <w:left w:val="single" w:sz="4" w:space="0" w:color="939598"/>
              <w:bottom w:val="single" w:sz="4" w:space="0" w:color="939598"/>
              <w:right w:val="single" w:sz="4" w:space="0" w:color="939598"/>
            </w:tcBorders>
          </w:tcPr>
          <w:p w14:paraId="1A605CE7" w14:textId="77777777" w:rsidR="001B30DF" w:rsidRPr="00FC3B3B" w:rsidRDefault="001B30DF" w:rsidP="001B30DF">
            <w:pPr>
              <w:pStyle w:val="Table"/>
              <w:spacing w:before="100" w:after="100"/>
            </w:pPr>
          </w:p>
        </w:tc>
        <w:tc>
          <w:tcPr>
            <w:tcW w:w="360" w:type="pct"/>
            <w:tcBorders>
              <w:top w:val="single" w:sz="4" w:space="0" w:color="939598"/>
              <w:left w:val="single" w:sz="4" w:space="0" w:color="939598"/>
              <w:bottom w:val="single" w:sz="4" w:space="0" w:color="939598"/>
              <w:right w:val="single" w:sz="4" w:space="0" w:color="939598"/>
            </w:tcBorders>
          </w:tcPr>
          <w:p w14:paraId="7DD8DB96" w14:textId="77777777" w:rsidR="001B30DF" w:rsidRPr="00FC3B3B" w:rsidRDefault="001B30DF" w:rsidP="001B30DF">
            <w:pPr>
              <w:pStyle w:val="Table"/>
              <w:spacing w:before="100" w:after="100"/>
            </w:pPr>
          </w:p>
        </w:tc>
      </w:tr>
      <w:tr w:rsidR="001B30DF" w:rsidRPr="00FC3B3B" w14:paraId="39A3ECBA" w14:textId="77777777" w:rsidTr="001B30DF">
        <w:tc>
          <w:tcPr>
            <w:tcW w:w="4007" w:type="pct"/>
            <w:tcBorders>
              <w:top w:val="single" w:sz="4" w:space="0" w:color="939598"/>
              <w:left w:val="single" w:sz="4" w:space="0" w:color="939598"/>
              <w:bottom w:val="single" w:sz="4" w:space="0" w:color="939598"/>
              <w:right w:val="single" w:sz="4" w:space="0" w:color="939598"/>
            </w:tcBorders>
          </w:tcPr>
          <w:p w14:paraId="41F191FE" w14:textId="5F8DBAB8" w:rsidR="001B30DF" w:rsidRDefault="001B30DF" w:rsidP="001B30DF">
            <w:pPr>
              <w:pStyle w:val="Table"/>
              <w:spacing w:before="100" w:after="100"/>
            </w:pPr>
            <w:r w:rsidRPr="00FC3B3B">
              <w:t xml:space="preserve">Have the capital gains tax implications of a sale of taxable Australian property </w:t>
            </w:r>
            <w:r>
              <w:t xml:space="preserve">by a foreign resident company </w:t>
            </w:r>
            <w:r w:rsidRPr="00FC3B3B">
              <w:t>been considered?</w:t>
            </w:r>
          </w:p>
          <w:p w14:paraId="09088431" w14:textId="409B0779" w:rsidR="001B30DF" w:rsidRPr="00211718" w:rsidRDefault="001B30DF" w:rsidP="001B30DF">
            <w:pPr>
              <w:pStyle w:val="Table"/>
              <w:spacing w:before="100" w:after="100"/>
              <w:rPr>
                <w:sz w:val="15"/>
                <w:szCs w:val="15"/>
              </w:rPr>
            </w:pPr>
            <w:r w:rsidRPr="00211718">
              <w:rPr>
                <w:b/>
                <w:sz w:val="15"/>
                <w:szCs w:val="15"/>
              </w:rPr>
              <w:t>Note:</w:t>
            </w:r>
            <w:r w:rsidRPr="00211718">
              <w:rPr>
                <w:sz w:val="15"/>
                <w:szCs w:val="15"/>
              </w:rPr>
              <w:t xml:space="preserve"> the </w:t>
            </w:r>
            <w:r w:rsidRPr="00211718">
              <w:rPr>
                <w:rFonts w:cs="Arial"/>
                <w:i/>
                <w:sz w:val="15"/>
                <w:szCs w:val="15"/>
              </w:rPr>
              <w:t>Treasury Laws Amendment (Reducing Pressure on Housing Affordability Measures No.2) Bill 2018</w:t>
            </w:r>
            <w:r w:rsidRPr="00211718">
              <w:rPr>
                <w:rFonts w:cs="Arial"/>
                <w:sz w:val="15"/>
                <w:szCs w:val="15"/>
              </w:rPr>
              <w:t xml:space="preserve"> proposes to amend the foreign resident CGT re</w:t>
            </w:r>
            <w:r w:rsidR="00955E5B">
              <w:rPr>
                <w:rFonts w:cs="Arial"/>
                <w:sz w:val="15"/>
                <w:szCs w:val="15"/>
              </w:rPr>
              <w:t xml:space="preserve">gime under Division 855 of the </w:t>
            </w:r>
            <w:r w:rsidRPr="00211718">
              <w:rPr>
                <w:i/>
                <w:sz w:val="15"/>
                <w:szCs w:val="15"/>
              </w:rPr>
              <w:t xml:space="preserve">Income Tax Assessment Act (1997) </w:t>
            </w:r>
            <w:r w:rsidRPr="00211718">
              <w:rPr>
                <w:sz w:val="15"/>
                <w:szCs w:val="15"/>
              </w:rPr>
              <w:t xml:space="preserve">to clarify that the principal asset test be applied on an associate inclusive basis in determining whether the foreign resident has indirect Australian real property interest effective from 9 May 2017.  </w:t>
            </w:r>
            <w:r w:rsidRPr="00211718">
              <w:rPr>
                <w:rFonts w:cs="Arial"/>
                <w:sz w:val="15"/>
                <w:szCs w:val="15"/>
              </w:rPr>
              <w:t xml:space="preserve">  </w:t>
            </w:r>
          </w:p>
        </w:tc>
        <w:tc>
          <w:tcPr>
            <w:tcW w:w="352" w:type="pct"/>
            <w:tcBorders>
              <w:top w:val="single" w:sz="4" w:space="0" w:color="939598"/>
              <w:left w:val="single" w:sz="4" w:space="0" w:color="939598"/>
              <w:bottom w:val="single" w:sz="4" w:space="0" w:color="939598"/>
              <w:right w:val="single" w:sz="4" w:space="0" w:color="939598"/>
            </w:tcBorders>
          </w:tcPr>
          <w:p w14:paraId="26C3F829" w14:textId="77777777" w:rsidR="001B30DF" w:rsidRPr="00FC3B3B" w:rsidRDefault="001B30DF" w:rsidP="001B30DF">
            <w:pPr>
              <w:pStyle w:val="Table"/>
              <w:spacing w:before="100" w:after="100"/>
            </w:pPr>
          </w:p>
        </w:tc>
        <w:tc>
          <w:tcPr>
            <w:tcW w:w="281" w:type="pct"/>
            <w:tcBorders>
              <w:top w:val="single" w:sz="4" w:space="0" w:color="939598"/>
              <w:left w:val="single" w:sz="4" w:space="0" w:color="939598"/>
              <w:bottom w:val="single" w:sz="4" w:space="0" w:color="939598"/>
              <w:right w:val="single" w:sz="4" w:space="0" w:color="939598"/>
            </w:tcBorders>
          </w:tcPr>
          <w:p w14:paraId="471404C0" w14:textId="77777777" w:rsidR="001B30DF" w:rsidRPr="00FC3B3B" w:rsidRDefault="001B30DF" w:rsidP="001B30DF">
            <w:pPr>
              <w:pStyle w:val="Table"/>
              <w:spacing w:before="100" w:after="100"/>
            </w:pPr>
          </w:p>
        </w:tc>
        <w:tc>
          <w:tcPr>
            <w:tcW w:w="360" w:type="pct"/>
            <w:tcBorders>
              <w:top w:val="single" w:sz="4" w:space="0" w:color="939598"/>
              <w:left w:val="single" w:sz="4" w:space="0" w:color="939598"/>
              <w:bottom w:val="single" w:sz="4" w:space="0" w:color="939598"/>
              <w:right w:val="single" w:sz="4" w:space="0" w:color="939598"/>
            </w:tcBorders>
          </w:tcPr>
          <w:p w14:paraId="66071B01" w14:textId="77777777" w:rsidR="001B30DF" w:rsidRPr="00FC3B3B" w:rsidRDefault="001B30DF" w:rsidP="001B30DF">
            <w:pPr>
              <w:pStyle w:val="Table"/>
              <w:spacing w:before="100" w:after="100"/>
            </w:pPr>
          </w:p>
        </w:tc>
      </w:tr>
      <w:tr w:rsidR="001B30DF" w:rsidRPr="00DA4DA8" w14:paraId="5B96999F" w14:textId="77777777" w:rsidTr="008B7772">
        <w:tblPrEx>
          <w:tblBorders>
            <w:top w:val="single" w:sz="4" w:space="0" w:color="939598"/>
            <w:left w:val="single" w:sz="4" w:space="0" w:color="939598"/>
            <w:bottom w:val="single" w:sz="4" w:space="0" w:color="939598"/>
            <w:right w:val="single" w:sz="4" w:space="0" w:color="939598"/>
            <w:insideH w:val="none" w:sz="0" w:space="0" w:color="auto"/>
            <w:insideV w:val="none" w:sz="0" w:space="0" w:color="auto"/>
          </w:tblBorders>
          <w:tblLook w:val="00A0" w:firstRow="1" w:lastRow="0" w:firstColumn="1" w:lastColumn="0" w:noHBand="0" w:noVBand="0"/>
        </w:tblPrEx>
        <w:tc>
          <w:tcPr>
            <w:tcW w:w="5000" w:type="pct"/>
            <w:gridSpan w:val="4"/>
            <w:tcBorders>
              <w:top w:val="single" w:sz="4" w:space="0" w:color="939598"/>
              <w:bottom w:val="single" w:sz="4" w:space="0" w:color="939598"/>
            </w:tcBorders>
            <w:shd w:val="clear" w:color="auto" w:fill="D9D9D9" w:themeFill="background1" w:themeFillShade="D9"/>
          </w:tcPr>
          <w:p w14:paraId="60BD5C9B" w14:textId="5DB4961D" w:rsidR="001B30DF" w:rsidRPr="00DA4DA8" w:rsidRDefault="001B30DF" w:rsidP="001B30DF">
            <w:pPr>
              <w:pStyle w:val="Tableheading"/>
            </w:pPr>
            <w:r w:rsidRPr="00DA4DA8">
              <w:rPr>
                <w:rFonts w:cs="Arial"/>
              </w:rPr>
              <w:t>S</w:t>
            </w:r>
            <w:r w:rsidR="00955E5B">
              <w:rPr>
                <w:rFonts w:cs="Arial"/>
              </w:rPr>
              <w:t>UPERANNUATION</w:t>
            </w:r>
            <w:r w:rsidRPr="00DA4DA8">
              <w:rPr>
                <w:rFonts w:cs="Arial"/>
              </w:rPr>
              <w:t xml:space="preserve"> </w:t>
            </w:r>
          </w:p>
        </w:tc>
      </w:tr>
      <w:tr w:rsidR="001B30DF" w:rsidRPr="00FC3B3B" w14:paraId="15715C74" w14:textId="77777777" w:rsidTr="001B30DF">
        <w:tc>
          <w:tcPr>
            <w:tcW w:w="4007" w:type="pct"/>
            <w:tcBorders>
              <w:top w:val="single" w:sz="4" w:space="0" w:color="939598"/>
              <w:left w:val="single" w:sz="4" w:space="0" w:color="939598"/>
              <w:bottom w:val="single" w:sz="4" w:space="0" w:color="939598"/>
              <w:right w:val="single" w:sz="4" w:space="0" w:color="939598"/>
            </w:tcBorders>
          </w:tcPr>
          <w:p w14:paraId="3B905782" w14:textId="595097E7" w:rsidR="001B30DF" w:rsidRPr="00FC3B3B" w:rsidRDefault="001B30DF" w:rsidP="001B30DF">
            <w:pPr>
              <w:pStyle w:val="Table"/>
              <w:spacing w:before="100" w:after="100"/>
            </w:pPr>
            <w:r w:rsidRPr="00FC3B3B">
              <w:t xml:space="preserve">Have all superannuation contributions claimed for the year been </w:t>
            </w:r>
            <w:r>
              <w:t xml:space="preserve">received by a complying fund </w:t>
            </w:r>
            <w:r w:rsidRPr="00FC3B3B">
              <w:t>before year end? If not, have accrued superannuation contributions been added back?</w:t>
            </w:r>
          </w:p>
        </w:tc>
        <w:tc>
          <w:tcPr>
            <w:tcW w:w="352" w:type="pct"/>
            <w:tcBorders>
              <w:top w:val="single" w:sz="4" w:space="0" w:color="939598"/>
              <w:left w:val="single" w:sz="4" w:space="0" w:color="939598"/>
              <w:bottom w:val="single" w:sz="4" w:space="0" w:color="939598"/>
              <w:right w:val="single" w:sz="4" w:space="0" w:color="939598"/>
            </w:tcBorders>
          </w:tcPr>
          <w:p w14:paraId="2B79DB89" w14:textId="77777777" w:rsidR="001B30DF" w:rsidRPr="00FC3B3B" w:rsidRDefault="001B30DF" w:rsidP="001B30DF">
            <w:pPr>
              <w:pStyle w:val="Table"/>
              <w:spacing w:before="100" w:after="100"/>
            </w:pPr>
          </w:p>
        </w:tc>
        <w:tc>
          <w:tcPr>
            <w:tcW w:w="281" w:type="pct"/>
            <w:tcBorders>
              <w:top w:val="single" w:sz="4" w:space="0" w:color="939598"/>
              <w:left w:val="single" w:sz="4" w:space="0" w:color="939598"/>
              <w:bottom w:val="single" w:sz="4" w:space="0" w:color="939598"/>
              <w:right w:val="single" w:sz="4" w:space="0" w:color="939598"/>
            </w:tcBorders>
          </w:tcPr>
          <w:p w14:paraId="7CE7F148" w14:textId="77777777" w:rsidR="001B30DF" w:rsidRPr="00FC3B3B" w:rsidRDefault="001B30DF" w:rsidP="001B30DF">
            <w:pPr>
              <w:pStyle w:val="Table"/>
              <w:spacing w:before="100" w:after="100"/>
            </w:pPr>
          </w:p>
        </w:tc>
        <w:tc>
          <w:tcPr>
            <w:tcW w:w="360" w:type="pct"/>
            <w:tcBorders>
              <w:top w:val="single" w:sz="4" w:space="0" w:color="939598"/>
              <w:left w:val="single" w:sz="4" w:space="0" w:color="939598"/>
              <w:bottom w:val="single" w:sz="4" w:space="0" w:color="939598"/>
              <w:right w:val="single" w:sz="4" w:space="0" w:color="939598"/>
            </w:tcBorders>
          </w:tcPr>
          <w:p w14:paraId="6920412D" w14:textId="77777777" w:rsidR="001B30DF" w:rsidRPr="00FC3B3B" w:rsidRDefault="001B30DF" w:rsidP="001B30DF">
            <w:pPr>
              <w:pStyle w:val="Table"/>
              <w:spacing w:before="100" w:after="100"/>
            </w:pPr>
          </w:p>
        </w:tc>
      </w:tr>
      <w:tr w:rsidR="001B30DF" w:rsidRPr="00FC3B3B" w14:paraId="622A656A" w14:textId="77777777" w:rsidTr="001B30DF">
        <w:tc>
          <w:tcPr>
            <w:tcW w:w="4007" w:type="pct"/>
            <w:tcBorders>
              <w:top w:val="single" w:sz="4" w:space="0" w:color="939598"/>
              <w:left w:val="single" w:sz="4" w:space="0" w:color="939598"/>
              <w:bottom w:val="single" w:sz="4" w:space="0" w:color="939598"/>
              <w:right w:val="single" w:sz="4" w:space="0" w:color="939598"/>
            </w:tcBorders>
          </w:tcPr>
          <w:p w14:paraId="67EDB010" w14:textId="77777777" w:rsidR="001B30DF" w:rsidRDefault="001B30DF" w:rsidP="001B30DF">
            <w:pPr>
              <w:pStyle w:val="Table"/>
              <w:spacing w:before="100" w:after="100"/>
            </w:pPr>
            <w:r w:rsidRPr="00FC3B3B">
              <w:t>Has the entity provided the prescribed level of superannuation for each employee pursuant to the Superannuation Guarantee Scheme?</w:t>
            </w:r>
          </w:p>
          <w:p w14:paraId="38F48058" w14:textId="5B411708" w:rsidR="001B30DF" w:rsidRPr="00211718" w:rsidRDefault="001B30DF" w:rsidP="001B30DF">
            <w:pPr>
              <w:pStyle w:val="Table"/>
              <w:spacing w:before="100" w:after="100"/>
              <w:rPr>
                <w:sz w:val="15"/>
                <w:szCs w:val="15"/>
              </w:rPr>
            </w:pPr>
            <w:r w:rsidRPr="00211718">
              <w:rPr>
                <w:b/>
                <w:sz w:val="15"/>
                <w:szCs w:val="15"/>
              </w:rPr>
              <w:t>Note</w:t>
            </w:r>
            <w:r w:rsidRPr="00211718">
              <w:rPr>
                <w:sz w:val="15"/>
                <w:szCs w:val="15"/>
              </w:rPr>
              <w:t xml:space="preserve">: </w:t>
            </w:r>
            <w:r w:rsidRPr="00211718">
              <w:rPr>
                <w:rFonts w:cs="Arial"/>
                <w:sz w:val="15"/>
                <w:szCs w:val="15"/>
              </w:rPr>
              <w:t xml:space="preserve">the </w:t>
            </w:r>
            <w:r w:rsidRPr="00211718">
              <w:rPr>
                <w:rFonts w:cs="Arial"/>
                <w:i/>
                <w:sz w:val="15"/>
                <w:szCs w:val="15"/>
              </w:rPr>
              <w:t>Treasury Laws Amendment (Improving Accountability and Member Outcomes in Superannuation Measures No. 2) Bill 2017</w:t>
            </w:r>
            <w:r w:rsidRPr="00211718">
              <w:rPr>
                <w:rFonts w:cs="Arial"/>
                <w:sz w:val="15"/>
                <w:szCs w:val="15"/>
              </w:rPr>
              <w:t xml:space="preserve"> proposes to amend the ordinary times earnings base on which the 9.5% superannuation guarantee percentage is calculated from 1 July 2018 to include any amount that has been voluntarily salary sacrificed into superannuation that would otherwise have been regarded as ordinary time earnings. Should the amending Bill be enacted it may be necessary to review the calculation of superannuation guarantee contributions made in respect of employees making such salary sacrificed contributions for the 2019 year where the employer has previously calculated superannuation guarantee contributions on an ordinary time earnings excluding salary sacrifice contributions.</w:t>
            </w:r>
          </w:p>
        </w:tc>
        <w:tc>
          <w:tcPr>
            <w:tcW w:w="352" w:type="pct"/>
            <w:tcBorders>
              <w:top w:val="single" w:sz="4" w:space="0" w:color="939598"/>
              <w:left w:val="single" w:sz="4" w:space="0" w:color="939598"/>
              <w:bottom w:val="single" w:sz="4" w:space="0" w:color="939598"/>
              <w:right w:val="single" w:sz="4" w:space="0" w:color="939598"/>
            </w:tcBorders>
          </w:tcPr>
          <w:p w14:paraId="16EC7E46" w14:textId="77777777" w:rsidR="001B30DF" w:rsidRPr="00FC3B3B" w:rsidRDefault="001B30DF" w:rsidP="001B30DF">
            <w:pPr>
              <w:pStyle w:val="Table"/>
              <w:spacing w:before="100" w:after="100"/>
            </w:pPr>
          </w:p>
        </w:tc>
        <w:tc>
          <w:tcPr>
            <w:tcW w:w="281" w:type="pct"/>
            <w:tcBorders>
              <w:top w:val="single" w:sz="4" w:space="0" w:color="939598"/>
              <w:left w:val="single" w:sz="4" w:space="0" w:color="939598"/>
              <w:bottom w:val="single" w:sz="4" w:space="0" w:color="939598"/>
              <w:right w:val="single" w:sz="4" w:space="0" w:color="939598"/>
            </w:tcBorders>
          </w:tcPr>
          <w:p w14:paraId="09B4EFCA" w14:textId="77777777" w:rsidR="001B30DF" w:rsidRPr="00FC3B3B" w:rsidRDefault="001B30DF" w:rsidP="001B30DF">
            <w:pPr>
              <w:pStyle w:val="Table"/>
              <w:spacing w:before="100" w:after="100"/>
            </w:pPr>
          </w:p>
        </w:tc>
        <w:tc>
          <w:tcPr>
            <w:tcW w:w="360" w:type="pct"/>
            <w:tcBorders>
              <w:top w:val="single" w:sz="4" w:space="0" w:color="939598"/>
              <w:left w:val="single" w:sz="4" w:space="0" w:color="939598"/>
              <w:bottom w:val="single" w:sz="4" w:space="0" w:color="939598"/>
              <w:right w:val="single" w:sz="4" w:space="0" w:color="939598"/>
            </w:tcBorders>
          </w:tcPr>
          <w:p w14:paraId="7D5FE03C" w14:textId="77777777" w:rsidR="001B30DF" w:rsidRPr="00FC3B3B" w:rsidRDefault="001B30DF" w:rsidP="001B30DF">
            <w:pPr>
              <w:pStyle w:val="Table"/>
              <w:spacing w:before="100" w:after="100"/>
            </w:pPr>
          </w:p>
        </w:tc>
      </w:tr>
      <w:tr w:rsidR="00EF436D" w:rsidRPr="00FC3B3B" w14:paraId="37A6BEAA" w14:textId="77777777" w:rsidTr="001B30DF">
        <w:tc>
          <w:tcPr>
            <w:tcW w:w="4007" w:type="pct"/>
            <w:tcBorders>
              <w:top w:val="single" w:sz="4" w:space="0" w:color="939598"/>
              <w:left w:val="single" w:sz="4" w:space="0" w:color="939598"/>
              <w:bottom w:val="single" w:sz="4" w:space="0" w:color="939598"/>
              <w:right w:val="single" w:sz="4" w:space="0" w:color="939598"/>
            </w:tcBorders>
          </w:tcPr>
          <w:p w14:paraId="59EE2A2A" w14:textId="77777777" w:rsidR="00EF436D" w:rsidRDefault="00EF436D" w:rsidP="00EF436D">
            <w:pPr>
              <w:pStyle w:val="Table"/>
              <w:spacing w:before="100" w:after="100"/>
            </w:pPr>
            <w:r w:rsidRPr="00FC3B3B">
              <w:t>Has a Superannuation Guarantee charge amount been paid by the ent</w:t>
            </w:r>
            <w:r>
              <w:t xml:space="preserve">ity? </w:t>
            </w:r>
          </w:p>
          <w:p w14:paraId="20D474A9" w14:textId="77777777" w:rsidR="00EF436D" w:rsidRDefault="00EF436D" w:rsidP="00EF436D">
            <w:pPr>
              <w:pStyle w:val="Table"/>
              <w:spacing w:before="100" w:after="100"/>
            </w:pPr>
            <w:r>
              <w:t>If so, has the amount been </w:t>
            </w:r>
            <w:r w:rsidRPr="00FC3B3B">
              <w:t>added back as non-deductible? If a late superannuation contribution was offset against the superannuation guarantee charge, the offset amount is not deductible.</w:t>
            </w:r>
          </w:p>
          <w:p w14:paraId="5B9609AA" w14:textId="118C4459" w:rsidR="00EF436D" w:rsidRPr="00FC3B3B" w:rsidRDefault="00EF436D" w:rsidP="00EF436D">
            <w:pPr>
              <w:pStyle w:val="Table"/>
              <w:spacing w:before="100" w:after="100"/>
            </w:pPr>
            <w:r w:rsidRPr="00211718">
              <w:rPr>
                <w:b/>
                <w:sz w:val="15"/>
                <w:szCs w:val="15"/>
              </w:rPr>
              <w:t>Note</w:t>
            </w:r>
            <w:r w:rsidRPr="00211718">
              <w:rPr>
                <w:sz w:val="15"/>
                <w:szCs w:val="15"/>
              </w:rPr>
              <w:t>: from 1 July 2012 directors of a company can be held personally liable for unpaid superannuation guarantee amounts.</w:t>
            </w:r>
          </w:p>
        </w:tc>
        <w:tc>
          <w:tcPr>
            <w:tcW w:w="352" w:type="pct"/>
            <w:tcBorders>
              <w:top w:val="single" w:sz="4" w:space="0" w:color="939598"/>
              <w:left w:val="single" w:sz="4" w:space="0" w:color="939598"/>
              <w:bottom w:val="single" w:sz="4" w:space="0" w:color="939598"/>
              <w:right w:val="single" w:sz="4" w:space="0" w:color="939598"/>
            </w:tcBorders>
          </w:tcPr>
          <w:p w14:paraId="25FDB047" w14:textId="77777777" w:rsidR="00EF436D" w:rsidRPr="00FC3B3B" w:rsidRDefault="00EF436D" w:rsidP="001B30DF">
            <w:pPr>
              <w:pStyle w:val="Table"/>
              <w:spacing w:before="100" w:after="100"/>
            </w:pPr>
          </w:p>
        </w:tc>
        <w:tc>
          <w:tcPr>
            <w:tcW w:w="281" w:type="pct"/>
            <w:tcBorders>
              <w:top w:val="single" w:sz="4" w:space="0" w:color="939598"/>
              <w:left w:val="single" w:sz="4" w:space="0" w:color="939598"/>
              <w:bottom w:val="single" w:sz="4" w:space="0" w:color="939598"/>
              <w:right w:val="single" w:sz="4" w:space="0" w:color="939598"/>
            </w:tcBorders>
          </w:tcPr>
          <w:p w14:paraId="10604E64" w14:textId="77777777" w:rsidR="00EF436D" w:rsidRPr="00FC3B3B" w:rsidRDefault="00EF436D" w:rsidP="001B30DF">
            <w:pPr>
              <w:pStyle w:val="Table"/>
              <w:spacing w:before="100" w:after="100"/>
            </w:pPr>
          </w:p>
        </w:tc>
        <w:tc>
          <w:tcPr>
            <w:tcW w:w="360" w:type="pct"/>
            <w:tcBorders>
              <w:top w:val="single" w:sz="4" w:space="0" w:color="939598"/>
              <w:left w:val="single" w:sz="4" w:space="0" w:color="939598"/>
              <w:bottom w:val="single" w:sz="4" w:space="0" w:color="939598"/>
              <w:right w:val="single" w:sz="4" w:space="0" w:color="939598"/>
            </w:tcBorders>
          </w:tcPr>
          <w:p w14:paraId="59AC0773" w14:textId="77777777" w:rsidR="00EF436D" w:rsidRPr="00FC3B3B" w:rsidRDefault="00EF436D" w:rsidP="001B30DF">
            <w:pPr>
              <w:pStyle w:val="Table"/>
              <w:spacing w:before="100" w:after="100"/>
            </w:pPr>
          </w:p>
        </w:tc>
      </w:tr>
      <w:tr w:rsidR="00EF436D" w:rsidRPr="00FC3B3B" w14:paraId="1826E8DF" w14:textId="77777777" w:rsidTr="00034F35">
        <w:tc>
          <w:tcPr>
            <w:tcW w:w="5000" w:type="pct"/>
            <w:gridSpan w:val="4"/>
            <w:tcBorders>
              <w:top w:val="single" w:sz="4" w:space="0" w:color="939598"/>
              <w:bottom w:val="single" w:sz="4" w:space="0" w:color="939598"/>
            </w:tcBorders>
            <w:shd w:val="clear" w:color="auto" w:fill="D9D9D9" w:themeFill="background1" w:themeFillShade="D9"/>
          </w:tcPr>
          <w:p w14:paraId="73B23EFA" w14:textId="13C487DC" w:rsidR="00EF436D" w:rsidRPr="00EF436D" w:rsidRDefault="00EF436D" w:rsidP="00EF436D">
            <w:pPr>
              <w:pStyle w:val="Table"/>
              <w:spacing w:before="100" w:after="100"/>
              <w:rPr>
                <w:b/>
              </w:rPr>
            </w:pPr>
            <w:r w:rsidRPr="00EF436D">
              <w:rPr>
                <w:rFonts w:cs="Arial"/>
                <w:b/>
              </w:rPr>
              <w:t xml:space="preserve">CAPITAL GAINS </w:t>
            </w:r>
          </w:p>
        </w:tc>
      </w:tr>
      <w:tr w:rsidR="00EF436D" w:rsidRPr="00FC3B3B" w14:paraId="740BCEFC" w14:textId="77777777" w:rsidTr="001B30DF">
        <w:tc>
          <w:tcPr>
            <w:tcW w:w="4007" w:type="pct"/>
            <w:tcBorders>
              <w:top w:val="single" w:sz="4" w:space="0" w:color="939598"/>
              <w:left w:val="single" w:sz="4" w:space="0" w:color="939598"/>
              <w:bottom w:val="single" w:sz="4" w:space="0" w:color="939598"/>
              <w:right w:val="single" w:sz="4" w:space="0" w:color="939598"/>
            </w:tcBorders>
          </w:tcPr>
          <w:p w14:paraId="25A13578" w14:textId="77777777" w:rsidR="00EF436D" w:rsidRDefault="00EF436D" w:rsidP="00EF436D">
            <w:pPr>
              <w:pStyle w:val="Table"/>
              <w:spacing w:before="100" w:after="100"/>
            </w:pPr>
            <w:r>
              <w:t>Have all capital gains arising under the CGT provisions for the 2018 year been correctly identified?</w:t>
            </w:r>
          </w:p>
          <w:p w14:paraId="7734541A" w14:textId="348D0D4B" w:rsidR="00EF436D" w:rsidRPr="00FC3B3B" w:rsidRDefault="00EF436D" w:rsidP="00EF436D">
            <w:pPr>
              <w:pStyle w:val="Table"/>
              <w:spacing w:before="100" w:after="100"/>
            </w:pPr>
            <w:r>
              <w:t>Are any of these capital gains exempt?</w:t>
            </w:r>
          </w:p>
        </w:tc>
        <w:tc>
          <w:tcPr>
            <w:tcW w:w="352" w:type="pct"/>
            <w:tcBorders>
              <w:top w:val="single" w:sz="4" w:space="0" w:color="939598"/>
              <w:left w:val="single" w:sz="4" w:space="0" w:color="939598"/>
              <w:bottom w:val="single" w:sz="4" w:space="0" w:color="939598"/>
              <w:right w:val="single" w:sz="4" w:space="0" w:color="939598"/>
            </w:tcBorders>
          </w:tcPr>
          <w:p w14:paraId="2D8B556B" w14:textId="77777777" w:rsidR="00EF436D" w:rsidRPr="00FC3B3B" w:rsidRDefault="00EF436D" w:rsidP="001B30DF">
            <w:pPr>
              <w:pStyle w:val="Table"/>
              <w:spacing w:before="100" w:after="100"/>
            </w:pPr>
          </w:p>
        </w:tc>
        <w:tc>
          <w:tcPr>
            <w:tcW w:w="281" w:type="pct"/>
            <w:tcBorders>
              <w:top w:val="single" w:sz="4" w:space="0" w:color="939598"/>
              <w:left w:val="single" w:sz="4" w:space="0" w:color="939598"/>
              <w:bottom w:val="single" w:sz="4" w:space="0" w:color="939598"/>
              <w:right w:val="single" w:sz="4" w:space="0" w:color="939598"/>
            </w:tcBorders>
          </w:tcPr>
          <w:p w14:paraId="5558B9F8" w14:textId="77777777" w:rsidR="00EF436D" w:rsidRPr="00FC3B3B" w:rsidRDefault="00EF436D" w:rsidP="001B30DF">
            <w:pPr>
              <w:pStyle w:val="Table"/>
              <w:spacing w:before="100" w:after="100"/>
            </w:pPr>
          </w:p>
        </w:tc>
        <w:tc>
          <w:tcPr>
            <w:tcW w:w="360" w:type="pct"/>
            <w:tcBorders>
              <w:top w:val="single" w:sz="4" w:space="0" w:color="939598"/>
              <w:left w:val="single" w:sz="4" w:space="0" w:color="939598"/>
              <w:bottom w:val="single" w:sz="4" w:space="0" w:color="939598"/>
              <w:right w:val="single" w:sz="4" w:space="0" w:color="939598"/>
            </w:tcBorders>
          </w:tcPr>
          <w:p w14:paraId="47E33F9A" w14:textId="77777777" w:rsidR="00EF436D" w:rsidRPr="00FC3B3B" w:rsidRDefault="00EF436D" w:rsidP="001B30DF">
            <w:pPr>
              <w:pStyle w:val="Table"/>
              <w:spacing w:before="100" w:after="100"/>
            </w:pPr>
          </w:p>
        </w:tc>
      </w:tr>
    </w:tbl>
    <w:p w14:paraId="71896F8E" w14:textId="77777777" w:rsidR="00EF436D" w:rsidRDefault="00EF436D">
      <w:r>
        <w:rPr>
          <w:b/>
        </w:rPr>
        <w:br w:type="page"/>
      </w:r>
    </w:p>
    <w:tbl>
      <w:tblPr>
        <w:tblW w:w="5000" w:type="pct"/>
        <w:tblBorders>
          <w:top w:val="single" w:sz="4" w:space="0" w:color="939598"/>
          <w:left w:val="single" w:sz="4" w:space="0" w:color="939598"/>
          <w:bottom w:val="single" w:sz="4" w:space="0" w:color="939598"/>
          <w:right w:val="single" w:sz="4" w:space="0" w:color="939598"/>
        </w:tblBorders>
        <w:tblLayout w:type="fixed"/>
        <w:tblLook w:val="00A0" w:firstRow="1" w:lastRow="0" w:firstColumn="1" w:lastColumn="0" w:noHBand="0" w:noVBand="0"/>
      </w:tblPr>
      <w:tblGrid>
        <w:gridCol w:w="8075"/>
        <w:gridCol w:w="709"/>
        <w:gridCol w:w="566"/>
        <w:gridCol w:w="725"/>
      </w:tblGrid>
      <w:tr w:rsidR="003667BC" w:rsidRPr="00DA4DA8" w14:paraId="1C72551D" w14:textId="77777777" w:rsidTr="00EF436D">
        <w:tc>
          <w:tcPr>
            <w:tcW w:w="4007" w:type="pct"/>
            <w:tcBorders>
              <w:top w:val="single" w:sz="4" w:space="0" w:color="939598"/>
              <w:bottom w:val="single" w:sz="4" w:space="0" w:color="939598"/>
              <w:right w:val="single" w:sz="4" w:space="0" w:color="939598"/>
            </w:tcBorders>
            <w:shd w:val="clear" w:color="auto" w:fill="0F243E" w:themeFill="text2" w:themeFillShade="80"/>
          </w:tcPr>
          <w:p w14:paraId="77BF0DCA" w14:textId="5F38ADB5" w:rsidR="003667BC" w:rsidRPr="00DA4DA8" w:rsidRDefault="003667BC" w:rsidP="00D0554E">
            <w:pPr>
              <w:pStyle w:val="Tableheading"/>
              <w:rPr>
                <w:rFonts w:cs="Arial"/>
              </w:rPr>
            </w:pPr>
            <w:r w:rsidRPr="00CC31E6">
              <w:rPr>
                <w:sz w:val="18"/>
              </w:rPr>
              <w:lastRenderedPageBreak/>
              <w:t>S</w:t>
            </w:r>
            <w:r w:rsidR="00597CDB">
              <w:rPr>
                <w:sz w:val="18"/>
              </w:rPr>
              <w:t>TATEMENT OF COMPREHENSIVE INCOME</w:t>
            </w:r>
            <w:r w:rsidRPr="00CC31E6">
              <w:rPr>
                <w:sz w:val="18"/>
              </w:rPr>
              <w:t xml:space="preserve"> (P</w:t>
            </w:r>
            <w:r w:rsidR="00597CDB">
              <w:rPr>
                <w:sz w:val="18"/>
              </w:rPr>
              <w:t>ROFIT AND LOSS</w:t>
            </w:r>
            <w:r w:rsidRPr="00CC31E6">
              <w:rPr>
                <w:sz w:val="18"/>
              </w:rPr>
              <w:t>)</w:t>
            </w:r>
          </w:p>
        </w:tc>
        <w:tc>
          <w:tcPr>
            <w:tcW w:w="352" w:type="pct"/>
            <w:tcBorders>
              <w:top w:val="single" w:sz="4" w:space="0" w:color="939598"/>
              <w:left w:val="single" w:sz="4" w:space="0" w:color="939598"/>
              <w:bottom w:val="single" w:sz="4" w:space="0" w:color="939598"/>
              <w:right w:val="single" w:sz="4" w:space="0" w:color="939598"/>
            </w:tcBorders>
            <w:shd w:val="clear" w:color="auto" w:fill="0F243E" w:themeFill="text2" w:themeFillShade="80"/>
          </w:tcPr>
          <w:p w14:paraId="7780E974" w14:textId="784E2500" w:rsidR="003667BC" w:rsidRPr="00DA4DA8" w:rsidRDefault="003667BC" w:rsidP="00D0554E">
            <w:pPr>
              <w:pStyle w:val="Tableheading"/>
            </w:pPr>
            <w:r w:rsidRPr="005A1539">
              <w:rPr>
                <w:sz w:val="18"/>
              </w:rPr>
              <w:t>Y</w:t>
            </w:r>
            <w:r w:rsidR="00597CDB">
              <w:rPr>
                <w:sz w:val="18"/>
              </w:rPr>
              <w:t>ES</w:t>
            </w:r>
          </w:p>
        </w:tc>
        <w:tc>
          <w:tcPr>
            <w:tcW w:w="281" w:type="pct"/>
            <w:tcBorders>
              <w:top w:val="single" w:sz="4" w:space="0" w:color="939598"/>
              <w:left w:val="single" w:sz="4" w:space="0" w:color="939598"/>
              <w:bottom w:val="single" w:sz="4" w:space="0" w:color="939598"/>
              <w:right w:val="single" w:sz="4" w:space="0" w:color="939598"/>
            </w:tcBorders>
            <w:shd w:val="clear" w:color="auto" w:fill="0F243E" w:themeFill="text2" w:themeFillShade="80"/>
          </w:tcPr>
          <w:p w14:paraId="2788F6B6" w14:textId="4BC20D88" w:rsidR="003667BC" w:rsidRPr="00DA4DA8" w:rsidRDefault="00597CDB" w:rsidP="00D0554E">
            <w:pPr>
              <w:pStyle w:val="Tableheading"/>
            </w:pPr>
            <w:r>
              <w:rPr>
                <w:sz w:val="18"/>
              </w:rPr>
              <w:t>NO</w:t>
            </w:r>
          </w:p>
        </w:tc>
        <w:tc>
          <w:tcPr>
            <w:tcW w:w="360" w:type="pct"/>
            <w:tcBorders>
              <w:top w:val="single" w:sz="4" w:space="0" w:color="939598"/>
              <w:left w:val="single" w:sz="4" w:space="0" w:color="939598"/>
              <w:bottom w:val="single" w:sz="4" w:space="0" w:color="939598"/>
              <w:right w:val="single" w:sz="4" w:space="0" w:color="939598"/>
            </w:tcBorders>
            <w:shd w:val="clear" w:color="auto" w:fill="0F243E" w:themeFill="text2" w:themeFillShade="80"/>
          </w:tcPr>
          <w:p w14:paraId="4C6D696D" w14:textId="77777777" w:rsidR="003667BC" w:rsidRPr="00DA4DA8" w:rsidRDefault="003667BC" w:rsidP="00D0554E">
            <w:pPr>
              <w:pStyle w:val="Tableheading"/>
            </w:pPr>
            <w:r w:rsidRPr="005A1539">
              <w:rPr>
                <w:sz w:val="18"/>
              </w:rPr>
              <w:t>N/A</w:t>
            </w:r>
          </w:p>
        </w:tc>
      </w:tr>
      <w:tr w:rsidR="00990CCA" w:rsidRPr="00DA4DA8" w14:paraId="0CA87366" w14:textId="77777777" w:rsidTr="00990CCA">
        <w:tc>
          <w:tcPr>
            <w:tcW w:w="5000" w:type="pct"/>
            <w:gridSpan w:val="4"/>
            <w:tcBorders>
              <w:top w:val="single" w:sz="4" w:space="0" w:color="939598"/>
              <w:bottom w:val="single" w:sz="4" w:space="0" w:color="939598"/>
            </w:tcBorders>
            <w:shd w:val="clear" w:color="auto" w:fill="D9D9D9" w:themeFill="background1" w:themeFillShade="D9"/>
          </w:tcPr>
          <w:p w14:paraId="20FC5DD5" w14:textId="103AD273" w:rsidR="00990CCA" w:rsidRPr="00DA4DA8" w:rsidRDefault="00990CCA" w:rsidP="00D0554E">
            <w:pPr>
              <w:pStyle w:val="Tableheading"/>
            </w:pPr>
            <w:r w:rsidRPr="00DA4DA8">
              <w:rPr>
                <w:rFonts w:cs="Arial"/>
              </w:rPr>
              <w:t>C</w:t>
            </w:r>
            <w:r w:rsidR="00EF436D">
              <w:rPr>
                <w:rFonts w:cs="Arial"/>
              </w:rPr>
              <w:t>APITAL GAINS (continued)</w:t>
            </w:r>
            <w:r w:rsidRPr="00DA4DA8">
              <w:rPr>
                <w:rFonts w:cs="Arial"/>
              </w:rPr>
              <w:t xml:space="preserve"> </w:t>
            </w:r>
          </w:p>
        </w:tc>
      </w:tr>
      <w:tr w:rsidR="0058162B" w:rsidRPr="00FC3B3B" w14:paraId="615AC959" w14:textId="77777777" w:rsidTr="00EF436D">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Ex>
        <w:tc>
          <w:tcPr>
            <w:tcW w:w="4007" w:type="pct"/>
            <w:tcBorders>
              <w:top w:val="single" w:sz="4" w:space="0" w:color="939598"/>
              <w:left w:val="single" w:sz="4" w:space="0" w:color="939598"/>
              <w:bottom w:val="single" w:sz="4" w:space="0" w:color="939598"/>
              <w:right w:val="single" w:sz="4" w:space="0" w:color="939598"/>
            </w:tcBorders>
          </w:tcPr>
          <w:p w14:paraId="6191EC11" w14:textId="6361DAAA" w:rsidR="00E90156" w:rsidRDefault="0058162B" w:rsidP="00D0554E">
            <w:pPr>
              <w:pStyle w:val="Table"/>
              <w:spacing w:before="100" w:after="100"/>
            </w:pPr>
            <w:r>
              <w:t>Did the company apply any CGT rollover relief in respect of disposals of CGT assets</w:t>
            </w:r>
            <w:r w:rsidR="00E90156">
              <w:t xml:space="preserve"> during the 2018 year?</w:t>
            </w:r>
          </w:p>
          <w:p w14:paraId="0F89C98B" w14:textId="637D30F7" w:rsidR="0058162B" w:rsidRPr="00211718" w:rsidRDefault="00E90156" w:rsidP="00D0554E">
            <w:pPr>
              <w:pStyle w:val="Table"/>
              <w:spacing w:before="100" w:after="100"/>
              <w:rPr>
                <w:sz w:val="15"/>
                <w:szCs w:val="15"/>
              </w:rPr>
            </w:pPr>
            <w:r w:rsidRPr="00211718">
              <w:rPr>
                <w:b/>
                <w:sz w:val="15"/>
                <w:szCs w:val="15"/>
              </w:rPr>
              <w:t>Note</w:t>
            </w:r>
            <w:r w:rsidRPr="00211718">
              <w:rPr>
                <w:sz w:val="15"/>
                <w:szCs w:val="15"/>
              </w:rPr>
              <w:t xml:space="preserve">: a company which is a small business entity may apply small business CGT restructure rollover relief where the eligibility conditions set out in </w:t>
            </w:r>
            <w:r w:rsidR="002D6B9C" w:rsidRPr="00211718">
              <w:rPr>
                <w:sz w:val="15"/>
                <w:szCs w:val="15"/>
              </w:rPr>
              <w:t>S</w:t>
            </w:r>
            <w:r w:rsidRPr="00211718">
              <w:rPr>
                <w:sz w:val="15"/>
                <w:szCs w:val="15"/>
              </w:rPr>
              <w:t>ubdivision 328</w:t>
            </w:r>
            <w:r w:rsidR="002D6B9C" w:rsidRPr="00211718">
              <w:rPr>
                <w:sz w:val="15"/>
                <w:szCs w:val="15"/>
              </w:rPr>
              <w:t>-</w:t>
            </w:r>
            <w:r w:rsidRPr="00211718">
              <w:rPr>
                <w:sz w:val="15"/>
                <w:szCs w:val="15"/>
              </w:rPr>
              <w:t xml:space="preserve">G of the </w:t>
            </w:r>
            <w:r w:rsidR="002D6B9C" w:rsidRPr="00211718">
              <w:rPr>
                <w:i/>
                <w:sz w:val="15"/>
                <w:szCs w:val="15"/>
              </w:rPr>
              <w:t>I</w:t>
            </w:r>
            <w:r w:rsidRPr="00211718">
              <w:rPr>
                <w:i/>
                <w:sz w:val="15"/>
                <w:szCs w:val="15"/>
              </w:rPr>
              <w:t xml:space="preserve">ncome </w:t>
            </w:r>
            <w:r w:rsidR="002D6B9C" w:rsidRPr="00211718">
              <w:rPr>
                <w:i/>
                <w:sz w:val="15"/>
                <w:szCs w:val="15"/>
              </w:rPr>
              <w:t>T</w:t>
            </w:r>
            <w:r w:rsidRPr="00211718">
              <w:rPr>
                <w:i/>
                <w:sz w:val="15"/>
                <w:szCs w:val="15"/>
              </w:rPr>
              <w:t xml:space="preserve">ax </w:t>
            </w:r>
            <w:r w:rsidR="002D6B9C" w:rsidRPr="00211718">
              <w:rPr>
                <w:i/>
                <w:sz w:val="15"/>
                <w:szCs w:val="15"/>
              </w:rPr>
              <w:t>A</w:t>
            </w:r>
            <w:r w:rsidRPr="00211718">
              <w:rPr>
                <w:i/>
                <w:sz w:val="15"/>
                <w:szCs w:val="15"/>
              </w:rPr>
              <w:t xml:space="preserve">ssessment </w:t>
            </w:r>
            <w:r w:rsidR="002D6B9C" w:rsidRPr="00211718">
              <w:rPr>
                <w:i/>
                <w:sz w:val="15"/>
                <w:szCs w:val="15"/>
              </w:rPr>
              <w:t>A</w:t>
            </w:r>
            <w:r w:rsidRPr="00211718">
              <w:rPr>
                <w:i/>
                <w:sz w:val="15"/>
                <w:szCs w:val="15"/>
              </w:rPr>
              <w:t>ct (1997)</w:t>
            </w:r>
            <w:r w:rsidRPr="00211718">
              <w:rPr>
                <w:sz w:val="15"/>
                <w:szCs w:val="15"/>
              </w:rPr>
              <w:t xml:space="preserve"> have been satisfied. To recap</w:t>
            </w:r>
            <w:r w:rsidR="00F136C0">
              <w:rPr>
                <w:sz w:val="15"/>
                <w:szCs w:val="15"/>
              </w:rPr>
              <w:t>,</w:t>
            </w:r>
            <w:r w:rsidRPr="00211718">
              <w:rPr>
                <w:sz w:val="15"/>
                <w:szCs w:val="15"/>
              </w:rPr>
              <w:t xml:space="preserve"> a company will be a small business entity for the 2018 year where it carries on business and its aggregated turnover is less than $10 million</w:t>
            </w:r>
            <w:r w:rsidR="00DE1FC8" w:rsidRPr="00211718">
              <w:rPr>
                <w:sz w:val="15"/>
                <w:szCs w:val="15"/>
              </w:rPr>
              <w:t>.</w:t>
            </w:r>
            <w:r w:rsidR="0058162B" w:rsidRPr="00211718">
              <w:rPr>
                <w:sz w:val="15"/>
                <w:szCs w:val="15"/>
              </w:rPr>
              <w:t xml:space="preserve">   </w:t>
            </w:r>
          </w:p>
        </w:tc>
        <w:tc>
          <w:tcPr>
            <w:tcW w:w="352" w:type="pct"/>
            <w:tcBorders>
              <w:top w:val="single" w:sz="4" w:space="0" w:color="939598"/>
              <w:left w:val="single" w:sz="4" w:space="0" w:color="939598"/>
              <w:bottom w:val="single" w:sz="4" w:space="0" w:color="939598"/>
              <w:right w:val="single" w:sz="4" w:space="0" w:color="939598"/>
            </w:tcBorders>
          </w:tcPr>
          <w:p w14:paraId="340594B1" w14:textId="77777777" w:rsidR="0058162B" w:rsidRPr="00FC3B3B" w:rsidRDefault="0058162B" w:rsidP="00D0554E">
            <w:pPr>
              <w:pStyle w:val="Table"/>
              <w:spacing w:before="100" w:after="100"/>
            </w:pPr>
          </w:p>
        </w:tc>
        <w:tc>
          <w:tcPr>
            <w:tcW w:w="281" w:type="pct"/>
            <w:tcBorders>
              <w:top w:val="single" w:sz="4" w:space="0" w:color="939598"/>
              <w:left w:val="single" w:sz="4" w:space="0" w:color="939598"/>
              <w:bottom w:val="single" w:sz="4" w:space="0" w:color="939598"/>
              <w:right w:val="single" w:sz="4" w:space="0" w:color="939598"/>
            </w:tcBorders>
          </w:tcPr>
          <w:p w14:paraId="552610CF" w14:textId="77777777" w:rsidR="0058162B" w:rsidRPr="00FC3B3B" w:rsidRDefault="0058162B" w:rsidP="00D0554E">
            <w:pPr>
              <w:pStyle w:val="Table"/>
              <w:spacing w:before="100" w:after="100"/>
            </w:pPr>
          </w:p>
        </w:tc>
        <w:tc>
          <w:tcPr>
            <w:tcW w:w="360" w:type="pct"/>
            <w:tcBorders>
              <w:top w:val="single" w:sz="4" w:space="0" w:color="939598"/>
              <w:left w:val="single" w:sz="4" w:space="0" w:color="939598"/>
              <w:bottom w:val="single" w:sz="4" w:space="0" w:color="939598"/>
              <w:right w:val="single" w:sz="4" w:space="0" w:color="939598"/>
            </w:tcBorders>
          </w:tcPr>
          <w:p w14:paraId="305FAC1E" w14:textId="77777777" w:rsidR="0058162B" w:rsidRPr="00FC3B3B" w:rsidRDefault="0058162B" w:rsidP="00D0554E">
            <w:pPr>
              <w:pStyle w:val="Table"/>
              <w:spacing w:before="100" w:after="100"/>
            </w:pPr>
          </w:p>
        </w:tc>
      </w:tr>
      <w:tr w:rsidR="00891EBC" w:rsidRPr="00FC3B3B" w14:paraId="2A4793B8" w14:textId="77777777" w:rsidTr="00EF436D">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Ex>
        <w:tc>
          <w:tcPr>
            <w:tcW w:w="4007" w:type="pct"/>
            <w:tcBorders>
              <w:top w:val="single" w:sz="4" w:space="0" w:color="939598"/>
              <w:left w:val="single" w:sz="4" w:space="0" w:color="939598"/>
              <w:bottom w:val="single" w:sz="4" w:space="0" w:color="939598"/>
              <w:right w:val="single" w:sz="4" w:space="0" w:color="939598"/>
            </w:tcBorders>
          </w:tcPr>
          <w:p w14:paraId="1339278D" w14:textId="1266D731" w:rsidR="00891EBC" w:rsidRDefault="00891EBC" w:rsidP="00D0554E">
            <w:pPr>
              <w:pStyle w:val="Table"/>
              <w:spacing w:before="100" w:after="100"/>
            </w:pPr>
            <w:r>
              <w:t>Have all elements of the cost base of a CGT asset be considered in relation to any CGT event occurring in relation to that CGT asset for the year ended 30 June 2018? In particular</w:t>
            </w:r>
            <w:r w:rsidR="00F136C0">
              <w:t>,</w:t>
            </w:r>
            <w:r>
              <w:t xml:space="preserve"> have all eligible incidental costs on acquisition and disposal be considered as well as any capital improvements in the cost base of the asset? Does the market valuation substitution rule apply?</w:t>
            </w:r>
          </w:p>
        </w:tc>
        <w:tc>
          <w:tcPr>
            <w:tcW w:w="352" w:type="pct"/>
            <w:tcBorders>
              <w:top w:val="single" w:sz="4" w:space="0" w:color="939598"/>
              <w:left w:val="single" w:sz="4" w:space="0" w:color="939598"/>
              <w:bottom w:val="single" w:sz="4" w:space="0" w:color="939598"/>
              <w:right w:val="single" w:sz="4" w:space="0" w:color="939598"/>
            </w:tcBorders>
          </w:tcPr>
          <w:p w14:paraId="12AF004D" w14:textId="77777777" w:rsidR="00891EBC" w:rsidRPr="00FC3B3B" w:rsidRDefault="00891EBC" w:rsidP="00D0554E">
            <w:pPr>
              <w:pStyle w:val="Table"/>
              <w:spacing w:before="100" w:after="100"/>
            </w:pPr>
          </w:p>
        </w:tc>
        <w:tc>
          <w:tcPr>
            <w:tcW w:w="281" w:type="pct"/>
            <w:tcBorders>
              <w:top w:val="single" w:sz="4" w:space="0" w:color="939598"/>
              <w:left w:val="single" w:sz="4" w:space="0" w:color="939598"/>
              <w:bottom w:val="single" w:sz="4" w:space="0" w:color="939598"/>
              <w:right w:val="single" w:sz="4" w:space="0" w:color="939598"/>
            </w:tcBorders>
          </w:tcPr>
          <w:p w14:paraId="5EAB46AA" w14:textId="77777777" w:rsidR="00891EBC" w:rsidRPr="00FC3B3B" w:rsidRDefault="00891EBC" w:rsidP="00D0554E">
            <w:pPr>
              <w:pStyle w:val="Table"/>
              <w:spacing w:before="100" w:after="100"/>
            </w:pPr>
          </w:p>
        </w:tc>
        <w:tc>
          <w:tcPr>
            <w:tcW w:w="360" w:type="pct"/>
            <w:tcBorders>
              <w:top w:val="single" w:sz="4" w:space="0" w:color="939598"/>
              <w:left w:val="single" w:sz="4" w:space="0" w:color="939598"/>
              <w:bottom w:val="single" w:sz="4" w:space="0" w:color="939598"/>
              <w:right w:val="single" w:sz="4" w:space="0" w:color="939598"/>
            </w:tcBorders>
          </w:tcPr>
          <w:p w14:paraId="6BC2C68A" w14:textId="77777777" w:rsidR="00891EBC" w:rsidRPr="00FC3B3B" w:rsidRDefault="00891EBC" w:rsidP="00D0554E">
            <w:pPr>
              <w:pStyle w:val="Table"/>
              <w:spacing w:before="100" w:after="100"/>
            </w:pPr>
          </w:p>
        </w:tc>
      </w:tr>
      <w:tr w:rsidR="00891EBC" w:rsidRPr="00FC3B3B" w14:paraId="6A8839A6" w14:textId="77777777" w:rsidTr="00EF436D">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Ex>
        <w:tc>
          <w:tcPr>
            <w:tcW w:w="4007" w:type="pct"/>
            <w:tcBorders>
              <w:top w:val="single" w:sz="4" w:space="0" w:color="939598"/>
              <w:left w:val="single" w:sz="4" w:space="0" w:color="939598"/>
              <w:bottom w:val="single" w:sz="4" w:space="0" w:color="939598"/>
              <w:right w:val="single" w:sz="4" w:space="0" w:color="939598"/>
            </w:tcBorders>
          </w:tcPr>
          <w:p w14:paraId="2879230B" w14:textId="0CB7C0CD" w:rsidR="00891EBC" w:rsidRDefault="00891EBC" w:rsidP="00D0554E">
            <w:pPr>
              <w:pStyle w:val="Table"/>
              <w:spacing w:before="100" w:after="100"/>
            </w:pPr>
            <w:r>
              <w:t>As the capital proceeds received on the disposal of the CGT asset under CGT event being correctly determined? Does the market value substitution rule apply?</w:t>
            </w:r>
          </w:p>
        </w:tc>
        <w:tc>
          <w:tcPr>
            <w:tcW w:w="352" w:type="pct"/>
            <w:tcBorders>
              <w:top w:val="single" w:sz="4" w:space="0" w:color="939598"/>
              <w:left w:val="single" w:sz="4" w:space="0" w:color="939598"/>
              <w:bottom w:val="single" w:sz="4" w:space="0" w:color="939598"/>
              <w:right w:val="single" w:sz="4" w:space="0" w:color="939598"/>
            </w:tcBorders>
          </w:tcPr>
          <w:p w14:paraId="4A421DA9" w14:textId="77777777" w:rsidR="00891EBC" w:rsidRPr="00FC3B3B" w:rsidRDefault="00891EBC" w:rsidP="00D0554E">
            <w:pPr>
              <w:pStyle w:val="Table"/>
              <w:spacing w:before="100" w:after="100"/>
            </w:pPr>
          </w:p>
        </w:tc>
        <w:tc>
          <w:tcPr>
            <w:tcW w:w="281" w:type="pct"/>
            <w:tcBorders>
              <w:top w:val="single" w:sz="4" w:space="0" w:color="939598"/>
              <w:left w:val="single" w:sz="4" w:space="0" w:color="939598"/>
              <w:bottom w:val="single" w:sz="4" w:space="0" w:color="939598"/>
              <w:right w:val="single" w:sz="4" w:space="0" w:color="939598"/>
            </w:tcBorders>
          </w:tcPr>
          <w:p w14:paraId="6578ACDE" w14:textId="77777777" w:rsidR="00891EBC" w:rsidRPr="00FC3B3B" w:rsidRDefault="00891EBC" w:rsidP="00D0554E">
            <w:pPr>
              <w:pStyle w:val="Table"/>
              <w:spacing w:before="100" w:after="100"/>
            </w:pPr>
          </w:p>
        </w:tc>
        <w:tc>
          <w:tcPr>
            <w:tcW w:w="360" w:type="pct"/>
            <w:tcBorders>
              <w:top w:val="single" w:sz="4" w:space="0" w:color="939598"/>
              <w:left w:val="single" w:sz="4" w:space="0" w:color="939598"/>
              <w:bottom w:val="single" w:sz="4" w:space="0" w:color="939598"/>
              <w:right w:val="single" w:sz="4" w:space="0" w:color="939598"/>
            </w:tcBorders>
          </w:tcPr>
          <w:p w14:paraId="618C9DA2" w14:textId="77777777" w:rsidR="00891EBC" w:rsidRPr="00FC3B3B" w:rsidRDefault="00891EBC" w:rsidP="00D0554E">
            <w:pPr>
              <w:pStyle w:val="Table"/>
              <w:spacing w:before="100" w:after="100"/>
            </w:pPr>
          </w:p>
        </w:tc>
      </w:tr>
      <w:tr w:rsidR="00891EBC" w:rsidRPr="00FC3B3B" w14:paraId="2AAB6A16" w14:textId="77777777" w:rsidTr="00EF436D">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Ex>
        <w:tc>
          <w:tcPr>
            <w:tcW w:w="4007" w:type="pct"/>
            <w:tcBorders>
              <w:top w:val="single" w:sz="4" w:space="0" w:color="939598"/>
              <w:left w:val="single" w:sz="4" w:space="0" w:color="939598"/>
              <w:bottom w:val="single" w:sz="4" w:space="0" w:color="939598"/>
              <w:right w:val="single" w:sz="4" w:space="0" w:color="939598"/>
            </w:tcBorders>
          </w:tcPr>
          <w:p w14:paraId="2513D4BD" w14:textId="2F07560E" w:rsidR="00891EBC" w:rsidRDefault="00891EBC" w:rsidP="00D0554E">
            <w:pPr>
              <w:pStyle w:val="Table"/>
              <w:spacing w:before="100" w:after="100"/>
            </w:pPr>
            <w:r>
              <w:t xml:space="preserve">Where pre-CGT acquired assets were sold during the 2018 year were there any sales of related separate post CGT assets (particularly taking into account the 2018 CGT improvement threshold of $147,582 as set out in </w:t>
            </w:r>
            <w:r w:rsidRPr="00A260A5">
              <w:rPr>
                <w:i/>
              </w:rPr>
              <w:t>Taxation Determination TD 2017/16</w:t>
            </w:r>
            <w:r>
              <w:t>)</w:t>
            </w:r>
            <w:r w:rsidR="00F136C0">
              <w:t>?</w:t>
            </w:r>
          </w:p>
        </w:tc>
        <w:tc>
          <w:tcPr>
            <w:tcW w:w="352" w:type="pct"/>
            <w:tcBorders>
              <w:top w:val="single" w:sz="4" w:space="0" w:color="939598"/>
              <w:left w:val="single" w:sz="4" w:space="0" w:color="939598"/>
              <w:bottom w:val="single" w:sz="4" w:space="0" w:color="939598"/>
              <w:right w:val="single" w:sz="4" w:space="0" w:color="939598"/>
            </w:tcBorders>
          </w:tcPr>
          <w:p w14:paraId="04D5232A" w14:textId="77777777" w:rsidR="00891EBC" w:rsidRPr="00FC3B3B" w:rsidRDefault="00891EBC" w:rsidP="00D0554E">
            <w:pPr>
              <w:pStyle w:val="Table"/>
              <w:spacing w:before="100" w:after="100"/>
            </w:pPr>
          </w:p>
        </w:tc>
        <w:tc>
          <w:tcPr>
            <w:tcW w:w="281" w:type="pct"/>
            <w:tcBorders>
              <w:top w:val="single" w:sz="4" w:space="0" w:color="939598"/>
              <w:left w:val="single" w:sz="4" w:space="0" w:color="939598"/>
              <w:bottom w:val="single" w:sz="4" w:space="0" w:color="939598"/>
              <w:right w:val="single" w:sz="4" w:space="0" w:color="939598"/>
            </w:tcBorders>
          </w:tcPr>
          <w:p w14:paraId="7FB2C730" w14:textId="77777777" w:rsidR="00891EBC" w:rsidRPr="00FC3B3B" w:rsidRDefault="00891EBC" w:rsidP="00D0554E">
            <w:pPr>
              <w:pStyle w:val="Table"/>
              <w:spacing w:before="100" w:after="100"/>
            </w:pPr>
          </w:p>
        </w:tc>
        <w:tc>
          <w:tcPr>
            <w:tcW w:w="360" w:type="pct"/>
            <w:tcBorders>
              <w:top w:val="single" w:sz="4" w:space="0" w:color="939598"/>
              <w:left w:val="single" w:sz="4" w:space="0" w:color="939598"/>
              <w:bottom w:val="single" w:sz="4" w:space="0" w:color="939598"/>
              <w:right w:val="single" w:sz="4" w:space="0" w:color="939598"/>
            </w:tcBorders>
          </w:tcPr>
          <w:p w14:paraId="089080D7" w14:textId="77777777" w:rsidR="00891EBC" w:rsidRPr="00FC3B3B" w:rsidRDefault="00891EBC" w:rsidP="00D0554E">
            <w:pPr>
              <w:pStyle w:val="Table"/>
              <w:spacing w:before="100" w:after="100"/>
            </w:pPr>
          </w:p>
        </w:tc>
      </w:tr>
      <w:tr w:rsidR="00E96509" w:rsidRPr="00FC3B3B" w14:paraId="26B4C429" w14:textId="77777777" w:rsidTr="00EF436D">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Ex>
        <w:tc>
          <w:tcPr>
            <w:tcW w:w="4007" w:type="pct"/>
            <w:tcBorders>
              <w:top w:val="single" w:sz="4" w:space="0" w:color="939598"/>
              <w:left w:val="single" w:sz="4" w:space="0" w:color="939598"/>
              <w:bottom w:val="single" w:sz="4" w:space="0" w:color="939598"/>
              <w:right w:val="single" w:sz="4" w:space="0" w:color="939598"/>
            </w:tcBorders>
          </w:tcPr>
          <w:p w14:paraId="7BDBEA9A" w14:textId="6D5BD991" w:rsidR="00E96509" w:rsidRPr="00FC3B3B" w:rsidRDefault="00E96509" w:rsidP="00D0554E">
            <w:pPr>
              <w:pStyle w:val="Table"/>
              <w:spacing w:before="100" w:after="100"/>
            </w:pPr>
            <w:r w:rsidRPr="00FC3B3B">
              <w:t>Have any capital gains calculations been reviewed for their correctness?</w:t>
            </w:r>
          </w:p>
        </w:tc>
        <w:tc>
          <w:tcPr>
            <w:tcW w:w="352" w:type="pct"/>
            <w:tcBorders>
              <w:top w:val="single" w:sz="4" w:space="0" w:color="939598"/>
              <w:left w:val="single" w:sz="4" w:space="0" w:color="939598"/>
              <w:bottom w:val="single" w:sz="4" w:space="0" w:color="939598"/>
              <w:right w:val="single" w:sz="4" w:space="0" w:color="939598"/>
            </w:tcBorders>
          </w:tcPr>
          <w:p w14:paraId="3EC3FE78" w14:textId="77777777" w:rsidR="00E96509" w:rsidRPr="00FC3B3B" w:rsidRDefault="00E96509" w:rsidP="00D0554E">
            <w:pPr>
              <w:pStyle w:val="Table"/>
              <w:spacing w:before="100" w:after="100"/>
            </w:pPr>
          </w:p>
        </w:tc>
        <w:tc>
          <w:tcPr>
            <w:tcW w:w="281" w:type="pct"/>
            <w:tcBorders>
              <w:top w:val="single" w:sz="4" w:space="0" w:color="939598"/>
              <w:left w:val="single" w:sz="4" w:space="0" w:color="939598"/>
              <w:bottom w:val="single" w:sz="4" w:space="0" w:color="939598"/>
              <w:right w:val="single" w:sz="4" w:space="0" w:color="939598"/>
            </w:tcBorders>
          </w:tcPr>
          <w:p w14:paraId="00062A6C" w14:textId="77777777" w:rsidR="00E96509" w:rsidRPr="00FC3B3B" w:rsidRDefault="00E96509" w:rsidP="00D0554E">
            <w:pPr>
              <w:pStyle w:val="Table"/>
              <w:spacing w:before="100" w:after="100"/>
            </w:pPr>
          </w:p>
        </w:tc>
        <w:tc>
          <w:tcPr>
            <w:tcW w:w="360" w:type="pct"/>
            <w:tcBorders>
              <w:top w:val="single" w:sz="4" w:space="0" w:color="939598"/>
              <w:left w:val="single" w:sz="4" w:space="0" w:color="939598"/>
              <w:bottom w:val="single" w:sz="4" w:space="0" w:color="939598"/>
              <w:right w:val="single" w:sz="4" w:space="0" w:color="939598"/>
            </w:tcBorders>
          </w:tcPr>
          <w:p w14:paraId="07962922" w14:textId="77777777" w:rsidR="00E96509" w:rsidRPr="00FC3B3B" w:rsidRDefault="00E96509" w:rsidP="00D0554E">
            <w:pPr>
              <w:pStyle w:val="Table"/>
              <w:spacing w:before="100" w:after="100"/>
            </w:pPr>
          </w:p>
        </w:tc>
      </w:tr>
      <w:tr w:rsidR="00E96509" w:rsidRPr="00FC3B3B" w14:paraId="0A8E213B" w14:textId="77777777" w:rsidTr="00EF436D">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Ex>
        <w:tc>
          <w:tcPr>
            <w:tcW w:w="4007" w:type="pct"/>
            <w:tcBorders>
              <w:top w:val="single" w:sz="4" w:space="0" w:color="939598"/>
              <w:left w:val="single" w:sz="4" w:space="0" w:color="939598"/>
              <w:bottom w:val="single" w:sz="4" w:space="0" w:color="939598"/>
              <w:right w:val="single" w:sz="4" w:space="0" w:color="939598"/>
            </w:tcBorders>
          </w:tcPr>
          <w:p w14:paraId="05CDA5AC" w14:textId="127EEB04" w:rsidR="00E96509" w:rsidRPr="00FC3B3B" w:rsidRDefault="00E96509" w:rsidP="00D0554E">
            <w:pPr>
              <w:pStyle w:val="Table"/>
              <w:spacing w:before="100" w:after="100"/>
            </w:pPr>
            <w:r w:rsidRPr="00FC3B3B">
              <w:t xml:space="preserve">Have the necessary adjustments been made where the accounting gain / </w:t>
            </w:r>
            <w:r>
              <w:t>loss does not equal the capital </w:t>
            </w:r>
            <w:r w:rsidRPr="00FC3B3B">
              <w:t>gain / loss for tax purposes?</w:t>
            </w:r>
            <w:r>
              <w:t xml:space="preserve"> </w:t>
            </w:r>
          </w:p>
        </w:tc>
        <w:tc>
          <w:tcPr>
            <w:tcW w:w="352" w:type="pct"/>
            <w:tcBorders>
              <w:top w:val="single" w:sz="4" w:space="0" w:color="939598"/>
              <w:left w:val="single" w:sz="4" w:space="0" w:color="939598"/>
              <w:bottom w:val="single" w:sz="4" w:space="0" w:color="939598"/>
              <w:right w:val="single" w:sz="4" w:space="0" w:color="939598"/>
            </w:tcBorders>
          </w:tcPr>
          <w:p w14:paraId="3D59765A" w14:textId="77777777" w:rsidR="00E96509" w:rsidRPr="00FC3B3B" w:rsidRDefault="00E96509" w:rsidP="00D0554E">
            <w:pPr>
              <w:pStyle w:val="Table"/>
              <w:spacing w:before="100" w:after="100"/>
            </w:pPr>
          </w:p>
        </w:tc>
        <w:tc>
          <w:tcPr>
            <w:tcW w:w="281" w:type="pct"/>
            <w:tcBorders>
              <w:top w:val="single" w:sz="4" w:space="0" w:color="939598"/>
              <w:left w:val="single" w:sz="4" w:space="0" w:color="939598"/>
              <w:bottom w:val="single" w:sz="4" w:space="0" w:color="939598"/>
              <w:right w:val="single" w:sz="4" w:space="0" w:color="939598"/>
            </w:tcBorders>
          </w:tcPr>
          <w:p w14:paraId="2C1E1D62" w14:textId="77777777" w:rsidR="00E96509" w:rsidRPr="00FC3B3B" w:rsidRDefault="00E96509" w:rsidP="00D0554E">
            <w:pPr>
              <w:pStyle w:val="Table"/>
              <w:spacing w:before="100" w:after="100"/>
            </w:pPr>
          </w:p>
        </w:tc>
        <w:tc>
          <w:tcPr>
            <w:tcW w:w="360" w:type="pct"/>
            <w:tcBorders>
              <w:top w:val="single" w:sz="4" w:space="0" w:color="939598"/>
              <w:left w:val="single" w:sz="4" w:space="0" w:color="939598"/>
              <w:bottom w:val="single" w:sz="4" w:space="0" w:color="939598"/>
              <w:right w:val="single" w:sz="4" w:space="0" w:color="939598"/>
            </w:tcBorders>
          </w:tcPr>
          <w:p w14:paraId="1A5A0568" w14:textId="77777777" w:rsidR="00E96509" w:rsidRPr="00FC3B3B" w:rsidRDefault="00E96509" w:rsidP="00D0554E">
            <w:pPr>
              <w:pStyle w:val="Table"/>
              <w:spacing w:before="100" w:after="100"/>
            </w:pPr>
          </w:p>
        </w:tc>
      </w:tr>
      <w:tr w:rsidR="00E96509" w:rsidRPr="00FC3B3B" w14:paraId="6637EA59" w14:textId="77777777" w:rsidTr="00EF436D">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Ex>
        <w:tc>
          <w:tcPr>
            <w:tcW w:w="4007" w:type="pct"/>
            <w:tcBorders>
              <w:top w:val="single" w:sz="4" w:space="0" w:color="939598"/>
              <w:left w:val="single" w:sz="4" w:space="0" w:color="939598"/>
              <w:bottom w:val="single" w:sz="4" w:space="0" w:color="939598"/>
              <w:right w:val="single" w:sz="4" w:space="0" w:color="939598"/>
            </w:tcBorders>
          </w:tcPr>
          <w:p w14:paraId="03A52D68" w14:textId="2A0AA809" w:rsidR="00E96509" w:rsidRDefault="00E96509" w:rsidP="00D0554E">
            <w:pPr>
              <w:pStyle w:val="Table"/>
              <w:spacing w:before="100" w:after="100"/>
            </w:pPr>
            <w:r>
              <w:t xml:space="preserve">Have you considered the unrealised loss rules in Subdivision 165-CC of the </w:t>
            </w:r>
            <w:r w:rsidRPr="00253D33">
              <w:rPr>
                <w:i/>
              </w:rPr>
              <w:t xml:space="preserve">Income Tax Assessment Act </w:t>
            </w:r>
            <w:r>
              <w:rPr>
                <w:i/>
              </w:rPr>
              <w:t>(</w:t>
            </w:r>
            <w:r w:rsidRPr="00253D33">
              <w:rPr>
                <w:i/>
              </w:rPr>
              <w:t>1997</w:t>
            </w:r>
            <w:r>
              <w:rPr>
                <w:i/>
              </w:rPr>
              <w:t>)</w:t>
            </w:r>
            <w:r>
              <w:t xml:space="preserve"> in relation to the disposal of CGT assets that were held at a changeover time (i.e. change in the ownership or control of the company)?</w:t>
            </w:r>
          </w:p>
          <w:p w14:paraId="099D7BA0" w14:textId="12E83DC0" w:rsidR="00E96509" w:rsidRPr="00211718" w:rsidRDefault="00E96509" w:rsidP="00D0554E">
            <w:pPr>
              <w:pStyle w:val="Table"/>
              <w:spacing w:before="100" w:after="100"/>
              <w:rPr>
                <w:sz w:val="15"/>
                <w:szCs w:val="15"/>
              </w:rPr>
            </w:pPr>
            <w:r w:rsidRPr="00211718">
              <w:rPr>
                <w:b/>
                <w:sz w:val="15"/>
                <w:szCs w:val="15"/>
              </w:rPr>
              <w:t>Note:</w:t>
            </w:r>
            <w:r w:rsidRPr="00211718">
              <w:rPr>
                <w:sz w:val="15"/>
                <w:szCs w:val="15"/>
              </w:rPr>
              <w:t xml:space="preserve"> the purpose of Subdivision 165-CC of the </w:t>
            </w:r>
            <w:r w:rsidRPr="00211718">
              <w:rPr>
                <w:i/>
                <w:sz w:val="15"/>
                <w:szCs w:val="15"/>
              </w:rPr>
              <w:t>Income Tax Assessment Act (1997</w:t>
            </w:r>
            <w:r w:rsidRPr="00211718">
              <w:rPr>
                <w:sz w:val="15"/>
                <w:szCs w:val="15"/>
              </w:rPr>
              <w:t xml:space="preserve">) is to restrict the availability of a capital loss, deduction or trading stock loss where there is a change of majority ownership or control of the company which earlier made an unrealised loss in respect of a </w:t>
            </w:r>
            <w:r w:rsidR="00F136C0">
              <w:rPr>
                <w:sz w:val="15"/>
                <w:szCs w:val="15"/>
              </w:rPr>
              <w:t>CGT asset. W</w:t>
            </w:r>
            <w:r w:rsidRPr="00211718">
              <w:rPr>
                <w:sz w:val="15"/>
                <w:szCs w:val="15"/>
              </w:rPr>
              <w:t>here there is an unrealised net loss at the changeover time, any capital loss, deduction or trading stock loss subsequently made by the company in respect of a CGT event on the happening of a CGT event will be disallowed up to the amount of the unrealised loss unless the company satisfies the same business test (SBT) for the period immediately before the changeover time to the period in which the capital loss or deduction is recouped.</w:t>
            </w:r>
          </w:p>
        </w:tc>
        <w:tc>
          <w:tcPr>
            <w:tcW w:w="352" w:type="pct"/>
            <w:tcBorders>
              <w:top w:val="single" w:sz="4" w:space="0" w:color="939598"/>
              <w:left w:val="single" w:sz="4" w:space="0" w:color="939598"/>
              <w:bottom w:val="single" w:sz="4" w:space="0" w:color="939598"/>
              <w:right w:val="single" w:sz="4" w:space="0" w:color="939598"/>
            </w:tcBorders>
          </w:tcPr>
          <w:p w14:paraId="799C5C86" w14:textId="77777777" w:rsidR="00E96509" w:rsidRPr="00FC3B3B" w:rsidRDefault="00E96509" w:rsidP="00D0554E">
            <w:pPr>
              <w:pStyle w:val="Table"/>
              <w:spacing w:before="100" w:after="100"/>
            </w:pPr>
          </w:p>
        </w:tc>
        <w:tc>
          <w:tcPr>
            <w:tcW w:w="281" w:type="pct"/>
            <w:tcBorders>
              <w:top w:val="single" w:sz="4" w:space="0" w:color="939598"/>
              <w:left w:val="single" w:sz="4" w:space="0" w:color="939598"/>
              <w:bottom w:val="single" w:sz="4" w:space="0" w:color="939598"/>
              <w:right w:val="single" w:sz="4" w:space="0" w:color="939598"/>
            </w:tcBorders>
          </w:tcPr>
          <w:p w14:paraId="7E9671BE" w14:textId="77777777" w:rsidR="00E96509" w:rsidRPr="00FC3B3B" w:rsidRDefault="00E96509" w:rsidP="00D0554E">
            <w:pPr>
              <w:pStyle w:val="Table"/>
              <w:spacing w:before="100" w:after="100"/>
            </w:pPr>
          </w:p>
        </w:tc>
        <w:tc>
          <w:tcPr>
            <w:tcW w:w="360" w:type="pct"/>
            <w:tcBorders>
              <w:top w:val="single" w:sz="4" w:space="0" w:color="939598"/>
              <w:left w:val="single" w:sz="4" w:space="0" w:color="939598"/>
              <w:bottom w:val="single" w:sz="4" w:space="0" w:color="939598"/>
              <w:right w:val="single" w:sz="4" w:space="0" w:color="939598"/>
            </w:tcBorders>
          </w:tcPr>
          <w:p w14:paraId="6C9689F8" w14:textId="77777777" w:rsidR="00E96509" w:rsidRPr="00FC3B3B" w:rsidRDefault="00E96509" w:rsidP="00D0554E">
            <w:pPr>
              <w:pStyle w:val="Table"/>
              <w:spacing w:before="100" w:after="100"/>
            </w:pPr>
          </w:p>
        </w:tc>
      </w:tr>
      <w:tr w:rsidR="00E96509" w:rsidRPr="00FC3B3B" w14:paraId="60CEC5C7" w14:textId="77777777" w:rsidTr="00EF436D">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Ex>
        <w:tc>
          <w:tcPr>
            <w:tcW w:w="4007" w:type="pct"/>
            <w:tcBorders>
              <w:top w:val="single" w:sz="4" w:space="0" w:color="939598"/>
              <w:left w:val="single" w:sz="4" w:space="0" w:color="939598"/>
              <w:bottom w:val="single" w:sz="4" w:space="0" w:color="939598"/>
              <w:right w:val="single" w:sz="4" w:space="0" w:color="939598"/>
            </w:tcBorders>
          </w:tcPr>
          <w:p w14:paraId="7027C302" w14:textId="77777777" w:rsidR="00E96509" w:rsidRDefault="00E96509" w:rsidP="00D0554E">
            <w:pPr>
              <w:pStyle w:val="Table"/>
              <w:spacing w:before="100" w:after="100"/>
            </w:pPr>
            <w:r w:rsidRPr="00FC3B3B">
              <w:t>Have you considered whether capital gains may be able to be reduced</w:t>
            </w:r>
            <w:r>
              <w:t>,</w:t>
            </w:r>
            <w:r w:rsidRPr="00FC3B3B">
              <w:t xml:space="preserve"> eliminated </w:t>
            </w:r>
            <w:r>
              <w:t xml:space="preserve">or deferred </w:t>
            </w:r>
            <w:r w:rsidRPr="00FC3B3B">
              <w:t>in accordance with the small business CGT concessions?</w:t>
            </w:r>
          </w:p>
          <w:p w14:paraId="0A2650E5" w14:textId="6DA71BA6" w:rsidR="00891EBC" w:rsidRPr="00211718" w:rsidRDefault="00891EBC" w:rsidP="00D0554E">
            <w:pPr>
              <w:pStyle w:val="Table"/>
              <w:spacing w:before="100" w:after="100"/>
              <w:rPr>
                <w:sz w:val="15"/>
                <w:szCs w:val="15"/>
              </w:rPr>
            </w:pPr>
            <w:r w:rsidRPr="00211718">
              <w:rPr>
                <w:b/>
                <w:color w:val="000000"/>
                <w:sz w:val="15"/>
                <w:szCs w:val="15"/>
              </w:rPr>
              <w:t>Note</w:t>
            </w:r>
            <w:r w:rsidRPr="00211718">
              <w:rPr>
                <w:color w:val="000000"/>
                <w:sz w:val="15"/>
                <w:szCs w:val="15"/>
              </w:rPr>
              <w:t>: various eligibility conditions which must be met in order for a capital gain to be reduced under the small business CGT concessions. For more informati</w:t>
            </w:r>
            <w:r w:rsidR="00F136C0">
              <w:rPr>
                <w:color w:val="000000"/>
                <w:sz w:val="15"/>
                <w:szCs w:val="15"/>
              </w:rPr>
              <w:t>on refer to</w:t>
            </w:r>
            <w:r w:rsidRPr="00211718">
              <w:rPr>
                <w:color w:val="000000"/>
                <w:sz w:val="15"/>
                <w:szCs w:val="15"/>
              </w:rPr>
              <w:t xml:space="preserve"> CPA Australia</w:t>
            </w:r>
            <w:r w:rsidR="00F136C0">
              <w:rPr>
                <w:color w:val="000000"/>
                <w:sz w:val="15"/>
                <w:szCs w:val="15"/>
              </w:rPr>
              <w:t>’s</w:t>
            </w:r>
            <w:r w:rsidRPr="00211718">
              <w:rPr>
                <w:color w:val="000000"/>
                <w:sz w:val="15"/>
                <w:szCs w:val="15"/>
              </w:rPr>
              <w:t xml:space="preserve"> </w:t>
            </w:r>
            <w:hyperlink r:id="rId15" w:history="1">
              <w:r w:rsidRPr="00211718">
                <w:rPr>
                  <w:color w:val="0000FF"/>
                  <w:sz w:val="15"/>
                  <w:szCs w:val="15"/>
                  <w:u w:val="single"/>
                </w:rPr>
                <w:t>2018 Tax planning checklist</w:t>
              </w:r>
            </w:hyperlink>
            <w:r w:rsidR="00F136C0">
              <w:rPr>
                <w:color w:val="0000FF"/>
                <w:sz w:val="15"/>
                <w:szCs w:val="15"/>
                <w:u w:val="single"/>
              </w:rPr>
              <w:t>.</w:t>
            </w:r>
          </w:p>
        </w:tc>
        <w:tc>
          <w:tcPr>
            <w:tcW w:w="352" w:type="pct"/>
            <w:tcBorders>
              <w:top w:val="single" w:sz="4" w:space="0" w:color="939598"/>
              <w:left w:val="single" w:sz="4" w:space="0" w:color="939598"/>
              <w:bottom w:val="single" w:sz="4" w:space="0" w:color="939598"/>
              <w:right w:val="single" w:sz="4" w:space="0" w:color="939598"/>
            </w:tcBorders>
          </w:tcPr>
          <w:p w14:paraId="7AFA1EA1" w14:textId="77777777" w:rsidR="00E96509" w:rsidRPr="00FC3B3B" w:rsidRDefault="00E96509" w:rsidP="00D0554E">
            <w:pPr>
              <w:pStyle w:val="Table"/>
              <w:spacing w:before="100" w:after="100"/>
            </w:pPr>
          </w:p>
        </w:tc>
        <w:tc>
          <w:tcPr>
            <w:tcW w:w="281" w:type="pct"/>
            <w:tcBorders>
              <w:top w:val="single" w:sz="4" w:space="0" w:color="939598"/>
              <w:left w:val="single" w:sz="4" w:space="0" w:color="939598"/>
              <w:bottom w:val="single" w:sz="4" w:space="0" w:color="939598"/>
              <w:right w:val="single" w:sz="4" w:space="0" w:color="939598"/>
            </w:tcBorders>
          </w:tcPr>
          <w:p w14:paraId="68760497" w14:textId="77777777" w:rsidR="00E96509" w:rsidRPr="00FC3B3B" w:rsidRDefault="00E96509" w:rsidP="00D0554E">
            <w:pPr>
              <w:pStyle w:val="Table"/>
              <w:spacing w:before="100" w:after="100"/>
            </w:pPr>
          </w:p>
        </w:tc>
        <w:tc>
          <w:tcPr>
            <w:tcW w:w="360" w:type="pct"/>
            <w:tcBorders>
              <w:top w:val="single" w:sz="4" w:space="0" w:color="939598"/>
              <w:left w:val="single" w:sz="4" w:space="0" w:color="939598"/>
              <w:bottom w:val="single" w:sz="4" w:space="0" w:color="939598"/>
              <w:right w:val="single" w:sz="4" w:space="0" w:color="939598"/>
            </w:tcBorders>
          </w:tcPr>
          <w:p w14:paraId="129B09AC" w14:textId="77777777" w:rsidR="00E96509" w:rsidRPr="00FC3B3B" w:rsidRDefault="00E96509" w:rsidP="00D0554E">
            <w:pPr>
              <w:pStyle w:val="Table"/>
              <w:spacing w:before="100" w:after="100"/>
            </w:pPr>
          </w:p>
        </w:tc>
      </w:tr>
      <w:tr w:rsidR="00AE1F66" w:rsidRPr="00FC3B3B" w14:paraId="132ED686" w14:textId="77777777" w:rsidTr="00EF436D">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Ex>
        <w:tc>
          <w:tcPr>
            <w:tcW w:w="4007" w:type="pct"/>
            <w:tcBorders>
              <w:top w:val="single" w:sz="4" w:space="0" w:color="939598"/>
              <w:left w:val="single" w:sz="4" w:space="0" w:color="939598"/>
              <w:bottom w:val="single" w:sz="4" w:space="0" w:color="939598"/>
              <w:right w:val="single" w:sz="4" w:space="0" w:color="939598"/>
            </w:tcBorders>
          </w:tcPr>
          <w:p w14:paraId="6EB0D199" w14:textId="2AABD60A" w:rsidR="00E90156" w:rsidRPr="00E90156" w:rsidRDefault="00DE1FC8" w:rsidP="00D0554E">
            <w:pPr>
              <w:spacing w:before="100" w:after="100"/>
              <w:rPr>
                <w:sz w:val="17"/>
                <w:szCs w:val="17"/>
              </w:rPr>
            </w:pPr>
            <w:r>
              <w:rPr>
                <w:sz w:val="17"/>
                <w:szCs w:val="17"/>
              </w:rPr>
              <w:t>Has</w:t>
            </w:r>
            <w:r w:rsidR="00E90156" w:rsidRPr="00E90156">
              <w:rPr>
                <w:sz w:val="17"/>
                <w:szCs w:val="17"/>
              </w:rPr>
              <w:t xml:space="preserve"> any sale consideration been received during the year under an eligible earnout arrangement relating to the prior year disposal of a CGT active asset in which case the consideration received is disregarded in the 2018 year but will form part of the capital proceeds relating to the disposal of </w:t>
            </w:r>
            <w:r w:rsidR="002A4BBB">
              <w:rPr>
                <w:sz w:val="17"/>
                <w:szCs w:val="17"/>
              </w:rPr>
              <w:t>that asset in that earlier year?</w:t>
            </w:r>
          </w:p>
          <w:p w14:paraId="383B9DE6" w14:textId="2CE095B4" w:rsidR="00AE1F66" w:rsidRPr="00211718" w:rsidRDefault="00E90156" w:rsidP="00D0554E">
            <w:pPr>
              <w:spacing w:before="100" w:after="100"/>
              <w:rPr>
                <w:sz w:val="15"/>
                <w:szCs w:val="15"/>
              </w:rPr>
            </w:pPr>
            <w:r w:rsidRPr="00211718">
              <w:rPr>
                <w:b/>
                <w:sz w:val="15"/>
                <w:szCs w:val="15"/>
              </w:rPr>
              <w:t>Note:</w:t>
            </w:r>
            <w:r w:rsidRPr="00211718">
              <w:rPr>
                <w:sz w:val="15"/>
                <w:szCs w:val="15"/>
              </w:rPr>
              <w:t xml:space="preserve"> care should be taken to ensure that all the requirements of being an eligible earnout arrangement under Subdivision 118-I of the </w:t>
            </w:r>
            <w:r w:rsidRPr="00211718">
              <w:rPr>
                <w:i/>
                <w:sz w:val="15"/>
                <w:szCs w:val="15"/>
              </w:rPr>
              <w:t xml:space="preserve">Income Tax Assessment Act (1997) </w:t>
            </w:r>
            <w:r w:rsidRPr="00211718">
              <w:rPr>
                <w:sz w:val="15"/>
                <w:szCs w:val="15"/>
              </w:rPr>
              <w:t xml:space="preserve">are satisfied.         </w:t>
            </w:r>
          </w:p>
        </w:tc>
        <w:tc>
          <w:tcPr>
            <w:tcW w:w="352" w:type="pct"/>
            <w:tcBorders>
              <w:top w:val="single" w:sz="4" w:space="0" w:color="939598"/>
              <w:left w:val="single" w:sz="4" w:space="0" w:color="939598"/>
              <w:bottom w:val="single" w:sz="4" w:space="0" w:color="939598"/>
              <w:right w:val="single" w:sz="4" w:space="0" w:color="939598"/>
            </w:tcBorders>
          </w:tcPr>
          <w:p w14:paraId="62254E2E" w14:textId="77777777" w:rsidR="00AE1F66" w:rsidRPr="00FC3B3B" w:rsidRDefault="00AE1F66" w:rsidP="00D0554E">
            <w:pPr>
              <w:pStyle w:val="Table"/>
              <w:spacing w:before="100" w:after="100"/>
            </w:pPr>
          </w:p>
        </w:tc>
        <w:tc>
          <w:tcPr>
            <w:tcW w:w="281" w:type="pct"/>
            <w:tcBorders>
              <w:top w:val="single" w:sz="4" w:space="0" w:color="939598"/>
              <w:left w:val="single" w:sz="4" w:space="0" w:color="939598"/>
              <w:bottom w:val="single" w:sz="4" w:space="0" w:color="939598"/>
              <w:right w:val="single" w:sz="4" w:space="0" w:color="939598"/>
            </w:tcBorders>
          </w:tcPr>
          <w:p w14:paraId="4C351B71" w14:textId="77777777" w:rsidR="00AE1F66" w:rsidRPr="00FC3B3B" w:rsidRDefault="00AE1F66" w:rsidP="00D0554E">
            <w:pPr>
              <w:pStyle w:val="Table"/>
              <w:spacing w:before="100" w:after="100"/>
            </w:pPr>
          </w:p>
        </w:tc>
        <w:tc>
          <w:tcPr>
            <w:tcW w:w="360" w:type="pct"/>
            <w:tcBorders>
              <w:top w:val="single" w:sz="4" w:space="0" w:color="939598"/>
              <w:left w:val="single" w:sz="4" w:space="0" w:color="939598"/>
              <w:bottom w:val="single" w:sz="4" w:space="0" w:color="939598"/>
              <w:right w:val="single" w:sz="4" w:space="0" w:color="939598"/>
            </w:tcBorders>
          </w:tcPr>
          <w:p w14:paraId="2C6AAAFF" w14:textId="77777777" w:rsidR="00AE1F66" w:rsidRPr="00FC3B3B" w:rsidRDefault="00AE1F66" w:rsidP="00D0554E">
            <w:pPr>
              <w:pStyle w:val="Table"/>
              <w:spacing w:before="100" w:after="100"/>
            </w:pPr>
          </w:p>
        </w:tc>
      </w:tr>
      <w:tr w:rsidR="00E96509" w:rsidRPr="00FC3B3B" w14:paraId="4E900F1A" w14:textId="77777777" w:rsidTr="00EF436D">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Ex>
        <w:tc>
          <w:tcPr>
            <w:tcW w:w="4007" w:type="pct"/>
            <w:tcBorders>
              <w:top w:val="single" w:sz="4" w:space="0" w:color="939598"/>
              <w:left w:val="single" w:sz="4" w:space="0" w:color="939598"/>
              <w:bottom w:val="single" w:sz="4" w:space="0" w:color="939598"/>
              <w:right w:val="single" w:sz="4" w:space="0" w:color="939598"/>
            </w:tcBorders>
          </w:tcPr>
          <w:p w14:paraId="77864944" w14:textId="75DD21DB" w:rsidR="00E96509" w:rsidRPr="00FC3B3B" w:rsidRDefault="00E96509" w:rsidP="00D0554E">
            <w:pPr>
              <w:pStyle w:val="Table"/>
              <w:spacing w:before="100" w:after="100"/>
            </w:pPr>
            <w:r>
              <w:t xml:space="preserve">Have you considered whether capital gains made in relation to shares in foreign companies can be reduced or eliminated under </w:t>
            </w:r>
            <w:r w:rsidR="00DE1FC8">
              <w:t>S</w:t>
            </w:r>
            <w:r>
              <w:t xml:space="preserve">ubdivision 768-G of the </w:t>
            </w:r>
            <w:r w:rsidRPr="00253D33">
              <w:rPr>
                <w:i/>
              </w:rPr>
              <w:t xml:space="preserve">Income Tax Assessment Act </w:t>
            </w:r>
            <w:r>
              <w:rPr>
                <w:i/>
              </w:rPr>
              <w:t>(</w:t>
            </w:r>
            <w:r w:rsidRPr="00253D33">
              <w:rPr>
                <w:i/>
              </w:rPr>
              <w:t>1997</w:t>
            </w:r>
            <w:r>
              <w:rPr>
                <w:i/>
              </w:rPr>
              <w:t>)</w:t>
            </w:r>
            <w:r w:rsidRPr="00FC3B3B">
              <w:t>?</w:t>
            </w:r>
          </w:p>
        </w:tc>
        <w:tc>
          <w:tcPr>
            <w:tcW w:w="352" w:type="pct"/>
            <w:tcBorders>
              <w:top w:val="single" w:sz="4" w:space="0" w:color="939598"/>
              <w:left w:val="single" w:sz="4" w:space="0" w:color="939598"/>
              <w:bottom w:val="single" w:sz="4" w:space="0" w:color="939598"/>
              <w:right w:val="single" w:sz="4" w:space="0" w:color="939598"/>
            </w:tcBorders>
          </w:tcPr>
          <w:p w14:paraId="75B5BE12" w14:textId="77777777" w:rsidR="00E96509" w:rsidRPr="00FC3B3B" w:rsidRDefault="00E96509" w:rsidP="00D0554E">
            <w:pPr>
              <w:pStyle w:val="Table"/>
              <w:spacing w:before="100" w:after="100"/>
            </w:pPr>
          </w:p>
        </w:tc>
        <w:tc>
          <w:tcPr>
            <w:tcW w:w="281" w:type="pct"/>
            <w:tcBorders>
              <w:top w:val="single" w:sz="4" w:space="0" w:color="939598"/>
              <w:left w:val="single" w:sz="4" w:space="0" w:color="939598"/>
              <w:bottom w:val="single" w:sz="4" w:space="0" w:color="939598"/>
              <w:right w:val="single" w:sz="4" w:space="0" w:color="939598"/>
            </w:tcBorders>
          </w:tcPr>
          <w:p w14:paraId="5849A8DB" w14:textId="77777777" w:rsidR="00E96509" w:rsidRPr="00FC3B3B" w:rsidRDefault="00E96509" w:rsidP="00D0554E">
            <w:pPr>
              <w:pStyle w:val="Table"/>
              <w:spacing w:before="100" w:after="100"/>
            </w:pPr>
          </w:p>
        </w:tc>
        <w:tc>
          <w:tcPr>
            <w:tcW w:w="360" w:type="pct"/>
            <w:tcBorders>
              <w:top w:val="single" w:sz="4" w:space="0" w:color="939598"/>
              <w:left w:val="single" w:sz="4" w:space="0" w:color="939598"/>
              <w:bottom w:val="single" w:sz="4" w:space="0" w:color="939598"/>
              <w:right w:val="single" w:sz="4" w:space="0" w:color="939598"/>
            </w:tcBorders>
          </w:tcPr>
          <w:p w14:paraId="1CDFBE31" w14:textId="77777777" w:rsidR="00E96509" w:rsidRPr="00FC3B3B" w:rsidRDefault="00E96509" w:rsidP="00D0554E">
            <w:pPr>
              <w:pStyle w:val="Table"/>
              <w:spacing w:before="100" w:after="100"/>
            </w:pPr>
          </w:p>
        </w:tc>
      </w:tr>
      <w:tr w:rsidR="00E96509" w:rsidRPr="00DA4DA8" w14:paraId="2AB289CB" w14:textId="77777777" w:rsidTr="00990CCA">
        <w:tc>
          <w:tcPr>
            <w:tcW w:w="5000" w:type="pct"/>
            <w:gridSpan w:val="4"/>
            <w:tcBorders>
              <w:top w:val="single" w:sz="4" w:space="0" w:color="939598"/>
              <w:bottom w:val="single" w:sz="4" w:space="0" w:color="939598"/>
            </w:tcBorders>
            <w:shd w:val="clear" w:color="auto" w:fill="D9D9D9" w:themeFill="background1" w:themeFillShade="D9"/>
          </w:tcPr>
          <w:p w14:paraId="07A04638" w14:textId="25E433F5" w:rsidR="00E96509" w:rsidRPr="00DA4DA8" w:rsidRDefault="00E96509" w:rsidP="00D0554E">
            <w:pPr>
              <w:pStyle w:val="Tableheading"/>
            </w:pPr>
            <w:r w:rsidRPr="00DA4DA8">
              <w:rPr>
                <w:rFonts w:cs="Arial"/>
              </w:rPr>
              <w:t>R</w:t>
            </w:r>
            <w:r w:rsidR="00597CDB">
              <w:rPr>
                <w:rFonts w:cs="Arial"/>
              </w:rPr>
              <w:t>EPAIRS AND MAINTENANCE</w:t>
            </w:r>
            <w:r w:rsidRPr="00DA4DA8">
              <w:rPr>
                <w:rFonts w:cs="Arial"/>
              </w:rPr>
              <w:t xml:space="preserve"> </w:t>
            </w:r>
          </w:p>
        </w:tc>
      </w:tr>
      <w:tr w:rsidR="00E96509" w:rsidRPr="00FC3B3B" w14:paraId="42D2CA68" w14:textId="77777777" w:rsidTr="00EF436D">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Ex>
        <w:tc>
          <w:tcPr>
            <w:tcW w:w="4007" w:type="pct"/>
            <w:tcBorders>
              <w:top w:val="single" w:sz="4" w:space="0" w:color="939598"/>
              <w:left w:val="single" w:sz="4" w:space="0" w:color="939598"/>
              <w:bottom w:val="single" w:sz="4" w:space="0" w:color="939598"/>
              <w:right w:val="single" w:sz="4" w:space="0" w:color="939598"/>
            </w:tcBorders>
          </w:tcPr>
          <w:p w14:paraId="6C9CD891" w14:textId="77777777" w:rsidR="00E96509" w:rsidRDefault="00E96509" w:rsidP="00D0554E">
            <w:pPr>
              <w:pStyle w:val="Table"/>
              <w:spacing w:before="100" w:after="100"/>
            </w:pPr>
            <w:r w:rsidRPr="00FC3B3B">
              <w:t>Have repairs and maintenance claims been reviewed to ensure they are of a revenue nature and contain no capital items?</w:t>
            </w:r>
            <w:r>
              <w:t xml:space="preserve"> </w:t>
            </w:r>
          </w:p>
          <w:p w14:paraId="1E5CF41C" w14:textId="40E95AF3" w:rsidR="00AE1F66" w:rsidRPr="00211718" w:rsidRDefault="00AE1F66" w:rsidP="00D0554E">
            <w:pPr>
              <w:pStyle w:val="Table"/>
              <w:spacing w:before="100" w:after="100"/>
              <w:rPr>
                <w:sz w:val="15"/>
                <w:szCs w:val="15"/>
              </w:rPr>
            </w:pPr>
            <w:r w:rsidRPr="00211718">
              <w:rPr>
                <w:rFonts w:cs="Arial"/>
                <w:b/>
                <w:sz w:val="15"/>
                <w:szCs w:val="15"/>
              </w:rPr>
              <w:t>Note</w:t>
            </w:r>
            <w:r w:rsidRPr="00211718">
              <w:rPr>
                <w:rFonts w:cs="Arial"/>
                <w:sz w:val="15"/>
                <w:szCs w:val="15"/>
              </w:rPr>
              <w:t xml:space="preserve">: further guidance as to when repair expenditure will be deductible under section 25-10 of the </w:t>
            </w:r>
            <w:r w:rsidRPr="00211718">
              <w:rPr>
                <w:rFonts w:cs="Arial"/>
                <w:i/>
                <w:sz w:val="15"/>
                <w:szCs w:val="15"/>
              </w:rPr>
              <w:t>Income Tax Assessment</w:t>
            </w:r>
            <w:r w:rsidRPr="00211718">
              <w:rPr>
                <w:rFonts w:cs="Arial"/>
                <w:sz w:val="15"/>
                <w:szCs w:val="15"/>
              </w:rPr>
              <w:t xml:space="preserve"> </w:t>
            </w:r>
            <w:r w:rsidRPr="00211718">
              <w:rPr>
                <w:rFonts w:cs="Arial"/>
                <w:i/>
                <w:sz w:val="15"/>
                <w:szCs w:val="15"/>
              </w:rPr>
              <w:t>Act 1(997</w:t>
            </w:r>
            <w:r w:rsidRPr="00211718">
              <w:rPr>
                <w:rFonts w:cs="Arial"/>
                <w:sz w:val="15"/>
                <w:szCs w:val="15"/>
              </w:rPr>
              <w:t xml:space="preserve">) is set out in </w:t>
            </w:r>
            <w:r w:rsidRPr="00211718">
              <w:rPr>
                <w:rFonts w:cs="Arial"/>
                <w:i/>
                <w:sz w:val="15"/>
                <w:szCs w:val="15"/>
              </w:rPr>
              <w:t>Taxation Ruling TR 97/23</w:t>
            </w:r>
            <w:r w:rsidRPr="00211718">
              <w:rPr>
                <w:rFonts w:cs="Arial"/>
                <w:sz w:val="15"/>
                <w:szCs w:val="15"/>
              </w:rPr>
              <w:t xml:space="preserve">. </w:t>
            </w:r>
            <w:r w:rsidR="002A4BBB">
              <w:rPr>
                <w:rFonts w:cs="Arial"/>
                <w:sz w:val="15"/>
                <w:szCs w:val="15"/>
              </w:rPr>
              <w:t>A</w:t>
            </w:r>
            <w:r w:rsidRPr="00211718">
              <w:rPr>
                <w:rFonts w:cs="Arial"/>
                <w:sz w:val="15"/>
                <w:szCs w:val="15"/>
              </w:rPr>
              <w:t>n amount will not be regarded as being a deductible repair where it constitutes capital expenditure relating to the replacement of an entire asset (as opposed to part of an asset), a capital improvement or an initial repair.</w:t>
            </w:r>
          </w:p>
        </w:tc>
        <w:tc>
          <w:tcPr>
            <w:tcW w:w="352" w:type="pct"/>
            <w:tcBorders>
              <w:top w:val="single" w:sz="4" w:space="0" w:color="939598"/>
              <w:left w:val="single" w:sz="4" w:space="0" w:color="939598"/>
              <w:bottom w:val="single" w:sz="4" w:space="0" w:color="939598"/>
              <w:right w:val="single" w:sz="4" w:space="0" w:color="939598"/>
            </w:tcBorders>
          </w:tcPr>
          <w:p w14:paraId="6F0D94F6" w14:textId="77777777" w:rsidR="00E96509" w:rsidRPr="00FC3B3B" w:rsidRDefault="00E96509" w:rsidP="00D0554E">
            <w:pPr>
              <w:pStyle w:val="Table"/>
              <w:spacing w:before="100" w:after="100"/>
            </w:pPr>
          </w:p>
        </w:tc>
        <w:tc>
          <w:tcPr>
            <w:tcW w:w="281" w:type="pct"/>
            <w:tcBorders>
              <w:top w:val="single" w:sz="4" w:space="0" w:color="939598"/>
              <w:left w:val="single" w:sz="4" w:space="0" w:color="939598"/>
              <w:bottom w:val="single" w:sz="4" w:space="0" w:color="939598"/>
              <w:right w:val="single" w:sz="4" w:space="0" w:color="939598"/>
            </w:tcBorders>
          </w:tcPr>
          <w:p w14:paraId="77188372" w14:textId="77777777" w:rsidR="00E96509" w:rsidRPr="00FC3B3B" w:rsidRDefault="00E96509" w:rsidP="00D0554E">
            <w:pPr>
              <w:pStyle w:val="Table"/>
              <w:spacing w:before="100" w:after="100"/>
            </w:pPr>
          </w:p>
        </w:tc>
        <w:tc>
          <w:tcPr>
            <w:tcW w:w="360" w:type="pct"/>
            <w:tcBorders>
              <w:top w:val="single" w:sz="4" w:space="0" w:color="939598"/>
              <w:left w:val="single" w:sz="4" w:space="0" w:color="939598"/>
              <w:bottom w:val="single" w:sz="4" w:space="0" w:color="939598"/>
              <w:right w:val="single" w:sz="4" w:space="0" w:color="939598"/>
            </w:tcBorders>
          </w:tcPr>
          <w:p w14:paraId="0277A3C7" w14:textId="77777777" w:rsidR="00E96509" w:rsidRPr="00FC3B3B" w:rsidRDefault="00E96509" w:rsidP="00D0554E">
            <w:pPr>
              <w:pStyle w:val="Table"/>
              <w:spacing w:before="100" w:after="100"/>
            </w:pPr>
          </w:p>
        </w:tc>
      </w:tr>
    </w:tbl>
    <w:p w14:paraId="54585952" w14:textId="77777777" w:rsidR="002A4BBB" w:rsidRDefault="002A4BBB">
      <w:r>
        <w:rPr>
          <w:b/>
        </w:rPr>
        <w:br w:type="page"/>
      </w:r>
    </w:p>
    <w:tbl>
      <w:tblPr>
        <w:tblW w:w="5000" w:type="pct"/>
        <w:tblBorders>
          <w:top w:val="single" w:sz="4" w:space="0" w:color="939598"/>
          <w:left w:val="single" w:sz="4" w:space="0" w:color="939598"/>
          <w:bottom w:val="single" w:sz="4" w:space="0" w:color="939598"/>
          <w:right w:val="single" w:sz="4" w:space="0" w:color="939598"/>
        </w:tblBorders>
        <w:tblLayout w:type="fixed"/>
        <w:tblLook w:val="00A0" w:firstRow="1" w:lastRow="0" w:firstColumn="1" w:lastColumn="0" w:noHBand="0" w:noVBand="0"/>
      </w:tblPr>
      <w:tblGrid>
        <w:gridCol w:w="8075"/>
        <w:gridCol w:w="709"/>
        <w:gridCol w:w="566"/>
        <w:gridCol w:w="725"/>
      </w:tblGrid>
      <w:tr w:rsidR="002C614F" w:rsidRPr="00DA4DA8" w14:paraId="14599CFA" w14:textId="77777777" w:rsidTr="008C013F">
        <w:tc>
          <w:tcPr>
            <w:tcW w:w="4007" w:type="pct"/>
            <w:tcBorders>
              <w:top w:val="single" w:sz="4" w:space="0" w:color="939598"/>
              <w:bottom w:val="single" w:sz="4" w:space="0" w:color="939598"/>
              <w:right w:val="single" w:sz="4" w:space="0" w:color="939598"/>
            </w:tcBorders>
            <w:shd w:val="clear" w:color="auto" w:fill="0F243E" w:themeFill="text2" w:themeFillShade="80"/>
          </w:tcPr>
          <w:p w14:paraId="6CCD61A4" w14:textId="4871E483" w:rsidR="002C614F" w:rsidRPr="00DA4DA8" w:rsidRDefault="002C614F" w:rsidP="008C013F">
            <w:pPr>
              <w:pStyle w:val="Tableheading"/>
              <w:rPr>
                <w:rFonts w:cs="Arial"/>
              </w:rPr>
            </w:pPr>
            <w:r w:rsidRPr="00CC31E6">
              <w:rPr>
                <w:sz w:val="18"/>
              </w:rPr>
              <w:lastRenderedPageBreak/>
              <w:t>S</w:t>
            </w:r>
            <w:r>
              <w:rPr>
                <w:sz w:val="18"/>
              </w:rPr>
              <w:t>TATEMENT OF COMPREHENSIVE INCOME</w:t>
            </w:r>
            <w:r w:rsidRPr="00CC31E6">
              <w:rPr>
                <w:sz w:val="18"/>
              </w:rPr>
              <w:t xml:space="preserve"> (P</w:t>
            </w:r>
            <w:r>
              <w:rPr>
                <w:sz w:val="18"/>
              </w:rPr>
              <w:t>ROFIT AND LOSS</w:t>
            </w:r>
            <w:r w:rsidRPr="00CC31E6">
              <w:rPr>
                <w:sz w:val="18"/>
              </w:rPr>
              <w:t>)</w:t>
            </w:r>
          </w:p>
        </w:tc>
        <w:tc>
          <w:tcPr>
            <w:tcW w:w="352" w:type="pct"/>
            <w:tcBorders>
              <w:top w:val="single" w:sz="4" w:space="0" w:color="939598"/>
              <w:left w:val="single" w:sz="4" w:space="0" w:color="939598"/>
              <w:bottom w:val="single" w:sz="4" w:space="0" w:color="939598"/>
              <w:right w:val="single" w:sz="4" w:space="0" w:color="939598"/>
            </w:tcBorders>
            <w:shd w:val="clear" w:color="auto" w:fill="0F243E" w:themeFill="text2" w:themeFillShade="80"/>
          </w:tcPr>
          <w:p w14:paraId="1E27BA74" w14:textId="77777777" w:rsidR="002C614F" w:rsidRPr="00DA4DA8" w:rsidRDefault="002C614F" w:rsidP="008C013F">
            <w:pPr>
              <w:pStyle w:val="Tableheading"/>
            </w:pPr>
            <w:r w:rsidRPr="005A1539">
              <w:rPr>
                <w:sz w:val="18"/>
              </w:rPr>
              <w:t>Y</w:t>
            </w:r>
            <w:r>
              <w:rPr>
                <w:sz w:val="18"/>
              </w:rPr>
              <w:t>ES</w:t>
            </w:r>
          </w:p>
        </w:tc>
        <w:tc>
          <w:tcPr>
            <w:tcW w:w="281" w:type="pct"/>
            <w:tcBorders>
              <w:top w:val="single" w:sz="4" w:space="0" w:color="939598"/>
              <w:left w:val="single" w:sz="4" w:space="0" w:color="939598"/>
              <w:bottom w:val="single" w:sz="4" w:space="0" w:color="939598"/>
              <w:right w:val="single" w:sz="4" w:space="0" w:color="939598"/>
            </w:tcBorders>
            <w:shd w:val="clear" w:color="auto" w:fill="0F243E" w:themeFill="text2" w:themeFillShade="80"/>
          </w:tcPr>
          <w:p w14:paraId="7528C0F0" w14:textId="77777777" w:rsidR="002C614F" w:rsidRPr="00DA4DA8" w:rsidRDefault="002C614F" w:rsidP="008C013F">
            <w:pPr>
              <w:pStyle w:val="Tableheading"/>
            </w:pPr>
            <w:r>
              <w:rPr>
                <w:sz w:val="18"/>
              </w:rPr>
              <w:t>NO</w:t>
            </w:r>
          </w:p>
        </w:tc>
        <w:tc>
          <w:tcPr>
            <w:tcW w:w="360" w:type="pct"/>
            <w:tcBorders>
              <w:top w:val="single" w:sz="4" w:space="0" w:color="939598"/>
              <w:left w:val="single" w:sz="4" w:space="0" w:color="939598"/>
              <w:bottom w:val="single" w:sz="4" w:space="0" w:color="939598"/>
              <w:right w:val="single" w:sz="4" w:space="0" w:color="939598"/>
            </w:tcBorders>
            <w:shd w:val="clear" w:color="auto" w:fill="0F243E" w:themeFill="text2" w:themeFillShade="80"/>
          </w:tcPr>
          <w:p w14:paraId="377EBE5C" w14:textId="77777777" w:rsidR="002C614F" w:rsidRPr="00DA4DA8" w:rsidRDefault="002C614F" w:rsidP="008C013F">
            <w:pPr>
              <w:pStyle w:val="Tableheading"/>
            </w:pPr>
            <w:r w:rsidRPr="005A1539">
              <w:rPr>
                <w:sz w:val="18"/>
              </w:rPr>
              <w:t>N/A</w:t>
            </w:r>
          </w:p>
        </w:tc>
      </w:tr>
      <w:tr w:rsidR="00E96509" w:rsidRPr="00DA4DA8" w14:paraId="78B293A6" w14:textId="77777777" w:rsidTr="00990CCA">
        <w:tc>
          <w:tcPr>
            <w:tcW w:w="5000" w:type="pct"/>
            <w:gridSpan w:val="4"/>
            <w:tcBorders>
              <w:top w:val="single" w:sz="4" w:space="0" w:color="939598"/>
              <w:bottom w:val="single" w:sz="4" w:space="0" w:color="939598"/>
            </w:tcBorders>
            <w:shd w:val="clear" w:color="auto" w:fill="D9D9D9" w:themeFill="background1" w:themeFillShade="D9"/>
          </w:tcPr>
          <w:p w14:paraId="2BABCBB4" w14:textId="71364BF9" w:rsidR="00E96509" w:rsidRPr="00DA4DA8" w:rsidRDefault="00E96509" w:rsidP="00D0554E">
            <w:pPr>
              <w:pStyle w:val="Tableheading"/>
            </w:pPr>
            <w:r w:rsidRPr="00DA4DA8">
              <w:rPr>
                <w:rFonts w:cs="Arial"/>
              </w:rPr>
              <w:t>T</w:t>
            </w:r>
            <w:r w:rsidR="002A4BBB">
              <w:rPr>
                <w:rFonts w:cs="Arial"/>
              </w:rPr>
              <w:t>AXATION OF FINANCIAL ARRANGEMENTS</w:t>
            </w:r>
            <w:r w:rsidRPr="00DA4DA8">
              <w:rPr>
                <w:rFonts w:cs="Arial"/>
              </w:rPr>
              <w:t xml:space="preserve"> </w:t>
            </w:r>
          </w:p>
        </w:tc>
      </w:tr>
      <w:tr w:rsidR="00E96509" w:rsidRPr="00FC3B3B" w14:paraId="6E545AF0" w14:textId="77777777" w:rsidTr="00EF436D">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Ex>
        <w:tc>
          <w:tcPr>
            <w:tcW w:w="4007" w:type="pct"/>
            <w:tcBorders>
              <w:top w:val="single" w:sz="4" w:space="0" w:color="939598"/>
              <w:left w:val="single" w:sz="4" w:space="0" w:color="939598"/>
              <w:bottom w:val="single" w:sz="4" w:space="0" w:color="939598"/>
              <w:right w:val="single" w:sz="4" w:space="0" w:color="939598"/>
            </w:tcBorders>
          </w:tcPr>
          <w:p w14:paraId="75D750A5" w14:textId="77777777" w:rsidR="00E96509" w:rsidRPr="00CF6D2A" w:rsidRDefault="00E96509" w:rsidP="00D0554E">
            <w:pPr>
              <w:pStyle w:val="Table"/>
              <w:spacing w:before="100" w:after="100"/>
            </w:pPr>
            <w:r>
              <w:t>Have you considered the application of TOFA rules to the company?</w:t>
            </w:r>
          </w:p>
        </w:tc>
        <w:tc>
          <w:tcPr>
            <w:tcW w:w="352" w:type="pct"/>
            <w:tcBorders>
              <w:top w:val="single" w:sz="4" w:space="0" w:color="939598"/>
              <w:left w:val="single" w:sz="4" w:space="0" w:color="939598"/>
              <w:bottom w:val="single" w:sz="4" w:space="0" w:color="939598"/>
              <w:right w:val="single" w:sz="4" w:space="0" w:color="939598"/>
            </w:tcBorders>
          </w:tcPr>
          <w:p w14:paraId="603DC832" w14:textId="77777777" w:rsidR="00E96509" w:rsidRPr="00621783" w:rsidRDefault="00E96509" w:rsidP="00D0554E">
            <w:pPr>
              <w:pStyle w:val="Table"/>
              <w:spacing w:before="100" w:after="100"/>
            </w:pPr>
          </w:p>
        </w:tc>
        <w:tc>
          <w:tcPr>
            <w:tcW w:w="281" w:type="pct"/>
            <w:tcBorders>
              <w:top w:val="single" w:sz="4" w:space="0" w:color="939598"/>
              <w:left w:val="single" w:sz="4" w:space="0" w:color="939598"/>
              <w:bottom w:val="single" w:sz="4" w:space="0" w:color="939598"/>
              <w:right w:val="single" w:sz="4" w:space="0" w:color="939598"/>
            </w:tcBorders>
          </w:tcPr>
          <w:p w14:paraId="3D36028D" w14:textId="77777777" w:rsidR="00E96509" w:rsidRPr="00621783" w:rsidRDefault="00E96509" w:rsidP="00D0554E">
            <w:pPr>
              <w:pStyle w:val="Table"/>
              <w:spacing w:before="100" w:after="100"/>
            </w:pPr>
          </w:p>
        </w:tc>
        <w:tc>
          <w:tcPr>
            <w:tcW w:w="360" w:type="pct"/>
            <w:tcBorders>
              <w:top w:val="single" w:sz="4" w:space="0" w:color="939598"/>
              <w:left w:val="single" w:sz="4" w:space="0" w:color="939598"/>
              <w:bottom w:val="single" w:sz="4" w:space="0" w:color="939598"/>
              <w:right w:val="single" w:sz="4" w:space="0" w:color="939598"/>
            </w:tcBorders>
          </w:tcPr>
          <w:p w14:paraId="5C0CB3A3" w14:textId="77777777" w:rsidR="00E96509" w:rsidRPr="00621783" w:rsidRDefault="00E96509" w:rsidP="00D0554E">
            <w:pPr>
              <w:pStyle w:val="Table"/>
              <w:spacing w:before="100" w:after="100"/>
            </w:pPr>
          </w:p>
        </w:tc>
      </w:tr>
      <w:tr w:rsidR="00E96509" w:rsidRPr="00FC3B3B" w14:paraId="318C1448" w14:textId="77777777" w:rsidTr="00EF436D">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Ex>
        <w:tc>
          <w:tcPr>
            <w:tcW w:w="4007" w:type="pct"/>
            <w:tcBorders>
              <w:top w:val="single" w:sz="4" w:space="0" w:color="939598"/>
              <w:left w:val="single" w:sz="4" w:space="0" w:color="939598"/>
              <w:bottom w:val="single" w:sz="4" w:space="0" w:color="939598"/>
              <w:right w:val="single" w:sz="4" w:space="0" w:color="939598"/>
            </w:tcBorders>
          </w:tcPr>
          <w:p w14:paraId="3531AA84" w14:textId="77777777" w:rsidR="00E96509" w:rsidRDefault="00E96509" w:rsidP="00D0554E">
            <w:pPr>
              <w:pStyle w:val="Table"/>
              <w:spacing w:before="100" w:after="100"/>
            </w:pPr>
            <w:r>
              <w:t>Has the disclosure at item 7E and 7W been reconciled to the financial and other income disclosures at item 8T and 8U?</w:t>
            </w:r>
          </w:p>
        </w:tc>
        <w:tc>
          <w:tcPr>
            <w:tcW w:w="352" w:type="pct"/>
            <w:tcBorders>
              <w:top w:val="single" w:sz="4" w:space="0" w:color="939598"/>
              <w:left w:val="single" w:sz="4" w:space="0" w:color="939598"/>
              <w:bottom w:val="single" w:sz="4" w:space="0" w:color="939598"/>
              <w:right w:val="single" w:sz="4" w:space="0" w:color="939598"/>
            </w:tcBorders>
          </w:tcPr>
          <w:p w14:paraId="4D675136" w14:textId="77777777" w:rsidR="00E96509" w:rsidRPr="00621783" w:rsidRDefault="00E96509" w:rsidP="00D0554E">
            <w:pPr>
              <w:pStyle w:val="Table"/>
              <w:spacing w:before="100" w:after="100"/>
            </w:pPr>
          </w:p>
        </w:tc>
        <w:tc>
          <w:tcPr>
            <w:tcW w:w="281" w:type="pct"/>
            <w:tcBorders>
              <w:top w:val="single" w:sz="4" w:space="0" w:color="939598"/>
              <w:left w:val="single" w:sz="4" w:space="0" w:color="939598"/>
              <w:bottom w:val="single" w:sz="4" w:space="0" w:color="939598"/>
              <w:right w:val="single" w:sz="4" w:space="0" w:color="939598"/>
            </w:tcBorders>
          </w:tcPr>
          <w:p w14:paraId="0FA3547E" w14:textId="77777777" w:rsidR="00E96509" w:rsidRPr="00621783" w:rsidRDefault="00E96509" w:rsidP="00D0554E">
            <w:pPr>
              <w:pStyle w:val="Table"/>
              <w:spacing w:before="100" w:after="100"/>
            </w:pPr>
          </w:p>
        </w:tc>
        <w:tc>
          <w:tcPr>
            <w:tcW w:w="360" w:type="pct"/>
            <w:tcBorders>
              <w:top w:val="single" w:sz="4" w:space="0" w:color="939598"/>
              <w:left w:val="single" w:sz="4" w:space="0" w:color="939598"/>
              <w:bottom w:val="single" w:sz="4" w:space="0" w:color="939598"/>
              <w:right w:val="single" w:sz="4" w:space="0" w:color="939598"/>
            </w:tcBorders>
          </w:tcPr>
          <w:p w14:paraId="07ED3161" w14:textId="77777777" w:rsidR="00E96509" w:rsidRPr="00621783" w:rsidRDefault="00E96509" w:rsidP="00D0554E">
            <w:pPr>
              <w:pStyle w:val="Table"/>
              <w:spacing w:before="100" w:after="100"/>
            </w:pPr>
          </w:p>
        </w:tc>
      </w:tr>
      <w:tr w:rsidR="00E96509" w:rsidRPr="00FC3B3B" w14:paraId="2F459B24" w14:textId="77777777" w:rsidTr="00CC61C2">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Ex>
        <w:tc>
          <w:tcPr>
            <w:tcW w:w="5000" w:type="pct"/>
            <w:gridSpan w:val="4"/>
            <w:tcBorders>
              <w:top w:val="single" w:sz="4" w:space="0" w:color="939598"/>
              <w:left w:val="single" w:sz="4" w:space="0" w:color="939598"/>
              <w:bottom w:val="single" w:sz="4" w:space="0" w:color="939598"/>
              <w:right w:val="single" w:sz="4" w:space="0" w:color="939598"/>
            </w:tcBorders>
            <w:shd w:val="clear" w:color="auto" w:fill="D9D9D9" w:themeFill="background1" w:themeFillShade="D9"/>
          </w:tcPr>
          <w:p w14:paraId="65F2D0EA" w14:textId="221EA2B4" w:rsidR="00E96509" w:rsidRPr="00DA4DA8" w:rsidRDefault="00E96509" w:rsidP="00D0554E">
            <w:pPr>
              <w:pStyle w:val="Tableheading"/>
            </w:pPr>
            <w:r w:rsidRPr="00DA4DA8">
              <w:rPr>
                <w:rFonts w:cs="Arial"/>
              </w:rPr>
              <w:t>B</w:t>
            </w:r>
            <w:r w:rsidR="00BE70FD">
              <w:rPr>
                <w:rFonts w:cs="Arial"/>
              </w:rPr>
              <w:t>AD DEBTS</w:t>
            </w:r>
            <w:r w:rsidRPr="00DA4DA8">
              <w:rPr>
                <w:rFonts w:cs="Arial"/>
              </w:rPr>
              <w:t xml:space="preserve"> </w:t>
            </w:r>
          </w:p>
        </w:tc>
      </w:tr>
      <w:tr w:rsidR="00E96509" w:rsidRPr="00FC3B3B" w14:paraId="3418DA15" w14:textId="77777777" w:rsidTr="00EF436D">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Ex>
        <w:tc>
          <w:tcPr>
            <w:tcW w:w="4007" w:type="pct"/>
            <w:tcBorders>
              <w:top w:val="single" w:sz="4" w:space="0" w:color="939598"/>
              <w:left w:val="single" w:sz="4" w:space="0" w:color="939598"/>
              <w:bottom w:val="single" w:sz="4" w:space="0" w:color="939598"/>
              <w:right w:val="single" w:sz="4" w:space="0" w:color="939598"/>
            </w:tcBorders>
          </w:tcPr>
          <w:p w14:paraId="4C877D21" w14:textId="305E3CC8" w:rsidR="00E96509" w:rsidRPr="00FC3B3B" w:rsidRDefault="00E96509" w:rsidP="00D0554E">
            <w:pPr>
              <w:pStyle w:val="Table"/>
              <w:spacing w:before="100" w:after="100"/>
            </w:pPr>
            <w:r w:rsidRPr="00FC3B3B">
              <w:t>Have bad debts written off during the year been claimed as a tax deduction?</w:t>
            </w:r>
            <w:r>
              <w:t xml:space="preserve"> </w:t>
            </w:r>
            <w:r w:rsidR="005567D7">
              <w:t>Is there documentation on file evidencing the company’s inability to collect the debt?</w:t>
            </w:r>
          </w:p>
        </w:tc>
        <w:tc>
          <w:tcPr>
            <w:tcW w:w="352" w:type="pct"/>
            <w:tcBorders>
              <w:top w:val="single" w:sz="4" w:space="0" w:color="939598"/>
              <w:left w:val="single" w:sz="4" w:space="0" w:color="939598"/>
              <w:bottom w:val="single" w:sz="4" w:space="0" w:color="939598"/>
              <w:right w:val="single" w:sz="4" w:space="0" w:color="939598"/>
            </w:tcBorders>
          </w:tcPr>
          <w:p w14:paraId="04D8313C" w14:textId="77777777" w:rsidR="00E96509" w:rsidRPr="00621783" w:rsidRDefault="00E96509" w:rsidP="00D0554E">
            <w:pPr>
              <w:pStyle w:val="Table"/>
              <w:spacing w:before="100" w:after="100"/>
            </w:pPr>
          </w:p>
        </w:tc>
        <w:tc>
          <w:tcPr>
            <w:tcW w:w="281" w:type="pct"/>
            <w:tcBorders>
              <w:top w:val="single" w:sz="4" w:space="0" w:color="939598"/>
              <w:left w:val="single" w:sz="4" w:space="0" w:color="939598"/>
              <w:bottom w:val="single" w:sz="4" w:space="0" w:color="939598"/>
              <w:right w:val="single" w:sz="4" w:space="0" w:color="939598"/>
            </w:tcBorders>
          </w:tcPr>
          <w:p w14:paraId="74E580E4" w14:textId="77777777" w:rsidR="00E96509" w:rsidRPr="00621783" w:rsidRDefault="00E96509" w:rsidP="00D0554E">
            <w:pPr>
              <w:pStyle w:val="Table"/>
              <w:spacing w:before="100" w:after="100"/>
            </w:pPr>
          </w:p>
        </w:tc>
        <w:tc>
          <w:tcPr>
            <w:tcW w:w="360" w:type="pct"/>
            <w:tcBorders>
              <w:top w:val="single" w:sz="4" w:space="0" w:color="939598"/>
              <w:left w:val="single" w:sz="4" w:space="0" w:color="939598"/>
              <w:bottom w:val="single" w:sz="4" w:space="0" w:color="939598"/>
              <w:right w:val="single" w:sz="4" w:space="0" w:color="939598"/>
            </w:tcBorders>
          </w:tcPr>
          <w:p w14:paraId="238EB094" w14:textId="77777777" w:rsidR="00E96509" w:rsidRPr="00621783" w:rsidRDefault="00E96509" w:rsidP="00D0554E">
            <w:pPr>
              <w:pStyle w:val="Table"/>
              <w:spacing w:before="100" w:after="100"/>
            </w:pPr>
          </w:p>
        </w:tc>
      </w:tr>
      <w:tr w:rsidR="005567D7" w:rsidRPr="00FC3B3B" w14:paraId="5C84CF06" w14:textId="77777777" w:rsidTr="00EF436D">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Ex>
        <w:tc>
          <w:tcPr>
            <w:tcW w:w="4007" w:type="pct"/>
            <w:tcBorders>
              <w:top w:val="single" w:sz="4" w:space="0" w:color="939598"/>
              <w:left w:val="single" w:sz="4" w:space="0" w:color="939598"/>
              <w:bottom w:val="single" w:sz="4" w:space="0" w:color="939598"/>
              <w:right w:val="single" w:sz="4" w:space="0" w:color="939598"/>
            </w:tcBorders>
          </w:tcPr>
          <w:p w14:paraId="7F235578" w14:textId="5CC23370" w:rsidR="005567D7" w:rsidRPr="00FC3B3B" w:rsidRDefault="005567D7" w:rsidP="00D0554E">
            <w:pPr>
              <w:pStyle w:val="Table"/>
              <w:spacing w:before="100" w:after="100"/>
            </w:pPr>
            <w:r>
              <w:t>Have any of these debts been compromised or released before being written off in which case a bad debt deduction will not be available</w:t>
            </w:r>
            <w:r w:rsidR="00C70CA2">
              <w:t>?</w:t>
            </w:r>
          </w:p>
        </w:tc>
        <w:tc>
          <w:tcPr>
            <w:tcW w:w="352" w:type="pct"/>
            <w:tcBorders>
              <w:top w:val="single" w:sz="4" w:space="0" w:color="939598"/>
              <w:left w:val="single" w:sz="4" w:space="0" w:color="939598"/>
              <w:bottom w:val="single" w:sz="4" w:space="0" w:color="939598"/>
              <w:right w:val="single" w:sz="4" w:space="0" w:color="939598"/>
            </w:tcBorders>
          </w:tcPr>
          <w:p w14:paraId="0992E63E" w14:textId="77777777" w:rsidR="005567D7" w:rsidRPr="00621783" w:rsidRDefault="005567D7" w:rsidP="00D0554E">
            <w:pPr>
              <w:pStyle w:val="Table"/>
              <w:spacing w:before="100" w:after="100"/>
            </w:pPr>
          </w:p>
        </w:tc>
        <w:tc>
          <w:tcPr>
            <w:tcW w:w="281" w:type="pct"/>
            <w:tcBorders>
              <w:top w:val="single" w:sz="4" w:space="0" w:color="939598"/>
              <w:left w:val="single" w:sz="4" w:space="0" w:color="939598"/>
              <w:bottom w:val="single" w:sz="4" w:space="0" w:color="939598"/>
              <w:right w:val="single" w:sz="4" w:space="0" w:color="939598"/>
            </w:tcBorders>
          </w:tcPr>
          <w:p w14:paraId="63977F8F" w14:textId="77777777" w:rsidR="005567D7" w:rsidRPr="00621783" w:rsidRDefault="005567D7" w:rsidP="00D0554E">
            <w:pPr>
              <w:pStyle w:val="Table"/>
              <w:spacing w:before="100" w:after="100"/>
            </w:pPr>
          </w:p>
        </w:tc>
        <w:tc>
          <w:tcPr>
            <w:tcW w:w="360" w:type="pct"/>
            <w:tcBorders>
              <w:top w:val="single" w:sz="4" w:space="0" w:color="939598"/>
              <w:left w:val="single" w:sz="4" w:space="0" w:color="939598"/>
              <w:bottom w:val="single" w:sz="4" w:space="0" w:color="939598"/>
              <w:right w:val="single" w:sz="4" w:space="0" w:color="939598"/>
            </w:tcBorders>
          </w:tcPr>
          <w:p w14:paraId="46058324" w14:textId="77777777" w:rsidR="005567D7" w:rsidRPr="00621783" w:rsidRDefault="005567D7" w:rsidP="00D0554E">
            <w:pPr>
              <w:pStyle w:val="Table"/>
              <w:spacing w:before="100" w:after="100"/>
            </w:pPr>
          </w:p>
        </w:tc>
      </w:tr>
      <w:tr w:rsidR="00E96509" w:rsidRPr="00FC3B3B" w14:paraId="1BF39020" w14:textId="77777777" w:rsidTr="00EF436D">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Ex>
        <w:tc>
          <w:tcPr>
            <w:tcW w:w="4007" w:type="pct"/>
            <w:tcBorders>
              <w:top w:val="single" w:sz="4" w:space="0" w:color="939598"/>
              <w:left w:val="single" w:sz="4" w:space="0" w:color="939598"/>
              <w:bottom w:val="single" w:sz="4" w:space="0" w:color="939598"/>
              <w:right w:val="single" w:sz="4" w:space="0" w:color="939598"/>
            </w:tcBorders>
          </w:tcPr>
          <w:p w14:paraId="387339F0" w14:textId="77777777" w:rsidR="00E96509" w:rsidRPr="00FC3B3B" w:rsidRDefault="00E96509" w:rsidP="00D0554E">
            <w:pPr>
              <w:pStyle w:val="Table"/>
              <w:keepNext/>
              <w:spacing w:before="100" w:after="100"/>
            </w:pPr>
            <w:r w:rsidRPr="00FC3B3B">
              <w:t>For bad debts claimed as deductions during the year has:</w:t>
            </w:r>
          </w:p>
          <w:p w14:paraId="37826BA7" w14:textId="08DAB7A0" w:rsidR="00E96509" w:rsidRDefault="00E96509" w:rsidP="00D0554E">
            <w:pPr>
              <w:pStyle w:val="TableBullet"/>
              <w:keepNext/>
              <w:spacing w:before="100" w:after="100"/>
              <w:ind w:left="576" w:hanging="576"/>
            </w:pPr>
            <w:r w:rsidRPr="00FC3B3B">
              <w:t xml:space="preserve">the debt been physically written off prior to balance date, or is there a Board minute authorising the writing-off of the debt prior to </w:t>
            </w:r>
            <w:r w:rsidR="00CF6371">
              <w:t xml:space="preserve">year </w:t>
            </w:r>
            <w:r w:rsidR="00BD325C" w:rsidRPr="00FC3B3B">
              <w:t>end</w:t>
            </w:r>
            <w:r w:rsidR="009D17F6">
              <w:t>,</w:t>
            </w:r>
            <w:r>
              <w:t xml:space="preserve"> </w:t>
            </w:r>
            <w:r w:rsidR="005567D7">
              <w:t xml:space="preserve">confirming </w:t>
            </w:r>
            <w:r>
              <w:t>that the debt is irrecoverable</w:t>
            </w:r>
            <w:r w:rsidRPr="00FC3B3B">
              <w:t xml:space="preserve">? </w:t>
            </w:r>
          </w:p>
          <w:p w14:paraId="2168B9BD" w14:textId="77777777" w:rsidR="00E96509" w:rsidRDefault="00E96509" w:rsidP="00D0554E">
            <w:pPr>
              <w:pStyle w:val="TableBullet"/>
              <w:keepNext/>
              <w:spacing w:before="100" w:after="100"/>
              <w:ind w:left="576" w:hanging="576"/>
            </w:pPr>
            <w:r w:rsidRPr="00FC3B3B">
              <w:t>the debt either previously been returned as assessable income by the company or</w:t>
            </w:r>
            <w:r>
              <w:t xml:space="preserve"> does it</w:t>
            </w:r>
            <w:r w:rsidRPr="00FC3B3B">
              <w:t xml:space="preserve"> represent a loan made in the ordinary course of a money lending business? </w:t>
            </w:r>
          </w:p>
          <w:p w14:paraId="49AA59DB" w14:textId="4619C8B0" w:rsidR="00E96509" w:rsidRDefault="00E96509" w:rsidP="00D0554E">
            <w:pPr>
              <w:pStyle w:val="TableBullet"/>
              <w:keepNext/>
              <w:spacing w:before="100" w:after="100"/>
              <w:ind w:left="576" w:hanging="576"/>
            </w:pPr>
            <w:r>
              <w:t>the company satisfied</w:t>
            </w:r>
            <w:r w:rsidRPr="00FC3B3B">
              <w:t xml:space="preserve"> the Continuity of Ownership Test</w:t>
            </w:r>
            <w:r w:rsidR="00DE1FC8">
              <w:t xml:space="preserve"> (COT)</w:t>
            </w:r>
            <w:r w:rsidRPr="00FC3B3B">
              <w:t xml:space="preserve"> or, alternatively, the Same Business Test (SBT) during the period from when the debt was created to when the debt is proposed to be written off as bad?</w:t>
            </w:r>
          </w:p>
          <w:p w14:paraId="27460A5D" w14:textId="3B57E263" w:rsidR="00AE1F66" w:rsidRPr="00211718" w:rsidRDefault="00AE1F66" w:rsidP="00D0554E">
            <w:pPr>
              <w:spacing w:before="100" w:after="100"/>
              <w:rPr>
                <w:sz w:val="15"/>
                <w:szCs w:val="15"/>
              </w:rPr>
            </w:pPr>
            <w:r w:rsidRPr="00211718">
              <w:rPr>
                <w:b/>
                <w:sz w:val="15"/>
                <w:szCs w:val="15"/>
              </w:rPr>
              <w:t>Note</w:t>
            </w:r>
            <w:r w:rsidRPr="00211718">
              <w:rPr>
                <w:sz w:val="15"/>
                <w:szCs w:val="15"/>
              </w:rPr>
              <w:t>: t</w:t>
            </w:r>
            <w:r w:rsidRPr="00211718">
              <w:rPr>
                <w:rFonts w:cs="Arial"/>
                <w:sz w:val="15"/>
                <w:szCs w:val="15"/>
                <w:lang w:eastAsia="en-AU"/>
              </w:rPr>
              <w:t xml:space="preserve">he </w:t>
            </w:r>
            <w:r w:rsidRPr="00211718">
              <w:rPr>
                <w:rFonts w:cs="Arial"/>
                <w:i/>
                <w:sz w:val="15"/>
                <w:szCs w:val="15"/>
                <w:lang w:eastAsia="en-AU"/>
              </w:rPr>
              <w:t>Treasury Laws Amendment (2017 Enterprises Incentive No.1) Bill 2017</w:t>
            </w:r>
            <w:r w:rsidRPr="00211718">
              <w:rPr>
                <w:rFonts w:cs="Arial"/>
                <w:sz w:val="15"/>
                <w:szCs w:val="15"/>
                <w:lang w:eastAsia="en-AU"/>
              </w:rPr>
              <w:t xml:space="preserve"> proposes to insert an alternate business continuity test to the same business test which will be known as the ’similar business test’ which will apply to income years commencing on </w:t>
            </w:r>
            <w:r w:rsidR="00BE70FD">
              <w:rPr>
                <w:rFonts w:cs="Arial"/>
                <w:sz w:val="15"/>
                <w:szCs w:val="15"/>
                <w:lang w:eastAsia="en-AU"/>
              </w:rPr>
              <w:t>or after 1 July 2015 if enacted.</w:t>
            </w:r>
          </w:p>
        </w:tc>
        <w:tc>
          <w:tcPr>
            <w:tcW w:w="352" w:type="pct"/>
            <w:tcBorders>
              <w:top w:val="single" w:sz="4" w:space="0" w:color="939598"/>
              <w:left w:val="single" w:sz="4" w:space="0" w:color="939598"/>
              <w:bottom w:val="single" w:sz="4" w:space="0" w:color="939598"/>
              <w:right w:val="single" w:sz="4" w:space="0" w:color="939598"/>
            </w:tcBorders>
          </w:tcPr>
          <w:p w14:paraId="45086987" w14:textId="77777777" w:rsidR="00E96509" w:rsidRPr="00621783" w:rsidRDefault="00E96509" w:rsidP="00D0554E">
            <w:pPr>
              <w:pStyle w:val="Table"/>
              <w:spacing w:before="100" w:after="100"/>
            </w:pPr>
          </w:p>
        </w:tc>
        <w:tc>
          <w:tcPr>
            <w:tcW w:w="281" w:type="pct"/>
            <w:tcBorders>
              <w:top w:val="single" w:sz="4" w:space="0" w:color="939598"/>
              <w:left w:val="single" w:sz="4" w:space="0" w:color="939598"/>
              <w:bottom w:val="single" w:sz="4" w:space="0" w:color="939598"/>
              <w:right w:val="single" w:sz="4" w:space="0" w:color="939598"/>
            </w:tcBorders>
          </w:tcPr>
          <w:p w14:paraId="6EC52E6A" w14:textId="77777777" w:rsidR="00E96509" w:rsidRPr="00621783" w:rsidRDefault="00E96509" w:rsidP="00D0554E">
            <w:pPr>
              <w:pStyle w:val="Table"/>
              <w:spacing w:before="100" w:after="100"/>
            </w:pPr>
          </w:p>
        </w:tc>
        <w:tc>
          <w:tcPr>
            <w:tcW w:w="360" w:type="pct"/>
            <w:tcBorders>
              <w:top w:val="single" w:sz="4" w:space="0" w:color="939598"/>
              <w:left w:val="single" w:sz="4" w:space="0" w:color="939598"/>
              <w:bottom w:val="single" w:sz="4" w:space="0" w:color="939598"/>
              <w:right w:val="single" w:sz="4" w:space="0" w:color="939598"/>
            </w:tcBorders>
          </w:tcPr>
          <w:p w14:paraId="1D929890" w14:textId="77777777" w:rsidR="00E96509" w:rsidRPr="00621783" w:rsidRDefault="00E96509" w:rsidP="00D0554E">
            <w:pPr>
              <w:pStyle w:val="Table"/>
              <w:spacing w:before="100" w:after="100"/>
            </w:pPr>
          </w:p>
        </w:tc>
      </w:tr>
      <w:tr w:rsidR="00E96509" w:rsidRPr="00FC3B3B" w14:paraId="403DCA06" w14:textId="77777777" w:rsidTr="00CC61C2">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Ex>
        <w:tc>
          <w:tcPr>
            <w:tcW w:w="5000" w:type="pct"/>
            <w:gridSpan w:val="4"/>
            <w:tcBorders>
              <w:top w:val="single" w:sz="4" w:space="0" w:color="939598"/>
              <w:left w:val="single" w:sz="4" w:space="0" w:color="939598"/>
              <w:bottom w:val="single" w:sz="4" w:space="0" w:color="939598"/>
              <w:right w:val="single" w:sz="4" w:space="0" w:color="939598"/>
            </w:tcBorders>
          </w:tcPr>
          <w:p w14:paraId="69ECDDDC" w14:textId="77777777" w:rsidR="00E96509" w:rsidRDefault="00E96509" w:rsidP="00D0554E">
            <w:pPr>
              <w:pStyle w:val="Table"/>
              <w:spacing w:before="100" w:after="100"/>
              <w:rPr>
                <w:b/>
              </w:rPr>
            </w:pPr>
            <w:r w:rsidRPr="00CF6D2A">
              <w:rPr>
                <w:b/>
              </w:rPr>
              <w:t>Comments:</w:t>
            </w:r>
          </w:p>
          <w:p w14:paraId="73B24036" w14:textId="6909160C" w:rsidR="00E96509" w:rsidRDefault="00E96509" w:rsidP="00D0554E">
            <w:pPr>
              <w:pStyle w:val="Table"/>
              <w:spacing w:before="100" w:after="100"/>
            </w:pPr>
          </w:p>
          <w:p w14:paraId="18564265" w14:textId="77777777" w:rsidR="00E96509" w:rsidRPr="00621783" w:rsidRDefault="00E96509" w:rsidP="00D0554E">
            <w:pPr>
              <w:pStyle w:val="Table"/>
              <w:spacing w:before="100" w:after="100"/>
            </w:pPr>
          </w:p>
        </w:tc>
      </w:tr>
      <w:tr w:rsidR="002E5B4B" w:rsidRPr="005A1539" w14:paraId="3455F603" w14:textId="77777777" w:rsidTr="0044407E">
        <w:tc>
          <w:tcPr>
            <w:tcW w:w="4007" w:type="pct"/>
            <w:tcBorders>
              <w:top w:val="single" w:sz="4" w:space="0" w:color="939598"/>
              <w:bottom w:val="single" w:sz="4" w:space="0" w:color="939598"/>
              <w:right w:val="single" w:sz="4" w:space="0" w:color="939598"/>
            </w:tcBorders>
            <w:shd w:val="clear" w:color="auto" w:fill="051C3C"/>
          </w:tcPr>
          <w:p w14:paraId="74E7928B" w14:textId="4C796A60" w:rsidR="002E5B4B" w:rsidRPr="005A1539" w:rsidRDefault="002E5B4B" w:rsidP="00D0554E">
            <w:pPr>
              <w:pStyle w:val="Tableheading"/>
              <w:keepNext/>
              <w:rPr>
                <w:sz w:val="18"/>
              </w:rPr>
            </w:pPr>
            <w:bookmarkStart w:id="1" w:name="_Hlk516217582"/>
            <w:r>
              <w:rPr>
                <w:b w:val="0"/>
              </w:rPr>
              <w:br w:type="page"/>
            </w:r>
            <w:r w:rsidRPr="00621783">
              <w:rPr>
                <w:sz w:val="18"/>
              </w:rPr>
              <w:t>T</w:t>
            </w:r>
            <w:r w:rsidR="0044407E">
              <w:rPr>
                <w:sz w:val="18"/>
              </w:rPr>
              <w:t>AX RETURN FORM COMPLETION</w:t>
            </w:r>
            <w:r w:rsidRPr="00621783">
              <w:rPr>
                <w:sz w:val="18"/>
              </w:rPr>
              <w:t xml:space="preserve"> </w:t>
            </w:r>
          </w:p>
        </w:tc>
        <w:tc>
          <w:tcPr>
            <w:tcW w:w="352" w:type="pct"/>
            <w:tcBorders>
              <w:top w:val="single" w:sz="4" w:space="0" w:color="939598"/>
              <w:left w:val="single" w:sz="4" w:space="0" w:color="939598"/>
              <w:bottom w:val="single" w:sz="4" w:space="0" w:color="939598"/>
              <w:right w:val="single" w:sz="4" w:space="0" w:color="939598"/>
            </w:tcBorders>
            <w:shd w:val="clear" w:color="auto" w:fill="051C3C"/>
          </w:tcPr>
          <w:p w14:paraId="72EDD28F" w14:textId="3B3FF6B3" w:rsidR="002E5B4B" w:rsidRPr="005A1539" w:rsidRDefault="0044407E" w:rsidP="00D0554E">
            <w:pPr>
              <w:pStyle w:val="Tableheading"/>
              <w:keepNext/>
              <w:rPr>
                <w:sz w:val="18"/>
              </w:rPr>
            </w:pPr>
            <w:r>
              <w:rPr>
                <w:sz w:val="18"/>
              </w:rPr>
              <w:t>YES</w:t>
            </w:r>
          </w:p>
        </w:tc>
        <w:tc>
          <w:tcPr>
            <w:tcW w:w="281" w:type="pct"/>
            <w:tcBorders>
              <w:top w:val="single" w:sz="4" w:space="0" w:color="939598"/>
              <w:left w:val="single" w:sz="4" w:space="0" w:color="939598"/>
              <w:bottom w:val="single" w:sz="4" w:space="0" w:color="939598"/>
              <w:right w:val="single" w:sz="4" w:space="0" w:color="939598"/>
            </w:tcBorders>
            <w:shd w:val="clear" w:color="auto" w:fill="051C3C"/>
          </w:tcPr>
          <w:p w14:paraId="28B39FBA" w14:textId="653DD18D" w:rsidR="002E5B4B" w:rsidRPr="005A1539" w:rsidRDefault="0044407E" w:rsidP="00D0554E">
            <w:pPr>
              <w:pStyle w:val="Tableheading"/>
              <w:keepNext/>
              <w:rPr>
                <w:sz w:val="18"/>
              </w:rPr>
            </w:pPr>
            <w:r>
              <w:rPr>
                <w:sz w:val="18"/>
              </w:rPr>
              <w:t>NO</w:t>
            </w:r>
          </w:p>
        </w:tc>
        <w:tc>
          <w:tcPr>
            <w:tcW w:w="360" w:type="pct"/>
            <w:tcBorders>
              <w:top w:val="single" w:sz="4" w:space="0" w:color="939598"/>
              <w:left w:val="single" w:sz="4" w:space="0" w:color="939598"/>
              <w:bottom w:val="single" w:sz="4" w:space="0" w:color="939598"/>
            </w:tcBorders>
            <w:shd w:val="clear" w:color="auto" w:fill="051C3C"/>
          </w:tcPr>
          <w:p w14:paraId="0E036C14" w14:textId="77777777" w:rsidR="002E5B4B" w:rsidRPr="005A1539" w:rsidRDefault="002E5B4B" w:rsidP="00D0554E">
            <w:pPr>
              <w:pStyle w:val="Tableheading"/>
              <w:keepNext/>
              <w:rPr>
                <w:sz w:val="18"/>
              </w:rPr>
            </w:pPr>
            <w:r w:rsidRPr="005A1539">
              <w:rPr>
                <w:sz w:val="18"/>
              </w:rPr>
              <w:t>N/A</w:t>
            </w:r>
          </w:p>
        </w:tc>
      </w:tr>
      <w:bookmarkEnd w:id="1"/>
      <w:tr w:rsidR="00990CCA" w:rsidRPr="009D23C0" w14:paraId="7CFF6572" w14:textId="77777777" w:rsidTr="00990CCA">
        <w:tc>
          <w:tcPr>
            <w:tcW w:w="5000" w:type="pct"/>
            <w:gridSpan w:val="4"/>
            <w:tcBorders>
              <w:top w:val="single" w:sz="4" w:space="0" w:color="939598"/>
              <w:bottom w:val="single" w:sz="4" w:space="0" w:color="939598"/>
            </w:tcBorders>
            <w:shd w:val="clear" w:color="auto" w:fill="D9D9D9" w:themeFill="background1" w:themeFillShade="D9"/>
          </w:tcPr>
          <w:p w14:paraId="60CB9426" w14:textId="6D66758D" w:rsidR="00990CCA" w:rsidRPr="009D23C0" w:rsidRDefault="00990CCA" w:rsidP="00D0554E">
            <w:pPr>
              <w:pStyle w:val="Tableheading"/>
            </w:pPr>
            <w:r w:rsidRPr="009D23C0">
              <w:rPr>
                <w:rFonts w:cs="Arial"/>
              </w:rPr>
              <w:t>S</w:t>
            </w:r>
            <w:r w:rsidR="0044407E">
              <w:rPr>
                <w:rFonts w:cs="Arial"/>
              </w:rPr>
              <w:t>TATUS OF COMPANY</w:t>
            </w:r>
            <w:r w:rsidRPr="009D23C0">
              <w:rPr>
                <w:rFonts w:cs="Arial"/>
              </w:rPr>
              <w:t xml:space="preserve"> (I</w:t>
            </w:r>
            <w:r w:rsidR="0044407E">
              <w:rPr>
                <w:rFonts w:cs="Arial"/>
              </w:rPr>
              <w:t>TEM</w:t>
            </w:r>
            <w:r w:rsidRPr="009D23C0">
              <w:rPr>
                <w:rFonts w:cs="Arial"/>
              </w:rPr>
              <w:t xml:space="preserve"> 3) </w:t>
            </w:r>
          </w:p>
        </w:tc>
      </w:tr>
      <w:tr w:rsidR="00E1518F" w:rsidRPr="00FC3B3B" w14:paraId="0EFADDC6" w14:textId="77777777" w:rsidTr="0044407E">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Ex>
        <w:tc>
          <w:tcPr>
            <w:tcW w:w="4007" w:type="pct"/>
            <w:tcBorders>
              <w:top w:val="single" w:sz="4" w:space="0" w:color="939598"/>
              <w:left w:val="single" w:sz="4" w:space="0" w:color="939598"/>
              <w:bottom w:val="single" w:sz="4" w:space="0" w:color="939598"/>
              <w:right w:val="single" w:sz="4" w:space="0" w:color="939598"/>
            </w:tcBorders>
          </w:tcPr>
          <w:p w14:paraId="6CE3B8FA" w14:textId="77777777" w:rsidR="00E1518F" w:rsidRPr="00FC3B3B" w:rsidRDefault="00E1518F" w:rsidP="00D0554E">
            <w:pPr>
              <w:pStyle w:val="Table"/>
              <w:spacing w:before="100" w:after="100"/>
            </w:pPr>
            <w:r w:rsidRPr="00FC3B3B">
              <w:t xml:space="preserve">Has the relevant </w:t>
            </w:r>
            <w:r w:rsidR="00093499">
              <w:t>disclosure</w:t>
            </w:r>
            <w:r w:rsidR="00093499" w:rsidRPr="00FC3B3B">
              <w:t xml:space="preserve"> </w:t>
            </w:r>
            <w:r w:rsidRPr="00FC3B3B">
              <w:t>been completed for a consolidated head company or a subsidiary member thereof where the subsidiary member is completing a part year return?</w:t>
            </w:r>
          </w:p>
          <w:p w14:paraId="773C44AE" w14:textId="4D36C99D" w:rsidR="00E1518F" w:rsidRPr="00211718" w:rsidRDefault="005567D7" w:rsidP="00D0554E">
            <w:pPr>
              <w:pStyle w:val="Table"/>
              <w:spacing w:before="100" w:after="100"/>
              <w:rPr>
                <w:sz w:val="15"/>
                <w:szCs w:val="15"/>
              </w:rPr>
            </w:pPr>
            <w:r w:rsidRPr="00211718">
              <w:rPr>
                <w:b/>
                <w:sz w:val="15"/>
                <w:szCs w:val="15"/>
              </w:rPr>
              <w:t>Note</w:t>
            </w:r>
            <w:r w:rsidRPr="00211718">
              <w:rPr>
                <w:sz w:val="15"/>
                <w:szCs w:val="15"/>
              </w:rPr>
              <w:t>: r</w:t>
            </w:r>
            <w:r w:rsidR="00E1518F" w:rsidRPr="00211718">
              <w:rPr>
                <w:sz w:val="15"/>
                <w:szCs w:val="15"/>
              </w:rPr>
              <w:t>efer to the ATO’s income tax returns and consolidation instructions</w:t>
            </w:r>
            <w:r w:rsidR="0044407E">
              <w:rPr>
                <w:sz w:val="15"/>
                <w:szCs w:val="15"/>
              </w:rPr>
              <w:t>,</w:t>
            </w:r>
            <w:r w:rsidR="0092507E" w:rsidRPr="00211718">
              <w:rPr>
                <w:sz w:val="15"/>
                <w:szCs w:val="15"/>
              </w:rPr>
              <w:t xml:space="preserve"> including the </w:t>
            </w:r>
            <w:hyperlink r:id="rId16" w:history="1">
              <w:r w:rsidR="0092507E" w:rsidRPr="0044407E">
                <w:rPr>
                  <w:rStyle w:val="Hyperlink"/>
                  <w:sz w:val="15"/>
                  <w:szCs w:val="15"/>
                </w:rPr>
                <w:t>consolidation reference manual</w:t>
              </w:r>
            </w:hyperlink>
            <w:r w:rsidR="0044407E">
              <w:rPr>
                <w:sz w:val="15"/>
                <w:szCs w:val="15"/>
              </w:rPr>
              <w:t>.</w:t>
            </w:r>
          </w:p>
        </w:tc>
        <w:tc>
          <w:tcPr>
            <w:tcW w:w="352" w:type="pct"/>
            <w:tcBorders>
              <w:top w:val="single" w:sz="4" w:space="0" w:color="939598"/>
              <w:left w:val="single" w:sz="4" w:space="0" w:color="939598"/>
              <w:bottom w:val="single" w:sz="4" w:space="0" w:color="939598"/>
              <w:right w:val="single" w:sz="4" w:space="0" w:color="939598"/>
            </w:tcBorders>
          </w:tcPr>
          <w:p w14:paraId="5E23BCC6" w14:textId="77777777" w:rsidR="00E1518F" w:rsidRPr="00FC3B3B" w:rsidRDefault="00E1518F" w:rsidP="00D0554E">
            <w:pPr>
              <w:pStyle w:val="Table"/>
              <w:spacing w:before="100" w:after="100"/>
            </w:pPr>
          </w:p>
        </w:tc>
        <w:tc>
          <w:tcPr>
            <w:tcW w:w="281" w:type="pct"/>
            <w:tcBorders>
              <w:top w:val="single" w:sz="4" w:space="0" w:color="939598"/>
              <w:left w:val="single" w:sz="4" w:space="0" w:color="939598"/>
              <w:bottom w:val="single" w:sz="4" w:space="0" w:color="939598"/>
              <w:right w:val="single" w:sz="4" w:space="0" w:color="939598"/>
            </w:tcBorders>
          </w:tcPr>
          <w:p w14:paraId="1C0DD19F" w14:textId="77777777" w:rsidR="00E1518F" w:rsidRPr="00FC3B3B" w:rsidRDefault="00E1518F" w:rsidP="00D0554E">
            <w:pPr>
              <w:pStyle w:val="Table"/>
              <w:spacing w:before="100" w:after="100"/>
            </w:pPr>
          </w:p>
        </w:tc>
        <w:tc>
          <w:tcPr>
            <w:tcW w:w="360" w:type="pct"/>
            <w:tcBorders>
              <w:top w:val="single" w:sz="4" w:space="0" w:color="939598"/>
              <w:left w:val="single" w:sz="4" w:space="0" w:color="939598"/>
              <w:bottom w:val="single" w:sz="4" w:space="0" w:color="939598"/>
              <w:right w:val="single" w:sz="4" w:space="0" w:color="939598"/>
            </w:tcBorders>
          </w:tcPr>
          <w:p w14:paraId="592F847F" w14:textId="77777777" w:rsidR="00E1518F" w:rsidRPr="00FC3B3B" w:rsidRDefault="00E1518F" w:rsidP="00D0554E">
            <w:pPr>
              <w:pStyle w:val="Table"/>
              <w:spacing w:before="100" w:after="100"/>
            </w:pPr>
          </w:p>
        </w:tc>
      </w:tr>
      <w:tr w:rsidR="00E1518F" w:rsidRPr="00AF24CF" w14:paraId="24CC142D" w14:textId="77777777" w:rsidTr="00EA22AC">
        <w:trPr>
          <w:trHeight w:val="313"/>
        </w:trPr>
        <w:tc>
          <w:tcPr>
            <w:tcW w:w="5000" w:type="pct"/>
            <w:gridSpan w:val="4"/>
            <w:tcBorders>
              <w:top w:val="single" w:sz="4" w:space="0" w:color="939598"/>
              <w:bottom w:val="nil"/>
            </w:tcBorders>
          </w:tcPr>
          <w:p w14:paraId="491A9C0B" w14:textId="77777777" w:rsidR="00E1518F" w:rsidRDefault="00E1518F" w:rsidP="00D0554E">
            <w:pPr>
              <w:pStyle w:val="Tableheading"/>
            </w:pPr>
            <w:r>
              <w:t>Comments:</w:t>
            </w:r>
          </w:p>
          <w:p w14:paraId="20003C74" w14:textId="1E4722B9" w:rsidR="00BE70FD" w:rsidRDefault="00BE70FD" w:rsidP="00D0554E">
            <w:pPr>
              <w:pStyle w:val="Tableheading"/>
            </w:pPr>
          </w:p>
          <w:p w14:paraId="044D4E93" w14:textId="77777777" w:rsidR="003667BC" w:rsidRPr="00AF24CF" w:rsidRDefault="003667BC" w:rsidP="00D0554E">
            <w:pPr>
              <w:pStyle w:val="Tableheading"/>
            </w:pPr>
          </w:p>
        </w:tc>
      </w:tr>
      <w:tr w:rsidR="00990CCA" w:rsidRPr="009D23C0" w14:paraId="537D1DB9" w14:textId="77777777" w:rsidTr="00990CCA">
        <w:tc>
          <w:tcPr>
            <w:tcW w:w="5000" w:type="pct"/>
            <w:gridSpan w:val="4"/>
            <w:tcBorders>
              <w:top w:val="single" w:sz="4" w:space="0" w:color="939598"/>
              <w:bottom w:val="single" w:sz="4" w:space="0" w:color="939598"/>
            </w:tcBorders>
            <w:shd w:val="clear" w:color="auto" w:fill="D9D9D9" w:themeFill="background1" w:themeFillShade="D9"/>
          </w:tcPr>
          <w:p w14:paraId="442ED3B8" w14:textId="0F4F88C5" w:rsidR="00990CCA" w:rsidRPr="009D23C0" w:rsidRDefault="00990CCA" w:rsidP="00D0554E">
            <w:pPr>
              <w:pStyle w:val="Tableheading"/>
            </w:pPr>
            <w:r w:rsidRPr="009D23C0">
              <w:rPr>
                <w:rFonts w:cs="Arial"/>
              </w:rPr>
              <w:t>I</w:t>
            </w:r>
            <w:r w:rsidR="00624EBA">
              <w:rPr>
                <w:rFonts w:cs="Arial"/>
              </w:rPr>
              <w:t>NTERPOSED ENTITY SELECTION STATUS</w:t>
            </w:r>
            <w:r w:rsidRPr="009D23C0">
              <w:rPr>
                <w:rFonts w:cs="Arial"/>
              </w:rPr>
              <w:t xml:space="preserve"> (</w:t>
            </w:r>
            <w:r w:rsidR="00624EBA">
              <w:rPr>
                <w:rFonts w:cs="Arial"/>
              </w:rPr>
              <w:t>ITEM</w:t>
            </w:r>
            <w:r w:rsidRPr="009D23C0">
              <w:rPr>
                <w:rFonts w:cs="Arial"/>
              </w:rPr>
              <w:t xml:space="preserve"> 4) </w:t>
            </w:r>
          </w:p>
        </w:tc>
      </w:tr>
      <w:tr w:rsidR="00E1518F" w:rsidRPr="00FC3B3B" w14:paraId="4C40B577" w14:textId="77777777" w:rsidTr="00624EBA">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Ex>
        <w:tc>
          <w:tcPr>
            <w:tcW w:w="4007" w:type="pct"/>
            <w:tcBorders>
              <w:top w:val="single" w:sz="4" w:space="0" w:color="939598"/>
              <w:left w:val="single" w:sz="4" w:space="0" w:color="939598"/>
              <w:bottom w:val="single" w:sz="4" w:space="0" w:color="939598"/>
              <w:right w:val="single" w:sz="4" w:space="0" w:color="939598"/>
            </w:tcBorders>
          </w:tcPr>
          <w:p w14:paraId="01EA20EC" w14:textId="77777777" w:rsidR="00E1518F" w:rsidRPr="00FC3B3B" w:rsidRDefault="00E1518F" w:rsidP="00D0554E">
            <w:pPr>
              <w:pStyle w:val="Table"/>
              <w:spacing w:before="100" w:after="100"/>
            </w:pPr>
            <w:r w:rsidRPr="00FC3B3B">
              <w:t>Has the company made an interposed entity election (IEE)?</w:t>
            </w:r>
          </w:p>
          <w:p w14:paraId="0DFDA1A1" w14:textId="163362B6" w:rsidR="00E1518F" w:rsidRPr="00211718" w:rsidRDefault="00E1518F" w:rsidP="00D0554E">
            <w:pPr>
              <w:pStyle w:val="Source"/>
              <w:spacing w:before="100" w:after="100"/>
              <w:ind w:right="0"/>
              <w:rPr>
                <w:sz w:val="15"/>
                <w:szCs w:val="15"/>
              </w:rPr>
            </w:pPr>
            <w:r w:rsidRPr="00211718">
              <w:rPr>
                <w:sz w:val="15"/>
                <w:szCs w:val="15"/>
              </w:rPr>
              <w:t xml:space="preserve">Note: </w:t>
            </w:r>
            <w:r w:rsidRPr="00211718">
              <w:rPr>
                <w:b w:val="0"/>
                <w:sz w:val="15"/>
                <w:szCs w:val="15"/>
              </w:rPr>
              <w:t xml:space="preserve">a company may be required to make an IEE to be included in the family group of a trust that has made a family trust election. Where a trust that has made a family trust election distributes income or capital to a company </w:t>
            </w:r>
            <w:r w:rsidR="00AD2040" w:rsidRPr="00211718">
              <w:rPr>
                <w:b w:val="0"/>
                <w:sz w:val="15"/>
                <w:szCs w:val="15"/>
              </w:rPr>
              <w:t xml:space="preserve">which is not part of the family group </w:t>
            </w:r>
            <w:r w:rsidR="005567D7" w:rsidRPr="00211718">
              <w:rPr>
                <w:b w:val="0"/>
                <w:sz w:val="15"/>
                <w:szCs w:val="15"/>
              </w:rPr>
              <w:t xml:space="preserve">and </w:t>
            </w:r>
            <w:r w:rsidRPr="00211718">
              <w:rPr>
                <w:b w:val="0"/>
                <w:sz w:val="15"/>
                <w:szCs w:val="15"/>
              </w:rPr>
              <w:t>has not made an IEE, the distribution may be subject to family trust distributions tax (F</w:t>
            </w:r>
            <w:r w:rsidR="00AD2040" w:rsidRPr="00211718">
              <w:rPr>
                <w:b w:val="0"/>
                <w:sz w:val="15"/>
                <w:szCs w:val="15"/>
              </w:rPr>
              <w:t>T</w:t>
            </w:r>
            <w:r w:rsidRPr="00211718">
              <w:rPr>
                <w:b w:val="0"/>
                <w:sz w:val="15"/>
                <w:szCs w:val="15"/>
              </w:rPr>
              <w:t>DT)</w:t>
            </w:r>
            <w:r w:rsidR="00051A7E" w:rsidRPr="00211718">
              <w:rPr>
                <w:b w:val="0"/>
                <w:sz w:val="15"/>
                <w:szCs w:val="15"/>
              </w:rPr>
              <w:t>,</w:t>
            </w:r>
            <w:r w:rsidR="009628B5" w:rsidRPr="00211718">
              <w:rPr>
                <w:b w:val="0"/>
                <w:sz w:val="15"/>
                <w:szCs w:val="15"/>
              </w:rPr>
              <w:t xml:space="preserve"> which is currently levied at a rate </w:t>
            </w:r>
            <w:r w:rsidRPr="00211718">
              <w:rPr>
                <w:b w:val="0"/>
                <w:sz w:val="15"/>
                <w:szCs w:val="15"/>
              </w:rPr>
              <w:t>of 4</w:t>
            </w:r>
            <w:r w:rsidR="005567D7" w:rsidRPr="00211718">
              <w:rPr>
                <w:b w:val="0"/>
                <w:sz w:val="15"/>
                <w:szCs w:val="15"/>
              </w:rPr>
              <w:t>7</w:t>
            </w:r>
            <w:r w:rsidRPr="00211718">
              <w:rPr>
                <w:b w:val="0"/>
                <w:sz w:val="15"/>
                <w:szCs w:val="15"/>
              </w:rPr>
              <w:t xml:space="preserve">% on the trustee of the family trust. Note that </w:t>
            </w:r>
            <w:r w:rsidR="0092507E" w:rsidRPr="00211718">
              <w:rPr>
                <w:b w:val="0"/>
                <w:sz w:val="15"/>
                <w:szCs w:val="15"/>
              </w:rPr>
              <w:t xml:space="preserve">subsequent </w:t>
            </w:r>
            <w:r w:rsidRPr="00211718">
              <w:rPr>
                <w:b w:val="0"/>
                <w:sz w:val="15"/>
                <w:szCs w:val="15"/>
              </w:rPr>
              <w:t>distributions by a company that has made an IEE of income to entities outside the family group may also attract F</w:t>
            </w:r>
            <w:r w:rsidR="00AD2040" w:rsidRPr="00211718">
              <w:rPr>
                <w:b w:val="0"/>
                <w:sz w:val="15"/>
                <w:szCs w:val="15"/>
              </w:rPr>
              <w:t>T</w:t>
            </w:r>
            <w:r w:rsidRPr="00211718">
              <w:rPr>
                <w:b w:val="0"/>
                <w:sz w:val="15"/>
                <w:szCs w:val="15"/>
              </w:rPr>
              <w:t>DT.</w:t>
            </w:r>
          </w:p>
        </w:tc>
        <w:tc>
          <w:tcPr>
            <w:tcW w:w="352" w:type="pct"/>
            <w:tcBorders>
              <w:top w:val="single" w:sz="4" w:space="0" w:color="939598"/>
              <w:left w:val="single" w:sz="4" w:space="0" w:color="939598"/>
              <w:bottom w:val="single" w:sz="4" w:space="0" w:color="939598"/>
              <w:right w:val="single" w:sz="4" w:space="0" w:color="939598"/>
            </w:tcBorders>
          </w:tcPr>
          <w:p w14:paraId="562E5131" w14:textId="77777777" w:rsidR="00E1518F" w:rsidRPr="00FC3B3B" w:rsidRDefault="00E1518F" w:rsidP="00D0554E">
            <w:pPr>
              <w:pStyle w:val="Table"/>
              <w:spacing w:before="100" w:after="100"/>
            </w:pPr>
          </w:p>
        </w:tc>
        <w:tc>
          <w:tcPr>
            <w:tcW w:w="281" w:type="pct"/>
            <w:tcBorders>
              <w:top w:val="single" w:sz="4" w:space="0" w:color="939598"/>
              <w:left w:val="single" w:sz="4" w:space="0" w:color="939598"/>
              <w:bottom w:val="single" w:sz="4" w:space="0" w:color="939598"/>
              <w:right w:val="single" w:sz="4" w:space="0" w:color="939598"/>
            </w:tcBorders>
          </w:tcPr>
          <w:p w14:paraId="49ED9C04" w14:textId="77777777" w:rsidR="00E1518F" w:rsidRPr="00FC3B3B" w:rsidRDefault="00E1518F" w:rsidP="00D0554E">
            <w:pPr>
              <w:pStyle w:val="Table"/>
              <w:spacing w:before="100" w:after="100"/>
            </w:pPr>
          </w:p>
        </w:tc>
        <w:tc>
          <w:tcPr>
            <w:tcW w:w="360" w:type="pct"/>
            <w:tcBorders>
              <w:top w:val="single" w:sz="4" w:space="0" w:color="939598"/>
              <w:left w:val="single" w:sz="4" w:space="0" w:color="939598"/>
              <w:bottom w:val="single" w:sz="4" w:space="0" w:color="939598"/>
              <w:right w:val="single" w:sz="4" w:space="0" w:color="939598"/>
            </w:tcBorders>
          </w:tcPr>
          <w:p w14:paraId="3B872FC7" w14:textId="77777777" w:rsidR="00E1518F" w:rsidRPr="00FC3B3B" w:rsidRDefault="00E1518F" w:rsidP="00D0554E">
            <w:pPr>
              <w:pStyle w:val="Table"/>
              <w:spacing w:before="100" w:after="100"/>
            </w:pPr>
          </w:p>
        </w:tc>
      </w:tr>
      <w:tr w:rsidR="00E1518F" w:rsidRPr="00AF24CF" w14:paraId="3C4A80DB" w14:textId="77777777" w:rsidTr="00624EBA">
        <w:trPr>
          <w:trHeight w:val="313"/>
        </w:trPr>
        <w:tc>
          <w:tcPr>
            <w:tcW w:w="5000" w:type="pct"/>
            <w:gridSpan w:val="4"/>
            <w:tcBorders>
              <w:top w:val="single" w:sz="4" w:space="0" w:color="939598"/>
              <w:bottom w:val="single" w:sz="4" w:space="0" w:color="939598"/>
            </w:tcBorders>
          </w:tcPr>
          <w:p w14:paraId="34A95CAD" w14:textId="623038F9" w:rsidR="006367D2" w:rsidRDefault="00745C8D" w:rsidP="00D0554E">
            <w:pPr>
              <w:pStyle w:val="Tableheading"/>
            </w:pPr>
            <w:r>
              <w:t>Comments:</w:t>
            </w:r>
          </w:p>
          <w:p w14:paraId="7D3D6762" w14:textId="77777777" w:rsidR="003667BC" w:rsidRDefault="003667BC" w:rsidP="00D0554E">
            <w:pPr>
              <w:pStyle w:val="Tableheading"/>
            </w:pPr>
          </w:p>
          <w:p w14:paraId="6FD8F11C" w14:textId="77777777" w:rsidR="00624EBA" w:rsidRDefault="00624EBA" w:rsidP="00D0554E">
            <w:pPr>
              <w:pStyle w:val="Tableheading"/>
            </w:pPr>
          </w:p>
          <w:p w14:paraId="60551D1B" w14:textId="53D00EE9" w:rsidR="00624EBA" w:rsidRPr="00AF24CF" w:rsidRDefault="00624EBA" w:rsidP="00D0554E">
            <w:pPr>
              <w:pStyle w:val="Tableheading"/>
            </w:pPr>
          </w:p>
        </w:tc>
      </w:tr>
    </w:tbl>
    <w:p w14:paraId="6AE3B213" w14:textId="77777777" w:rsidR="00745C8D" w:rsidRDefault="00745C8D">
      <w:r>
        <w:rPr>
          <w:b/>
        </w:rPr>
        <w:br w:type="page"/>
      </w:r>
    </w:p>
    <w:tbl>
      <w:tblPr>
        <w:tblW w:w="5002" w:type="pct"/>
        <w:tblBorders>
          <w:top w:val="single" w:sz="4" w:space="0" w:color="939598"/>
          <w:left w:val="single" w:sz="4" w:space="0" w:color="939598"/>
          <w:bottom w:val="single" w:sz="4" w:space="0" w:color="939598"/>
          <w:right w:val="single" w:sz="4" w:space="0" w:color="939598"/>
        </w:tblBorders>
        <w:tblLayout w:type="fixed"/>
        <w:tblLook w:val="00A0" w:firstRow="1" w:lastRow="0" w:firstColumn="1" w:lastColumn="0" w:noHBand="0" w:noVBand="0"/>
      </w:tblPr>
      <w:tblGrid>
        <w:gridCol w:w="8073"/>
        <w:gridCol w:w="710"/>
        <w:gridCol w:w="568"/>
        <w:gridCol w:w="728"/>
      </w:tblGrid>
      <w:tr w:rsidR="0044407E" w:rsidRPr="005A1539" w14:paraId="2825B38A" w14:textId="77777777" w:rsidTr="00942C04">
        <w:tc>
          <w:tcPr>
            <w:tcW w:w="4005" w:type="pct"/>
            <w:tcBorders>
              <w:top w:val="single" w:sz="4" w:space="0" w:color="939598"/>
              <w:bottom w:val="single" w:sz="4" w:space="0" w:color="939598"/>
              <w:right w:val="single" w:sz="4" w:space="0" w:color="939598"/>
            </w:tcBorders>
            <w:shd w:val="clear" w:color="auto" w:fill="051C3C"/>
          </w:tcPr>
          <w:p w14:paraId="0B02D921" w14:textId="20EE23E4" w:rsidR="0044407E" w:rsidRPr="005A1539" w:rsidRDefault="0044407E" w:rsidP="008C013F">
            <w:pPr>
              <w:pStyle w:val="Tableheading"/>
              <w:keepNext/>
              <w:rPr>
                <w:sz w:val="18"/>
              </w:rPr>
            </w:pPr>
            <w:r>
              <w:rPr>
                <w:b w:val="0"/>
              </w:rPr>
              <w:lastRenderedPageBreak/>
              <w:br w:type="page"/>
            </w:r>
            <w:r w:rsidRPr="00621783">
              <w:rPr>
                <w:sz w:val="18"/>
              </w:rPr>
              <w:t>T</w:t>
            </w:r>
            <w:r>
              <w:rPr>
                <w:sz w:val="18"/>
              </w:rPr>
              <w:t>AX RETURN FORM COMPLETION</w:t>
            </w:r>
            <w:r w:rsidRPr="00621783">
              <w:rPr>
                <w:sz w:val="18"/>
              </w:rPr>
              <w:t xml:space="preserve"> </w:t>
            </w:r>
          </w:p>
        </w:tc>
        <w:tc>
          <w:tcPr>
            <w:tcW w:w="352" w:type="pct"/>
            <w:tcBorders>
              <w:top w:val="single" w:sz="4" w:space="0" w:color="939598"/>
              <w:left w:val="single" w:sz="4" w:space="0" w:color="939598"/>
              <w:bottom w:val="single" w:sz="4" w:space="0" w:color="939598"/>
              <w:right w:val="single" w:sz="4" w:space="0" w:color="939598"/>
            </w:tcBorders>
            <w:shd w:val="clear" w:color="auto" w:fill="051C3C"/>
          </w:tcPr>
          <w:p w14:paraId="0750907F" w14:textId="77777777" w:rsidR="0044407E" w:rsidRPr="005A1539" w:rsidRDefault="0044407E" w:rsidP="008C013F">
            <w:pPr>
              <w:pStyle w:val="Tableheading"/>
              <w:keepNext/>
              <w:rPr>
                <w:sz w:val="18"/>
              </w:rPr>
            </w:pPr>
            <w:r>
              <w:rPr>
                <w:sz w:val="18"/>
              </w:rPr>
              <w:t>YES</w:t>
            </w:r>
          </w:p>
        </w:tc>
        <w:tc>
          <w:tcPr>
            <w:tcW w:w="282" w:type="pct"/>
            <w:tcBorders>
              <w:top w:val="single" w:sz="4" w:space="0" w:color="939598"/>
              <w:left w:val="single" w:sz="4" w:space="0" w:color="939598"/>
              <w:bottom w:val="single" w:sz="4" w:space="0" w:color="939598"/>
              <w:right w:val="single" w:sz="4" w:space="0" w:color="939598"/>
            </w:tcBorders>
            <w:shd w:val="clear" w:color="auto" w:fill="051C3C"/>
          </w:tcPr>
          <w:p w14:paraId="38C412E2" w14:textId="77777777" w:rsidR="0044407E" w:rsidRPr="005A1539" w:rsidRDefault="0044407E" w:rsidP="008C013F">
            <w:pPr>
              <w:pStyle w:val="Tableheading"/>
              <w:keepNext/>
              <w:rPr>
                <w:sz w:val="18"/>
              </w:rPr>
            </w:pPr>
            <w:r>
              <w:rPr>
                <w:sz w:val="18"/>
              </w:rPr>
              <w:t>NO</w:t>
            </w:r>
          </w:p>
        </w:tc>
        <w:tc>
          <w:tcPr>
            <w:tcW w:w="361" w:type="pct"/>
            <w:tcBorders>
              <w:top w:val="single" w:sz="4" w:space="0" w:color="939598"/>
              <w:left w:val="single" w:sz="4" w:space="0" w:color="939598"/>
              <w:bottom w:val="single" w:sz="4" w:space="0" w:color="939598"/>
            </w:tcBorders>
            <w:shd w:val="clear" w:color="auto" w:fill="051C3C"/>
          </w:tcPr>
          <w:p w14:paraId="55152B29" w14:textId="77777777" w:rsidR="0044407E" w:rsidRPr="005A1539" w:rsidRDefault="0044407E" w:rsidP="008C013F">
            <w:pPr>
              <w:pStyle w:val="Tableheading"/>
              <w:keepNext/>
              <w:rPr>
                <w:sz w:val="18"/>
              </w:rPr>
            </w:pPr>
            <w:r w:rsidRPr="005A1539">
              <w:rPr>
                <w:sz w:val="18"/>
              </w:rPr>
              <w:t>N/A</w:t>
            </w:r>
          </w:p>
        </w:tc>
      </w:tr>
      <w:tr w:rsidR="0044407E" w:rsidRPr="009D23C0" w14:paraId="6512BA0E" w14:textId="77777777" w:rsidTr="00942C04">
        <w:tc>
          <w:tcPr>
            <w:tcW w:w="5000" w:type="pct"/>
            <w:gridSpan w:val="4"/>
            <w:tcBorders>
              <w:top w:val="single" w:sz="4" w:space="0" w:color="939598"/>
              <w:bottom w:val="single" w:sz="4" w:space="0" w:color="939598"/>
            </w:tcBorders>
            <w:shd w:val="clear" w:color="auto" w:fill="D9D9D9" w:themeFill="background1" w:themeFillShade="D9"/>
          </w:tcPr>
          <w:p w14:paraId="613C659A" w14:textId="10DC7FC9" w:rsidR="0044407E" w:rsidRPr="009D23C0" w:rsidRDefault="0044407E" w:rsidP="008C013F">
            <w:pPr>
              <w:pStyle w:val="Tableheading"/>
            </w:pPr>
            <w:r w:rsidRPr="009D23C0">
              <w:rPr>
                <w:rFonts w:cs="Arial"/>
              </w:rPr>
              <w:t>T</w:t>
            </w:r>
            <w:r w:rsidR="00624EBA">
              <w:rPr>
                <w:rFonts w:cs="Arial"/>
              </w:rPr>
              <w:t>AXATION OF FINANCIAL ARRANGEMENTS</w:t>
            </w:r>
            <w:r>
              <w:rPr>
                <w:rFonts w:cs="Arial"/>
              </w:rPr>
              <w:t xml:space="preserve"> (TOFA)</w:t>
            </w:r>
            <w:r w:rsidRPr="009D23C0">
              <w:rPr>
                <w:rFonts w:cs="Arial"/>
              </w:rPr>
              <w:t xml:space="preserve"> (I</w:t>
            </w:r>
            <w:r w:rsidR="00624EBA">
              <w:rPr>
                <w:rFonts w:cs="Arial"/>
              </w:rPr>
              <w:t>TEMS</w:t>
            </w:r>
            <w:r w:rsidRPr="009D23C0">
              <w:rPr>
                <w:rFonts w:cs="Arial"/>
              </w:rPr>
              <w:t xml:space="preserve"> </w:t>
            </w:r>
            <w:r>
              <w:rPr>
                <w:rFonts w:cs="Arial"/>
              </w:rPr>
              <w:t>7E and 7W of reconciliation of taxable income or loss</w:t>
            </w:r>
            <w:r w:rsidRPr="009D23C0">
              <w:rPr>
                <w:rFonts w:cs="Arial"/>
              </w:rPr>
              <w:t xml:space="preserve">) </w:t>
            </w:r>
          </w:p>
        </w:tc>
      </w:tr>
      <w:tr w:rsidR="00E1518F" w:rsidRPr="00FC3B3B" w14:paraId="1B728625" w14:textId="77777777" w:rsidTr="00942C04">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Ex>
        <w:tc>
          <w:tcPr>
            <w:tcW w:w="4005" w:type="pct"/>
            <w:tcBorders>
              <w:top w:val="single" w:sz="4" w:space="0" w:color="939598"/>
              <w:left w:val="single" w:sz="4" w:space="0" w:color="939598"/>
              <w:bottom w:val="single" w:sz="4" w:space="0" w:color="939598"/>
              <w:right w:val="single" w:sz="4" w:space="0" w:color="939598"/>
            </w:tcBorders>
          </w:tcPr>
          <w:p w14:paraId="4655361D" w14:textId="77777777" w:rsidR="00E1518F" w:rsidRPr="00FE0C36" w:rsidRDefault="00E1518F" w:rsidP="00D0554E">
            <w:pPr>
              <w:pStyle w:val="Table"/>
              <w:spacing w:before="100" w:after="100"/>
            </w:pPr>
            <w:r w:rsidRPr="00FE0C36">
              <w:t>Has the company correctly calculated its TOFA gains, TOFA losses or TOFA transitional balancing adjustments (if applicable)?</w:t>
            </w:r>
          </w:p>
          <w:p w14:paraId="4E09DCE3" w14:textId="77777777" w:rsidR="00093499" w:rsidRDefault="003557B2" w:rsidP="00D0554E">
            <w:pPr>
              <w:pStyle w:val="Table"/>
              <w:spacing w:before="100" w:after="100"/>
            </w:pPr>
            <w:r>
              <w:t>Assuming</w:t>
            </w:r>
            <w:r w:rsidR="00397E48" w:rsidRPr="00231BA7">
              <w:t xml:space="preserve"> yes</w:t>
            </w:r>
            <w:r w:rsidR="00CF6D2A">
              <w:t>,</w:t>
            </w:r>
            <w:r w:rsidR="00397E48" w:rsidRPr="00231BA7">
              <w:t xml:space="preserve"> please consider the TOFA disclosure</w:t>
            </w:r>
            <w:r w:rsidR="00397E48" w:rsidRPr="00A361D7">
              <w:t>s to be made at item</w:t>
            </w:r>
            <w:r w:rsidR="00723320">
              <w:t>s</w:t>
            </w:r>
            <w:r w:rsidR="00CF6D2A">
              <w:t xml:space="preserve"> </w:t>
            </w:r>
            <w:r w:rsidR="00AD2040">
              <w:t>7</w:t>
            </w:r>
            <w:r w:rsidR="00CF6D2A">
              <w:t xml:space="preserve"> and</w:t>
            </w:r>
            <w:r w:rsidR="00397E48" w:rsidRPr="00A361D7">
              <w:t xml:space="preserve"> 8 and the international dealing schedule (if applicable).</w:t>
            </w:r>
          </w:p>
          <w:p w14:paraId="6B6BCEF2" w14:textId="77777777" w:rsidR="00093499" w:rsidRPr="00211718" w:rsidRDefault="00093499" w:rsidP="00D0554E">
            <w:pPr>
              <w:pStyle w:val="Table"/>
              <w:spacing w:before="100" w:after="100"/>
              <w:rPr>
                <w:sz w:val="15"/>
                <w:szCs w:val="15"/>
              </w:rPr>
            </w:pPr>
            <w:r w:rsidRPr="00211718">
              <w:rPr>
                <w:b/>
                <w:sz w:val="15"/>
                <w:szCs w:val="15"/>
              </w:rPr>
              <w:t>Note</w:t>
            </w:r>
            <w:r w:rsidRPr="00211718">
              <w:rPr>
                <w:sz w:val="15"/>
                <w:szCs w:val="15"/>
              </w:rPr>
              <w:t>: the TOFA rules apply to the following entities:</w:t>
            </w:r>
          </w:p>
          <w:p w14:paraId="21EF1BFE" w14:textId="77777777" w:rsidR="00093499" w:rsidRPr="00211718" w:rsidRDefault="00093499" w:rsidP="00942C04">
            <w:pPr>
              <w:pStyle w:val="TableBullet"/>
              <w:keepNext/>
              <w:spacing w:before="100" w:after="0"/>
              <w:ind w:left="578" w:hanging="578"/>
              <w:rPr>
                <w:rFonts w:cs="Arial"/>
                <w:sz w:val="15"/>
                <w:szCs w:val="15"/>
              </w:rPr>
            </w:pPr>
            <w:r w:rsidRPr="00211718">
              <w:rPr>
                <w:rFonts w:cs="Arial"/>
                <w:sz w:val="15"/>
                <w:szCs w:val="15"/>
              </w:rPr>
              <w:t>a</w:t>
            </w:r>
            <w:r w:rsidRPr="00211718">
              <w:rPr>
                <w:rFonts w:eastAsia="Times New Roman" w:cs="Arial"/>
                <w:sz w:val="15"/>
                <w:szCs w:val="15"/>
              </w:rPr>
              <w:t xml:space="preserve">uthorised deposit-taking institutions, securitisation vehicles, and financial sector entities with an aggregated </w:t>
            </w:r>
            <w:r w:rsidRPr="00211718">
              <w:rPr>
                <w:rFonts w:cs="Arial"/>
                <w:sz w:val="15"/>
                <w:szCs w:val="15"/>
              </w:rPr>
              <w:t>turnover of $20 million or more</w:t>
            </w:r>
          </w:p>
          <w:p w14:paraId="6D119F56" w14:textId="0781CE2E" w:rsidR="00093499" w:rsidRPr="00211718" w:rsidRDefault="00FC0A69" w:rsidP="00942C04">
            <w:pPr>
              <w:pStyle w:val="TableBullet"/>
              <w:keepNext/>
              <w:spacing w:before="0" w:after="0"/>
              <w:ind w:left="578" w:hanging="578"/>
              <w:rPr>
                <w:rFonts w:cs="Arial"/>
                <w:sz w:val="15"/>
                <w:szCs w:val="15"/>
              </w:rPr>
            </w:pPr>
            <w:r w:rsidRPr="00211718">
              <w:rPr>
                <w:rFonts w:cs="Arial"/>
                <w:sz w:val="15"/>
                <w:szCs w:val="15"/>
              </w:rPr>
              <w:t xml:space="preserve">a superannuation entity, a </w:t>
            </w:r>
            <w:r w:rsidR="00093499" w:rsidRPr="00211718">
              <w:rPr>
                <w:rFonts w:cs="Arial"/>
                <w:sz w:val="15"/>
                <w:szCs w:val="15"/>
              </w:rPr>
              <w:t>m</w:t>
            </w:r>
            <w:r w:rsidR="00093499" w:rsidRPr="00211718">
              <w:rPr>
                <w:rFonts w:eastAsia="Times New Roman" w:cs="Arial"/>
                <w:sz w:val="15"/>
                <w:szCs w:val="15"/>
              </w:rPr>
              <w:t xml:space="preserve">anaged investment schemes or a similar status under </w:t>
            </w:r>
            <w:r w:rsidRPr="00211718">
              <w:rPr>
                <w:rFonts w:eastAsia="Times New Roman" w:cs="Arial"/>
                <w:sz w:val="15"/>
                <w:szCs w:val="15"/>
              </w:rPr>
              <w:t xml:space="preserve">a </w:t>
            </w:r>
            <w:r w:rsidR="00093499" w:rsidRPr="00211718">
              <w:rPr>
                <w:rFonts w:eastAsia="Times New Roman" w:cs="Arial"/>
                <w:sz w:val="15"/>
                <w:szCs w:val="15"/>
              </w:rPr>
              <w:t xml:space="preserve">foreign law </w:t>
            </w:r>
            <w:r w:rsidRPr="00211718">
              <w:rPr>
                <w:rFonts w:eastAsia="Times New Roman" w:cs="Arial"/>
                <w:sz w:val="15"/>
                <w:szCs w:val="15"/>
              </w:rPr>
              <w:t>if the value of the entity’s assets is</w:t>
            </w:r>
            <w:r w:rsidR="00093499" w:rsidRPr="00211718">
              <w:rPr>
                <w:rFonts w:cs="Arial"/>
                <w:sz w:val="15"/>
                <w:szCs w:val="15"/>
              </w:rPr>
              <w:t xml:space="preserve"> $100 million or more</w:t>
            </w:r>
          </w:p>
          <w:p w14:paraId="581A8BB2" w14:textId="3A58BDC0" w:rsidR="00093499" w:rsidRPr="00211718" w:rsidRDefault="00093499" w:rsidP="00942C04">
            <w:pPr>
              <w:pStyle w:val="TableBullet"/>
              <w:keepNext/>
              <w:spacing w:before="0" w:after="100"/>
              <w:ind w:left="578" w:hanging="578"/>
              <w:rPr>
                <w:rFonts w:cs="Arial"/>
                <w:sz w:val="15"/>
                <w:szCs w:val="15"/>
              </w:rPr>
            </w:pPr>
            <w:r w:rsidRPr="00211718">
              <w:rPr>
                <w:rFonts w:cs="Arial"/>
                <w:sz w:val="15"/>
                <w:szCs w:val="15"/>
              </w:rPr>
              <w:t>a</w:t>
            </w:r>
            <w:r w:rsidRPr="00211718">
              <w:rPr>
                <w:rFonts w:eastAsia="Times New Roman" w:cs="Arial"/>
                <w:sz w:val="15"/>
                <w:szCs w:val="15"/>
              </w:rPr>
              <w:t xml:space="preserve">ny other entity (excluding </w:t>
            </w:r>
            <w:r w:rsidR="00FC0A69" w:rsidRPr="00211718">
              <w:rPr>
                <w:rFonts w:eastAsia="Times New Roman" w:cs="Arial"/>
                <w:sz w:val="15"/>
                <w:szCs w:val="15"/>
              </w:rPr>
              <w:t xml:space="preserve">an </w:t>
            </w:r>
            <w:r w:rsidR="00BD325C" w:rsidRPr="00211718">
              <w:rPr>
                <w:rFonts w:eastAsia="Times New Roman" w:cs="Arial"/>
                <w:sz w:val="15"/>
                <w:szCs w:val="15"/>
              </w:rPr>
              <w:t>individual</w:t>
            </w:r>
            <w:r w:rsidRPr="00211718">
              <w:rPr>
                <w:rFonts w:eastAsia="Times New Roman" w:cs="Arial"/>
                <w:sz w:val="15"/>
                <w:szCs w:val="15"/>
              </w:rPr>
              <w:t>) which satisfies one or more of the following:</w:t>
            </w:r>
          </w:p>
          <w:p w14:paraId="0D6E0369" w14:textId="77777777" w:rsidR="00093499" w:rsidRPr="00211718" w:rsidRDefault="00093499" w:rsidP="00D0554E">
            <w:pPr>
              <w:pStyle w:val="ColorfulList-Accent11"/>
              <w:numPr>
                <w:ilvl w:val="1"/>
                <w:numId w:val="13"/>
              </w:numPr>
              <w:spacing w:before="100" w:after="100" w:line="240" w:lineRule="auto"/>
              <w:ind w:left="709"/>
              <w:rPr>
                <w:rFonts w:ascii="Arial" w:hAnsi="Arial" w:cs="Arial"/>
                <w:sz w:val="15"/>
                <w:szCs w:val="15"/>
              </w:rPr>
            </w:pPr>
            <w:r w:rsidRPr="00211718">
              <w:rPr>
                <w:rFonts w:ascii="Arial" w:hAnsi="Arial" w:cs="Arial"/>
                <w:sz w:val="15"/>
                <w:szCs w:val="15"/>
              </w:rPr>
              <w:t>an aggregated turnover of $100 million or more</w:t>
            </w:r>
          </w:p>
          <w:p w14:paraId="50857B28" w14:textId="77777777" w:rsidR="00093499" w:rsidRPr="00211718" w:rsidRDefault="00093499" w:rsidP="00D0554E">
            <w:pPr>
              <w:pStyle w:val="ColorfulList-Accent11"/>
              <w:numPr>
                <w:ilvl w:val="1"/>
                <w:numId w:val="13"/>
              </w:numPr>
              <w:spacing w:before="100" w:after="100" w:line="240" w:lineRule="auto"/>
              <w:ind w:left="709"/>
              <w:rPr>
                <w:rFonts w:ascii="Arial" w:hAnsi="Arial" w:cs="Arial"/>
                <w:sz w:val="15"/>
                <w:szCs w:val="15"/>
              </w:rPr>
            </w:pPr>
            <w:r w:rsidRPr="00211718">
              <w:rPr>
                <w:rFonts w:ascii="Arial" w:hAnsi="Arial" w:cs="Arial"/>
                <w:sz w:val="15"/>
                <w:szCs w:val="15"/>
              </w:rPr>
              <w:t>assets of $300 million or more or</w:t>
            </w:r>
          </w:p>
          <w:p w14:paraId="2BD28739" w14:textId="77777777" w:rsidR="00093499" w:rsidRPr="00211718" w:rsidRDefault="00093499" w:rsidP="00D0554E">
            <w:pPr>
              <w:pStyle w:val="ColorfulList-Accent11"/>
              <w:numPr>
                <w:ilvl w:val="1"/>
                <w:numId w:val="13"/>
              </w:numPr>
              <w:spacing w:before="100" w:after="100" w:line="240" w:lineRule="auto"/>
              <w:ind w:left="709"/>
              <w:rPr>
                <w:rFonts w:ascii="Arial" w:hAnsi="Arial" w:cs="Arial"/>
                <w:sz w:val="15"/>
                <w:szCs w:val="15"/>
              </w:rPr>
            </w:pPr>
            <w:r w:rsidRPr="00211718">
              <w:rPr>
                <w:rFonts w:ascii="Arial" w:hAnsi="Arial" w:cs="Arial"/>
                <w:sz w:val="15"/>
                <w:szCs w:val="15"/>
              </w:rPr>
              <w:t>financial assets of $100 million or more.</w:t>
            </w:r>
          </w:p>
          <w:p w14:paraId="4EEA5D18" w14:textId="77777777" w:rsidR="00093499" w:rsidRPr="00211718" w:rsidRDefault="00093499" w:rsidP="00D0554E">
            <w:pPr>
              <w:pStyle w:val="Table"/>
              <w:spacing w:before="100" w:after="100"/>
              <w:rPr>
                <w:sz w:val="15"/>
                <w:szCs w:val="15"/>
              </w:rPr>
            </w:pPr>
            <w:r w:rsidRPr="00211718">
              <w:rPr>
                <w:sz w:val="15"/>
                <w:szCs w:val="15"/>
              </w:rPr>
              <w:t>The aggregated turnover test includes the annual turnover of any entity a company is connected with, or any affiliate of the company (including foreign resident companies and trusts).</w:t>
            </w:r>
          </w:p>
          <w:p w14:paraId="469A5971" w14:textId="1373ABD7" w:rsidR="00E735D1" w:rsidRPr="00FC3B3B" w:rsidRDefault="00E735D1" w:rsidP="00D0554E">
            <w:pPr>
              <w:pStyle w:val="Table"/>
              <w:spacing w:before="100" w:after="100"/>
            </w:pPr>
            <w:r w:rsidRPr="00211718">
              <w:rPr>
                <w:b/>
                <w:sz w:val="15"/>
                <w:szCs w:val="15"/>
              </w:rPr>
              <w:t>Not</w:t>
            </w:r>
            <w:r w:rsidRPr="00211718">
              <w:rPr>
                <w:sz w:val="15"/>
                <w:szCs w:val="15"/>
              </w:rPr>
              <w:t>e: an entity that is not mandatorily subject to TOFA can make an election to have TOFA apply to its financial arrangements. An election for TOFA to apply can be made at any time during the income</w:t>
            </w:r>
            <w:r w:rsidR="00960AE3">
              <w:rPr>
                <w:sz w:val="15"/>
                <w:szCs w:val="15"/>
              </w:rPr>
              <w:t xml:space="preserve"> tax year and applies from the </w:t>
            </w:r>
            <w:r w:rsidRPr="00211718">
              <w:rPr>
                <w:sz w:val="15"/>
                <w:szCs w:val="15"/>
              </w:rPr>
              <w:t>first day of the income year in which election is made. TOFA elections are complex and cannot be revoked. Accordingly, care should be taken before such an election is made</w:t>
            </w:r>
            <w:r w:rsidR="00960AE3">
              <w:rPr>
                <w:sz w:val="15"/>
                <w:szCs w:val="15"/>
              </w:rPr>
              <w:t>.</w:t>
            </w:r>
          </w:p>
        </w:tc>
        <w:tc>
          <w:tcPr>
            <w:tcW w:w="352" w:type="pct"/>
            <w:tcBorders>
              <w:top w:val="single" w:sz="4" w:space="0" w:color="939598"/>
              <w:left w:val="single" w:sz="4" w:space="0" w:color="939598"/>
              <w:bottom w:val="single" w:sz="4" w:space="0" w:color="939598"/>
              <w:right w:val="single" w:sz="4" w:space="0" w:color="939598"/>
            </w:tcBorders>
          </w:tcPr>
          <w:p w14:paraId="2A6625AF" w14:textId="77777777" w:rsidR="00E1518F" w:rsidRPr="00FC3B3B" w:rsidRDefault="00E1518F" w:rsidP="00D0554E">
            <w:pPr>
              <w:pStyle w:val="Table"/>
              <w:spacing w:before="100" w:after="100"/>
            </w:pPr>
          </w:p>
        </w:tc>
        <w:tc>
          <w:tcPr>
            <w:tcW w:w="282" w:type="pct"/>
            <w:tcBorders>
              <w:top w:val="single" w:sz="4" w:space="0" w:color="939598"/>
              <w:left w:val="single" w:sz="4" w:space="0" w:color="939598"/>
              <w:bottom w:val="single" w:sz="4" w:space="0" w:color="939598"/>
              <w:right w:val="single" w:sz="4" w:space="0" w:color="939598"/>
            </w:tcBorders>
          </w:tcPr>
          <w:p w14:paraId="2BC0780D" w14:textId="77777777" w:rsidR="00E1518F" w:rsidRPr="00FC3B3B" w:rsidRDefault="00E1518F" w:rsidP="00D0554E">
            <w:pPr>
              <w:pStyle w:val="Table"/>
              <w:spacing w:before="100" w:after="100"/>
            </w:pPr>
          </w:p>
        </w:tc>
        <w:tc>
          <w:tcPr>
            <w:tcW w:w="361" w:type="pct"/>
            <w:tcBorders>
              <w:top w:val="single" w:sz="4" w:space="0" w:color="939598"/>
              <w:left w:val="single" w:sz="4" w:space="0" w:color="939598"/>
              <w:bottom w:val="single" w:sz="4" w:space="0" w:color="939598"/>
              <w:right w:val="single" w:sz="4" w:space="0" w:color="939598"/>
            </w:tcBorders>
          </w:tcPr>
          <w:p w14:paraId="11CA5D86" w14:textId="77777777" w:rsidR="00E1518F" w:rsidRPr="00FC3B3B" w:rsidRDefault="00E1518F" w:rsidP="00D0554E">
            <w:pPr>
              <w:pStyle w:val="Table"/>
              <w:spacing w:before="100" w:after="100"/>
            </w:pPr>
          </w:p>
        </w:tc>
      </w:tr>
      <w:tr w:rsidR="00C07A52" w:rsidRPr="005A1539" w14:paraId="3A5C3F5A" w14:textId="77777777" w:rsidTr="00942C04">
        <w:tc>
          <w:tcPr>
            <w:tcW w:w="5000" w:type="pct"/>
            <w:gridSpan w:val="4"/>
            <w:tcBorders>
              <w:top w:val="single" w:sz="4" w:space="0" w:color="939598"/>
              <w:bottom w:val="single" w:sz="4" w:space="0" w:color="939598"/>
            </w:tcBorders>
            <w:shd w:val="clear" w:color="auto" w:fill="D9D9D9" w:themeFill="background1" w:themeFillShade="D9"/>
          </w:tcPr>
          <w:p w14:paraId="1390F038" w14:textId="376814B8" w:rsidR="00C07A52" w:rsidRPr="005A1539" w:rsidRDefault="00C07A52" w:rsidP="00D0554E">
            <w:pPr>
              <w:pStyle w:val="Tableheading"/>
              <w:keepNext/>
              <w:rPr>
                <w:sz w:val="18"/>
              </w:rPr>
            </w:pPr>
            <w:r w:rsidRPr="00372FA0">
              <w:rPr>
                <w:rFonts w:cs="Arial"/>
              </w:rPr>
              <w:t>F</w:t>
            </w:r>
            <w:r w:rsidR="00DE5AC6">
              <w:rPr>
                <w:rFonts w:cs="Arial"/>
              </w:rPr>
              <w:t>INANCIAL AND OTHER INFORMATION</w:t>
            </w:r>
            <w:r w:rsidRPr="00372FA0">
              <w:rPr>
                <w:rFonts w:cs="Arial"/>
              </w:rPr>
              <w:t xml:space="preserve"> (I</w:t>
            </w:r>
            <w:r w:rsidR="00DE5AC6">
              <w:rPr>
                <w:rFonts w:cs="Arial"/>
              </w:rPr>
              <w:t>TEM</w:t>
            </w:r>
            <w:r w:rsidRPr="00372FA0">
              <w:rPr>
                <w:rFonts w:cs="Arial"/>
              </w:rPr>
              <w:t xml:space="preserve"> 8)</w:t>
            </w:r>
          </w:p>
        </w:tc>
      </w:tr>
      <w:tr w:rsidR="00C07A52" w:rsidRPr="005A1539" w14:paraId="572121FD" w14:textId="77777777" w:rsidTr="00942C04">
        <w:trPr>
          <w:trHeight w:val="379"/>
        </w:trPr>
        <w:tc>
          <w:tcPr>
            <w:tcW w:w="4005" w:type="pct"/>
            <w:tcBorders>
              <w:top w:val="single" w:sz="4" w:space="0" w:color="939598"/>
              <w:bottom w:val="single" w:sz="4" w:space="0" w:color="939598"/>
              <w:right w:val="single" w:sz="4" w:space="0" w:color="939598"/>
            </w:tcBorders>
            <w:shd w:val="clear" w:color="auto" w:fill="auto"/>
          </w:tcPr>
          <w:p w14:paraId="7FF74392" w14:textId="77777777" w:rsidR="00C07A52" w:rsidRPr="00FC3B3B" w:rsidRDefault="00C07A52" w:rsidP="00D0554E">
            <w:pPr>
              <w:pStyle w:val="Table"/>
              <w:spacing w:before="100" w:after="100"/>
            </w:pPr>
            <w:r w:rsidRPr="00FC3B3B">
              <w:t>Have</w:t>
            </w:r>
            <w:r>
              <w:t xml:space="preserve"> all the</w:t>
            </w:r>
            <w:r w:rsidRPr="00FC3B3B">
              <w:t xml:space="preserve"> appropriate disclosures been made at Item 8?</w:t>
            </w:r>
          </w:p>
        </w:tc>
        <w:tc>
          <w:tcPr>
            <w:tcW w:w="352" w:type="pct"/>
            <w:tcBorders>
              <w:top w:val="single" w:sz="4" w:space="0" w:color="939598"/>
              <w:left w:val="single" w:sz="4" w:space="0" w:color="939598"/>
              <w:bottom w:val="single" w:sz="4" w:space="0" w:color="939598"/>
              <w:right w:val="single" w:sz="4" w:space="0" w:color="939598"/>
            </w:tcBorders>
            <w:shd w:val="clear" w:color="auto" w:fill="auto"/>
          </w:tcPr>
          <w:p w14:paraId="4BE83D1C" w14:textId="77777777" w:rsidR="00C07A52" w:rsidRPr="005A1539" w:rsidRDefault="00C07A52" w:rsidP="00D0554E">
            <w:pPr>
              <w:pStyle w:val="Tableheading"/>
              <w:keepNext/>
              <w:rPr>
                <w:sz w:val="18"/>
              </w:rPr>
            </w:pPr>
          </w:p>
        </w:tc>
        <w:tc>
          <w:tcPr>
            <w:tcW w:w="282" w:type="pct"/>
            <w:tcBorders>
              <w:top w:val="single" w:sz="4" w:space="0" w:color="939598"/>
              <w:left w:val="single" w:sz="4" w:space="0" w:color="939598"/>
              <w:bottom w:val="single" w:sz="4" w:space="0" w:color="939598"/>
              <w:right w:val="single" w:sz="4" w:space="0" w:color="939598"/>
            </w:tcBorders>
            <w:shd w:val="clear" w:color="auto" w:fill="auto"/>
          </w:tcPr>
          <w:p w14:paraId="277D4BCA" w14:textId="77777777" w:rsidR="00C07A52" w:rsidRPr="005A1539" w:rsidRDefault="00C07A52" w:rsidP="00D0554E">
            <w:pPr>
              <w:pStyle w:val="Tableheading"/>
              <w:keepNext/>
              <w:rPr>
                <w:sz w:val="18"/>
              </w:rPr>
            </w:pPr>
          </w:p>
        </w:tc>
        <w:tc>
          <w:tcPr>
            <w:tcW w:w="361" w:type="pct"/>
            <w:tcBorders>
              <w:top w:val="single" w:sz="4" w:space="0" w:color="939598"/>
              <w:left w:val="single" w:sz="4" w:space="0" w:color="939598"/>
              <w:bottom w:val="single" w:sz="4" w:space="0" w:color="939598"/>
            </w:tcBorders>
            <w:shd w:val="clear" w:color="auto" w:fill="auto"/>
          </w:tcPr>
          <w:p w14:paraId="0CD15E73" w14:textId="77777777" w:rsidR="00C07A52" w:rsidRPr="005A1539" w:rsidRDefault="00C07A52" w:rsidP="00D0554E">
            <w:pPr>
              <w:pStyle w:val="Tableheading"/>
              <w:keepNext/>
              <w:rPr>
                <w:sz w:val="18"/>
              </w:rPr>
            </w:pPr>
          </w:p>
        </w:tc>
      </w:tr>
      <w:tr w:rsidR="00C07A52" w:rsidRPr="005A1539" w14:paraId="59AECC46" w14:textId="77777777" w:rsidTr="00942C04">
        <w:tc>
          <w:tcPr>
            <w:tcW w:w="4005" w:type="pct"/>
            <w:tcBorders>
              <w:top w:val="single" w:sz="4" w:space="0" w:color="939598"/>
              <w:bottom w:val="single" w:sz="4" w:space="0" w:color="939598"/>
              <w:right w:val="single" w:sz="4" w:space="0" w:color="939598"/>
            </w:tcBorders>
            <w:shd w:val="clear" w:color="auto" w:fill="auto"/>
          </w:tcPr>
          <w:p w14:paraId="2D21DA4D" w14:textId="7974316F" w:rsidR="00C07A52" w:rsidRPr="00FC3B3B" w:rsidRDefault="00C07A52" w:rsidP="00D0554E">
            <w:pPr>
              <w:pStyle w:val="Table"/>
              <w:spacing w:before="100" w:after="100"/>
            </w:pPr>
            <w:r>
              <w:t>Where applicable, h</w:t>
            </w:r>
            <w:r w:rsidRPr="00FC3B3B">
              <w:t>as the company disclosed debit loans provided during the year to shareholders or associates of shareholders who are natural persons, partnerships or trusts?</w:t>
            </w:r>
            <w:r>
              <w:t xml:space="preserve"> (</w:t>
            </w:r>
            <w:r w:rsidR="00E735D1">
              <w:t>L</w:t>
            </w:r>
            <w:r>
              <w:t xml:space="preserve">abel </w:t>
            </w:r>
            <w:r w:rsidR="00E735D1">
              <w:t>8</w:t>
            </w:r>
            <w:r>
              <w:t>N)</w:t>
            </w:r>
          </w:p>
        </w:tc>
        <w:tc>
          <w:tcPr>
            <w:tcW w:w="352" w:type="pct"/>
            <w:tcBorders>
              <w:top w:val="single" w:sz="4" w:space="0" w:color="939598"/>
              <w:left w:val="single" w:sz="4" w:space="0" w:color="939598"/>
              <w:bottom w:val="single" w:sz="4" w:space="0" w:color="939598"/>
              <w:right w:val="single" w:sz="4" w:space="0" w:color="939598"/>
            </w:tcBorders>
            <w:shd w:val="clear" w:color="auto" w:fill="auto"/>
          </w:tcPr>
          <w:p w14:paraId="06C08B53" w14:textId="77777777" w:rsidR="00C07A52" w:rsidRPr="005A1539" w:rsidRDefault="00C07A52" w:rsidP="00D0554E">
            <w:pPr>
              <w:pStyle w:val="Tableheading"/>
              <w:keepNext/>
              <w:rPr>
                <w:sz w:val="18"/>
              </w:rPr>
            </w:pPr>
          </w:p>
        </w:tc>
        <w:tc>
          <w:tcPr>
            <w:tcW w:w="282" w:type="pct"/>
            <w:tcBorders>
              <w:top w:val="single" w:sz="4" w:space="0" w:color="939598"/>
              <w:left w:val="single" w:sz="4" w:space="0" w:color="939598"/>
              <w:bottom w:val="single" w:sz="4" w:space="0" w:color="939598"/>
              <w:right w:val="single" w:sz="4" w:space="0" w:color="939598"/>
            </w:tcBorders>
            <w:shd w:val="clear" w:color="auto" w:fill="auto"/>
          </w:tcPr>
          <w:p w14:paraId="23ADB058" w14:textId="77777777" w:rsidR="00C07A52" w:rsidRPr="005A1539" w:rsidRDefault="00C07A52" w:rsidP="00D0554E">
            <w:pPr>
              <w:pStyle w:val="Tableheading"/>
              <w:keepNext/>
              <w:rPr>
                <w:sz w:val="18"/>
              </w:rPr>
            </w:pPr>
          </w:p>
        </w:tc>
        <w:tc>
          <w:tcPr>
            <w:tcW w:w="361" w:type="pct"/>
            <w:tcBorders>
              <w:top w:val="single" w:sz="4" w:space="0" w:color="939598"/>
              <w:left w:val="single" w:sz="4" w:space="0" w:color="939598"/>
              <w:bottom w:val="single" w:sz="4" w:space="0" w:color="939598"/>
            </w:tcBorders>
            <w:shd w:val="clear" w:color="auto" w:fill="auto"/>
          </w:tcPr>
          <w:p w14:paraId="5952D47E" w14:textId="77777777" w:rsidR="00C07A52" w:rsidRPr="005A1539" w:rsidRDefault="00C07A52" w:rsidP="00D0554E">
            <w:pPr>
              <w:pStyle w:val="Tableheading"/>
              <w:keepNext/>
              <w:rPr>
                <w:sz w:val="18"/>
              </w:rPr>
            </w:pPr>
          </w:p>
        </w:tc>
      </w:tr>
      <w:tr w:rsidR="00C07A52" w:rsidRPr="005A1539" w14:paraId="1E12D08B" w14:textId="77777777" w:rsidTr="00942C04">
        <w:tc>
          <w:tcPr>
            <w:tcW w:w="4005" w:type="pct"/>
            <w:tcBorders>
              <w:top w:val="single" w:sz="4" w:space="0" w:color="939598"/>
              <w:bottom w:val="single" w:sz="4" w:space="0" w:color="939598"/>
              <w:right w:val="single" w:sz="4" w:space="0" w:color="939598"/>
            </w:tcBorders>
            <w:shd w:val="clear" w:color="auto" w:fill="auto"/>
          </w:tcPr>
          <w:p w14:paraId="21DF85DA" w14:textId="0C64364C" w:rsidR="00C07A52" w:rsidRPr="00FC3B3B" w:rsidRDefault="002772BC" w:rsidP="00D0554E">
            <w:pPr>
              <w:pStyle w:val="Table"/>
              <w:spacing w:before="100" w:after="100"/>
            </w:pPr>
            <w:r>
              <w:t xml:space="preserve">Where </w:t>
            </w:r>
            <w:r w:rsidR="00796F1B">
              <w:t xml:space="preserve">applicable, </w:t>
            </w:r>
            <w:r w:rsidR="00796F1B" w:rsidRPr="00FC3B3B">
              <w:t>has</w:t>
            </w:r>
            <w:r w:rsidR="00C07A52" w:rsidRPr="00FC3B3B">
              <w:t xml:space="preserve"> the company disclosed all payments made during the year (including salaries, wages, commissions, superannuation contributions and allowances) to related persons?</w:t>
            </w:r>
            <w:r w:rsidR="00C07A52">
              <w:t xml:space="preserve"> (</w:t>
            </w:r>
            <w:r w:rsidR="00E735D1">
              <w:t>L</w:t>
            </w:r>
            <w:r w:rsidR="00C07A52">
              <w:t xml:space="preserve">abel </w:t>
            </w:r>
            <w:r w:rsidR="00E735D1">
              <w:t>8</w:t>
            </w:r>
            <w:r w:rsidR="00C07A52">
              <w:t>Q)</w:t>
            </w:r>
          </w:p>
        </w:tc>
        <w:tc>
          <w:tcPr>
            <w:tcW w:w="352" w:type="pct"/>
            <w:tcBorders>
              <w:top w:val="single" w:sz="4" w:space="0" w:color="939598"/>
              <w:left w:val="single" w:sz="4" w:space="0" w:color="939598"/>
              <w:bottom w:val="single" w:sz="4" w:space="0" w:color="939598"/>
              <w:right w:val="single" w:sz="4" w:space="0" w:color="939598"/>
            </w:tcBorders>
            <w:shd w:val="clear" w:color="auto" w:fill="auto"/>
          </w:tcPr>
          <w:p w14:paraId="171ECFAB" w14:textId="77777777" w:rsidR="00C07A52" w:rsidRPr="005A1539" w:rsidRDefault="00C07A52" w:rsidP="00D0554E">
            <w:pPr>
              <w:pStyle w:val="Tableheading"/>
              <w:keepNext/>
              <w:rPr>
                <w:sz w:val="18"/>
              </w:rPr>
            </w:pPr>
          </w:p>
        </w:tc>
        <w:tc>
          <w:tcPr>
            <w:tcW w:w="282" w:type="pct"/>
            <w:tcBorders>
              <w:top w:val="single" w:sz="4" w:space="0" w:color="939598"/>
              <w:left w:val="single" w:sz="4" w:space="0" w:color="939598"/>
              <w:bottom w:val="single" w:sz="4" w:space="0" w:color="939598"/>
              <w:right w:val="single" w:sz="4" w:space="0" w:color="939598"/>
            </w:tcBorders>
            <w:shd w:val="clear" w:color="auto" w:fill="auto"/>
          </w:tcPr>
          <w:p w14:paraId="141193F0" w14:textId="77777777" w:rsidR="00C07A52" w:rsidRPr="005A1539" w:rsidRDefault="00C07A52" w:rsidP="00D0554E">
            <w:pPr>
              <w:pStyle w:val="Tableheading"/>
              <w:keepNext/>
              <w:rPr>
                <w:sz w:val="18"/>
              </w:rPr>
            </w:pPr>
          </w:p>
        </w:tc>
        <w:tc>
          <w:tcPr>
            <w:tcW w:w="361" w:type="pct"/>
            <w:tcBorders>
              <w:top w:val="single" w:sz="4" w:space="0" w:color="939598"/>
              <w:left w:val="single" w:sz="4" w:space="0" w:color="939598"/>
              <w:bottom w:val="single" w:sz="4" w:space="0" w:color="939598"/>
            </w:tcBorders>
            <w:shd w:val="clear" w:color="auto" w:fill="auto"/>
          </w:tcPr>
          <w:p w14:paraId="0165163D" w14:textId="77777777" w:rsidR="00C07A52" w:rsidRPr="005A1539" w:rsidRDefault="00C07A52" w:rsidP="00D0554E">
            <w:pPr>
              <w:pStyle w:val="Tableheading"/>
              <w:keepNext/>
              <w:rPr>
                <w:sz w:val="18"/>
              </w:rPr>
            </w:pPr>
          </w:p>
        </w:tc>
      </w:tr>
      <w:tr w:rsidR="00C07A52" w:rsidRPr="005A1539" w14:paraId="57B4F76A" w14:textId="77777777" w:rsidTr="00942C04">
        <w:tc>
          <w:tcPr>
            <w:tcW w:w="4005" w:type="pct"/>
            <w:tcBorders>
              <w:top w:val="single" w:sz="4" w:space="0" w:color="939598"/>
              <w:bottom w:val="single" w:sz="4" w:space="0" w:color="939598"/>
              <w:right w:val="single" w:sz="4" w:space="0" w:color="939598"/>
            </w:tcBorders>
            <w:shd w:val="clear" w:color="auto" w:fill="auto"/>
          </w:tcPr>
          <w:p w14:paraId="52D728AE" w14:textId="77777777" w:rsidR="00C07A52" w:rsidRPr="00FC3B3B" w:rsidRDefault="00C07A52" w:rsidP="00D0554E">
            <w:pPr>
              <w:pStyle w:val="Table"/>
              <w:spacing w:before="100" w:after="100"/>
            </w:pPr>
            <w:r w:rsidRPr="00FC3B3B">
              <w:t>Have total salary and wages expenditure been disclosed and reconciled to Label W1 on the BAS?</w:t>
            </w:r>
          </w:p>
        </w:tc>
        <w:tc>
          <w:tcPr>
            <w:tcW w:w="352" w:type="pct"/>
            <w:tcBorders>
              <w:top w:val="single" w:sz="4" w:space="0" w:color="939598"/>
              <w:left w:val="single" w:sz="4" w:space="0" w:color="939598"/>
              <w:bottom w:val="single" w:sz="4" w:space="0" w:color="939598"/>
              <w:right w:val="single" w:sz="4" w:space="0" w:color="939598"/>
            </w:tcBorders>
            <w:shd w:val="clear" w:color="auto" w:fill="auto"/>
          </w:tcPr>
          <w:p w14:paraId="23408BCB" w14:textId="77777777" w:rsidR="00C07A52" w:rsidRPr="005A1539" w:rsidRDefault="00C07A52" w:rsidP="00D0554E">
            <w:pPr>
              <w:pStyle w:val="Tableheading"/>
              <w:keepNext/>
              <w:rPr>
                <w:sz w:val="18"/>
              </w:rPr>
            </w:pPr>
          </w:p>
        </w:tc>
        <w:tc>
          <w:tcPr>
            <w:tcW w:w="282" w:type="pct"/>
            <w:tcBorders>
              <w:top w:val="single" w:sz="4" w:space="0" w:color="939598"/>
              <w:left w:val="single" w:sz="4" w:space="0" w:color="939598"/>
              <w:bottom w:val="single" w:sz="4" w:space="0" w:color="939598"/>
              <w:right w:val="single" w:sz="4" w:space="0" w:color="939598"/>
            </w:tcBorders>
            <w:shd w:val="clear" w:color="auto" w:fill="auto"/>
          </w:tcPr>
          <w:p w14:paraId="7E3FAE2E" w14:textId="77777777" w:rsidR="00C07A52" w:rsidRPr="005A1539" w:rsidRDefault="00C07A52" w:rsidP="00D0554E">
            <w:pPr>
              <w:pStyle w:val="Tableheading"/>
              <w:keepNext/>
              <w:rPr>
                <w:sz w:val="18"/>
              </w:rPr>
            </w:pPr>
          </w:p>
        </w:tc>
        <w:tc>
          <w:tcPr>
            <w:tcW w:w="361" w:type="pct"/>
            <w:tcBorders>
              <w:top w:val="single" w:sz="4" w:space="0" w:color="939598"/>
              <w:left w:val="single" w:sz="4" w:space="0" w:color="939598"/>
              <w:bottom w:val="single" w:sz="4" w:space="0" w:color="939598"/>
            </w:tcBorders>
            <w:shd w:val="clear" w:color="auto" w:fill="auto"/>
          </w:tcPr>
          <w:p w14:paraId="6C0A06D5" w14:textId="77777777" w:rsidR="00C07A52" w:rsidRPr="005A1539" w:rsidRDefault="00C07A52" w:rsidP="00D0554E">
            <w:pPr>
              <w:pStyle w:val="Tableheading"/>
              <w:keepNext/>
              <w:rPr>
                <w:sz w:val="18"/>
              </w:rPr>
            </w:pPr>
          </w:p>
        </w:tc>
      </w:tr>
      <w:tr w:rsidR="00C07A52" w:rsidRPr="005A1539" w14:paraId="579099D9" w14:textId="77777777" w:rsidTr="00942C04">
        <w:tc>
          <w:tcPr>
            <w:tcW w:w="4005" w:type="pct"/>
            <w:tcBorders>
              <w:top w:val="single" w:sz="4" w:space="0" w:color="939598"/>
              <w:bottom w:val="single" w:sz="4" w:space="0" w:color="939598"/>
              <w:right w:val="single" w:sz="4" w:space="0" w:color="939598"/>
            </w:tcBorders>
            <w:shd w:val="clear" w:color="auto" w:fill="auto"/>
          </w:tcPr>
          <w:p w14:paraId="548475D9" w14:textId="05FDA7B9" w:rsidR="00C07A52" w:rsidRPr="00FC3B3B" w:rsidRDefault="00C07A52" w:rsidP="00D0554E">
            <w:pPr>
              <w:pStyle w:val="Table"/>
              <w:spacing w:before="100" w:after="100"/>
            </w:pPr>
            <w:r>
              <w:t xml:space="preserve">Has the gains and losses from financial arrangements (that are subject to TOFA) been disclosed at </w:t>
            </w:r>
            <w:r w:rsidR="00E735D1">
              <w:t>Labels</w:t>
            </w:r>
            <w:r>
              <w:t xml:space="preserve"> </w:t>
            </w:r>
            <w:r w:rsidR="00AD2040">
              <w:t xml:space="preserve">8S, </w:t>
            </w:r>
            <w:r>
              <w:t xml:space="preserve">8T and 8U been reconciled to </w:t>
            </w:r>
            <w:r w:rsidR="00E735D1">
              <w:t xml:space="preserve">Labels </w:t>
            </w:r>
            <w:r>
              <w:t>7E and 7W?</w:t>
            </w:r>
          </w:p>
        </w:tc>
        <w:tc>
          <w:tcPr>
            <w:tcW w:w="352" w:type="pct"/>
            <w:tcBorders>
              <w:top w:val="single" w:sz="4" w:space="0" w:color="939598"/>
              <w:left w:val="single" w:sz="4" w:space="0" w:color="939598"/>
              <w:bottom w:val="single" w:sz="4" w:space="0" w:color="939598"/>
              <w:right w:val="single" w:sz="4" w:space="0" w:color="939598"/>
            </w:tcBorders>
            <w:shd w:val="clear" w:color="auto" w:fill="auto"/>
          </w:tcPr>
          <w:p w14:paraId="78A9E596" w14:textId="77777777" w:rsidR="00C07A52" w:rsidRPr="005A1539" w:rsidRDefault="00C07A52" w:rsidP="00D0554E">
            <w:pPr>
              <w:pStyle w:val="Tableheading"/>
              <w:keepNext/>
              <w:rPr>
                <w:sz w:val="18"/>
              </w:rPr>
            </w:pPr>
          </w:p>
        </w:tc>
        <w:tc>
          <w:tcPr>
            <w:tcW w:w="282" w:type="pct"/>
            <w:tcBorders>
              <w:top w:val="single" w:sz="4" w:space="0" w:color="939598"/>
              <w:left w:val="single" w:sz="4" w:space="0" w:color="939598"/>
              <w:bottom w:val="single" w:sz="4" w:space="0" w:color="939598"/>
              <w:right w:val="single" w:sz="4" w:space="0" w:color="939598"/>
            </w:tcBorders>
            <w:shd w:val="clear" w:color="auto" w:fill="auto"/>
          </w:tcPr>
          <w:p w14:paraId="28D9B0F1" w14:textId="77777777" w:rsidR="00C07A52" w:rsidRPr="005A1539" w:rsidRDefault="00C07A52" w:rsidP="00D0554E">
            <w:pPr>
              <w:pStyle w:val="Tableheading"/>
              <w:keepNext/>
              <w:rPr>
                <w:sz w:val="18"/>
              </w:rPr>
            </w:pPr>
          </w:p>
        </w:tc>
        <w:tc>
          <w:tcPr>
            <w:tcW w:w="361" w:type="pct"/>
            <w:tcBorders>
              <w:top w:val="single" w:sz="4" w:space="0" w:color="939598"/>
              <w:left w:val="single" w:sz="4" w:space="0" w:color="939598"/>
              <w:bottom w:val="single" w:sz="4" w:space="0" w:color="939598"/>
            </w:tcBorders>
            <w:shd w:val="clear" w:color="auto" w:fill="auto"/>
          </w:tcPr>
          <w:p w14:paraId="4265D45C" w14:textId="77777777" w:rsidR="00C07A52" w:rsidRPr="005A1539" w:rsidRDefault="00C07A52" w:rsidP="00D0554E">
            <w:pPr>
              <w:pStyle w:val="Tableheading"/>
              <w:keepNext/>
              <w:rPr>
                <w:sz w:val="18"/>
              </w:rPr>
            </w:pPr>
          </w:p>
        </w:tc>
      </w:tr>
      <w:tr w:rsidR="00990CCA" w:rsidRPr="009D23C0" w14:paraId="60A54D0D" w14:textId="77777777" w:rsidTr="00942C04">
        <w:tc>
          <w:tcPr>
            <w:tcW w:w="5000" w:type="pct"/>
            <w:gridSpan w:val="4"/>
            <w:tcBorders>
              <w:top w:val="single" w:sz="4" w:space="0" w:color="939598"/>
              <w:bottom w:val="single" w:sz="4" w:space="0" w:color="939598"/>
            </w:tcBorders>
            <w:shd w:val="clear" w:color="auto" w:fill="D9D9D9" w:themeFill="background1" w:themeFillShade="D9"/>
          </w:tcPr>
          <w:p w14:paraId="616AFE29" w14:textId="43632D83" w:rsidR="00990CCA" w:rsidRPr="009D23C0" w:rsidRDefault="00990CCA" w:rsidP="00D0554E">
            <w:pPr>
              <w:pStyle w:val="Tableheading"/>
              <w:keepNext/>
            </w:pPr>
            <w:r>
              <w:rPr>
                <w:rFonts w:cs="Arial"/>
              </w:rPr>
              <w:t>C</w:t>
            </w:r>
            <w:r w:rsidR="00400159">
              <w:rPr>
                <w:rFonts w:cs="Arial"/>
              </w:rPr>
              <w:t>APITAL ALLOWANCE</w:t>
            </w:r>
            <w:r>
              <w:rPr>
                <w:rFonts w:cs="Arial"/>
              </w:rPr>
              <w:t xml:space="preserve"> (I</w:t>
            </w:r>
            <w:r w:rsidR="00400159">
              <w:rPr>
                <w:rFonts w:cs="Arial"/>
              </w:rPr>
              <w:t>TEM</w:t>
            </w:r>
            <w:r>
              <w:rPr>
                <w:rFonts w:cs="Arial"/>
              </w:rPr>
              <w:t xml:space="preserve"> 9</w:t>
            </w:r>
            <w:r w:rsidRPr="00372FA0">
              <w:rPr>
                <w:rFonts w:cs="Arial"/>
              </w:rPr>
              <w:t>)</w:t>
            </w:r>
            <w:r>
              <w:rPr>
                <w:rFonts w:cs="Arial"/>
              </w:rPr>
              <w:t xml:space="preserve"> </w:t>
            </w:r>
          </w:p>
        </w:tc>
      </w:tr>
      <w:tr w:rsidR="00C07A52" w:rsidRPr="005A1539" w14:paraId="49A2B6FE" w14:textId="77777777" w:rsidTr="00942C04">
        <w:tc>
          <w:tcPr>
            <w:tcW w:w="4005" w:type="pct"/>
            <w:tcBorders>
              <w:top w:val="single" w:sz="4" w:space="0" w:color="939598"/>
              <w:bottom w:val="single" w:sz="4" w:space="0" w:color="939598"/>
              <w:right w:val="single" w:sz="4" w:space="0" w:color="939598"/>
            </w:tcBorders>
            <w:shd w:val="clear" w:color="auto" w:fill="auto"/>
          </w:tcPr>
          <w:p w14:paraId="4089C39D" w14:textId="77777777" w:rsidR="00051A7E" w:rsidRDefault="00C07A52" w:rsidP="00D0554E">
            <w:pPr>
              <w:pStyle w:val="Table"/>
              <w:spacing w:before="100" w:after="100"/>
            </w:pPr>
            <w:r>
              <w:t xml:space="preserve">Did the company hold any depreciating assets (tangible </w:t>
            </w:r>
            <w:r w:rsidR="00051A7E">
              <w:t>or intangible) during the year?</w:t>
            </w:r>
          </w:p>
          <w:p w14:paraId="00223A5A" w14:textId="77777777" w:rsidR="00051A7E" w:rsidRPr="00FC3B3B" w:rsidRDefault="00C07A52" w:rsidP="00D0554E">
            <w:pPr>
              <w:pStyle w:val="Table"/>
              <w:spacing w:before="100" w:after="100"/>
            </w:pPr>
            <w:r>
              <w:t>If so, have the appropriate disclosures been made in relation to th</w:t>
            </w:r>
            <w:r w:rsidR="00051A7E">
              <w:t>e company’s capital allowances?</w:t>
            </w:r>
          </w:p>
        </w:tc>
        <w:tc>
          <w:tcPr>
            <w:tcW w:w="352" w:type="pct"/>
            <w:tcBorders>
              <w:top w:val="single" w:sz="4" w:space="0" w:color="939598"/>
              <w:left w:val="single" w:sz="4" w:space="0" w:color="939598"/>
              <w:bottom w:val="single" w:sz="4" w:space="0" w:color="939598"/>
              <w:right w:val="single" w:sz="4" w:space="0" w:color="939598"/>
            </w:tcBorders>
            <w:shd w:val="clear" w:color="auto" w:fill="auto"/>
          </w:tcPr>
          <w:p w14:paraId="3C2539C8" w14:textId="77777777" w:rsidR="00C07A52" w:rsidRPr="005A1539" w:rsidRDefault="00C07A52" w:rsidP="00D0554E">
            <w:pPr>
              <w:pStyle w:val="Tableheading"/>
              <w:keepNext/>
              <w:rPr>
                <w:sz w:val="18"/>
              </w:rPr>
            </w:pPr>
          </w:p>
        </w:tc>
        <w:tc>
          <w:tcPr>
            <w:tcW w:w="282" w:type="pct"/>
            <w:tcBorders>
              <w:top w:val="single" w:sz="4" w:space="0" w:color="939598"/>
              <w:left w:val="single" w:sz="4" w:space="0" w:color="939598"/>
              <w:bottom w:val="single" w:sz="4" w:space="0" w:color="939598"/>
              <w:right w:val="single" w:sz="4" w:space="0" w:color="939598"/>
            </w:tcBorders>
            <w:shd w:val="clear" w:color="auto" w:fill="auto"/>
          </w:tcPr>
          <w:p w14:paraId="7B267224" w14:textId="77777777" w:rsidR="00C07A52" w:rsidRPr="005A1539" w:rsidRDefault="00C07A52" w:rsidP="00D0554E">
            <w:pPr>
              <w:pStyle w:val="Tableheading"/>
              <w:keepNext/>
              <w:rPr>
                <w:sz w:val="18"/>
              </w:rPr>
            </w:pPr>
          </w:p>
        </w:tc>
        <w:tc>
          <w:tcPr>
            <w:tcW w:w="361" w:type="pct"/>
            <w:tcBorders>
              <w:top w:val="single" w:sz="4" w:space="0" w:color="939598"/>
              <w:left w:val="single" w:sz="4" w:space="0" w:color="939598"/>
              <w:bottom w:val="single" w:sz="4" w:space="0" w:color="939598"/>
            </w:tcBorders>
            <w:shd w:val="clear" w:color="auto" w:fill="auto"/>
          </w:tcPr>
          <w:p w14:paraId="0CF5B80E" w14:textId="77777777" w:rsidR="00C07A52" w:rsidRPr="005A1539" w:rsidRDefault="00C07A52" w:rsidP="00D0554E">
            <w:pPr>
              <w:pStyle w:val="Tableheading"/>
              <w:keepNext/>
              <w:rPr>
                <w:sz w:val="18"/>
              </w:rPr>
            </w:pPr>
          </w:p>
        </w:tc>
      </w:tr>
      <w:tr w:rsidR="00004DD4" w:rsidRPr="009D23C0" w14:paraId="7A6A9B46" w14:textId="77777777" w:rsidTr="00942C04">
        <w:tc>
          <w:tcPr>
            <w:tcW w:w="5000" w:type="pct"/>
            <w:gridSpan w:val="4"/>
            <w:tcBorders>
              <w:top w:val="single" w:sz="4" w:space="0" w:color="939598"/>
              <w:bottom w:val="single" w:sz="4" w:space="0" w:color="939598"/>
            </w:tcBorders>
            <w:shd w:val="clear" w:color="auto" w:fill="D9D9D9" w:themeFill="background1" w:themeFillShade="D9"/>
          </w:tcPr>
          <w:p w14:paraId="02A476B4" w14:textId="5AF81BF0" w:rsidR="00004DD4" w:rsidRPr="009D23C0" w:rsidRDefault="00004DD4" w:rsidP="00D0554E">
            <w:pPr>
              <w:pStyle w:val="Tableheading"/>
            </w:pPr>
            <w:r w:rsidRPr="00A06358">
              <w:rPr>
                <w:rFonts w:cs="Arial"/>
              </w:rPr>
              <w:t>S</w:t>
            </w:r>
            <w:r w:rsidR="00942C04">
              <w:rPr>
                <w:rFonts w:cs="Arial"/>
              </w:rPr>
              <w:t>MALL BUSINESS ENTITY SIMPLIFIED DEPRECIATION</w:t>
            </w:r>
            <w:r w:rsidRPr="00A06358">
              <w:rPr>
                <w:rFonts w:cs="Arial"/>
              </w:rPr>
              <w:t xml:space="preserve"> (I</w:t>
            </w:r>
            <w:r w:rsidR="00942C04">
              <w:rPr>
                <w:rFonts w:cs="Arial"/>
              </w:rPr>
              <w:t>TEM</w:t>
            </w:r>
            <w:r w:rsidRPr="00A06358">
              <w:rPr>
                <w:rFonts w:cs="Arial"/>
              </w:rPr>
              <w:t xml:space="preserve"> 10)</w:t>
            </w:r>
            <w:r w:rsidRPr="009D23C0">
              <w:rPr>
                <w:rFonts w:cs="Arial"/>
              </w:rPr>
              <w:t xml:space="preserve"> </w:t>
            </w:r>
          </w:p>
        </w:tc>
      </w:tr>
      <w:tr w:rsidR="00004DD4" w:rsidRPr="00FC3B3B" w14:paraId="4B933E0E" w14:textId="77777777" w:rsidTr="00942C04">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Ex>
        <w:tc>
          <w:tcPr>
            <w:tcW w:w="4005" w:type="pct"/>
            <w:tcBorders>
              <w:top w:val="single" w:sz="4" w:space="0" w:color="939598"/>
              <w:left w:val="single" w:sz="4" w:space="0" w:color="939598"/>
              <w:bottom w:val="single" w:sz="4" w:space="0" w:color="939598"/>
              <w:right w:val="single" w:sz="4" w:space="0" w:color="939598"/>
            </w:tcBorders>
          </w:tcPr>
          <w:p w14:paraId="66D3BC00" w14:textId="77777777" w:rsidR="009867A9" w:rsidRDefault="00004DD4" w:rsidP="00D0554E">
            <w:pPr>
              <w:pStyle w:val="Table"/>
              <w:spacing w:before="100" w:after="100"/>
            </w:pPr>
            <w:r w:rsidRPr="00FC3B3B">
              <w:t xml:space="preserve">Is the </w:t>
            </w:r>
            <w:r>
              <w:t>company</w:t>
            </w:r>
            <w:r w:rsidRPr="00FC3B3B">
              <w:t xml:space="preserve"> a small business entity</w:t>
            </w:r>
            <w:r>
              <w:t>?</w:t>
            </w:r>
          </w:p>
          <w:p w14:paraId="63E0283C" w14:textId="6F1804CC" w:rsidR="00004DD4" w:rsidRDefault="00004DD4" w:rsidP="00D0554E">
            <w:pPr>
              <w:pStyle w:val="Table"/>
              <w:spacing w:before="100" w:after="100"/>
            </w:pPr>
            <w:r w:rsidRPr="00FC3B3B">
              <w:t xml:space="preserve">If so, have the appropriate small business </w:t>
            </w:r>
            <w:r>
              <w:t xml:space="preserve">entity </w:t>
            </w:r>
            <w:r w:rsidRPr="00FC3B3B">
              <w:t>depreciating assets</w:t>
            </w:r>
            <w:r>
              <w:t xml:space="preserve"> and small business </w:t>
            </w:r>
            <w:r w:rsidR="00C70CA2">
              <w:t xml:space="preserve">capital allowance </w:t>
            </w:r>
            <w:r>
              <w:t>claim</w:t>
            </w:r>
            <w:r w:rsidRPr="00FC3B3B">
              <w:t xml:space="preserve"> been disclosed</w:t>
            </w:r>
            <w:r>
              <w:t>?</w:t>
            </w:r>
          </w:p>
          <w:p w14:paraId="297476A4" w14:textId="31EF2A00" w:rsidR="002772BC" w:rsidRPr="00211718" w:rsidRDefault="005567D7" w:rsidP="00D0554E">
            <w:pPr>
              <w:pStyle w:val="Table"/>
              <w:spacing w:before="100" w:after="100"/>
              <w:rPr>
                <w:sz w:val="15"/>
                <w:szCs w:val="15"/>
              </w:rPr>
            </w:pPr>
            <w:r w:rsidRPr="00211718">
              <w:rPr>
                <w:b/>
                <w:sz w:val="15"/>
                <w:szCs w:val="15"/>
              </w:rPr>
              <w:t>Note</w:t>
            </w:r>
            <w:r w:rsidRPr="00211718">
              <w:rPr>
                <w:sz w:val="15"/>
                <w:szCs w:val="15"/>
              </w:rPr>
              <w:t>: an entity will be regarded as a</w:t>
            </w:r>
            <w:r w:rsidR="00E735D1" w:rsidRPr="00211718">
              <w:rPr>
                <w:sz w:val="15"/>
                <w:szCs w:val="15"/>
              </w:rPr>
              <w:t xml:space="preserve"> Small Business E</w:t>
            </w:r>
            <w:r w:rsidRPr="00211718">
              <w:rPr>
                <w:sz w:val="15"/>
                <w:szCs w:val="15"/>
              </w:rPr>
              <w:t>n</w:t>
            </w:r>
            <w:r w:rsidR="00E735D1" w:rsidRPr="00211718">
              <w:rPr>
                <w:sz w:val="15"/>
                <w:szCs w:val="15"/>
              </w:rPr>
              <w:t>tity (</w:t>
            </w:r>
            <w:r w:rsidRPr="00211718">
              <w:rPr>
                <w:sz w:val="15"/>
                <w:szCs w:val="15"/>
              </w:rPr>
              <w:t>SBE</w:t>
            </w:r>
            <w:r w:rsidR="00E735D1" w:rsidRPr="00211718">
              <w:rPr>
                <w:sz w:val="15"/>
                <w:szCs w:val="15"/>
              </w:rPr>
              <w:t>)</w:t>
            </w:r>
            <w:r w:rsidRPr="00211718">
              <w:rPr>
                <w:sz w:val="15"/>
                <w:szCs w:val="15"/>
              </w:rPr>
              <w:t xml:space="preserve"> for the year ended 30 June 2018 if it carries on business in the 2018 year and its aggregated turnover is less than $10 million for that year. </w:t>
            </w:r>
          </w:p>
        </w:tc>
        <w:tc>
          <w:tcPr>
            <w:tcW w:w="352" w:type="pct"/>
            <w:tcBorders>
              <w:top w:val="single" w:sz="4" w:space="0" w:color="939598"/>
              <w:left w:val="single" w:sz="4" w:space="0" w:color="939598"/>
              <w:bottom w:val="single" w:sz="4" w:space="0" w:color="939598"/>
              <w:right w:val="single" w:sz="4" w:space="0" w:color="939598"/>
            </w:tcBorders>
          </w:tcPr>
          <w:p w14:paraId="73F83A2E" w14:textId="77777777" w:rsidR="00004DD4" w:rsidRPr="00FC3B3B" w:rsidRDefault="00004DD4" w:rsidP="00D0554E">
            <w:pPr>
              <w:pStyle w:val="Table"/>
              <w:spacing w:before="100" w:after="100"/>
            </w:pPr>
          </w:p>
        </w:tc>
        <w:tc>
          <w:tcPr>
            <w:tcW w:w="282" w:type="pct"/>
            <w:tcBorders>
              <w:top w:val="single" w:sz="4" w:space="0" w:color="939598"/>
              <w:left w:val="single" w:sz="4" w:space="0" w:color="939598"/>
              <w:bottom w:val="single" w:sz="4" w:space="0" w:color="939598"/>
              <w:right w:val="single" w:sz="4" w:space="0" w:color="939598"/>
            </w:tcBorders>
          </w:tcPr>
          <w:p w14:paraId="14DCF74A" w14:textId="77777777" w:rsidR="00004DD4" w:rsidRPr="00FC3B3B" w:rsidRDefault="00004DD4" w:rsidP="00D0554E">
            <w:pPr>
              <w:pStyle w:val="Table"/>
              <w:spacing w:before="100" w:after="100"/>
            </w:pPr>
          </w:p>
        </w:tc>
        <w:tc>
          <w:tcPr>
            <w:tcW w:w="361" w:type="pct"/>
            <w:tcBorders>
              <w:top w:val="single" w:sz="4" w:space="0" w:color="939598"/>
              <w:left w:val="single" w:sz="4" w:space="0" w:color="939598"/>
              <w:bottom w:val="single" w:sz="4" w:space="0" w:color="939598"/>
              <w:right w:val="single" w:sz="4" w:space="0" w:color="939598"/>
            </w:tcBorders>
          </w:tcPr>
          <w:p w14:paraId="7C07A008" w14:textId="77777777" w:rsidR="00004DD4" w:rsidRPr="00FC3B3B" w:rsidRDefault="00004DD4" w:rsidP="00D0554E">
            <w:pPr>
              <w:pStyle w:val="Table"/>
              <w:spacing w:before="100" w:after="100"/>
            </w:pPr>
          </w:p>
        </w:tc>
      </w:tr>
      <w:tr w:rsidR="00004DD4" w:rsidRPr="009D23C0" w14:paraId="737BFE52" w14:textId="77777777" w:rsidTr="00942C04">
        <w:tc>
          <w:tcPr>
            <w:tcW w:w="5000" w:type="pct"/>
            <w:gridSpan w:val="4"/>
            <w:tcBorders>
              <w:top w:val="single" w:sz="4" w:space="0" w:color="939598"/>
              <w:bottom w:val="single" w:sz="4" w:space="0" w:color="939598"/>
            </w:tcBorders>
            <w:shd w:val="clear" w:color="auto" w:fill="D9D9D9" w:themeFill="background1" w:themeFillShade="D9"/>
          </w:tcPr>
          <w:p w14:paraId="6AC06F55" w14:textId="5E559AA3" w:rsidR="00004DD4" w:rsidRPr="009D23C0" w:rsidRDefault="00942C04" w:rsidP="00D0554E">
            <w:pPr>
              <w:pStyle w:val="Tableheading"/>
            </w:pPr>
            <w:r>
              <w:rPr>
                <w:rFonts w:cs="Arial"/>
              </w:rPr>
              <w:t>CONSOLIDATION DEDUCTIONS RELATING TO RIGHTS TO FUTURE INCOME</w:t>
            </w:r>
            <w:r w:rsidR="00004DD4">
              <w:rPr>
                <w:rFonts w:cs="Arial"/>
              </w:rPr>
              <w:t xml:space="preserve">, </w:t>
            </w:r>
            <w:r>
              <w:rPr>
                <w:rFonts w:cs="Arial"/>
              </w:rPr>
              <w:t>CONSUMABLE STORES AND WORK IN PROGRESS</w:t>
            </w:r>
            <w:r w:rsidR="00004DD4" w:rsidRPr="00A06358">
              <w:rPr>
                <w:rFonts w:cs="Arial"/>
              </w:rPr>
              <w:t xml:space="preserve"> (I</w:t>
            </w:r>
            <w:r>
              <w:rPr>
                <w:rFonts w:cs="Arial"/>
              </w:rPr>
              <w:t>TEM</w:t>
            </w:r>
            <w:r w:rsidR="00004DD4" w:rsidRPr="00A06358">
              <w:rPr>
                <w:rFonts w:cs="Arial"/>
              </w:rPr>
              <w:t xml:space="preserve"> 11)</w:t>
            </w:r>
            <w:r w:rsidR="00004DD4">
              <w:rPr>
                <w:rFonts w:cs="Arial"/>
              </w:rPr>
              <w:t xml:space="preserve"> </w:t>
            </w:r>
          </w:p>
        </w:tc>
      </w:tr>
      <w:tr w:rsidR="00004DD4" w:rsidRPr="00FC3B3B" w14:paraId="04F40A3F" w14:textId="77777777" w:rsidTr="00942C04">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Ex>
        <w:tc>
          <w:tcPr>
            <w:tcW w:w="4005" w:type="pct"/>
            <w:tcBorders>
              <w:top w:val="single" w:sz="4" w:space="0" w:color="939598"/>
              <w:left w:val="single" w:sz="4" w:space="0" w:color="939598"/>
              <w:bottom w:val="single" w:sz="4" w:space="0" w:color="939598"/>
              <w:right w:val="single" w:sz="4" w:space="0" w:color="939598"/>
            </w:tcBorders>
          </w:tcPr>
          <w:p w14:paraId="76D885F3" w14:textId="3F2B1027" w:rsidR="00004DD4" w:rsidRDefault="00004DD4" w:rsidP="00D0554E">
            <w:pPr>
              <w:pStyle w:val="Table"/>
              <w:spacing w:before="100" w:after="100"/>
            </w:pPr>
            <w:r>
              <w:t>For consolidated groups, have there been any deductions claimed for the 201</w:t>
            </w:r>
            <w:r w:rsidR="005567D7">
              <w:t>8</w:t>
            </w:r>
            <w:r>
              <w:t xml:space="preserve"> income year relating to rights to future income, consumable stores and work in progress? </w:t>
            </w:r>
          </w:p>
          <w:p w14:paraId="6B97A659" w14:textId="77777777" w:rsidR="00004DD4" w:rsidRDefault="00004DD4" w:rsidP="00D0554E">
            <w:pPr>
              <w:pStyle w:val="Table"/>
              <w:spacing w:before="100" w:after="100"/>
            </w:pPr>
            <w:r>
              <w:t>The categories for the above deductions should be classified and disclosed as follows:</w:t>
            </w:r>
          </w:p>
          <w:p w14:paraId="33D593E7" w14:textId="0ECB2099" w:rsidR="00004DD4" w:rsidRDefault="00004DD4" w:rsidP="00D0554E">
            <w:pPr>
              <w:pStyle w:val="TableBullet"/>
              <w:keepNext/>
              <w:spacing w:before="100" w:after="100"/>
              <w:ind w:left="576" w:hanging="576"/>
            </w:pPr>
            <w:r>
              <w:t>pre</w:t>
            </w:r>
            <w:r w:rsidR="00942C04">
              <w:t>-</w:t>
            </w:r>
            <w:r>
              <w:t>rules deductions (arising before 12 May 2010)</w:t>
            </w:r>
          </w:p>
          <w:p w14:paraId="2397CA3B" w14:textId="77777777" w:rsidR="00004DD4" w:rsidRDefault="00004DD4" w:rsidP="00D0554E">
            <w:pPr>
              <w:pStyle w:val="TableBullet"/>
              <w:keepNext/>
              <w:spacing w:before="100" w:after="100"/>
              <w:ind w:left="576" w:hanging="576"/>
            </w:pPr>
            <w:r>
              <w:t>interim rules deduction (arising between 12 May 2010 and 30 March 2011)</w:t>
            </w:r>
          </w:p>
          <w:p w14:paraId="1135ED96" w14:textId="62D3A7CC" w:rsidR="00004DD4" w:rsidRPr="00FC3B3B" w:rsidRDefault="00004DD4" w:rsidP="00D0554E">
            <w:pPr>
              <w:pStyle w:val="TableBullet"/>
              <w:keepNext/>
              <w:spacing w:before="100" w:after="100"/>
              <w:ind w:left="576" w:hanging="576"/>
            </w:pPr>
            <w:r>
              <w:t xml:space="preserve">prospective rule deductions (arising </w:t>
            </w:r>
            <w:r w:rsidR="00E735D1">
              <w:t xml:space="preserve">on or </w:t>
            </w:r>
            <w:r>
              <w:t>after 31 March 2011)</w:t>
            </w:r>
            <w:r w:rsidR="009867A9">
              <w:t>.</w:t>
            </w:r>
          </w:p>
        </w:tc>
        <w:tc>
          <w:tcPr>
            <w:tcW w:w="352" w:type="pct"/>
            <w:tcBorders>
              <w:top w:val="single" w:sz="4" w:space="0" w:color="939598"/>
              <w:left w:val="single" w:sz="4" w:space="0" w:color="939598"/>
              <w:bottom w:val="single" w:sz="4" w:space="0" w:color="939598"/>
              <w:right w:val="single" w:sz="4" w:space="0" w:color="939598"/>
            </w:tcBorders>
          </w:tcPr>
          <w:p w14:paraId="5CE85727" w14:textId="77777777" w:rsidR="00004DD4" w:rsidRPr="00FC3B3B" w:rsidRDefault="00004DD4" w:rsidP="00D0554E">
            <w:pPr>
              <w:pStyle w:val="Table"/>
              <w:spacing w:before="100" w:after="100"/>
            </w:pPr>
          </w:p>
        </w:tc>
        <w:tc>
          <w:tcPr>
            <w:tcW w:w="282" w:type="pct"/>
            <w:tcBorders>
              <w:top w:val="single" w:sz="4" w:space="0" w:color="939598"/>
              <w:left w:val="single" w:sz="4" w:space="0" w:color="939598"/>
              <w:bottom w:val="single" w:sz="4" w:space="0" w:color="939598"/>
              <w:right w:val="single" w:sz="4" w:space="0" w:color="939598"/>
            </w:tcBorders>
          </w:tcPr>
          <w:p w14:paraId="58644DD4" w14:textId="77777777" w:rsidR="00004DD4" w:rsidRPr="00FC3B3B" w:rsidRDefault="00004DD4" w:rsidP="00D0554E">
            <w:pPr>
              <w:pStyle w:val="Table"/>
              <w:spacing w:before="100" w:after="100"/>
            </w:pPr>
          </w:p>
        </w:tc>
        <w:tc>
          <w:tcPr>
            <w:tcW w:w="361" w:type="pct"/>
            <w:tcBorders>
              <w:top w:val="single" w:sz="4" w:space="0" w:color="939598"/>
              <w:left w:val="single" w:sz="4" w:space="0" w:color="939598"/>
              <w:bottom w:val="single" w:sz="4" w:space="0" w:color="939598"/>
              <w:right w:val="single" w:sz="4" w:space="0" w:color="939598"/>
            </w:tcBorders>
          </w:tcPr>
          <w:p w14:paraId="1B0AB5FA" w14:textId="77777777" w:rsidR="00004DD4" w:rsidRPr="00FC3B3B" w:rsidRDefault="00004DD4" w:rsidP="00D0554E">
            <w:pPr>
              <w:pStyle w:val="Table"/>
              <w:spacing w:before="100" w:after="100"/>
            </w:pPr>
          </w:p>
        </w:tc>
      </w:tr>
      <w:tr w:rsidR="00B61300" w:rsidRPr="005A1539" w14:paraId="4EA5C8BC" w14:textId="77777777" w:rsidTr="008C013F">
        <w:tc>
          <w:tcPr>
            <w:tcW w:w="4005" w:type="pct"/>
            <w:tcBorders>
              <w:top w:val="single" w:sz="4" w:space="0" w:color="939598"/>
              <w:bottom w:val="single" w:sz="4" w:space="0" w:color="939598"/>
              <w:right w:val="single" w:sz="4" w:space="0" w:color="939598"/>
            </w:tcBorders>
            <w:shd w:val="clear" w:color="auto" w:fill="051C3C"/>
          </w:tcPr>
          <w:p w14:paraId="170F840C" w14:textId="77777777" w:rsidR="00B61300" w:rsidRPr="005A1539" w:rsidRDefault="00B61300" w:rsidP="008C013F">
            <w:pPr>
              <w:pStyle w:val="Tableheading"/>
              <w:keepNext/>
              <w:rPr>
                <w:sz w:val="18"/>
              </w:rPr>
            </w:pPr>
            <w:r>
              <w:rPr>
                <w:b w:val="0"/>
              </w:rPr>
              <w:lastRenderedPageBreak/>
              <w:br w:type="page"/>
            </w:r>
            <w:r w:rsidRPr="00621783">
              <w:rPr>
                <w:sz w:val="18"/>
              </w:rPr>
              <w:t>T</w:t>
            </w:r>
            <w:r>
              <w:rPr>
                <w:sz w:val="18"/>
              </w:rPr>
              <w:t>AX RETURN FORM COMPLETION</w:t>
            </w:r>
            <w:r w:rsidRPr="00621783">
              <w:rPr>
                <w:sz w:val="18"/>
              </w:rPr>
              <w:t xml:space="preserve"> </w:t>
            </w:r>
          </w:p>
        </w:tc>
        <w:tc>
          <w:tcPr>
            <w:tcW w:w="352" w:type="pct"/>
            <w:tcBorders>
              <w:top w:val="single" w:sz="4" w:space="0" w:color="939598"/>
              <w:left w:val="single" w:sz="4" w:space="0" w:color="939598"/>
              <w:bottom w:val="single" w:sz="4" w:space="0" w:color="939598"/>
              <w:right w:val="single" w:sz="4" w:space="0" w:color="939598"/>
            </w:tcBorders>
            <w:shd w:val="clear" w:color="auto" w:fill="051C3C"/>
          </w:tcPr>
          <w:p w14:paraId="49497D6D" w14:textId="77777777" w:rsidR="00B61300" w:rsidRPr="005A1539" w:rsidRDefault="00B61300" w:rsidP="008C013F">
            <w:pPr>
              <w:pStyle w:val="Tableheading"/>
              <w:keepNext/>
              <w:rPr>
                <w:sz w:val="18"/>
              </w:rPr>
            </w:pPr>
            <w:r>
              <w:rPr>
                <w:sz w:val="18"/>
              </w:rPr>
              <w:t>YES</w:t>
            </w:r>
          </w:p>
        </w:tc>
        <w:tc>
          <w:tcPr>
            <w:tcW w:w="282" w:type="pct"/>
            <w:tcBorders>
              <w:top w:val="single" w:sz="4" w:space="0" w:color="939598"/>
              <w:left w:val="single" w:sz="4" w:space="0" w:color="939598"/>
              <w:bottom w:val="single" w:sz="4" w:space="0" w:color="939598"/>
              <w:right w:val="single" w:sz="4" w:space="0" w:color="939598"/>
            </w:tcBorders>
            <w:shd w:val="clear" w:color="auto" w:fill="051C3C"/>
          </w:tcPr>
          <w:p w14:paraId="235D99DD" w14:textId="77777777" w:rsidR="00B61300" w:rsidRPr="005A1539" w:rsidRDefault="00B61300" w:rsidP="008C013F">
            <w:pPr>
              <w:pStyle w:val="Tableheading"/>
              <w:keepNext/>
              <w:rPr>
                <w:sz w:val="18"/>
              </w:rPr>
            </w:pPr>
            <w:r>
              <w:rPr>
                <w:sz w:val="18"/>
              </w:rPr>
              <w:t>NO</w:t>
            </w:r>
          </w:p>
        </w:tc>
        <w:tc>
          <w:tcPr>
            <w:tcW w:w="361" w:type="pct"/>
            <w:tcBorders>
              <w:top w:val="single" w:sz="4" w:space="0" w:color="939598"/>
              <w:left w:val="single" w:sz="4" w:space="0" w:color="939598"/>
              <w:bottom w:val="single" w:sz="4" w:space="0" w:color="939598"/>
            </w:tcBorders>
            <w:shd w:val="clear" w:color="auto" w:fill="051C3C"/>
          </w:tcPr>
          <w:p w14:paraId="58E46FE7" w14:textId="77777777" w:rsidR="00B61300" w:rsidRPr="005A1539" w:rsidRDefault="00B61300" w:rsidP="008C013F">
            <w:pPr>
              <w:pStyle w:val="Tableheading"/>
              <w:keepNext/>
              <w:rPr>
                <w:sz w:val="18"/>
              </w:rPr>
            </w:pPr>
            <w:r w:rsidRPr="005A1539">
              <w:rPr>
                <w:sz w:val="18"/>
              </w:rPr>
              <w:t>N/A</w:t>
            </w:r>
          </w:p>
        </w:tc>
      </w:tr>
      <w:tr w:rsidR="00004DD4" w:rsidRPr="009D23C0" w14:paraId="3F5C3C64" w14:textId="77777777" w:rsidTr="00942C04">
        <w:tc>
          <w:tcPr>
            <w:tcW w:w="5000" w:type="pct"/>
            <w:gridSpan w:val="4"/>
            <w:tcBorders>
              <w:top w:val="single" w:sz="4" w:space="0" w:color="939598"/>
              <w:bottom w:val="single" w:sz="4" w:space="0" w:color="939598"/>
            </w:tcBorders>
            <w:shd w:val="clear" w:color="auto" w:fill="D9D9D9" w:themeFill="background1" w:themeFillShade="D9"/>
          </w:tcPr>
          <w:p w14:paraId="2139BEDF" w14:textId="544B9621" w:rsidR="00004DD4" w:rsidRPr="009D23C0" w:rsidRDefault="00004DD4" w:rsidP="00D0554E">
            <w:pPr>
              <w:pStyle w:val="Tableheading"/>
              <w:keepNext/>
            </w:pPr>
            <w:r w:rsidRPr="005A1E4D">
              <w:rPr>
                <w:rFonts w:cs="Arial"/>
              </w:rPr>
              <w:t>N</w:t>
            </w:r>
            <w:r w:rsidR="00B61300">
              <w:rPr>
                <w:rFonts w:cs="Arial"/>
              </w:rPr>
              <w:t>ATIONAL RENTAL AFFORDABILITY SCHEME</w:t>
            </w:r>
            <w:r w:rsidRPr="005A1E4D">
              <w:rPr>
                <w:rFonts w:cs="Arial"/>
              </w:rPr>
              <w:t xml:space="preserve"> </w:t>
            </w:r>
            <w:r w:rsidR="002772BC">
              <w:rPr>
                <w:rFonts w:cs="Arial"/>
              </w:rPr>
              <w:t xml:space="preserve">(NRAS) </w:t>
            </w:r>
            <w:r w:rsidRPr="00A06358">
              <w:rPr>
                <w:rFonts w:cs="Arial"/>
              </w:rPr>
              <w:t>(I</w:t>
            </w:r>
            <w:r w:rsidR="00B61300">
              <w:rPr>
                <w:rFonts w:cs="Arial"/>
              </w:rPr>
              <w:t>TEM</w:t>
            </w:r>
            <w:r w:rsidRPr="00A06358">
              <w:rPr>
                <w:rFonts w:cs="Arial"/>
              </w:rPr>
              <w:t xml:space="preserve"> 12)</w:t>
            </w:r>
            <w:r w:rsidRPr="009D23C0">
              <w:rPr>
                <w:rFonts w:cs="Arial"/>
              </w:rPr>
              <w:t xml:space="preserve"> </w:t>
            </w:r>
          </w:p>
        </w:tc>
      </w:tr>
      <w:tr w:rsidR="00004DD4" w:rsidRPr="00FC3B3B" w14:paraId="71D8E7E1" w14:textId="77777777" w:rsidTr="00942C04">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Ex>
        <w:tc>
          <w:tcPr>
            <w:tcW w:w="4005" w:type="pct"/>
            <w:tcBorders>
              <w:top w:val="single" w:sz="4" w:space="0" w:color="939598"/>
              <w:left w:val="single" w:sz="4" w:space="0" w:color="939598"/>
              <w:bottom w:val="single" w:sz="4" w:space="0" w:color="939598"/>
              <w:right w:val="single" w:sz="4" w:space="0" w:color="939598"/>
            </w:tcBorders>
          </w:tcPr>
          <w:p w14:paraId="508597D4" w14:textId="72176CF3" w:rsidR="00004DD4" w:rsidRPr="00FC3B3B" w:rsidRDefault="00004DD4" w:rsidP="00D0554E">
            <w:pPr>
              <w:pStyle w:val="Table"/>
              <w:keepNext/>
              <w:spacing w:before="100" w:after="100"/>
            </w:pPr>
            <w:r w:rsidRPr="00FC3B3B">
              <w:t>Has the entity derived rent in respect of dwelling from renting it on an affordable housing basis under the NRAS for the income year</w:t>
            </w:r>
            <w:r w:rsidR="005A1E4D">
              <w:t xml:space="preserve"> which will entitle the company to a tax offset</w:t>
            </w:r>
            <w:r w:rsidR="00FA180E">
              <w:t xml:space="preserve"> shown at </w:t>
            </w:r>
            <w:r w:rsidR="00E735D1">
              <w:t>L</w:t>
            </w:r>
            <w:r w:rsidR="00FA180E">
              <w:t>abel J</w:t>
            </w:r>
            <w:r w:rsidRPr="00FC3B3B">
              <w:t>?</w:t>
            </w:r>
          </w:p>
        </w:tc>
        <w:tc>
          <w:tcPr>
            <w:tcW w:w="352" w:type="pct"/>
            <w:tcBorders>
              <w:top w:val="single" w:sz="4" w:space="0" w:color="939598"/>
              <w:left w:val="single" w:sz="4" w:space="0" w:color="939598"/>
              <w:bottom w:val="single" w:sz="4" w:space="0" w:color="939598"/>
              <w:right w:val="single" w:sz="4" w:space="0" w:color="939598"/>
            </w:tcBorders>
          </w:tcPr>
          <w:p w14:paraId="301E6F24" w14:textId="77777777" w:rsidR="00004DD4" w:rsidRPr="00FC3B3B" w:rsidRDefault="00004DD4" w:rsidP="00D0554E">
            <w:pPr>
              <w:pStyle w:val="Table"/>
              <w:keepNext/>
              <w:spacing w:before="100" w:after="100"/>
            </w:pPr>
          </w:p>
        </w:tc>
        <w:tc>
          <w:tcPr>
            <w:tcW w:w="282" w:type="pct"/>
            <w:tcBorders>
              <w:top w:val="single" w:sz="4" w:space="0" w:color="939598"/>
              <w:left w:val="single" w:sz="4" w:space="0" w:color="939598"/>
              <w:bottom w:val="single" w:sz="4" w:space="0" w:color="939598"/>
              <w:right w:val="single" w:sz="4" w:space="0" w:color="939598"/>
            </w:tcBorders>
          </w:tcPr>
          <w:p w14:paraId="1A9A8ABA" w14:textId="77777777" w:rsidR="00004DD4" w:rsidRPr="00FC3B3B" w:rsidRDefault="00004DD4" w:rsidP="00D0554E">
            <w:pPr>
              <w:pStyle w:val="Table"/>
              <w:keepNext/>
              <w:spacing w:before="100" w:after="100"/>
            </w:pPr>
          </w:p>
        </w:tc>
        <w:tc>
          <w:tcPr>
            <w:tcW w:w="361" w:type="pct"/>
            <w:tcBorders>
              <w:top w:val="single" w:sz="4" w:space="0" w:color="939598"/>
              <w:left w:val="single" w:sz="4" w:space="0" w:color="939598"/>
              <w:bottom w:val="single" w:sz="4" w:space="0" w:color="939598"/>
              <w:right w:val="single" w:sz="4" w:space="0" w:color="939598"/>
            </w:tcBorders>
          </w:tcPr>
          <w:p w14:paraId="35C8C276" w14:textId="77777777" w:rsidR="00004DD4" w:rsidRPr="00FC3B3B" w:rsidRDefault="00004DD4" w:rsidP="00D0554E">
            <w:pPr>
              <w:pStyle w:val="Table"/>
              <w:keepNext/>
              <w:spacing w:before="100" w:after="100"/>
            </w:pPr>
          </w:p>
        </w:tc>
      </w:tr>
      <w:tr w:rsidR="00004DD4" w:rsidRPr="00FC3B3B" w14:paraId="213BA4A1" w14:textId="77777777" w:rsidTr="00942C04">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Ex>
        <w:tc>
          <w:tcPr>
            <w:tcW w:w="4005" w:type="pct"/>
            <w:tcBorders>
              <w:top w:val="single" w:sz="4" w:space="0" w:color="939598"/>
              <w:left w:val="single" w:sz="4" w:space="0" w:color="939598"/>
              <w:bottom w:val="single" w:sz="4" w:space="0" w:color="939598"/>
              <w:right w:val="single" w:sz="4" w:space="0" w:color="939598"/>
            </w:tcBorders>
          </w:tcPr>
          <w:p w14:paraId="294499BA" w14:textId="77777777" w:rsidR="00004DD4" w:rsidRPr="00FC3B3B" w:rsidRDefault="00004DD4" w:rsidP="00D0554E">
            <w:pPr>
              <w:pStyle w:val="Table"/>
              <w:spacing w:before="100" w:after="100"/>
            </w:pPr>
            <w:r w:rsidRPr="00FC3B3B">
              <w:t xml:space="preserve">Has the entity been issued with a certificate by the Secretary </w:t>
            </w:r>
            <w:r w:rsidR="0068453E">
              <w:t xml:space="preserve">of the Department of Social Security </w:t>
            </w:r>
            <w:r w:rsidRPr="00FC3B3B">
              <w:t>under the NRAS?</w:t>
            </w:r>
          </w:p>
          <w:p w14:paraId="47CA3921" w14:textId="77777777" w:rsidR="00004DD4" w:rsidRPr="00211718" w:rsidRDefault="00004DD4" w:rsidP="00D0554E">
            <w:pPr>
              <w:pStyle w:val="Source"/>
              <w:spacing w:before="100" w:after="100"/>
              <w:ind w:right="0"/>
              <w:rPr>
                <w:sz w:val="15"/>
                <w:szCs w:val="15"/>
              </w:rPr>
            </w:pPr>
            <w:r w:rsidRPr="00211718">
              <w:rPr>
                <w:sz w:val="15"/>
                <w:szCs w:val="15"/>
              </w:rPr>
              <w:t xml:space="preserve">Note: </w:t>
            </w:r>
            <w:r w:rsidRPr="00211718">
              <w:rPr>
                <w:b w:val="0"/>
                <w:sz w:val="15"/>
                <w:szCs w:val="15"/>
              </w:rPr>
              <w:t>only entities who have obtained this certificate are entitled to the refundable tax offsets.</w:t>
            </w:r>
          </w:p>
        </w:tc>
        <w:tc>
          <w:tcPr>
            <w:tcW w:w="352" w:type="pct"/>
            <w:tcBorders>
              <w:top w:val="single" w:sz="4" w:space="0" w:color="939598"/>
              <w:left w:val="single" w:sz="4" w:space="0" w:color="939598"/>
              <w:bottom w:val="single" w:sz="4" w:space="0" w:color="939598"/>
              <w:right w:val="single" w:sz="4" w:space="0" w:color="939598"/>
            </w:tcBorders>
          </w:tcPr>
          <w:p w14:paraId="33FE888C" w14:textId="77777777" w:rsidR="00004DD4" w:rsidRPr="00FC3B3B" w:rsidRDefault="00004DD4" w:rsidP="00D0554E">
            <w:pPr>
              <w:pStyle w:val="Table"/>
              <w:spacing w:before="100" w:after="100"/>
            </w:pPr>
          </w:p>
        </w:tc>
        <w:tc>
          <w:tcPr>
            <w:tcW w:w="282" w:type="pct"/>
            <w:tcBorders>
              <w:top w:val="single" w:sz="4" w:space="0" w:color="939598"/>
              <w:left w:val="single" w:sz="4" w:space="0" w:color="939598"/>
              <w:bottom w:val="single" w:sz="4" w:space="0" w:color="939598"/>
              <w:right w:val="single" w:sz="4" w:space="0" w:color="939598"/>
            </w:tcBorders>
          </w:tcPr>
          <w:p w14:paraId="46C9295E" w14:textId="77777777" w:rsidR="00004DD4" w:rsidRPr="00FC3B3B" w:rsidRDefault="00004DD4" w:rsidP="00D0554E">
            <w:pPr>
              <w:pStyle w:val="Table"/>
              <w:spacing w:before="100" w:after="100"/>
            </w:pPr>
          </w:p>
        </w:tc>
        <w:tc>
          <w:tcPr>
            <w:tcW w:w="361" w:type="pct"/>
            <w:tcBorders>
              <w:top w:val="single" w:sz="4" w:space="0" w:color="939598"/>
              <w:left w:val="single" w:sz="4" w:space="0" w:color="939598"/>
              <w:bottom w:val="single" w:sz="4" w:space="0" w:color="939598"/>
              <w:right w:val="single" w:sz="4" w:space="0" w:color="939598"/>
            </w:tcBorders>
          </w:tcPr>
          <w:p w14:paraId="2E44D211" w14:textId="77777777" w:rsidR="00004DD4" w:rsidRPr="00FC3B3B" w:rsidRDefault="00004DD4" w:rsidP="00D0554E">
            <w:pPr>
              <w:pStyle w:val="Table"/>
              <w:spacing w:before="100" w:after="100"/>
            </w:pPr>
          </w:p>
        </w:tc>
      </w:tr>
      <w:tr w:rsidR="00004DD4" w:rsidRPr="009D23C0" w14:paraId="6BD1D4A2" w14:textId="77777777" w:rsidTr="00942C04">
        <w:tc>
          <w:tcPr>
            <w:tcW w:w="5000" w:type="pct"/>
            <w:gridSpan w:val="4"/>
            <w:tcBorders>
              <w:top w:val="single" w:sz="4" w:space="0" w:color="939598"/>
              <w:bottom w:val="single" w:sz="4" w:space="0" w:color="939598"/>
            </w:tcBorders>
            <w:shd w:val="clear" w:color="auto" w:fill="D9D9D9" w:themeFill="background1" w:themeFillShade="D9"/>
          </w:tcPr>
          <w:p w14:paraId="08276EC9" w14:textId="797B7A18" w:rsidR="00004DD4" w:rsidRPr="009D23C0" w:rsidRDefault="00004DD4" w:rsidP="00D0554E">
            <w:pPr>
              <w:pStyle w:val="Tableheading"/>
            </w:pPr>
            <w:r w:rsidRPr="00A06358">
              <w:rPr>
                <w:rFonts w:cs="Arial"/>
              </w:rPr>
              <w:t>L</w:t>
            </w:r>
            <w:r w:rsidR="00B61300">
              <w:rPr>
                <w:rFonts w:cs="Arial"/>
              </w:rPr>
              <w:t>OSSES INFORMATION</w:t>
            </w:r>
            <w:r w:rsidRPr="00A06358">
              <w:rPr>
                <w:rFonts w:cs="Arial"/>
              </w:rPr>
              <w:t xml:space="preserve"> (I</w:t>
            </w:r>
            <w:r w:rsidR="00B61300">
              <w:rPr>
                <w:rFonts w:cs="Arial"/>
              </w:rPr>
              <w:t>TEM</w:t>
            </w:r>
            <w:r w:rsidRPr="00A06358">
              <w:rPr>
                <w:rFonts w:cs="Arial"/>
              </w:rPr>
              <w:t xml:space="preserve"> 13)</w:t>
            </w:r>
            <w:r w:rsidRPr="009D23C0">
              <w:rPr>
                <w:rFonts w:cs="Arial"/>
              </w:rPr>
              <w:t xml:space="preserve"> </w:t>
            </w:r>
          </w:p>
        </w:tc>
      </w:tr>
      <w:tr w:rsidR="00004DD4" w:rsidRPr="00FC3B3B" w14:paraId="6A9FB5F2" w14:textId="77777777" w:rsidTr="00942C04">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Ex>
        <w:tc>
          <w:tcPr>
            <w:tcW w:w="4005" w:type="pct"/>
            <w:tcBorders>
              <w:top w:val="single" w:sz="4" w:space="0" w:color="939598"/>
              <w:left w:val="single" w:sz="4" w:space="0" w:color="939598"/>
              <w:bottom w:val="single" w:sz="4" w:space="0" w:color="939598"/>
              <w:right w:val="single" w:sz="4" w:space="0" w:color="939598"/>
            </w:tcBorders>
          </w:tcPr>
          <w:p w14:paraId="6BD72CDB" w14:textId="187F1E32" w:rsidR="00004DD4" w:rsidRDefault="00004DD4" w:rsidP="00D0554E">
            <w:pPr>
              <w:pStyle w:val="Table"/>
              <w:spacing w:before="100" w:after="100"/>
            </w:pPr>
            <w:r w:rsidRPr="00FC3B3B">
              <w:t>Ha</w:t>
            </w:r>
            <w:r w:rsidR="00E25DA6">
              <w:t>s</w:t>
            </w:r>
            <w:r w:rsidRPr="00FC3B3B">
              <w:t xml:space="preserve"> the continuity of ownership and / or same business test of the company been reviewed to ensure the deductibility of a bad debt or a prior year tax loss /</w:t>
            </w:r>
            <w:r w:rsidR="00BA3F10">
              <w:t xml:space="preserve"> </w:t>
            </w:r>
            <w:r w:rsidRPr="00FC3B3B">
              <w:t>capital loss claimed by the company?</w:t>
            </w:r>
          </w:p>
          <w:p w14:paraId="38E0BDE0" w14:textId="506FE795" w:rsidR="005567D7" w:rsidRPr="00211718" w:rsidRDefault="005567D7" w:rsidP="00D0554E">
            <w:pPr>
              <w:spacing w:before="100" w:after="100"/>
              <w:rPr>
                <w:sz w:val="15"/>
                <w:szCs w:val="15"/>
              </w:rPr>
            </w:pPr>
            <w:r w:rsidRPr="00211718">
              <w:rPr>
                <w:b/>
                <w:sz w:val="15"/>
                <w:szCs w:val="15"/>
              </w:rPr>
              <w:t>Note</w:t>
            </w:r>
            <w:r w:rsidRPr="00211718">
              <w:rPr>
                <w:sz w:val="15"/>
                <w:szCs w:val="15"/>
              </w:rPr>
              <w:t>: t</w:t>
            </w:r>
            <w:r w:rsidRPr="00211718">
              <w:rPr>
                <w:rFonts w:cs="Arial"/>
                <w:sz w:val="15"/>
                <w:szCs w:val="15"/>
                <w:lang w:eastAsia="en-AU"/>
              </w:rPr>
              <w:t xml:space="preserve">he </w:t>
            </w:r>
            <w:r w:rsidRPr="00211718">
              <w:rPr>
                <w:rFonts w:cs="Arial"/>
                <w:i/>
                <w:sz w:val="15"/>
                <w:szCs w:val="15"/>
                <w:lang w:eastAsia="en-AU"/>
              </w:rPr>
              <w:t>Treasury Laws Amendment (2017 Enterprises Incentive No.1) Bill 2017</w:t>
            </w:r>
            <w:r w:rsidRPr="00211718">
              <w:rPr>
                <w:rFonts w:cs="Arial"/>
                <w:sz w:val="15"/>
                <w:szCs w:val="15"/>
                <w:lang w:eastAsia="en-AU"/>
              </w:rPr>
              <w:t xml:space="preserve"> proposes to insert an alternate business continuity test to the same business test which will be known as the ’similar business test’ which will apply to income years commencing on or after 1 July 2015 if enacted</w:t>
            </w:r>
            <w:r w:rsidR="00B61300">
              <w:rPr>
                <w:rFonts w:cs="Arial"/>
                <w:sz w:val="15"/>
                <w:szCs w:val="15"/>
                <w:lang w:eastAsia="en-AU"/>
              </w:rPr>
              <w:t>.</w:t>
            </w:r>
          </w:p>
        </w:tc>
        <w:tc>
          <w:tcPr>
            <w:tcW w:w="352" w:type="pct"/>
            <w:tcBorders>
              <w:top w:val="single" w:sz="4" w:space="0" w:color="939598"/>
              <w:left w:val="single" w:sz="4" w:space="0" w:color="939598"/>
              <w:bottom w:val="single" w:sz="4" w:space="0" w:color="939598"/>
              <w:right w:val="single" w:sz="4" w:space="0" w:color="939598"/>
            </w:tcBorders>
          </w:tcPr>
          <w:p w14:paraId="20E11F02" w14:textId="77777777" w:rsidR="00004DD4" w:rsidRPr="00FC3B3B" w:rsidRDefault="00004DD4" w:rsidP="00D0554E">
            <w:pPr>
              <w:pStyle w:val="Table"/>
              <w:spacing w:before="100" w:after="100"/>
            </w:pPr>
          </w:p>
        </w:tc>
        <w:tc>
          <w:tcPr>
            <w:tcW w:w="282" w:type="pct"/>
            <w:tcBorders>
              <w:top w:val="single" w:sz="4" w:space="0" w:color="939598"/>
              <w:left w:val="single" w:sz="4" w:space="0" w:color="939598"/>
              <w:bottom w:val="single" w:sz="4" w:space="0" w:color="939598"/>
              <w:right w:val="single" w:sz="4" w:space="0" w:color="939598"/>
            </w:tcBorders>
          </w:tcPr>
          <w:p w14:paraId="776F4107" w14:textId="77777777" w:rsidR="00004DD4" w:rsidRPr="00FC3B3B" w:rsidRDefault="00004DD4" w:rsidP="00D0554E">
            <w:pPr>
              <w:pStyle w:val="Table"/>
              <w:spacing w:before="100" w:after="100"/>
            </w:pPr>
          </w:p>
        </w:tc>
        <w:tc>
          <w:tcPr>
            <w:tcW w:w="361" w:type="pct"/>
            <w:tcBorders>
              <w:top w:val="single" w:sz="4" w:space="0" w:color="939598"/>
              <w:left w:val="single" w:sz="4" w:space="0" w:color="939598"/>
              <w:bottom w:val="single" w:sz="4" w:space="0" w:color="939598"/>
              <w:right w:val="single" w:sz="4" w:space="0" w:color="939598"/>
            </w:tcBorders>
          </w:tcPr>
          <w:p w14:paraId="021E9751" w14:textId="77777777" w:rsidR="00004DD4" w:rsidRPr="00FC3B3B" w:rsidRDefault="00004DD4" w:rsidP="00D0554E">
            <w:pPr>
              <w:pStyle w:val="Table"/>
              <w:spacing w:before="100" w:after="100"/>
            </w:pPr>
          </w:p>
        </w:tc>
      </w:tr>
      <w:tr w:rsidR="00004DD4" w:rsidRPr="00FC3B3B" w14:paraId="25F476EE" w14:textId="77777777" w:rsidTr="00942C04">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Ex>
        <w:tc>
          <w:tcPr>
            <w:tcW w:w="4005" w:type="pct"/>
            <w:tcBorders>
              <w:top w:val="single" w:sz="4" w:space="0" w:color="939598"/>
              <w:left w:val="single" w:sz="4" w:space="0" w:color="939598"/>
              <w:bottom w:val="single" w:sz="4" w:space="0" w:color="939598"/>
              <w:right w:val="single" w:sz="4" w:space="0" w:color="939598"/>
            </w:tcBorders>
          </w:tcPr>
          <w:p w14:paraId="0C13F59D" w14:textId="77777777" w:rsidR="00004DD4" w:rsidRPr="00FC3B3B" w:rsidRDefault="00004DD4" w:rsidP="00D0554E">
            <w:pPr>
              <w:pStyle w:val="Table"/>
              <w:spacing w:before="100" w:after="100"/>
            </w:pPr>
            <w:r w:rsidRPr="00FC3B3B">
              <w:t xml:space="preserve">Does the </w:t>
            </w:r>
            <w:r>
              <w:t>company</w:t>
            </w:r>
            <w:r w:rsidRPr="00FC3B3B">
              <w:t xml:space="preserve"> have tax losses and net capital losses in excess of $100,000? If so, has a losses schedule or consolidated group losses schedule been completed?</w:t>
            </w:r>
          </w:p>
        </w:tc>
        <w:tc>
          <w:tcPr>
            <w:tcW w:w="352" w:type="pct"/>
            <w:tcBorders>
              <w:top w:val="single" w:sz="4" w:space="0" w:color="939598"/>
              <w:left w:val="single" w:sz="4" w:space="0" w:color="939598"/>
              <w:bottom w:val="single" w:sz="4" w:space="0" w:color="939598"/>
              <w:right w:val="single" w:sz="4" w:space="0" w:color="939598"/>
            </w:tcBorders>
          </w:tcPr>
          <w:p w14:paraId="74C23357" w14:textId="77777777" w:rsidR="00004DD4" w:rsidRPr="00FC3B3B" w:rsidRDefault="00004DD4" w:rsidP="00D0554E">
            <w:pPr>
              <w:pStyle w:val="Table"/>
              <w:spacing w:before="100" w:after="100"/>
            </w:pPr>
          </w:p>
        </w:tc>
        <w:tc>
          <w:tcPr>
            <w:tcW w:w="282" w:type="pct"/>
            <w:tcBorders>
              <w:top w:val="single" w:sz="4" w:space="0" w:color="939598"/>
              <w:left w:val="single" w:sz="4" w:space="0" w:color="939598"/>
              <w:bottom w:val="single" w:sz="4" w:space="0" w:color="939598"/>
              <w:right w:val="single" w:sz="4" w:space="0" w:color="939598"/>
            </w:tcBorders>
          </w:tcPr>
          <w:p w14:paraId="5938905B" w14:textId="77777777" w:rsidR="00004DD4" w:rsidRPr="00FC3B3B" w:rsidRDefault="00004DD4" w:rsidP="00D0554E">
            <w:pPr>
              <w:pStyle w:val="Table"/>
              <w:spacing w:before="100" w:after="100"/>
            </w:pPr>
          </w:p>
        </w:tc>
        <w:tc>
          <w:tcPr>
            <w:tcW w:w="361" w:type="pct"/>
            <w:tcBorders>
              <w:top w:val="single" w:sz="4" w:space="0" w:color="939598"/>
              <w:left w:val="single" w:sz="4" w:space="0" w:color="939598"/>
              <w:bottom w:val="single" w:sz="4" w:space="0" w:color="939598"/>
              <w:right w:val="single" w:sz="4" w:space="0" w:color="939598"/>
            </w:tcBorders>
          </w:tcPr>
          <w:p w14:paraId="6A06E7B8" w14:textId="77777777" w:rsidR="00004DD4" w:rsidRPr="00FC3B3B" w:rsidRDefault="00004DD4" w:rsidP="00D0554E">
            <w:pPr>
              <w:pStyle w:val="Table"/>
              <w:spacing w:before="100" w:after="100"/>
            </w:pPr>
          </w:p>
        </w:tc>
      </w:tr>
      <w:tr w:rsidR="00004DD4" w:rsidRPr="00FC3B3B" w14:paraId="54EC32A2" w14:textId="77777777" w:rsidTr="00942C04">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Ex>
        <w:tc>
          <w:tcPr>
            <w:tcW w:w="4005" w:type="pct"/>
            <w:tcBorders>
              <w:top w:val="single" w:sz="4" w:space="0" w:color="939598"/>
              <w:left w:val="single" w:sz="4" w:space="0" w:color="939598"/>
              <w:bottom w:val="single" w:sz="4" w:space="0" w:color="939598"/>
              <w:right w:val="single" w:sz="4" w:space="0" w:color="939598"/>
            </w:tcBorders>
          </w:tcPr>
          <w:p w14:paraId="2E835052" w14:textId="28DFB6BB" w:rsidR="00967486" w:rsidRDefault="00004DD4" w:rsidP="00D0554E">
            <w:pPr>
              <w:pStyle w:val="Table"/>
              <w:spacing w:before="100" w:after="100"/>
            </w:pPr>
            <w:r w:rsidRPr="00FC3B3B">
              <w:t>Does the head company of a consolidated group or multiple ent</w:t>
            </w:r>
            <w:r>
              <w:t>ry</w:t>
            </w:r>
            <w:r w:rsidRPr="00FC3B3B">
              <w:t xml:space="preserve"> consolidated group have transferred tax losses carried forward to </w:t>
            </w:r>
            <w:r w:rsidR="0068453E">
              <w:t xml:space="preserve">the </w:t>
            </w:r>
            <w:r w:rsidRPr="00FC3B3B">
              <w:t>20</w:t>
            </w:r>
            <w:r>
              <w:t>1</w:t>
            </w:r>
            <w:r w:rsidR="005567D7">
              <w:t>8</w:t>
            </w:r>
            <w:r w:rsidR="0068453E">
              <w:t xml:space="preserve"> year</w:t>
            </w:r>
            <w:r w:rsidRPr="00FC3B3B">
              <w:t xml:space="preserve"> greater than $100,000? </w:t>
            </w:r>
          </w:p>
          <w:p w14:paraId="7EAD14AE" w14:textId="2971EDF7" w:rsidR="00004DD4" w:rsidRPr="00FC3B3B" w:rsidRDefault="00004DD4" w:rsidP="00D0554E">
            <w:pPr>
              <w:pStyle w:val="Table"/>
              <w:spacing w:before="100" w:after="100"/>
            </w:pPr>
            <w:r w:rsidRPr="00FC3B3B">
              <w:t>If so, has a consolidated group</w:t>
            </w:r>
            <w:r w:rsidR="00D83E87">
              <w:t>’</w:t>
            </w:r>
            <w:r w:rsidRPr="00FC3B3B">
              <w:t>s losses schedule been completed?</w:t>
            </w:r>
          </w:p>
        </w:tc>
        <w:tc>
          <w:tcPr>
            <w:tcW w:w="352" w:type="pct"/>
            <w:tcBorders>
              <w:top w:val="single" w:sz="4" w:space="0" w:color="939598"/>
              <w:left w:val="single" w:sz="4" w:space="0" w:color="939598"/>
              <w:bottom w:val="single" w:sz="4" w:space="0" w:color="939598"/>
              <w:right w:val="single" w:sz="4" w:space="0" w:color="939598"/>
            </w:tcBorders>
          </w:tcPr>
          <w:p w14:paraId="50FF4E92" w14:textId="77777777" w:rsidR="00004DD4" w:rsidRPr="00FC3B3B" w:rsidRDefault="00004DD4" w:rsidP="00D0554E">
            <w:pPr>
              <w:pStyle w:val="Table"/>
              <w:spacing w:before="100" w:after="100"/>
            </w:pPr>
          </w:p>
        </w:tc>
        <w:tc>
          <w:tcPr>
            <w:tcW w:w="282" w:type="pct"/>
            <w:tcBorders>
              <w:top w:val="single" w:sz="4" w:space="0" w:color="939598"/>
              <w:left w:val="single" w:sz="4" w:space="0" w:color="939598"/>
              <w:bottom w:val="single" w:sz="4" w:space="0" w:color="939598"/>
              <w:right w:val="single" w:sz="4" w:space="0" w:color="939598"/>
            </w:tcBorders>
          </w:tcPr>
          <w:p w14:paraId="6D761E83" w14:textId="77777777" w:rsidR="00004DD4" w:rsidRPr="00FC3B3B" w:rsidRDefault="00004DD4" w:rsidP="00D0554E">
            <w:pPr>
              <w:pStyle w:val="Table"/>
              <w:spacing w:before="100" w:after="100"/>
            </w:pPr>
          </w:p>
        </w:tc>
        <w:tc>
          <w:tcPr>
            <w:tcW w:w="361" w:type="pct"/>
            <w:tcBorders>
              <w:top w:val="single" w:sz="4" w:space="0" w:color="939598"/>
              <w:left w:val="single" w:sz="4" w:space="0" w:color="939598"/>
              <w:bottom w:val="single" w:sz="4" w:space="0" w:color="939598"/>
              <w:right w:val="single" w:sz="4" w:space="0" w:color="939598"/>
            </w:tcBorders>
          </w:tcPr>
          <w:p w14:paraId="677D81DF" w14:textId="77777777" w:rsidR="00004DD4" w:rsidRPr="00FC3B3B" w:rsidRDefault="00004DD4" w:rsidP="00D0554E">
            <w:pPr>
              <w:pStyle w:val="Table"/>
              <w:spacing w:before="100" w:after="100"/>
            </w:pPr>
          </w:p>
        </w:tc>
      </w:tr>
      <w:tr w:rsidR="00004DD4" w:rsidRPr="00FC3B3B" w14:paraId="52D07901" w14:textId="77777777" w:rsidTr="00942C04">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Ex>
        <w:tc>
          <w:tcPr>
            <w:tcW w:w="4005" w:type="pct"/>
            <w:tcBorders>
              <w:top w:val="single" w:sz="4" w:space="0" w:color="939598"/>
              <w:left w:val="single" w:sz="4" w:space="0" w:color="939598"/>
              <w:bottom w:val="single" w:sz="4" w:space="0" w:color="939598"/>
              <w:right w:val="single" w:sz="4" w:space="0" w:color="939598"/>
            </w:tcBorders>
          </w:tcPr>
          <w:p w14:paraId="045F5CE7" w14:textId="08ADA47E" w:rsidR="00967486" w:rsidRDefault="0068453E" w:rsidP="00D0554E">
            <w:pPr>
              <w:pStyle w:val="Table"/>
              <w:spacing w:before="100" w:after="100"/>
            </w:pPr>
            <w:r w:rsidRPr="00821BFC">
              <w:t xml:space="preserve">Does the </w:t>
            </w:r>
            <w:r>
              <w:t>company</w:t>
            </w:r>
            <w:r w:rsidRPr="00821BFC">
              <w:t xml:space="preserve"> have an</w:t>
            </w:r>
            <w:r>
              <w:t xml:space="preserve"> interest in a controlled foreign company that has 201</w:t>
            </w:r>
            <w:r w:rsidR="005567D7">
              <w:t xml:space="preserve">8 </w:t>
            </w:r>
            <w:r w:rsidR="004C2FB9">
              <w:t xml:space="preserve">losses greater than $100,000, </w:t>
            </w:r>
            <w:r>
              <w:t xml:space="preserve">or has it deducted or carried forward a loss greater than $100,000 to later income years? </w:t>
            </w:r>
          </w:p>
          <w:p w14:paraId="597BBA8C" w14:textId="77777777" w:rsidR="00004DD4" w:rsidRPr="000D3B0E" w:rsidRDefault="0068453E" w:rsidP="00D0554E">
            <w:pPr>
              <w:pStyle w:val="Table"/>
              <w:spacing w:before="100" w:after="100"/>
            </w:pPr>
            <w:r>
              <w:t xml:space="preserve">If so, a loss </w:t>
            </w:r>
            <w:r w:rsidR="00967486">
              <w:t>schedule must also be completed.</w:t>
            </w:r>
          </w:p>
        </w:tc>
        <w:tc>
          <w:tcPr>
            <w:tcW w:w="352" w:type="pct"/>
            <w:tcBorders>
              <w:top w:val="single" w:sz="4" w:space="0" w:color="939598"/>
              <w:left w:val="single" w:sz="4" w:space="0" w:color="939598"/>
              <w:bottom w:val="single" w:sz="4" w:space="0" w:color="939598"/>
              <w:right w:val="single" w:sz="4" w:space="0" w:color="939598"/>
            </w:tcBorders>
          </w:tcPr>
          <w:p w14:paraId="7AB06246" w14:textId="77777777" w:rsidR="00004DD4" w:rsidRPr="00FC3B3B" w:rsidRDefault="00004DD4" w:rsidP="00D0554E">
            <w:pPr>
              <w:pStyle w:val="Table"/>
              <w:spacing w:before="100" w:after="100"/>
            </w:pPr>
          </w:p>
        </w:tc>
        <w:tc>
          <w:tcPr>
            <w:tcW w:w="282" w:type="pct"/>
            <w:tcBorders>
              <w:top w:val="single" w:sz="4" w:space="0" w:color="939598"/>
              <w:left w:val="single" w:sz="4" w:space="0" w:color="939598"/>
              <w:bottom w:val="single" w:sz="4" w:space="0" w:color="939598"/>
              <w:right w:val="single" w:sz="4" w:space="0" w:color="939598"/>
            </w:tcBorders>
          </w:tcPr>
          <w:p w14:paraId="5BB71A54" w14:textId="77777777" w:rsidR="00004DD4" w:rsidRPr="00FC3B3B" w:rsidRDefault="00004DD4" w:rsidP="00D0554E">
            <w:pPr>
              <w:pStyle w:val="Table"/>
              <w:spacing w:before="100" w:after="100"/>
            </w:pPr>
          </w:p>
        </w:tc>
        <w:tc>
          <w:tcPr>
            <w:tcW w:w="361" w:type="pct"/>
            <w:tcBorders>
              <w:top w:val="single" w:sz="4" w:space="0" w:color="939598"/>
              <w:left w:val="single" w:sz="4" w:space="0" w:color="939598"/>
              <w:bottom w:val="single" w:sz="4" w:space="0" w:color="939598"/>
              <w:right w:val="single" w:sz="4" w:space="0" w:color="939598"/>
            </w:tcBorders>
          </w:tcPr>
          <w:p w14:paraId="1A79EEF2" w14:textId="77777777" w:rsidR="00004DD4" w:rsidRPr="00FC3B3B" w:rsidRDefault="00004DD4" w:rsidP="00D0554E">
            <w:pPr>
              <w:pStyle w:val="Table"/>
              <w:spacing w:before="100" w:after="100"/>
            </w:pPr>
          </w:p>
        </w:tc>
      </w:tr>
      <w:tr w:rsidR="00990CCA" w:rsidRPr="009D23C0" w14:paraId="127B6172" w14:textId="77777777" w:rsidTr="00942C04">
        <w:tc>
          <w:tcPr>
            <w:tcW w:w="5000" w:type="pct"/>
            <w:gridSpan w:val="4"/>
            <w:tcBorders>
              <w:top w:val="single" w:sz="4" w:space="0" w:color="939598"/>
              <w:bottom w:val="single" w:sz="4" w:space="0" w:color="939598"/>
            </w:tcBorders>
            <w:shd w:val="clear" w:color="auto" w:fill="D9D9D9" w:themeFill="background1" w:themeFillShade="D9"/>
          </w:tcPr>
          <w:p w14:paraId="22BEF2F5" w14:textId="6683AB71" w:rsidR="00990CCA" w:rsidRPr="009D23C0" w:rsidRDefault="00990CCA" w:rsidP="00D0554E">
            <w:pPr>
              <w:pStyle w:val="Tableheading"/>
            </w:pPr>
            <w:r w:rsidRPr="000D3B0E">
              <w:rPr>
                <w:rFonts w:cs="Arial"/>
              </w:rPr>
              <w:t>P</w:t>
            </w:r>
            <w:r w:rsidR="005A4F47">
              <w:rPr>
                <w:rFonts w:cs="Arial"/>
              </w:rPr>
              <w:t>ERSONAL SERVICES INCOME</w:t>
            </w:r>
            <w:r w:rsidRPr="000D3B0E">
              <w:rPr>
                <w:rFonts w:cs="Arial"/>
              </w:rPr>
              <w:t xml:space="preserve"> (I</w:t>
            </w:r>
            <w:r w:rsidR="005A4F47">
              <w:rPr>
                <w:rFonts w:cs="Arial"/>
              </w:rPr>
              <w:t>TEM</w:t>
            </w:r>
            <w:r w:rsidRPr="000D3B0E">
              <w:rPr>
                <w:rFonts w:cs="Arial"/>
              </w:rPr>
              <w:t xml:space="preserve"> 14)</w:t>
            </w:r>
            <w:r>
              <w:rPr>
                <w:rFonts w:cs="Arial"/>
              </w:rPr>
              <w:t xml:space="preserve"> </w:t>
            </w:r>
          </w:p>
        </w:tc>
      </w:tr>
      <w:tr w:rsidR="00C07A52" w:rsidRPr="00FC3B3B" w14:paraId="1737EC32" w14:textId="77777777" w:rsidTr="00942C04">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Ex>
        <w:tc>
          <w:tcPr>
            <w:tcW w:w="4005" w:type="pct"/>
            <w:tcBorders>
              <w:top w:val="single" w:sz="4" w:space="0" w:color="939598"/>
              <w:left w:val="single" w:sz="4" w:space="0" w:color="939598"/>
              <w:bottom w:val="single" w:sz="4" w:space="0" w:color="939598"/>
              <w:right w:val="single" w:sz="4" w:space="0" w:color="939598"/>
            </w:tcBorders>
          </w:tcPr>
          <w:p w14:paraId="22560DFC" w14:textId="77777777" w:rsidR="00967486" w:rsidRDefault="00C07A52" w:rsidP="00D0554E">
            <w:pPr>
              <w:spacing w:before="100" w:after="100"/>
              <w:rPr>
                <w:rFonts w:cs="Arial"/>
                <w:sz w:val="17"/>
                <w:szCs w:val="17"/>
              </w:rPr>
            </w:pPr>
            <w:r w:rsidRPr="00110FC2">
              <w:rPr>
                <w:rFonts w:cs="Arial"/>
                <w:sz w:val="17"/>
                <w:szCs w:val="17"/>
              </w:rPr>
              <w:t>Does the income of the company include income which is an individual’s personal services income (PSI)?</w:t>
            </w:r>
          </w:p>
          <w:p w14:paraId="5A633F88" w14:textId="088C280E" w:rsidR="00C07A52" w:rsidRPr="00110FC2" w:rsidRDefault="00C07A52" w:rsidP="00D0554E">
            <w:pPr>
              <w:spacing w:before="100" w:after="100"/>
              <w:rPr>
                <w:rFonts w:cs="Arial"/>
                <w:sz w:val="17"/>
                <w:szCs w:val="17"/>
              </w:rPr>
            </w:pPr>
            <w:r>
              <w:rPr>
                <w:rFonts w:cs="Arial"/>
                <w:sz w:val="17"/>
                <w:szCs w:val="17"/>
              </w:rPr>
              <w:t>If yes</w:t>
            </w:r>
            <w:r w:rsidR="0068453E">
              <w:rPr>
                <w:rFonts w:cs="Arial"/>
                <w:sz w:val="17"/>
                <w:szCs w:val="17"/>
              </w:rPr>
              <w:t>,</w:t>
            </w:r>
            <w:r>
              <w:rPr>
                <w:rFonts w:cs="Arial"/>
                <w:sz w:val="17"/>
                <w:szCs w:val="17"/>
              </w:rPr>
              <w:t xml:space="preserve"> the company must complete the </w:t>
            </w:r>
            <w:r w:rsidR="00BA3F10">
              <w:rPr>
                <w:rFonts w:cs="Arial"/>
                <w:sz w:val="17"/>
                <w:szCs w:val="17"/>
              </w:rPr>
              <w:t>PSI</w:t>
            </w:r>
            <w:r>
              <w:rPr>
                <w:rFonts w:cs="Arial"/>
                <w:sz w:val="17"/>
                <w:szCs w:val="17"/>
              </w:rPr>
              <w:t xml:space="preserve"> disclosures at item 14.</w:t>
            </w:r>
          </w:p>
          <w:p w14:paraId="2C892D15" w14:textId="03E94FFF" w:rsidR="00C07A52" w:rsidRPr="00211718" w:rsidRDefault="00C07A52" w:rsidP="00D0554E">
            <w:pPr>
              <w:spacing w:before="100" w:after="100"/>
              <w:rPr>
                <w:rFonts w:cs="Arial"/>
                <w:sz w:val="15"/>
                <w:szCs w:val="15"/>
              </w:rPr>
            </w:pPr>
            <w:r w:rsidRPr="00211718">
              <w:rPr>
                <w:rFonts w:cs="Arial"/>
                <w:b/>
                <w:sz w:val="15"/>
                <w:szCs w:val="15"/>
              </w:rPr>
              <w:t>Note:</w:t>
            </w:r>
            <w:r w:rsidRPr="00211718">
              <w:rPr>
                <w:rFonts w:cs="Arial"/>
                <w:sz w:val="15"/>
                <w:szCs w:val="15"/>
              </w:rPr>
              <w:t xml:space="preserve"> PSI is included in the individual’s personal income tax return. PSI is income that is mainly a reward for an individual’s personal efforts or skills. Plea</w:t>
            </w:r>
            <w:r w:rsidR="00E679C4" w:rsidRPr="00211718">
              <w:rPr>
                <w:rFonts w:cs="Arial"/>
                <w:sz w:val="15"/>
                <w:szCs w:val="15"/>
              </w:rPr>
              <w:t xml:space="preserve">se refer to CPA Australia’s </w:t>
            </w:r>
            <w:hyperlink r:id="rId17" w:history="1">
              <w:r w:rsidR="00E679C4" w:rsidRPr="00211718">
                <w:rPr>
                  <w:rStyle w:val="Hyperlink"/>
                  <w:rFonts w:cs="Arial"/>
                  <w:sz w:val="15"/>
                  <w:szCs w:val="15"/>
                </w:rPr>
                <w:t>201</w:t>
              </w:r>
              <w:r w:rsidR="005567D7" w:rsidRPr="00211718">
                <w:rPr>
                  <w:rStyle w:val="Hyperlink"/>
                  <w:rFonts w:cs="Arial"/>
                  <w:sz w:val="15"/>
                  <w:szCs w:val="15"/>
                </w:rPr>
                <w:t>8</w:t>
              </w:r>
              <w:r w:rsidR="00E679C4" w:rsidRPr="00211718">
                <w:rPr>
                  <w:rStyle w:val="Hyperlink"/>
                  <w:rFonts w:cs="Arial"/>
                  <w:sz w:val="15"/>
                  <w:szCs w:val="15"/>
                </w:rPr>
                <w:t xml:space="preserve"> </w:t>
              </w:r>
              <w:r w:rsidRPr="00211718">
                <w:rPr>
                  <w:rStyle w:val="Hyperlink"/>
                  <w:rFonts w:cs="Arial"/>
                  <w:sz w:val="15"/>
                  <w:szCs w:val="15"/>
                </w:rPr>
                <w:t xml:space="preserve">PSI / PSB </w:t>
              </w:r>
              <w:r w:rsidR="009867A9" w:rsidRPr="00211718">
                <w:rPr>
                  <w:rStyle w:val="Hyperlink"/>
                  <w:rFonts w:cs="Arial"/>
                  <w:sz w:val="15"/>
                  <w:szCs w:val="15"/>
                </w:rPr>
                <w:t>Self-A</w:t>
              </w:r>
              <w:r w:rsidRPr="00211718">
                <w:rPr>
                  <w:rStyle w:val="Hyperlink"/>
                  <w:rFonts w:cs="Arial"/>
                  <w:sz w:val="15"/>
                  <w:szCs w:val="15"/>
                </w:rPr>
                <w:t xml:space="preserve">ssessment </w:t>
              </w:r>
              <w:r w:rsidR="009867A9" w:rsidRPr="00211718">
                <w:rPr>
                  <w:rStyle w:val="Hyperlink"/>
                  <w:rFonts w:cs="Arial"/>
                  <w:sz w:val="15"/>
                  <w:szCs w:val="15"/>
                </w:rPr>
                <w:t>C</w:t>
              </w:r>
              <w:r w:rsidRPr="00211718">
                <w:rPr>
                  <w:rStyle w:val="Hyperlink"/>
                  <w:rFonts w:cs="Arial"/>
                  <w:sz w:val="15"/>
                  <w:szCs w:val="15"/>
                </w:rPr>
                <w:t>hecklist</w:t>
              </w:r>
            </w:hyperlink>
            <w:r w:rsidRPr="00211718">
              <w:rPr>
                <w:rFonts w:cs="Arial"/>
                <w:sz w:val="15"/>
                <w:szCs w:val="15"/>
              </w:rPr>
              <w:t xml:space="preserve"> for further information</w:t>
            </w:r>
            <w:r w:rsidR="003E5395" w:rsidRPr="00211718">
              <w:rPr>
                <w:rFonts w:cs="Arial"/>
                <w:sz w:val="15"/>
                <w:szCs w:val="15"/>
              </w:rPr>
              <w:t xml:space="preserve"> as to when PSI derived via a company will be regarded as being derived by an individual</w:t>
            </w:r>
            <w:r w:rsidRPr="00211718">
              <w:rPr>
                <w:rFonts w:cs="Arial"/>
                <w:sz w:val="15"/>
                <w:szCs w:val="15"/>
              </w:rPr>
              <w:t>.</w:t>
            </w:r>
          </w:p>
        </w:tc>
        <w:tc>
          <w:tcPr>
            <w:tcW w:w="352" w:type="pct"/>
            <w:tcBorders>
              <w:top w:val="single" w:sz="4" w:space="0" w:color="939598"/>
              <w:left w:val="single" w:sz="4" w:space="0" w:color="939598"/>
              <w:bottom w:val="single" w:sz="4" w:space="0" w:color="939598"/>
              <w:right w:val="single" w:sz="4" w:space="0" w:color="939598"/>
            </w:tcBorders>
          </w:tcPr>
          <w:p w14:paraId="25934EF4" w14:textId="77777777" w:rsidR="00C07A52" w:rsidRPr="00FC3B3B" w:rsidRDefault="00C07A52" w:rsidP="00D0554E">
            <w:pPr>
              <w:spacing w:before="100" w:after="100"/>
              <w:rPr>
                <w:rFonts w:cs="Arial"/>
                <w:sz w:val="18"/>
                <w:szCs w:val="18"/>
              </w:rPr>
            </w:pPr>
          </w:p>
        </w:tc>
        <w:tc>
          <w:tcPr>
            <w:tcW w:w="282" w:type="pct"/>
            <w:tcBorders>
              <w:top w:val="single" w:sz="4" w:space="0" w:color="939598"/>
              <w:left w:val="single" w:sz="4" w:space="0" w:color="939598"/>
              <w:bottom w:val="single" w:sz="4" w:space="0" w:color="939598"/>
              <w:right w:val="single" w:sz="4" w:space="0" w:color="939598"/>
            </w:tcBorders>
          </w:tcPr>
          <w:p w14:paraId="1F48B5B1" w14:textId="77777777" w:rsidR="00C07A52" w:rsidRPr="00FC3B3B" w:rsidRDefault="00C07A52" w:rsidP="00D0554E">
            <w:pPr>
              <w:spacing w:before="100" w:after="100"/>
              <w:rPr>
                <w:rFonts w:cs="Arial"/>
                <w:sz w:val="18"/>
                <w:szCs w:val="18"/>
              </w:rPr>
            </w:pPr>
          </w:p>
        </w:tc>
        <w:tc>
          <w:tcPr>
            <w:tcW w:w="361" w:type="pct"/>
            <w:tcBorders>
              <w:top w:val="single" w:sz="4" w:space="0" w:color="939598"/>
              <w:left w:val="single" w:sz="4" w:space="0" w:color="939598"/>
              <w:bottom w:val="single" w:sz="4" w:space="0" w:color="939598"/>
              <w:right w:val="single" w:sz="4" w:space="0" w:color="939598"/>
            </w:tcBorders>
          </w:tcPr>
          <w:p w14:paraId="436F12FA" w14:textId="77777777" w:rsidR="00C07A52" w:rsidRPr="00FC3B3B" w:rsidRDefault="00C07A52" w:rsidP="00D0554E">
            <w:pPr>
              <w:spacing w:before="100" w:after="100"/>
              <w:rPr>
                <w:rFonts w:cs="Arial"/>
                <w:sz w:val="18"/>
                <w:szCs w:val="18"/>
              </w:rPr>
            </w:pPr>
          </w:p>
        </w:tc>
      </w:tr>
      <w:tr w:rsidR="00C07A52" w:rsidRPr="00FC3B3B" w14:paraId="0A91CAFC" w14:textId="77777777" w:rsidTr="00942C04">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Ex>
        <w:tc>
          <w:tcPr>
            <w:tcW w:w="5000" w:type="pct"/>
            <w:gridSpan w:val="4"/>
            <w:tcBorders>
              <w:top w:val="single" w:sz="4" w:space="0" w:color="939598"/>
              <w:left w:val="single" w:sz="4" w:space="0" w:color="939598"/>
              <w:bottom w:val="single" w:sz="4" w:space="0" w:color="939598"/>
              <w:right w:val="single" w:sz="4" w:space="0" w:color="939598"/>
            </w:tcBorders>
            <w:shd w:val="clear" w:color="auto" w:fill="D9D9D9" w:themeFill="background1" w:themeFillShade="D9"/>
          </w:tcPr>
          <w:p w14:paraId="576CF8CE" w14:textId="70D337C9" w:rsidR="00C07A52" w:rsidRPr="000D0C99" w:rsidRDefault="00C07A52" w:rsidP="00D0554E">
            <w:pPr>
              <w:spacing w:before="100" w:after="100"/>
              <w:rPr>
                <w:rFonts w:cs="Arial"/>
                <w:b/>
                <w:sz w:val="17"/>
                <w:szCs w:val="17"/>
              </w:rPr>
            </w:pPr>
            <w:r w:rsidRPr="000D0C99">
              <w:rPr>
                <w:rFonts w:cs="Arial"/>
                <w:b/>
                <w:sz w:val="17"/>
                <w:szCs w:val="17"/>
              </w:rPr>
              <w:t>F</w:t>
            </w:r>
            <w:r w:rsidR="005A4F47">
              <w:rPr>
                <w:rFonts w:cs="Arial"/>
                <w:b/>
                <w:sz w:val="17"/>
                <w:szCs w:val="17"/>
              </w:rPr>
              <w:t>OREIGN INCOME TAX OFFSET</w:t>
            </w:r>
            <w:r w:rsidRPr="000D0C99">
              <w:rPr>
                <w:rFonts w:cs="Arial"/>
                <w:b/>
                <w:sz w:val="17"/>
                <w:szCs w:val="17"/>
              </w:rPr>
              <w:t xml:space="preserve"> (</w:t>
            </w:r>
            <w:r w:rsidR="005A4F47">
              <w:rPr>
                <w:rFonts w:cs="Arial"/>
                <w:b/>
                <w:sz w:val="17"/>
                <w:szCs w:val="17"/>
              </w:rPr>
              <w:t>ITEM</w:t>
            </w:r>
            <w:r w:rsidRPr="000D0C99">
              <w:rPr>
                <w:rFonts w:cs="Arial"/>
                <w:b/>
                <w:sz w:val="17"/>
                <w:szCs w:val="17"/>
              </w:rPr>
              <w:t xml:space="preserve"> 2</w:t>
            </w:r>
            <w:r>
              <w:rPr>
                <w:rFonts w:cs="Arial"/>
                <w:b/>
                <w:sz w:val="17"/>
                <w:szCs w:val="17"/>
              </w:rPr>
              <w:t>0</w:t>
            </w:r>
            <w:r w:rsidRPr="000D0C99">
              <w:rPr>
                <w:rFonts w:cs="Arial"/>
                <w:b/>
                <w:sz w:val="17"/>
                <w:szCs w:val="17"/>
              </w:rPr>
              <w:t>)</w:t>
            </w:r>
          </w:p>
        </w:tc>
      </w:tr>
      <w:tr w:rsidR="00C07A52" w:rsidRPr="00FC3B3B" w14:paraId="7FD35446" w14:textId="77777777" w:rsidTr="00942C04">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Ex>
        <w:tc>
          <w:tcPr>
            <w:tcW w:w="4005" w:type="pct"/>
            <w:tcBorders>
              <w:top w:val="single" w:sz="4" w:space="0" w:color="939598"/>
              <w:left w:val="single" w:sz="4" w:space="0" w:color="939598"/>
              <w:bottom w:val="single" w:sz="4" w:space="0" w:color="939598"/>
              <w:right w:val="single" w:sz="4" w:space="0" w:color="939598"/>
            </w:tcBorders>
          </w:tcPr>
          <w:p w14:paraId="1624D85A" w14:textId="77777777" w:rsidR="00C07A52" w:rsidRPr="00110FC2" w:rsidRDefault="00C07A52" w:rsidP="00D0554E">
            <w:pPr>
              <w:spacing w:before="100" w:after="100"/>
              <w:rPr>
                <w:rFonts w:cs="Arial"/>
                <w:sz w:val="17"/>
                <w:szCs w:val="17"/>
              </w:rPr>
            </w:pPr>
            <w:r>
              <w:rPr>
                <w:rFonts w:cs="Arial"/>
                <w:sz w:val="17"/>
                <w:szCs w:val="17"/>
              </w:rPr>
              <w:t>Have you worked out the amount of foreign income tax offset if applicable?</w:t>
            </w:r>
          </w:p>
        </w:tc>
        <w:tc>
          <w:tcPr>
            <w:tcW w:w="352" w:type="pct"/>
            <w:tcBorders>
              <w:top w:val="single" w:sz="4" w:space="0" w:color="939598"/>
              <w:left w:val="single" w:sz="4" w:space="0" w:color="939598"/>
              <w:bottom w:val="single" w:sz="4" w:space="0" w:color="939598"/>
              <w:right w:val="single" w:sz="4" w:space="0" w:color="939598"/>
            </w:tcBorders>
          </w:tcPr>
          <w:p w14:paraId="1E8CAE05" w14:textId="77777777" w:rsidR="00C07A52" w:rsidRPr="00FC3B3B" w:rsidRDefault="00C07A52" w:rsidP="00D0554E">
            <w:pPr>
              <w:spacing w:before="100" w:after="100"/>
              <w:rPr>
                <w:rFonts w:cs="Arial"/>
                <w:sz w:val="18"/>
                <w:szCs w:val="18"/>
              </w:rPr>
            </w:pPr>
          </w:p>
        </w:tc>
        <w:tc>
          <w:tcPr>
            <w:tcW w:w="282" w:type="pct"/>
            <w:tcBorders>
              <w:top w:val="single" w:sz="4" w:space="0" w:color="939598"/>
              <w:left w:val="single" w:sz="4" w:space="0" w:color="939598"/>
              <w:bottom w:val="single" w:sz="4" w:space="0" w:color="939598"/>
              <w:right w:val="single" w:sz="4" w:space="0" w:color="939598"/>
            </w:tcBorders>
          </w:tcPr>
          <w:p w14:paraId="15FCA792" w14:textId="77777777" w:rsidR="00C07A52" w:rsidRPr="00FC3B3B" w:rsidRDefault="00C07A52" w:rsidP="00D0554E">
            <w:pPr>
              <w:spacing w:before="100" w:after="100"/>
              <w:rPr>
                <w:rFonts w:cs="Arial"/>
                <w:sz w:val="18"/>
                <w:szCs w:val="18"/>
              </w:rPr>
            </w:pPr>
          </w:p>
        </w:tc>
        <w:tc>
          <w:tcPr>
            <w:tcW w:w="361" w:type="pct"/>
            <w:tcBorders>
              <w:top w:val="single" w:sz="4" w:space="0" w:color="939598"/>
              <w:left w:val="single" w:sz="4" w:space="0" w:color="939598"/>
              <w:bottom w:val="single" w:sz="4" w:space="0" w:color="939598"/>
              <w:right w:val="single" w:sz="4" w:space="0" w:color="939598"/>
            </w:tcBorders>
          </w:tcPr>
          <w:p w14:paraId="18B556E5" w14:textId="77777777" w:rsidR="00C07A52" w:rsidRPr="00FC3B3B" w:rsidRDefault="00C07A52" w:rsidP="00D0554E">
            <w:pPr>
              <w:spacing w:before="100" w:after="100"/>
              <w:rPr>
                <w:rFonts w:cs="Arial"/>
                <w:sz w:val="18"/>
                <w:szCs w:val="18"/>
              </w:rPr>
            </w:pPr>
          </w:p>
        </w:tc>
      </w:tr>
      <w:tr w:rsidR="00C07A52" w:rsidRPr="00FC3B3B" w14:paraId="7A245883" w14:textId="77777777" w:rsidTr="00942C04">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Ex>
        <w:tc>
          <w:tcPr>
            <w:tcW w:w="5000" w:type="pct"/>
            <w:gridSpan w:val="4"/>
            <w:tcBorders>
              <w:top w:val="single" w:sz="4" w:space="0" w:color="939598"/>
              <w:left w:val="single" w:sz="4" w:space="0" w:color="939598"/>
              <w:bottom w:val="single" w:sz="4" w:space="0" w:color="939598"/>
              <w:right w:val="single" w:sz="4" w:space="0" w:color="939598"/>
            </w:tcBorders>
            <w:shd w:val="clear" w:color="auto" w:fill="D9D9D9" w:themeFill="background1" w:themeFillShade="D9"/>
          </w:tcPr>
          <w:p w14:paraId="6954ED66" w14:textId="6A1800B8" w:rsidR="00C07A52" w:rsidRPr="000D0C99" w:rsidRDefault="00C07A52" w:rsidP="00D0554E">
            <w:pPr>
              <w:spacing w:before="100" w:after="100"/>
              <w:rPr>
                <w:rFonts w:cs="Arial"/>
                <w:b/>
                <w:sz w:val="17"/>
                <w:szCs w:val="17"/>
              </w:rPr>
            </w:pPr>
            <w:r>
              <w:rPr>
                <w:rFonts w:cs="Arial"/>
                <w:b/>
                <w:sz w:val="17"/>
                <w:szCs w:val="17"/>
              </w:rPr>
              <w:t>R</w:t>
            </w:r>
            <w:r w:rsidR="005A4F47">
              <w:rPr>
                <w:rFonts w:cs="Arial"/>
                <w:b/>
                <w:sz w:val="17"/>
                <w:szCs w:val="17"/>
              </w:rPr>
              <w:t>ESEARCH AND DEVELOPMENT TAX INCENTIVE</w:t>
            </w:r>
            <w:r w:rsidRPr="000D0C99">
              <w:rPr>
                <w:rFonts w:cs="Arial"/>
                <w:b/>
                <w:sz w:val="17"/>
                <w:szCs w:val="17"/>
              </w:rPr>
              <w:t xml:space="preserve"> (I</w:t>
            </w:r>
            <w:r w:rsidR="005A4F47">
              <w:rPr>
                <w:rFonts w:cs="Arial"/>
                <w:b/>
                <w:sz w:val="17"/>
                <w:szCs w:val="17"/>
              </w:rPr>
              <w:t>TEM</w:t>
            </w:r>
            <w:r w:rsidRPr="000D0C99">
              <w:rPr>
                <w:rFonts w:cs="Arial"/>
                <w:b/>
                <w:sz w:val="17"/>
                <w:szCs w:val="17"/>
              </w:rPr>
              <w:t xml:space="preserve"> 2</w:t>
            </w:r>
            <w:r>
              <w:rPr>
                <w:rFonts w:cs="Arial"/>
                <w:b/>
                <w:sz w:val="17"/>
                <w:szCs w:val="17"/>
              </w:rPr>
              <w:t>1</w:t>
            </w:r>
            <w:r w:rsidRPr="000D0C99">
              <w:rPr>
                <w:rFonts w:cs="Arial"/>
                <w:b/>
                <w:sz w:val="17"/>
                <w:szCs w:val="17"/>
              </w:rPr>
              <w:t>)</w:t>
            </w:r>
          </w:p>
        </w:tc>
      </w:tr>
      <w:tr w:rsidR="00C07A52" w:rsidRPr="00FC3B3B" w14:paraId="4CF6AC9C" w14:textId="77777777" w:rsidTr="00942C04">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Ex>
        <w:tc>
          <w:tcPr>
            <w:tcW w:w="4005" w:type="pct"/>
            <w:tcBorders>
              <w:top w:val="single" w:sz="4" w:space="0" w:color="939598"/>
              <w:left w:val="single" w:sz="4" w:space="0" w:color="939598"/>
              <w:bottom w:val="single" w:sz="4" w:space="0" w:color="939598"/>
              <w:right w:val="single" w:sz="4" w:space="0" w:color="939598"/>
            </w:tcBorders>
          </w:tcPr>
          <w:p w14:paraId="5F64A076" w14:textId="28AE91E0" w:rsidR="00C07A52" w:rsidRDefault="00C07A52" w:rsidP="00D0554E">
            <w:pPr>
              <w:pStyle w:val="Tableheading"/>
              <w:rPr>
                <w:rFonts w:cs="Arial"/>
                <w:b w:val="0"/>
              </w:rPr>
            </w:pPr>
            <w:r>
              <w:rPr>
                <w:rFonts w:cs="Arial"/>
                <w:b w:val="0"/>
              </w:rPr>
              <w:t>H</w:t>
            </w:r>
            <w:r w:rsidRPr="00B82FCF">
              <w:rPr>
                <w:rFonts w:cs="Arial"/>
                <w:b w:val="0"/>
              </w:rPr>
              <w:t xml:space="preserve">ave you considered </w:t>
            </w:r>
            <w:r>
              <w:rPr>
                <w:rFonts w:cs="Arial"/>
                <w:b w:val="0"/>
              </w:rPr>
              <w:t>whether the company is an R&amp;D entity which is eligible for a 4</w:t>
            </w:r>
            <w:r w:rsidR="003E5395">
              <w:rPr>
                <w:rFonts w:cs="Arial"/>
                <w:b w:val="0"/>
              </w:rPr>
              <w:t>3.</w:t>
            </w:r>
            <w:r>
              <w:rPr>
                <w:rFonts w:cs="Arial"/>
                <w:b w:val="0"/>
              </w:rPr>
              <w:t xml:space="preserve">5% refundable R&amp;D tax offset (i.e. applicable to </w:t>
            </w:r>
            <w:r w:rsidR="00C94BB3">
              <w:rPr>
                <w:rFonts w:cs="Arial"/>
                <w:b w:val="0"/>
              </w:rPr>
              <w:t xml:space="preserve">certain </w:t>
            </w:r>
            <w:r>
              <w:rPr>
                <w:rFonts w:cs="Arial"/>
                <w:b w:val="0"/>
              </w:rPr>
              <w:t>entities with an aggregated turnover o</w:t>
            </w:r>
            <w:r w:rsidR="00091DF4">
              <w:rPr>
                <w:rFonts w:cs="Arial"/>
                <w:b w:val="0"/>
              </w:rPr>
              <w:t>f</w:t>
            </w:r>
            <w:r>
              <w:rPr>
                <w:rFonts w:cs="Arial"/>
                <w:b w:val="0"/>
              </w:rPr>
              <w:t xml:space="preserve"> less than $20</w:t>
            </w:r>
            <w:r w:rsidR="0092507E">
              <w:rPr>
                <w:rFonts w:cs="Arial"/>
                <w:b w:val="0"/>
              </w:rPr>
              <w:t xml:space="preserve"> </w:t>
            </w:r>
            <w:r>
              <w:rPr>
                <w:rFonts w:cs="Arial"/>
                <w:b w:val="0"/>
              </w:rPr>
              <w:t xml:space="preserve">million) or a </w:t>
            </w:r>
            <w:r w:rsidR="003E5395">
              <w:rPr>
                <w:rFonts w:cs="Arial"/>
                <w:b w:val="0"/>
              </w:rPr>
              <w:t>38.5</w:t>
            </w:r>
            <w:r>
              <w:rPr>
                <w:rFonts w:cs="Arial"/>
                <w:b w:val="0"/>
              </w:rPr>
              <w:t>% non-refundable R&amp;D tax offset</w:t>
            </w:r>
            <w:r w:rsidR="00C94BB3">
              <w:rPr>
                <w:rFonts w:cs="Arial"/>
                <w:b w:val="0"/>
              </w:rPr>
              <w:t xml:space="preserve"> (i.e. applicable to certain entities with an aggregated turnover of $20 million or more)</w:t>
            </w:r>
            <w:r>
              <w:rPr>
                <w:rFonts w:cs="Arial"/>
                <w:b w:val="0"/>
              </w:rPr>
              <w:t>?</w:t>
            </w:r>
          </w:p>
          <w:p w14:paraId="62CF34C1" w14:textId="77777777" w:rsidR="0068453E" w:rsidRPr="00211718" w:rsidRDefault="0068453E" w:rsidP="00D0554E">
            <w:pPr>
              <w:tabs>
                <w:tab w:val="left" w:pos="0"/>
              </w:tabs>
              <w:spacing w:before="100" w:after="100"/>
              <w:rPr>
                <w:sz w:val="15"/>
                <w:szCs w:val="15"/>
              </w:rPr>
            </w:pPr>
            <w:r w:rsidRPr="00211718">
              <w:rPr>
                <w:b/>
                <w:sz w:val="15"/>
                <w:szCs w:val="15"/>
              </w:rPr>
              <w:t xml:space="preserve">Note: </w:t>
            </w:r>
            <w:r w:rsidRPr="00211718">
              <w:rPr>
                <w:rFonts w:cs="Arial"/>
                <w:sz w:val="15"/>
                <w:szCs w:val="15"/>
                <w:shd w:val="clear" w:color="auto" w:fill="FFFFFF"/>
              </w:rPr>
              <w:t>where an entity’s notional R&amp;D deductions exceed $100 million for an income year, the rate of the R&amp;D tax offset is reduced to the company tax rate for that portion exceeding $100 million</w:t>
            </w:r>
            <w:r w:rsidRPr="00211718">
              <w:rPr>
                <w:sz w:val="15"/>
                <w:szCs w:val="15"/>
              </w:rPr>
              <w:t>.</w:t>
            </w:r>
          </w:p>
          <w:p w14:paraId="326CA6E9" w14:textId="2CDC9318" w:rsidR="0058162B" w:rsidRPr="000D0C99" w:rsidRDefault="0058162B" w:rsidP="00D0554E">
            <w:pPr>
              <w:tabs>
                <w:tab w:val="left" w:pos="0"/>
              </w:tabs>
              <w:spacing w:before="100" w:after="100"/>
              <w:rPr>
                <w:rFonts w:cs="Arial"/>
              </w:rPr>
            </w:pPr>
            <w:r w:rsidRPr="00211718">
              <w:rPr>
                <w:b/>
                <w:sz w:val="15"/>
                <w:szCs w:val="15"/>
              </w:rPr>
              <w:t xml:space="preserve">Note: </w:t>
            </w:r>
            <w:r w:rsidRPr="00211718">
              <w:rPr>
                <w:sz w:val="15"/>
                <w:szCs w:val="15"/>
              </w:rPr>
              <w:t>the Federal Government proposed in the 2018-19 Federal Budget on 8 May 2018 that the rate of the refundable tax offset would be fixed at 13.5% above the relevant company tax rate, and that the amount of the refundable tax offset that could be cashed out would be limited to $4 million with the balance of any offset entitlement being treated as a non-refundable offset effective from 1 July 2018. For companies only eligible for the non-refundable offset the Federal Government has proposed that the rate of the non-refundable offset be determined by the incremental intensity of the research and development undertaken which is also to take effect from 1 July 2018</w:t>
            </w:r>
            <w:r w:rsidR="005A4F47">
              <w:rPr>
                <w:sz w:val="15"/>
                <w:szCs w:val="15"/>
              </w:rPr>
              <w:t>.</w:t>
            </w:r>
          </w:p>
        </w:tc>
        <w:tc>
          <w:tcPr>
            <w:tcW w:w="352" w:type="pct"/>
            <w:tcBorders>
              <w:top w:val="single" w:sz="4" w:space="0" w:color="939598"/>
              <w:left w:val="single" w:sz="4" w:space="0" w:color="939598"/>
              <w:bottom w:val="single" w:sz="4" w:space="0" w:color="939598"/>
              <w:right w:val="single" w:sz="4" w:space="0" w:color="939598"/>
            </w:tcBorders>
          </w:tcPr>
          <w:p w14:paraId="0D4BFC88" w14:textId="77777777" w:rsidR="00C07A52" w:rsidRPr="00FC3B3B" w:rsidRDefault="00C07A52" w:rsidP="00D0554E">
            <w:pPr>
              <w:spacing w:before="100" w:after="100"/>
              <w:rPr>
                <w:rFonts w:cs="Arial"/>
                <w:sz w:val="18"/>
                <w:szCs w:val="18"/>
              </w:rPr>
            </w:pPr>
          </w:p>
        </w:tc>
        <w:tc>
          <w:tcPr>
            <w:tcW w:w="282" w:type="pct"/>
            <w:tcBorders>
              <w:top w:val="single" w:sz="4" w:space="0" w:color="939598"/>
              <w:left w:val="single" w:sz="4" w:space="0" w:color="939598"/>
              <w:bottom w:val="single" w:sz="4" w:space="0" w:color="939598"/>
              <w:right w:val="single" w:sz="4" w:space="0" w:color="939598"/>
            </w:tcBorders>
          </w:tcPr>
          <w:p w14:paraId="3723B69D" w14:textId="77777777" w:rsidR="00C07A52" w:rsidRPr="00FC3B3B" w:rsidRDefault="00C07A52" w:rsidP="00D0554E">
            <w:pPr>
              <w:spacing w:before="100" w:after="100"/>
              <w:rPr>
                <w:rFonts w:cs="Arial"/>
                <w:sz w:val="18"/>
                <w:szCs w:val="18"/>
              </w:rPr>
            </w:pPr>
          </w:p>
        </w:tc>
        <w:tc>
          <w:tcPr>
            <w:tcW w:w="361" w:type="pct"/>
            <w:tcBorders>
              <w:top w:val="single" w:sz="4" w:space="0" w:color="939598"/>
              <w:left w:val="single" w:sz="4" w:space="0" w:color="939598"/>
              <w:bottom w:val="single" w:sz="4" w:space="0" w:color="939598"/>
              <w:right w:val="single" w:sz="4" w:space="0" w:color="939598"/>
            </w:tcBorders>
          </w:tcPr>
          <w:p w14:paraId="70216A44" w14:textId="77777777" w:rsidR="00C07A52" w:rsidRPr="00FC3B3B" w:rsidRDefault="00C07A52" w:rsidP="00D0554E">
            <w:pPr>
              <w:spacing w:before="100" w:after="100"/>
              <w:rPr>
                <w:rFonts w:cs="Arial"/>
                <w:sz w:val="18"/>
                <w:szCs w:val="18"/>
              </w:rPr>
            </w:pPr>
          </w:p>
        </w:tc>
      </w:tr>
    </w:tbl>
    <w:p w14:paraId="2E48CAE5" w14:textId="77777777" w:rsidR="00A773FB" w:rsidRDefault="00A773FB" w:rsidP="00D0554E">
      <w:pPr>
        <w:spacing w:before="100" w:after="100"/>
      </w:pPr>
      <w:r>
        <w:rPr>
          <w:b/>
        </w:rPr>
        <w:br w:type="page"/>
      </w:r>
    </w:p>
    <w:tbl>
      <w:tblPr>
        <w:tblW w:w="5002" w:type="pct"/>
        <w:tblBorders>
          <w:top w:val="single" w:sz="4" w:space="0" w:color="939598"/>
          <w:left w:val="single" w:sz="4" w:space="0" w:color="939598"/>
          <w:bottom w:val="single" w:sz="4" w:space="0" w:color="939598"/>
          <w:right w:val="single" w:sz="4" w:space="0" w:color="939598"/>
        </w:tblBorders>
        <w:tblLayout w:type="fixed"/>
        <w:tblLook w:val="00A0" w:firstRow="1" w:lastRow="0" w:firstColumn="1" w:lastColumn="0" w:noHBand="0" w:noVBand="0"/>
      </w:tblPr>
      <w:tblGrid>
        <w:gridCol w:w="8075"/>
        <w:gridCol w:w="710"/>
        <w:gridCol w:w="566"/>
        <w:gridCol w:w="728"/>
      </w:tblGrid>
      <w:tr w:rsidR="005A4F47" w:rsidRPr="005A1539" w14:paraId="5CFB69D5" w14:textId="77777777" w:rsidTr="005A4F47">
        <w:tc>
          <w:tcPr>
            <w:tcW w:w="4006" w:type="pct"/>
            <w:tcBorders>
              <w:top w:val="single" w:sz="4" w:space="0" w:color="939598"/>
              <w:bottom w:val="single" w:sz="4" w:space="0" w:color="939598"/>
              <w:right w:val="single" w:sz="4" w:space="0" w:color="939598"/>
            </w:tcBorders>
            <w:shd w:val="clear" w:color="auto" w:fill="051C3C"/>
          </w:tcPr>
          <w:p w14:paraId="45D9A2C4" w14:textId="77777777" w:rsidR="005A4F47" w:rsidRPr="005A1539" w:rsidRDefault="005A4F47" w:rsidP="008C013F">
            <w:pPr>
              <w:pStyle w:val="Tableheading"/>
              <w:keepNext/>
              <w:rPr>
                <w:sz w:val="18"/>
              </w:rPr>
            </w:pPr>
            <w:r>
              <w:rPr>
                <w:b w:val="0"/>
              </w:rPr>
              <w:lastRenderedPageBreak/>
              <w:br w:type="page"/>
            </w:r>
            <w:r w:rsidRPr="00621783">
              <w:rPr>
                <w:sz w:val="18"/>
              </w:rPr>
              <w:t>T</w:t>
            </w:r>
            <w:r>
              <w:rPr>
                <w:sz w:val="18"/>
              </w:rPr>
              <w:t>AX RETURN FORM COMPLETION</w:t>
            </w:r>
            <w:r w:rsidRPr="00621783">
              <w:rPr>
                <w:sz w:val="18"/>
              </w:rPr>
              <w:t xml:space="preserve"> </w:t>
            </w:r>
          </w:p>
        </w:tc>
        <w:tc>
          <w:tcPr>
            <w:tcW w:w="352" w:type="pct"/>
            <w:tcBorders>
              <w:top w:val="single" w:sz="4" w:space="0" w:color="939598"/>
              <w:left w:val="single" w:sz="4" w:space="0" w:color="939598"/>
              <w:bottom w:val="single" w:sz="4" w:space="0" w:color="939598"/>
              <w:right w:val="single" w:sz="4" w:space="0" w:color="939598"/>
            </w:tcBorders>
            <w:shd w:val="clear" w:color="auto" w:fill="051C3C"/>
          </w:tcPr>
          <w:p w14:paraId="49462297" w14:textId="77777777" w:rsidR="005A4F47" w:rsidRPr="005A1539" w:rsidRDefault="005A4F47" w:rsidP="008C013F">
            <w:pPr>
              <w:pStyle w:val="Tableheading"/>
              <w:keepNext/>
              <w:rPr>
                <w:sz w:val="18"/>
              </w:rPr>
            </w:pPr>
            <w:r>
              <w:rPr>
                <w:sz w:val="18"/>
              </w:rPr>
              <w:t>YES</w:t>
            </w:r>
          </w:p>
        </w:tc>
        <w:tc>
          <w:tcPr>
            <w:tcW w:w="281" w:type="pct"/>
            <w:tcBorders>
              <w:top w:val="single" w:sz="4" w:space="0" w:color="939598"/>
              <w:left w:val="single" w:sz="4" w:space="0" w:color="939598"/>
              <w:bottom w:val="single" w:sz="4" w:space="0" w:color="939598"/>
              <w:right w:val="single" w:sz="4" w:space="0" w:color="939598"/>
            </w:tcBorders>
            <w:shd w:val="clear" w:color="auto" w:fill="051C3C"/>
          </w:tcPr>
          <w:p w14:paraId="22A9D3DF" w14:textId="77777777" w:rsidR="005A4F47" w:rsidRPr="005A1539" w:rsidRDefault="005A4F47" w:rsidP="008C013F">
            <w:pPr>
              <w:pStyle w:val="Tableheading"/>
              <w:keepNext/>
              <w:rPr>
                <w:sz w:val="18"/>
              </w:rPr>
            </w:pPr>
            <w:r>
              <w:rPr>
                <w:sz w:val="18"/>
              </w:rPr>
              <w:t>NO</w:t>
            </w:r>
          </w:p>
        </w:tc>
        <w:tc>
          <w:tcPr>
            <w:tcW w:w="361" w:type="pct"/>
            <w:tcBorders>
              <w:top w:val="single" w:sz="4" w:space="0" w:color="939598"/>
              <w:left w:val="single" w:sz="4" w:space="0" w:color="939598"/>
              <w:bottom w:val="single" w:sz="4" w:space="0" w:color="939598"/>
            </w:tcBorders>
            <w:shd w:val="clear" w:color="auto" w:fill="051C3C"/>
          </w:tcPr>
          <w:p w14:paraId="6831E3C2" w14:textId="77777777" w:rsidR="005A4F47" w:rsidRPr="005A1539" w:rsidRDefault="005A4F47" w:rsidP="008C013F">
            <w:pPr>
              <w:pStyle w:val="Tableheading"/>
              <w:keepNext/>
              <w:rPr>
                <w:sz w:val="18"/>
              </w:rPr>
            </w:pPr>
            <w:r w:rsidRPr="005A1539">
              <w:rPr>
                <w:sz w:val="18"/>
              </w:rPr>
              <w:t>N/A</w:t>
            </w:r>
          </w:p>
        </w:tc>
      </w:tr>
      <w:tr w:rsidR="005A4F47" w:rsidRPr="009D23C0" w14:paraId="10468A85" w14:textId="77777777" w:rsidTr="005A4F47">
        <w:tc>
          <w:tcPr>
            <w:tcW w:w="5000" w:type="pct"/>
            <w:gridSpan w:val="4"/>
            <w:tcBorders>
              <w:top w:val="single" w:sz="4" w:space="0" w:color="939598"/>
              <w:bottom w:val="single" w:sz="4" w:space="0" w:color="939598"/>
              <w:right w:val="single" w:sz="4" w:space="0" w:color="939598"/>
            </w:tcBorders>
            <w:shd w:val="clear" w:color="auto" w:fill="BFBFBF" w:themeFill="background1" w:themeFillShade="BF"/>
          </w:tcPr>
          <w:p w14:paraId="71922FF4" w14:textId="370F2E12" w:rsidR="005A4F47" w:rsidRPr="005A4F47" w:rsidRDefault="005A4F47" w:rsidP="005A4F47">
            <w:pPr>
              <w:pStyle w:val="Tableheading"/>
              <w:keepNext/>
              <w:rPr>
                <w:sz w:val="18"/>
              </w:rPr>
            </w:pPr>
            <w:r w:rsidRPr="005A4F47">
              <w:rPr>
                <w:rFonts w:cs="Arial"/>
              </w:rPr>
              <w:t>RESEARCH AND DEVELOPMENT TAX INCENTIVE (ITEM 21) (continued)</w:t>
            </w:r>
          </w:p>
        </w:tc>
      </w:tr>
      <w:tr w:rsidR="005A4F47" w:rsidRPr="009D23C0" w14:paraId="09A6ABF0" w14:textId="77777777" w:rsidTr="005A4F47">
        <w:tc>
          <w:tcPr>
            <w:tcW w:w="4006" w:type="pct"/>
            <w:tcBorders>
              <w:top w:val="single" w:sz="4" w:space="0" w:color="939598"/>
              <w:bottom w:val="single" w:sz="4" w:space="0" w:color="939598"/>
              <w:right w:val="single" w:sz="4" w:space="0" w:color="939598"/>
            </w:tcBorders>
            <w:shd w:val="clear" w:color="auto" w:fill="auto"/>
          </w:tcPr>
          <w:p w14:paraId="5D18B21F" w14:textId="77777777" w:rsidR="005A4F47" w:rsidRPr="005A4F47" w:rsidRDefault="005A4F47" w:rsidP="005A4F47">
            <w:pPr>
              <w:pStyle w:val="Tableheading"/>
              <w:keepNext/>
              <w:rPr>
                <w:b w:val="0"/>
              </w:rPr>
            </w:pPr>
            <w:r w:rsidRPr="005A4F47">
              <w:rPr>
                <w:b w:val="0"/>
              </w:rPr>
              <w:t>Has a Research and Development Tax Incentive Schedule 2018 been prepared and lodged with the company tax return? This is required when Item 21 labels A or U are completed.</w:t>
            </w:r>
          </w:p>
          <w:p w14:paraId="6C32C343" w14:textId="166C41CB" w:rsidR="005A4F47" w:rsidRPr="00F46E29" w:rsidRDefault="005A4F47" w:rsidP="005A4F47">
            <w:pPr>
              <w:pStyle w:val="Tableheading"/>
              <w:keepNext/>
              <w:rPr>
                <w:b w:val="0"/>
                <w:sz w:val="15"/>
                <w:szCs w:val="15"/>
              </w:rPr>
            </w:pPr>
            <w:r w:rsidRPr="00F46E29">
              <w:rPr>
                <w:sz w:val="15"/>
                <w:szCs w:val="15"/>
              </w:rPr>
              <w:t>Note:</w:t>
            </w:r>
            <w:r w:rsidRPr="00F46E29">
              <w:rPr>
                <w:b w:val="0"/>
                <w:sz w:val="15"/>
                <w:szCs w:val="15"/>
              </w:rPr>
              <w:t xml:space="preserve"> if an R&amp;D claim is made in relation to notional deductions ensure these amounts are added back at label 7D in the reconciliation to taxable income or loss. To be eligible for the incentive, the company must be an R&amp;D entity engaging in eligible R&amp;D activities and have a notional R&amp;D deduction of at least $20,000. Prior to claiming the offset, check that the company has appropriately registered its R&amp;D a</w:t>
            </w:r>
            <w:r w:rsidR="00F46E29">
              <w:rPr>
                <w:b w:val="0"/>
                <w:sz w:val="15"/>
                <w:szCs w:val="15"/>
              </w:rPr>
              <w:t>ctivities with AusIndustry.</w:t>
            </w:r>
          </w:p>
        </w:tc>
        <w:tc>
          <w:tcPr>
            <w:tcW w:w="352" w:type="pct"/>
            <w:tcBorders>
              <w:top w:val="single" w:sz="4" w:space="0" w:color="939598"/>
              <w:left w:val="single" w:sz="4" w:space="0" w:color="939598"/>
              <w:bottom w:val="single" w:sz="4" w:space="0" w:color="939598"/>
              <w:right w:val="single" w:sz="4" w:space="0" w:color="939598"/>
            </w:tcBorders>
            <w:shd w:val="clear" w:color="auto" w:fill="auto"/>
          </w:tcPr>
          <w:p w14:paraId="7279D840" w14:textId="77777777" w:rsidR="005A4F47" w:rsidRPr="005A1539" w:rsidRDefault="005A4F47" w:rsidP="00D0554E">
            <w:pPr>
              <w:pStyle w:val="Tableheading"/>
              <w:keepNext/>
              <w:rPr>
                <w:sz w:val="18"/>
              </w:rPr>
            </w:pPr>
          </w:p>
        </w:tc>
        <w:tc>
          <w:tcPr>
            <w:tcW w:w="281" w:type="pct"/>
            <w:tcBorders>
              <w:top w:val="single" w:sz="4" w:space="0" w:color="939598"/>
              <w:left w:val="single" w:sz="4" w:space="0" w:color="939598"/>
              <w:bottom w:val="single" w:sz="4" w:space="0" w:color="939598"/>
              <w:right w:val="single" w:sz="4" w:space="0" w:color="939598"/>
            </w:tcBorders>
            <w:shd w:val="clear" w:color="auto" w:fill="auto"/>
          </w:tcPr>
          <w:p w14:paraId="4769F347" w14:textId="77777777" w:rsidR="005A4F47" w:rsidRPr="005A1539" w:rsidRDefault="005A4F47" w:rsidP="00D0554E">
            <w:pPr>
              <w:pStyle w:val="Tableheading"/>
              <w:keepNext/>
              <w:rPr>
                <w:sz w:val="18"/>
              </w:rPr>
            </w:pPr>
          </w:p>
        </w:tc>
        <w:tc>
          <w:tcPr>
            <w:tcW w:w="361" w:type="pct"/>
            <w:tcBorders>
              <w:top w:val="single" w:sz="4" w:space="0" w:color="939598"/>
              <w:left w:val="single" w:sz="4" w:space="0" w:color="939598"/>
              <w:bottom w:val="single" w:sz="4" w:space="0" w:color="939598"/>
              <w:right w:val="single" w:sz="4" w:space="0" w:color="939598"/>
            </w:tcBorders>
            <w:shd w:val="clear" w:color="auto" w:fill="auto"/>
          </w:tcPr>
          <w:p w14:paraId="46A6D784" w14:textId="77777777" w:rsidR="005A4F47" w:rsidRPr="005A1539" w:rsidRDefault="005A4F47" w:rsidP="00D0554E">
            <w:pPr>
              <w:pStyle w:val="Tableheading"/>
              <w:keepNext/>
              <w:rPr>
                <w:sz w:val="18"/>
              </w:rPr>
            </w:pPr>
          </w:p>
        </w:tc>
      </w:tr>
      <w:tr w:rsidR="005A4F47" w:rsidRPr="009D23C0" w14:paraId="4123C86B" w14:textId="77777777" w:rsidTr="005A4F47">
        <w:tc>
          <w:tcPr>
            <w:tcW w:w="4006" w:type="pct"/>
            <w:tcBorders>
              <w:top w:val="single" w:sz="4" w:space="0" w:color="939598"/>
              <w:bottom w:val="single" w:sz="4" w:space="0" w:color="939598"/>
              <w:right w:val="single" w:sz="4" w:space="0" w:color="939598"/>
            </w:tcBorders>
            <w:shd w:val="clear" w:color="auto" w:fill="auto"/>
          </w:tcPr>
          <w:p w14:paraId="4D61A7D6" w14:textId="5938CC6A" w:rsidR="005A4F47" w:rsidRPr="00A773FB" w:rsidRDefault="005A4F47" w:rsidP="00D0554E">
            <w:pPr>
              <w:pStyle w:val="Tableheading"/>
              <w:keepNext/>
              <w:rPr>
                <w:b w:val="0"/>
              </w:rPr>
            </w:pPr>
            <w:r>
              <w:rPr>
                <w:rFonts w:cs="Arial"/>
                <w:b w:val="0"/>
              </w:rPr>
              <w:t>Where applicable, the company should disclose the feedstock adjustment amount that is included in its assessable income and included in item 21W (and in item 7B under ‘other assessable income’).</w:t>
            </w:r>
          </w:p>
        </w:tc>
        <w:tc>
          <w:tcPr>
            <w:tcW w:w="352" w:type="pct"/>
            <w:tcBorders>
              <w:top w:val="single" w:sz="4" w:space="0" w:color="939598"/>
              <w:left w:val="single" w:sz="4" w:space="0" w:color="939598"/>
              <w:bottom w:val="single" w:sz="4" w:space="0" w:color="939598"/>
              <w:right w:val="single" w:sz="4" w:space="0" w:color="939598"/>
            </w:tcBorders>
            <w:shd w:val="clear" w:color="auto" w:fill="auto"/>
          </w:tcPr>
          <w:p w14:paraId="3670A9C4" w14:textId="77777777" w:rsidR="005A4F47" w:rsidRPr="005A1539" w:rsidRDefault="005A4F47" w:rsidP="00D0554E">
            <w:pPr>
              <w:pStyle w:val="Tableheading"/>
              <w:keepNext/>
              <w:rPr>
                <w:sz w:val="18"/>
              </w:rPr>
            </w:pPr>
          </w:p>
        </w:tc>
        <w:tc>
          <w:tcPr>
            <w:tcW w:w="281" w:type="pct"/>
            <w:tcBorders>
              <w:top w:val="single" w:sz="4" w:space="0" w:color="939598"/>
              <w:left w:val="single" w:sz="4" w:space="0" w:color="939598"/>
              <w:bottom w:val="single" w:sz="4" w:space="0" w:color="939598"/>
              <w:right w:val="single" w:sz="4" w:space="0" w:color="939598"/>
            </w:tcBorders>
            <w:shd w:val="clear" w:color="auto" w:fill="auto"/>
          </w:tcPr>
          <w:p w14:paraId="1B2D82B2" w14:textId="77777777" w:rsidR="005A4F47" w:rsidRPr="005A1539" w:rsidRDefault="005A4F47" w:rsidP="00D0554E">
            <w:pPr>
              <w:pStyle w:val="Tableheading"/>
              <w:keepNext/>
              <w:rPr>
                <w:sz w:val="18"/>
              </w:rPr>
            </w:pPr>
          </w:p>
        </w:tc>
        <w:tc>
          <w:tcPr>
            <w:tcW w:w="361" w:type="pct"/>
            <w:tcBorders>
              <w:top w:val="single" w:sz="4" w:space="0" w:color="939598"/>
              <w:left w:val="single" w:sz="4" w:space="0" w:color="939598"/>
              <w:bottom w:val="single" w:sz="4" w:space="0" w:color="939598"/>
              <w:right w:val="single" w:sz="4" w:space="0" w:color="939598"/>
            </w:tcBorders>
            <w:shd w:val="clear" w:color="auto" w:fill="auto"/>
          </w:tcPr>
          <w:p w14:paraId="3BFBACDF" w14:textId="77777777" w:rsidR="005A4F47" w:rsidRPr="005A1539" w:rsidRDefault="005A4F47" w:rsidP="00D0554E">
            <w:pPr>
              <w:pStyle w:val="Tableheading"/>
              <w:keepNext/>
              <w:rPr>
                <w:sz w:val="18"/>
              </w:rPr>
            </w:pPr>
          </w:p>
        </w:tc>
      </w:tr>
      <w:tr w:rsidR="005A4F47" w:rsidRPr="009D23C0" w14:paraId="6DC229AB" w14:textId="77777777" w:rsidTr="005A4F47">
        <w:tc>
          <w:tcPr>
            <w:tcW w:w="5000" w:type="pct"/>
            <w:gridSpan w:val="4"/>
            <w:tcBorders>
              <w:top w:val="single" w:sz="4" w:space="0" w:color="939598"/>
              <w:bottom w:val="single" w:sz="4" w:space="0" w:color="939598"/>
            </w:tcBorders>
            <w:shd w:val="clear" w:color="auto" w:fill="D9D9D9" w:themeFill="background1" w:themeFillShade="D9"/>
          </w:tcPr>
          <w:p w14:paraId="5B8739D3" w14:textId="2579E7E6" w:rsidR="005A4F47" w:rsidRPr="009D23C0" w:rsidRDefault="005A4F47" w:rsidP="008C013F">
            <w:pPr>
              <w:pStyle w:val="Tableheading"/>
              <w:keepNext/>
            </w:pPr>
            <w:r>
              <w:rPr>
                <w:rFonts w:cs="Arial"/>
              </w:rPr>
              <w:t>E</w:t>
            </w:r>
            <w:r w:rsidR="00F46E29">
              <w:rPr>
                <w:rFonts w:cs="Arial"/>
              </w:rPr>
              <w:t xml:space="preserve">ARLY STAGE VENTURE CAPITAL LIMITED PARTNERSHIP </w:t>
            </w:r>
            <w:r w:rsidRPr="000D3B0E">
              <w:rPr>
                <w:rFonts w:cs="Arial"/>
              </w:rPr>
              <w:t>(I</w:t>
            </w:r>
            <w:r w:rsidR="00F46E29">
              <w:rPr>
                <w:rFonts w:cs="Arial"/>
              </w:rPr>
              <w:t>TEM</w:t>
            </w:r>
            <w:r w:rsidRPr="000D3B0E">
              <w:rPr>
                <w:rFonts w:cs="Arial"/>
              </w:rPr>
              <w:t xml:space="preserve"> </w:t>
            </w:r>
            <w:r>
              <w:rPr>
                <w:rFonts w:cs="Arial"/>
              </w:rPr>
              <w:t>22</w:t>
            </w:r>
            <w:r w:rsidRPr="000D3B0E">
              <w:rPr>
                <w:rFonts w:cs="Arial"/>
              </w:rPr>
              <w:t>)</w:t>
            </w:r>
            <w:r>
              <w:rPr>
                <w:rFonts w:cs="Arial"/>
              </w:rPr>
              <w:t xml:space="preserve"> </w:t>
            </w:r>
          </w:p>
        </w:tc>
      </w:tr>
      <w:tr w:rsidR="00D0554E" w:rsidRPr="009D23C0" w14:paraId="0962CF1D" w14:textId="77777777" w:rsidTr="005A4F47">
        <w:tc>
          <w:tcPr>
            <w:tcW w:w="4006" w:type="pct"/>
            <w:tcBorders>
              <w:top w:val="single" w:sz="4" w:space="0" w:color="939598"/>
              <w:bottom w:val="single" w:sz="4" w:space="0" w:color="939598"/>
              <w:right w:val="single" w:sz="4" w:space="0" w:color="939598"/>
            </w:tcBorders>
            <w:shd w:val="clear" w:color="auto" w:fill="auto"/>
          </w:tcPr>
          <w:p w14:paraId="59DFC5F8" w14:textId="77777777" w:rsidR="00967486" w:rsidRDefault="00A773FB" w:rsidP="00D0554E">
            <w:pPr>
              <w:pStyle w:val="Tableheading"/>
              <w:keepNext/>
              <w:rPr>
                <w:b w:val="0"/>
              </w:rPr>
            </w:pPr>
            <w:r w:rsidRPr="00A773FB">
              <w:rPr>
                <w:b w:val="0"/>
              </w:rPr>
              <w:t xml:space="preserve">Check to see if the company is eligible for a non-refundable Early Stage Venture Capital Limited Partnership (ESVCLP) tax offset </w:t>
            </w:r>
            <w:r w:rsidR="0058162B">
              <w:rPr>
                <w:b w:val="0"/>
              </w:rPr>
              <w:t xml:space="preserve">in the 2018 year </w:t>
            </w:r>
            <w:r w:rsidRPr="00A773FB">
              <w:rPr>
                <w:b w:val="0"/>
              </w:rPr>
              <w:t>as either a limited partner of the ESVCLP or as an investor in an ESVCLP through a partnership or trust.</w:t>
            </w:r>
          </w:p>
          <w:p w14:paraId="78BA911C" w14:textId="0752A3FD" w:rsidR="0058162B" w:rsidRPr="00211718" w:rsidRDefault="0058162B" w:rsidP="00D0554E">
            <w:pPr>
              <w:spacing w:before="100" w:after="100"/>
              <w:rPr>
                <w:sz w:val="15"/>
                <w:szCs w:val="15"/>
              </w:rPr>
            </w:pPr>
            <w:r w:rsidRPr="00211718">
              <w:rPr>
                <w:b/>
                <w:sz w:val="15"/>
                <w:szCs w:val="15"/>
              </w:rPr>
              <w:t>Note</w:t>
            </w:r>
            <w:r w:rsidRPr="00211718">
              <w:rPr>
                <w:sz w:val="15"/>
                <w:szCs w:val="15"/>
              </w:rPr>
              <w:t xml:space="preserve">: a summary of the various eligibility rules concerning the tax offset are available on </w:t>
            </w:r>
            <w:r w:rsidR="000D50A1">
              <w:rPr>
                <w:sz w:val="15"/>
                <w:szCs w:val="15"/>
              </w:rPr>
              <w:t xml:space="preserve">the </w:t>
            </w:r>
            <w:hyperlink r:id="rId18" w:history="1">
              <w:r w:rsidR="000D50A1" w:rsidRPr="000D50A1">
                <w:rPr>
                  <w:rStyle w:val="Hyperlink"/>
                  <w:sz w:val="15"/>
                  <w:szCs w:val="15"/>
                </w:rPr>
                <w:t>ATO website</w:t>
              </w:r>
            </w:hyperlink>
            <w:r w:rsidR="000D50A1">
              <w:rPr>
                <w:sz w:val="15"/>
                <w:szCs w:val="15"/>
              </w:rPr>
              <w:t>.</w:t>
            </w:r>
            <w:r w:rsidRPr="00211718">
              <w:rPr>
                <w:sz w:val="15"/>
                <w:szCs w:val="15"/>
              </w:rPr>
              <w:t xml:space="preserve"> </w:t>
            </w:r>
          </w:p>
          <w:p w14:paraId="273ECBF1" w14:textId="5B3D464D" w:rsidR="0058162B" w:rsidRPr="00A773FB" w:rsidRDefault="0058162B" w:rsidP="00D0554E">
            <w:pPr>
              <w:pStyle w:val="Tableheading"/>
              <w:keepNext/>
              <w:rPr>
                <w:rFonts w:cs="Arial"/>
                <w:b w:val="0"/>
              </w:rPr>
            </w:pPr>
            <w:r w:rsidRPr="00211718">
              <w:rPr>
                <w:sz w:val="15"/>
                <w:szCs w:val="15"/>
              </w:rPr>
              <w:t xml:space="preserve">Note: </w:t>
            </w:r>
            <w:r w:rsidRPr="00211718">
              <w:rPr>
                <w:b w:val="0"/>
                <w:sz w:val="15"/>
                <w:szCs w:val="15"/>
              </w:rPr>
              <w:t>check to see whether there is an amount of unused ESVCLP tax offset for the year ended 30 June 2017</w:t>
            </w:r>
            <w:r w:rsidR="000D50A1">
              <w:rPr>
                <w:b w:val="0"/>
                <w:sz w:val="15"/>
                <w:szCs w:val="15"/>
              </w:rPr>
              <w:t>,</w:t>
            </w:r>
            <w:r w:rsidRPr="00211718">
              <w:rPr>
                <w:b w:val="0"/>
                <w:sz w:val="15"/>
                <w:szCs w:val="15"/>
              </w:rPr>
              <w:t xml:space="preserve"> which may be available to be utilise</w:t>
            </w:r>
            <w:r w:rsidR="00D20781" w:rsidRPr="00211718">
              <w:rPr>
                <w:b w:val="0"/>
                <w:sz w:val="15"/>
                <w:szCs w:val="15"/>
              </w:rPr>
              <w:t xml:space="preserve">d where the tax offset carry forward rules under Division 65 of the </w:t>
            </w:r>
            <w:r w:rsidR="00D20781" w:rsidRPr="00211718">
              <w:rPr>
                <w:b w:val="0"/>
                <w:i/>
                <w:sz w:val="15"/>
                <w:szCs w:val="15"/>
              </w:rPr>
              <w:t xml:space="preserve">Income Tax Assessment Act (1997) </w:t>
            </w:r>
            <w:r w:rsidR="00D20781" w:rsidRPr="00211718">
              <w:rPr>
                <w:b w:val="0"/>
                <w:sz w:val="15"/>
                <w:szCs w:val="15"/>
              </w:rPr>
              <w:t>are met</w:t>
            </w:r>
            <w:r w:rsidRPr="00211718">
              <w:rPr>
                <w:b w:val="0"/>
                <w:sz w:val="15"/>
                <w:szCs w:val="15"/>
              </w:rPr>
              <w:t>.</w:t>
            </w:r>
          </w:p>
        </w:tc>
        <w:tc>
          <w:tcPr>
            <w:tcW w:w="352" w:type="pct"/>
            <w:tcBorders>
              <w:top w:val="single" w:sz="4" w:space="0" w:color="939598"/>
              <w:left w:val="single" w:sz="4" w:space="0" w:color="939598"/>
              <w:bottom w:val="single" w:sz="4" w:space="0" w:color="939598"/>
              <w:right w:val="single" w:sz="4" w:space="0" w:color="939598"/>
            </w:tcBorders>
            <w:shd w:val="clear" w:color="auto" w:fill="auto"/>
          </w:tcPr>
          <w:p w14:paraId="2F229A25" w14:textId="77777777" w:rsidR="00967486" w:rsidRPr="005A1539" w:rsidRDefault="00967486" w:rsidP="00D0554E">
            <w:pPr>
              <w:pStyle w:val="Tableheading"/>
              <w:keepNext/>
              <w:rPr>
                <w:sz w:val="18"/>
              </w:rPr>
            </w:pPr>
          </w:p>
        </w:tc>
        <w:tc>
          <w:tcPr>
            <w:tcW w:w="281" w:type="pct"/>
            <w:tcBorders>
              <w:top w:val="single" w:sz="4" w:space="0" w:color="939598"/>
              <w:left w:val="single" w:sz="4" w:space="0" w:color="939598"/>
              <w:bottom w:val="single" w:sz="4" w:space="0" w:color="939598"/>
              <w:right w:val="single" w:sz="4" w:space="0" w:color="939598"/>
            </w:tcBorders>
            <w:shd w:val="clear" w:color="auto" w:fill="auto"/>
          </w:tcPr>
          <w:p w14:paraId="5D803CC1" w14:textId="77777777" w:rsidR="00967486" w:rsidRPr="005A1539" w:rsidRDefault="00967486" w:rsidP="00D0554E">
            <w:pPr>
              <w:pStyle w:val="Tableheading"/>
              <w:keepNext/>
              <w:rPr>
                <w:sz w:val="18"/>
              </w:rPr>
            </w:pPr>
          </w:p>
        </w:tc>
        <w:tc>
          <w:tcPr>
            <w:tcW w:w="361" w:type="pct"/>
            <w:tcBorders>
              <w:top w:val="single" w:sz="4" w:space="0" w:color="939598"/>
              <w:left w:val="single" w:sz="4" w:space="0" w:color="939598"/>
              <w:bottom w:val="single" w:sz="4" w:space="0" w:color="939598"/>
              <w:right w:val="single" w:sz="4" w:space="0" w:color="939598"/>
            </w:tcBorders>
            <w:shd w:val="clear" w:color="auto" w:fill="auto"/>
          </w:tcPr>
          <w:p w14:paraId="1BA7A49D" w14:textId="77777777" w:rsidR="00967486" w:rsidRPr="005A1539" w:rsidRDefault="00967486" w:rsidP="00D0554E">
            <w:pPr>
              <w:pStyle w:val="Tableheading"/>
              <w:keepNext/>
              <w:rPr>
                <w:sz w:val="18"/>
              </w:rPr>
            </w:pPr>
          </w:p>
        </w:tc>
      </w:tr>
      <w:tr w:rsidR="00A773FB" w:rsidRPr="009D23C0" w14:paraId="3BCFB7DB" w14:textId="77777777" w:rsidTr="005A4F47">
        <w:tc>
          <w:tcPr>
            <w:tcW w:w="5000" w:type="pct"/>
            <w:gridSpan w:val="4"/>
            <w:tcBorders>
              <w:top w:val="single" w:sz="4" w:space="0" w:color="939598"/>
              <w:bottom w:val="single" w:sz="4" w:space="0" w:color="939598"/>
            </w:tcBorders>
            <w:shd w:val="clear" w:color="auto" w:fill="D9D9D9" w:themeFill="background1" w:themeFillShade="D9"/>
          </w:tcPr>
          <w:p w14:paraId="2EB0483A" w14:textId="64C7F2CD" w:rsidR="00A773FB" w:rsidRPr="009D23C0" w:rsidRDefault="00A773FB" w:rsidP="00D0554E">
            <w:pPr>
              <w:pStyle w:val="Tableheading"/>
              <w:keepNext/>
            </w:pPr>
            <w:r>
              <w:rPr>
                <w:rFonts w:cs="Arial"/>
              </w:rPr>
              <w:t>E</w:t>
            </w:r>
            <w:r w:rsidR="000D50A1">
              <w:rPr>
                <w:rFonts w:cs="Arial"/>
              </w:rPr>
              <w:t>ARLY STAGE INVESTOR</w:t>
            </w:r>
            <w:r w:rsidRPr="000D3B0E">
              <w:rPr>
                <w:rFonts w:cs="Arial"/>
              </w:rPr>
              <w:t xml:space="preserve"> (I</w:t>
            </w:r>
            <w:r w:rsidR="000D50A1">
              <w:rPr>
                <w:rFonts w:cs="Arial"/>
              </w:rPr>
              <w:t>TEM</w:t>
            </w:r>
            <w:r w:rsidRPr="000D3B0E">
              <w:rPr>
                <w:rFonts w:cs="Arial"/>
              </w:rPr>
              <w:t xml:space="preserve"> </w:t>
            </w:r>
            <w:r>
              <w:rPr>
                <w:rFonts w:cs="Arial"/>
              </w:rPr>
              <w:t>23</w:t>
            </w:r>
            <w:r w:rsidRPr="000D3B0E">
              <w:rPr>
                <w:rFonts w:cs="Arial"/>
              </w:rPr>
              <w:t>)</w:t>
            </w:r>
            <w:r>
              <w:rPr>
                <w:rFonts w:cs="Arial"/>
              </w:rPr>
              <w:t xml:space="preserve"> </w:t>
            </w:r>
          </w:p>
        </w:tc>
      </w:tr>
      <w:tr w:rsidR="00D0554E" w:rsidRPr="009D23C0" w14:paraId="1EDF66A9" w14:textId="77777777" w:rsidTr="005A4F47">
        <w:tc>
          <w:tcPr>
            <w:tcW w:w="4006" w:type="pct"/>
            <w:tcBorders>
              <w:top w:val="single" w:sz="4" w:space="0" w:color="939598"/>
              <w:bottom w:val="single" w:sz="4" w:space="0" w:color="939598"/>
              <w:right w:val="single" w:sz="4" w:space="0" w:color="939598"/>
            </w:tcBorders>
            <w:shd w:val="clear" w:color="auto" w:fill="auto"/>
          </w:tcPr>
          <w:p w14:paraId="2ACD1DC8" w14:textId="7884F6C0" w:rsidR="00264BD5" w:rsidRDefault="00A773FB" w:rsidP="00D0554E">
            <w:pPr>
              <w:pStyle w:val="Tableheading"/>
              <w:keepNext/>
              <w:rPr>
                <w:b w:val="0"/>
              </w:rPr>
            </w:pPr>
            <w:r w:rsidRPr="00A773FB">
              <w:rPr>
                <w:b w:val="0"/>
              </w:rPr>
              <w:t>Check to see if the company is eligible for a non-refundable tax offset as an investor in a qualifying Early Stage Innovation Company (ESIC) in the 201</w:t>
            </w:r>
            <w:r w:rsidR="0058162B">
              <w:rPr>
                <w:b w:val="0"/>
              </w:rPr>
              <w:t>8</w:t>
            </w:r>
            <w:r w:rsidRPr="00A773FB">
              <w:rPr>
                <w:b w:val="0"/>
              </w:rPr>
              <w:t xml:space="preserve"> year. Special rules must be met by both the investor and the ESIC before this offset will be available. </w:t>
            </w:r>
          </w:p>
          <w:p w14:paraId="775825B8" w14:textId="1FFB0D07" w:rsidR="00967486" w:rsidRPr="00211718" w:rsidRDefault="00A773FB" w:rsidP="00D0554E">
            <w:pPr>
              <w:pStyle w:val="Tableheading"/>
              <w:keepNext/>
              <w:rPr>
                <w:b w:val="0"/>
                <w:sz w:val="15"/>
                <w:szCs w:val="15"/>
              </w:rPr>
            </w:pPr>
            <w:r w:rsidRPr="000D50A1">
              <w:rPr>
                <w:sz w:val="15"/>
                <w:szCs w:val="15"/>
              </w:rPr>
              <w:t>Note</w:t>
            </w:r>
            <w:r w:rsidR="0058162B" w:rsidRPr="000D50A1">
              <w:rPr>
                <w:sz w:val="15"/>
                <w:szCs w:val="15"/>
              </w:rPr>
              <w:t>:</w:t>
            </w:r>
            <w:r w:rsidRPr="00211718">
              <w:rPr>
                <w:b w:val="0"/>
                <w:sz w:val="15"/>
                <w:szCs w:val="15"/>
              </w:rPr>
              <w:t xml:space="preserve"> widely held companies and their subsidiaries are not entitled to the offset.</w:t>
            </w:r>
          </w:p>
          <w:p w14:paraId="5CBDDF58" w14:textId="0D9E038C" w:rsidR="0058162B" w:rsidRPr="00211718" w:rsidRDefault="0058162B" w:rsidP="00D0554E">
            <w:pPr>
              <w:pStyle w:val="Tableheading"/>
              <w:keepNext/>
              <w:rPr>
                <w:rFonts w:cs="Arial"/>
                <w:b w:val="0"/>
                <w:sz w:val="15"/>
                <w:szCs w:val="15"/>
              </w:rPr>
            </w:pPr>
            <w:r w:rsidRPr="00211718">
              <w:rPr>
                <w:rFonts w:cs="Arial"/>
                <w:sz w:val="15"/>
                <w:szCs w:val="15"/>
              </w:rPr>
              <w:t>Note</w:t>
            </w:r>
            <w:r w:rsidRPr="00211718">
              <w:rPr>
                <w:rFonts w:cs="Arial"/>
                <w:b w:val="0"/>
                <w:sz w:val="15"/>
                <w:szCs w:val="15"/>
              </w:rPr>
              <w:t xml:space="preserve">: a summary of the various eligibility rules concerning the tax offset are available on </w:t>
            </w:r>
            <w:r w:rsidR="000D50A1">
              <w:rPr>
                <w:rFonts w:cs="Arial"/>
                <w:b w:val="0"/>
                <w:sz w:val="15"/>
                <w:szCs w:val="15"/>
              </w:rPr>
              <w:t xml:space="preserve">the </w:t>
            </w:r>
            <w:hyperlink r:id="rId19" w:anchor="Qualifying_for_the_tax_incentives" w:history="1">
              <w:r w:rsidR="000D50A1" w:rsidRPr="009D17F6">
                <w:rPr>
                  <w:rStyle w:val="Hyperlink"/>
                  <w:rFonts w:cs="Arial"/>
                  <w:b w:val="0"/>
                  <w:sz w:val="15"/>
                  <w:szCs w:val="15"/>
                </w:rPr>
                <w:t>ATO website</w:t>
              </w:r>
            </w:hyperlink>
            <w:r w:rsidR="000D50A1" w:rsidRPr="009D17F6">
              <w:rPr>
                <w:rFonts w:cs="Arial"/>
                <w:b w:val="0"/>
                <w:sz w:val="15"/>
                <w:szCs w:val="15"/>
              </w:rPr>
              <w:t xml:space="preserve">. </w:t>
            </w:r>
          </w:p>
          <w:p w14:paraId="19FC579A" w14:textId="556A1419" w:rsidR="00D20781" w:rsidRPr="00A260A5" w:rsidRDefault="00D20781" w:rsidP="00D0554E">
            <w:pPr>
              <w:pStyle w:val="Tableheading"/>
              <w:keepNext/>
              <w:rPr>
                <w:rFonts w:cs="Arial"/>
                <w:b w:val="0"/>
                <w:sz w:val="14"/>
                <w:szCs w:val="14"/>
              </w:rPr>
            </w:pPr>
            <w:r w:rsidRPr="00211718">
              <w:rPr>
                <w:sz w:val="15"/>
                <w:szCs w:val="15"/>
              </w:rPr>
              <w:t xml:space="preserve">Note: </w:t>
            </w:r>
            <w:r w:rsidRPr="00211718">
              <w:rPr>
                <w:b w:val="0"/>
                <w:sz w:val="15"/>
                <w:szCs w:val="15"/>
              </w:rPr>
              <w:t>check to see whether there is an amount of unused early stage investor tax offset for the year ended 30 June 2017</w:t>
            </w:r>
            <w:r w:rsidR="000D50A1">
              <w:rPr>
                <w:b w:val="0"/>
                <w:sz w:val="15"/>
                <w:szCs w:val="15"/>
              </w:rPr>
              <w:t>,</w:t>
            </w:r>
            <w:r w:rsidRPr="00211718">
              <w:rPr>
                <w:b w:val="0"/>
                <w:sz w:val="15"/>
                <w:szCs w:val="15"/>
              </w:rPr>
              <w:t xml:space="preserve"> which may be available to be utilised where the tax offset carry forward rules under Division 65 of the </w:t>
            </w:r>
            <w:r w:rsidRPr="00211718">
              <w:rPr>
                <w:b w:val="0"/>
                <w:i/>
                <w:sz w:val="15"/>
                <w:szCs w:val="15"/>
              </w:rPr>
              <w:t xml:space="preserve">Income Tax Assessment Act (1997) </w:t>
            </w:r>
            <w:r w:rsidRPr="00211718">
              <w:rPr>
                <w:b w:val="0"/>
                <w:sz w:val="15"/>
                <w:szCs w:val="15"/>
              </w:rPr>
              <w:t>are met.</w:t>
            </w:r>
          </w:p>
        </w:tc>
        <w:tc>
          <w:tcPr>
            <w:tcW w:w="352" w:type="pct"/>
            <w:tcBorders>
              <w:top w:val="single" w:sz="4" w:space="0" w:color="939598"/>
              <w:left w:val="single" w:sz="4" w:space="0" w:color="939598"/>
              <w:bottom w:val="single" w:sz="4" w:space="0" w:color="939598"/>
              <w:right w:val="single" w:sz="4" w:space="0" w:color="939598"/>
            </w:tcBorders>
            <w:shd w:val="clear" w:color="auto" w:fill="auto"/>
          </w:tcPr>
          <w:p w14:paraId="00B96F8A" w14:textId="77777777" w:rsidR="00967486" w:rsidRPr="005A1539" w:rsidRDefault="00967486" w:rsidP="00D0554E">
            <w:pPr>
              <w:pStyle w:val="Tableheading"/>
              <w:keepNext/>
              <w:rPr>
                <w:sz w:val="18"/>
              </w:rPr>
            </w:pPr>
          </w:p>
        </w:tc>
        <w:tc>
          <w:tcPr>
            <w:tcW w:w="281" w:type="pct"/>
            <w:tcBorders>
              <w:top w:val="single" w:sz="4" w:space="0" w:color="939598"/>
              <w:left w:val="single" w:sz="4" w:space="0" w:color="939598"/>
              <w:bottom w:val="single" w:sz="4" w:space="0" w:color="939598"/>
              <w:right w:val="single" w:sz="4" w:space="0" w:color="939598"/>
            </w:tcBorders>
            <w:shd w:val="clear" w:color="auto" w:fill="auto"/>
          </w:tcPr>
          <w:p w14:paraId="64F8A446" w14:textId="77777777" w:rsidR="00967486" w:rsidRPr="005A1539" w:rsidRDefault="00967486" w:rsidP="00D0554E">
            <w:pPr>
              <w:pStyle w:val="Tableheading"/>
              <w:keepNext/>
              <w:rPr>
                <w:sz w:val="18"/>
              </w:rPr>
            </w:pPr>
          </w:p>
        </w:tc>
        <w:tc>
          <w:tcPr>
            <w:tcW w:w="361" w:type="pct"/>
            <w:tcBorders>
              <w:top w:val="single" w:sz="4" w:space="0" w:color="939598"/>
              <w:left w:val="single" w:sz="4" w:space="0" w:color="939598"/>
              <w:bottom w:val="single" w:sz="4" w:space="0" w:color="939598"/>
              <w:right w:val="single" w:sz="4" w:space="0" w:color="939598"/>
            </w:tcBorders>
            <w:shd w:val="clear" w:color="auto" w:fill="auto"/>
          </w:tcPr>
          <w:p w14:paraId="31C2F28A" w14:textId="77777777" w:rsidR="00967486" w:rsidRPr="005A1539" w:rsidRDefault="00967486" w:rsidP="00D0554E">
            <w:pPr>
              <w:pStyle w:val="Tableheading"/>
              <w:keepNext/>
              <w:rPr>
                <w:sz w:val="18"/>
              </w:rPr>
            </w:pPr>
          </w:p>
        </w:tc>
      </w:tr>
      <w:tr w:rsidR="00967486" w:rsidRPr="009D23C0" w14:paraId="64A868E3" w14:textId="77777777" w:rsidTr="005A4F47">
        <w:tc>
          <w:tcPr>
            <w:tcW w:w="5000" w:type="pct"/>
            <w:gridSpan w:val="4"/>
            <w:tcBorders>
              <w:top w:val="single" w:sz="4" w:space="0" w:color="939598"/>
              <w:bottom w:val="single" w:sz="4" w:space="0" w:color="939598"/>
            </w:tcBorders>
            <w:shd w:val="clear" w:color="auto" w:fill="D9D9D9" w:themeFill="background1" w:themeFillShade="D9"/>
          </w:tcPr>
          <w:p w14:paraId="7B7222A7" w14:textId="25AD320E" w:rsidR="00967486" w:rsidRPr="009D23C0" w:rsidRDefault="00967486" w:rsidP="00D0554E">
            <w:pPr>
              <w:pStyle w:val="Tableheading"/>
              <w:keepNext/>
            </w:pPr>
            <w:r>
              <w:rPr>
                <w:rFonts w:cs="Arial"/>
              </w:rPr>
              <w:t>R</w:t>
            </w:r>
            <w:r w:rsidR="000D50A1">
              <w:rPr>
                <w:rFonts w:cs="Arial"/>
              </w:rPr>
              <w:t>EPORTABLE TAX POSITION</w:t>
            </w:r>
            <w:r w:rsidRPr="000D3B0E">
              <w:rPr>
                <w:rFonts w:cs="Arial"/>
              </w:rPr>
              <w:t xml:space="preserve"> (I</w:t>
            </w:r>
            <w:r w:rsidR="000D50A1">
              <w:rPr>
                <w:rFonts w:cs="Arial"/>
              </w:rPr>
              <w:t>TEM</w:t>
            </w:r>
            <w:r w:rsidRPr="000D3B0E">
              <w:rPr>
                <w:rFonts w:cs="Arial"/>
              </w:rPr>
              <w:t xml:space="preserve"> </w:t>
            </w:r>
            <w:r>
              <w:rPr>
                <w:rFonts w:cs="Arial"/>
              </w:rPr>
              <w:t>25</w:t>
            </w:r>
            <w:r w:rsidRPr="000D3B0E">
              <w:rPr>
                <w:rFonts w:cs="Arial"/>
              </w:rPr>
              <w:t>)</w:t>
            </w:r>
            <w:r>
              <w:rPr>
                <w:rFonts w:cs="Arial"/>
              </w:rPr>
              <w:t xml:space="preserve"> </w:t>
            </w:r>
          </w:p>
        </w:tc>
      </w:tr>
      <w:tr w:rsidR="00D0554E" w:rsidRPr="009D23C0" w14:paraId="7AF30D2D" w14:textId="77777777" w:rsidTr="005A4F47">
        <w:tc>
          <w:tcPr>
            <w:tcW w:w="4006" w:type="pct"/>
            <w:tcBorders>
              <w:top w:val="single" w:sz="4" w:space="0" w:color="939598"/>
              <w:bottom w:val="single" w:sz="4" w:space="0" w:color="939598"/>
              <w:right w:val="single" w:sz="4" w:space="0" w:color="939598"/>
            </w:tcBorders>
            <w:shd w:val="clear" w:color="auto" w:fill="auto"/>
          </w:tcPr>
          <w:p w14:paraId="61681269" w14:textId="7D2F80F5" w:rsidR="00435A37" w:rsidRDefault="00435A37" w:rsidP="00D0554E">
            <w:pPr>
              <w:pStyle w:val="Tableheading"/>
              <w:keepNext/>
              <w:rPr>
                <w:rFonts w:cs="Arial"/>
                <w:b w:val="0"/>
              </w:rPr>
            </w:pPr>
            <w:r w:rsidRPr="00435A37">
              <w:rPr>
                <w:rFonts w:cs="Arial"/>
                <w:b w:val="0"/>
              </w:rPr>
              <w:t>Has the company been notified by the ATO that it is required to lodge a Reportable Tax Position (RTP) Schedule 201</w:t>
            </w:r>
            <w:r w:rsidR="0058162B">
              <w:rPr>
                <w:rFonts w:cs="Arial"/>
                <w:b w:val="0"/>
              </w:rPr>
              <w:t>8</w:t>
            </w:r>
            <w:r w:rsidRPr="00435A37">
              <w:rPr>
                <w:rFonts w:cs="Arial"/>
                <w:b w:val="0"/>
              </w:rPr>
              <w:t>?</w:t>
            </w:r>
          </w:p>
          <w:p w14:paraId="4D498352" w14:textId="382ECE35" w:rsidR="005524C3" w:rsidRPr="00211718" w:rsidRDefault="00C70CA2" w:rsidP="00D0554E">
            <w:pPr>
              <w:pStyle w:val="Tableheading"/>
              <w:keepNext/>
              <w:rPr>
                <w:rFonts w:cs="Arial"/>
                <w:b w:val="0"/>
                <w:sz w:val="15"/>
                <w:szCs w:val="15"/>
              </w:rPr>
            </w:pPr>
            <w:r w:rsidRPr="00211718">
              <w:rPr>
                <w:rFonts w:cs="Arial"/>
                <w:sz w:val="15"/>
                <w:szCs w:val="15"/>
              </w:rPr>
              <w:t>Note</w:t>
            </w:r>
            <w:r w:rsidRPr="00211718">
              <w:rPr>
                <w:rFonts w:cs="Arial"/>
                <w:b w:val="0"/>
                <w:sz w:val="15"/>
                <w:szCs w:val="15"/>
              </w:rPr>
              <w:t xml:space="preserve">: the RTP schedule </w:t>
            </w:r>
            <w:r w:rsidR="005524C3" w:rsidRPr="00211718">
              <w:rPr>
                <w:rFonts w:cs="Arial"/>
                <w:b w:val="0"/>
                <w:sz w:val="15"/>
                <w:szCs w:val="15"/>
              </w:rPr>
              <w:t>requires large companies to disclose their material tax positions. Further details on what constitutes a ‘reporta</w:t>
            </w:r>
            <w:r w:rsidR="002457C0">
              <w:rPr>
                <w:rFonts w:cs="Arial"/>
                <w:b w:val="0"/>
                <w:sz w:val="15"/>
                <w:szCs w:val="15"/>
              </w:rPr>
              <w:t>ble tax position’ can be found on the</w:t>
            </w:r>
            <w:r w:rsidR="002457C0" w:rsidRPr="009D17F6">
              <w:rPr>
                <w:rFonts w:cs="Arial"/>
                <w:b w:val="0"/>
                <w:sz w:val="15"/>
                <w:szCs w:val="15"/>
              </w:rPr>
              <w:t xml:space="preserve"> </w:t>
            </w:r>
            <w:hyperlink r:id="rId20" w:history="1">
              <w:r w:rsidR="002457C0" w:rsidRPr="009D17F6">
                <w:rPr>
                  <w:rStyle w:val="Hyperlink"/>
                  <w:rFonts w:cs="Arial"/>
                  <w:b w:val="0"/>
                  <w:sz w:val="15"/>
                  <w:szCs w:val="15"/>
                </w:rPr>
                <w:t>ATO website</w:t>
              </w:r>
            </w:hyperlink>
            <w:r w:rsidR="002457C0" w:rsidRPr="009D17F6">
              <w:rPr>
                <w:rFonts w:cs="Arial"/>
                <w:b w:val="0"/>
                <w:sz w:val="15"/>
                <w:szCs w:val="15"/>
              </w:rPr>
              <w:t>.</w:t>
            </w:r>
            <w:r w:rsidR="005524C3" w:rsidRPr="00211718">
              <w:rPr>
                <w:rFonts w:cs="Arial"/>
                <w:b w:val="0"/>
                <w:sz w:val="15"/>
                <w:szCs w:val="15"/>
              </w:rPr>
              <w:t xml:space="preserve"> </w:t>
            </w:r>
          </w:p>
          <w:p w14:paraId="2BCCAEFF" w14:textId="409BFF02" w:rsidR="005524C3" w:rsidRPr="00435A37" w:rsidRDefault="005524C3" w:rsidP="00D0554E">
            <w:pPr>
              <w:pStyle w:val="Tableheading"/>
              <w:keepNext/>
              <w:rPr>
                <w:b w:val="0"/>
                <w:sz w:val="18"/>
              </w:rPr>
            </w:pPr>
            <w:r w:rsidRPr="00211718">
              <w:rPr>
                <w:rFonts w:cs="Arial"/>
                <w:sz w:val="15"/>
                <w:szCs w:val="15"/>
              </w:rPr>
              <w:t>Note</w:t>
            </w:r>
            <w:r w:rsidRPr="00211718">
              <w:rPr>
                <w:rFonts w:cs="Arial"/>
                <w:b w:val="0"/>
                <w:sz w:val="15"/>
                <w:szCs w:val="15"/>
              </w:rPr>
              <w:t xml:space="preserve">: the RTP will be expanded to apply to all companies in </w:t>
            </w:r>
            <w:r w:rsidR="00DE1FC8" w:rsidRPr="00211718">
              <w:rPr>
                <w:rFonts w:cs="Arial"/>
                <w:b w:val="0"/>
                <w:sz w:val="15"/>
                <w:szCs w:val="15"/>
              </w:rPr>
              <w:t xml:space="preserve">an </w:t>
            </w:r>
            <w:r w:rsidRPr="00211718">
              <w:rPr>
                <w:rFonts w:cs="Arial"/>
                <w:b w:val="0"/>
                <w:sz w:val="15"/>
                <w:szCs w:val="15"/>
              </w:rPr>
              <w:t>economic group with a turnover greater than $250 million from 1 July 2018.</w:t>
            </w:r>
          </w:p>
        </w:tc>
        <w:tc>
          <w:tcPr>
            <w:tcW w:w="352" w:type="pct"/>
            <w:tcBorders>
              <w:top w:val="single" w:sz="4" w:space="0" w:color="939598"/>
              <w:left w:val="single" w:sz="4" w:space="0" w:color="939598"/>
              <w:bottom w:val="single" w:sz="4" w:space="0" w:color="939598"/>
              <w:right w:val="single" w:sz="4" w:space="0" w:color="939598"/>
            </w:tcBorders>
            <w:shd w:val="clear" w:color="auto" w:fill="auto"/>
          </w:tcPr>
          <w:p w14:paraId="66624101" w14:textId="77777777" w:rsidR="00435A37" w:rsidRPr="005A1539" w:rsidRDefault="00435A37" w:rsidP="00D0554E">
            <w:pPr>
              <w:pStyle w:val="Tableheading"/>
              <w:keepNext/>
              <w:rPr>
                <w:sz w:val="18"/>
              </w:rPr>
            </w:pPr>
          </w:p>
        </w:tc>
        <w:tc>
          <w:tcPr>
            <w:tcW w:w="281" w:type="pct"/>
            <w:tcBorders>
              <w:top w:val="single" w:sz="4" w:space="0" w:color="939598"/>
              <w:left w:val="single" w:sz="4" w:space="0" w:color="939598"/>
              <w:bottom w:val="single" w:sz="4" w:space="0" w:color="939598"/>
              <w:right w:val="single" w:sz="4" w:space="0" w:color="939598"/>
            </w:tcBorders>
            <w:shd w:val="clear" w:color="auto" w:fill="auto"/>
          </w:tcPr>
          <w:p w14:paraId="6264B16E" w14:textId="77777777" w:rsidR="00435A37" w:rsidRPr="005A1539" w:rsidRDefault="00435A37" w:rsidP="00D0554E">
            <w:pPr>
              <w:pStyle w:val="Tableheading"/>
              <w:keepNext/>
              <w:rPr>
                <w:sz w:val="18"/>
              </w:rPr>
            </w:pPr>
          </w:p>
        </w:tc>
        <w:tc>
          <w:tcPr>
            <w:tcW w:w="361" w:type="pct"/>
            <w:tcBorders>
              <w:top w:val="single" w:sz="4" w:space="0" w:color="939598"/>
              <w:left w:val="single" w:sz="4" w:space="0" w:color="939598"/>
              <w:bottom w:val="single" w:sz="4" w:space="0" w:color="939598"/>
              <w:right w:val="single" w:sz="4" w:space="0" w:color="939598"/>
            </w:tcBorders>
            <w:shd w:val="clear" w:color="auto" w:fill="auto"/>
          </w:tcPr>
          <w:p w14:paraId="4BF7C2A5" w14:textId="77777777" w:rsidR="00435A37" w:rsidRPr="005A1539" w:rsidRDefault="00435A37" w:rsidP="00D0554E">
            <w:pPr>
              <w:pStyle w:val="Tableheading"/>
              <w:keepNext/>
              <w:rPr>
                <w:sz w:val="18"/>
              </w:rPr>
            </w:pPr>
          </w:p>
        </w:tc>
      </w:tr>
      <w:tr w:rsidR="00435A37" w:rsidRPr="009D23C0" w14:paraId="0DDBB7EF" w14:textId="77777777" w:rsidTr="005A4F47">
        <w:tc>
          <w:tcPr>
            <w:tcW w:w="5000" w:type="pct"/>
            <w:gridSpan w:val="4"/>
            <w:tcBorders>
              <w:top w:val="single" w:sz="4" w:space="0" w:color="939598"/>
              <w:bottom w:val="single" w:sz="4" w:space="0" w:color="939598"/>
            </w:tcBorders>
            <w:shd w:val="clear" w:color="auto" w:fill="D9D9D9" w:themeFill="background1" w:themeFillShade="D9"/>
          </w:tcPr>
          <w:p w14:paraId="594D845D" w14:textId="7FA88288" w:rsidR="00435A37" w:rsidRPr="009D23C0" w:rsidRDefault="00435A37" w:rsidP="00D0554E">
            <w:pPr>
              <w:pStyle w:val="Tableheading"/>
              <w:keepNext/>
            </w:pPr>
            <w:bookmarkStart w:id="2" w:name="_Hlk516219281"/>
            <w:r w:rsidRPr="000D3B0E">
              <w:rPr>
                <w:rFonts w:cs="Arial"/>
              </w:rPr>
              <w:t>O</w:t>
            </w:r>
            <w:r w:rsidR="00FB3500">
              <w:rPr>
                <w:rFonts w:cs="Arial"/>
              </w:rPr>
              <w:t xml:space="preserve">VERSEAS TRANSACTIONS OR INTERESTS / THIN CAPITALISATION </w:t>
            </w:r>
            <w:r w:rsidRPr="000D3B0E">
              <w:rPr>
                <w:rFonts w:cs="Arial"/>
              </w:rPr>
              <w:t>/ F</w:t>
            </w:r>
            <w:r w:rsidR="00FB3500">
              <w:rPr>
                <w:rFonts w:cs="Arial"/>
              </w:rPr>
              <w:t>OREIGN SOURCE INCOME</w:t>
            </w:r>
            <w:r w:rsidRPr="000D3B0E">
              <w:rPr>
                <w:rFonts w:cs="Arial"/>
              </w:rPr>
              <w:t xml:space="preserve"> (</w:t>
            </w:r>
            <w:r w:rsidR="00FB3500">
              <w:rPr>
                <w:rFonts w:cs="Arial"/>
              </w:rPr>
              <w:t>ITEMS</w:t>
            </w:r>
            <w:r w:rsidRPr="000D3B0E">
              <w:rPr>
                <w:rFonts w:cs="Arial"/>
              </w:rPr>
              <w:t xml:space="preserve"> </w:t>
            </w:r>
            <w:r>
              <w:rPr>
                <w:rFonts w:cs="Arial"/>
              </w:rPr>
              <w:t>2</w:t>
            </w:r>
            <w:r w:rsidR="00E03AEB">
              <w:rPr>
                <w:rFonts w:cs="Arial"/>
              </w:rPr>
              <w:t>6</w:t>
            </w:r>
            <w:r>
              <w:rPr>
                <w:rFonts w:cs="Arial"/>
              </w:rPr>
              <w:t>-</w:t>
            </w:r>
            <w:r w:rsidR="00E03AEB">
              <w:rPr>
                <w:rFonts w:cs="Arial"/>
              </w:rPr>
              <w:t>30</w:t>
            </w:r>
            <w:r w:rsidRPr="000D3B0E">
              <w:rPr>
                <w:rFonts w:cs="Arial"/>
              </w:rPr>
              <w:t>)</w:t>
            </w:r>
            <w:r>
              <w:rPr>
                <w:rFonts w:cs="Arial"/>
              </w:rPr>
              <w:t xml:space="preserve"> </w:t>
            </w:r>
          </w:p>
        </w:tc>
      </w:tr>
      <w:bookmarkEnd w:id="2"/>
      <w:tr w:rsidR="00D0554E" w:rsidRPr="009D23C0" w14:paraId="1570253E" w14:textId="77777777" w:rsidTr="005A4F47">
        <w:tc>
          <w:tcPr>
            <w:tcW w:w="4006" w:type="pct"/>
            <w:tcBorders>
              <w:top w:val="single" w:sz="4" w:space="0" w:color="939598"/>
              <w:bottom w:val="single" w:sz="4" w:space="0" w:color="939598"/>
              <w:right w:val="single" w:sz="4" w:space="0" w:color="939598"/>
            </w:tcBorders>
            <w:shd w:val="clear" w:color="auto" w:fill="auto"/>
          </w:tcPr>
          <w:p w14:paraId="412BFEA0" w14:textId="1FEC5EB8" w:rsidR="005524C3" w:rsidRPr="00CE20D4" w:rsidRDefault="00435A37" w:rsidP="00D0554E">
            <w:pPr>
              <w:pStyle w:val="Tableheading"/>
              <w:keepNext/>
              <w:rPr>
                <w:rFonts w:cs="Arial"/>
                <w:b w:val="0"/>
              </w:rPr>
            </w:pPr>
            <w:r w:rsidRPr="00CE20D4">
              <w:rPr>
                <w:rFonts w:cs="Arial"/>
                <w:b w:val="0"/>
              </w:rPr>
              <w:t xml:space="preserve">Have the transfer pricing provisions in </w:t>
            </w:r>
            <w:r w:rsidR="007630A3">
              <w:rPr>
                <w:rFonts w:cs="Arial"/>
                <w:b w:val="0"/>
              </w:rPr>
              <w:t xml:space="preserve">Subdivision </w:t>
            </w:r>
            <w:r w:rsidRPr="00CE20D4">
              <w:rPr>
                <w:rFonts w:cs="Arial"/>
                <w:b w:val="0"/>
              </w:rPr>
              <w:t>815-</w:t>
            </w:r>
            <w:r w:rsidR="007630A3">
              <w:rPr>
                <w:rFonts w:cs="Arial"/>
                <w:b w:val="0"/>
              </w:rPr>
              <w:t>B</w:t>
            </w:r>
            <w:r w:rsidRPr="00CE20D4">
              <w:rPr>
                <w:rFonts w:cs="Arial"/>
                <w:b w:val="0"/>
              </w:rPr>
              <w:t xml:space="preserve"> of the </w:t>
            </w:r>
            <w:r w:rsidR="00DE1FC8" w:rsidRPr="00A260A5">
              <w:rPr>
                <w:b w:val="0"/>
                <w:i/>
              </w:rPr>
              <w:t>Income Tax Assessment Act (1997</w:t>
            </w:r>
            <w:r w:rsidR="00DE1FC8" w:rsidRPr="00A260A5">
              <w:rPr>
                <w:b w:val="0"/>
              </w:rPr>
              <w:t>)</w:t>
            </w:r>
            <w:r w:rsidRPr="00CE20D4">
              <w:rPr>
                <w:rFonts w:cs="Arial"/>
                <w:b w:val="0"/>
              </w:rPr>
              <w:t xml:space="preserve"> (and the need for commercial arm’s length principles been applied to </w:t>
            </w:r>
            <w:r w:rsidR="00ED3139">
              <w:rPr>
                <w:rFonts w:cs="Arial"/>
                <w:b w:val="0"/>
              </w:rPr>
              <w:t xml:space="preserve">cross-border </w:t>
            </w:r>
            <w:r w:rsidRPr="00CE20D4">
              <w:rPr>
                <w:rFonts w:cs="Arial"/>
                <w:b w:val="0"/>
              </w:rPr>
              <w:t xml:space="preserve">transactions with </w:t>
            </w:r>
            <w:r w:rsidR="00D20781">
              <w:rPr>
                <w:rFonts w:cs="Arial"/>
                <w:b w:val="0"/>
              </w:rPr>
              <w:t xml:space="preserve">international </w:t>
            </w:r>
            <w:r w:rsidR="00BD325C">
              <w:rPr>
                <w:rFonts w:cs="Arial"/>
                <w:b w:val="0"/>
              </w:rPr>
              <w:t>related parties</w:t>
            </w:r>
            <w:r w:rsidRPr="00CE20D4">
              <w:rPr>
                <w:rFonts w:cs="Arial"/>
                <w:b w:val="0"/>
              </w:rPr>
              <w:t>) been considered?</w:t>
            </w:r>
            <w:r w:rsidR="0057118B">
              <w:rPr>
                <w:rFonts w:cs="Arial"/>
                <w:b w:val="0"/>
              </w:rPr>
              <w:t xml:space="preserve"> </w:t>
            </w:r>
          </w:p>
        </w:tc>
        <w:tc>
          <w:tcPr>
            <w:tcW w:w="352" w:type="pct"/>
            <w:tcBorders>
              <w:top w:val="single" w:sz="4" w:space="0" w:color="939598"/>
              <w:left w:val="single" w:sz="4" w:space="0" w:color="939598"/>
              <w:bottom w:val="single" w:sz="4" w:space="0" w:color="939598"/>
              <w:right w:val="single" w:sz="4" w:space="0" w:color="939598"/>
            </w:tcBorders>
            <w:shd w:val="clear" w:color="auto" w:fill="auto"/>
          </w:tcPr>
          <w:p w14:paraId="4FD41FCF" w14:textId="77777777" w:rsidR="00435A37" w:rsidRPr="009D23C0" w:rsidRDefault="00435A37" w:rsidP="00D0554E">
            <w:pPr>
              <w:pStyle w:val="Tableheading"/>
              <w:keepNext/>
            </w:pPr>
          </w:p>
        </w:tc>
        <w:tc>
          <w:tcPr>
            <w:tcW w:w="281" w:type="pct"/>
            <w:tcBorders>
              <w:top w:val="single" w:sz="4" w:space="0" w:color="939598"/>
              <w:left w:val="single" w:sz="4" w:space="0" w:color="939598"/>
              <w:bottom w:val="single" w:sz="4" w:space="0" w:color="939598"/>
              <w:right w:val="single" w:sz="4" w:space="0" w:color="939598"/>
            </w:tcBorders>
            <w:shd w:val="clear" w:color="auto" w:fill="auto"/>
          </w:tcPr>
          <w:p w14:paraId="17D52051" w14:textId="77777777" w:rsidR="00435A37" w:rsidRPr="009D23C0" w:rsidRDefault="00435A37" w:rsidP="00D0554E">
            <w:pPr>
              <w:pStyle w:val="Tableheading"/>
              <w:keepNext/>
            </w:pPr>
          </w:p>
        </w:tc>
        <w:tc>
          <w:tcPr>
            <w:tcW w:w="361" w:type="pct"/>
            <w:tcBorders>
              <w:top w:val="single" w:sz="4" w:space="0" w:color="939598"/>
              <w:left w:val="single" w:sz="4" w:space="0" w:color="939598"/>
              <w:bottom w:val="single" w:sz="4" w:space="0" w:color="939598"/>
              <w:right w:val="single" w:sz="4" w:space="0" w:color="939598"/>
            </w:tcBorders>
            <w:shd w:val="clear" w:color="auto" w:fill="auto"/>
          </w:tcPr>
          <w:p w14:paraId="66458E47" w14:textId="77777777" w:rsidR="00435A37" w:rsidRPr="009D23C0" w:rsidRDefault="00435A37" w:rsidP="00D0554E">
            <w:pPr>
              <w:pStyle w:val="Tableheading"/>
              <w:keepNext/>
            </w:pPr>
          </w:p>
        </w:tc>
      </w:tr>
      <w:tr w:rsidR="00D0554E" w:rsidRPr="009D23C0" w14:paraId="6E4F1019" w14:textId="77777777" w:rsidTr="005A4F47">
        <w:tc>
          <w:tcPr>
            <w:tcW w:w="4006" w:type="pct"/>
            <w:tcBorders>
              <w:top w:val="single" w:sz="4" w:space="0" w:color="939598"/>
              <w:bottom w:val="single" w:sz="4" w:space="0" w:color="939598"/>
              <w:right w:val="single" w:sz="4" w:space="0" w:color="939598"/>
            </w:tcBorders>
            <w:shd w:val="clear" w:color="auto" w:fill="auto"/>
          </w:tcPr>
          <w:p w14:paraId="5485E23E" w14:textId="11558BFF" w:rsidR="00ED3139" w:rsidRPr="00CE20D4" w:rsidRDefault="00ED3139" w:rsidP="00D0554E">
            <w:pPr>
              <w:pStyle w:val="Tableheading"/>
              <w:keepNext/>
              <w:rPr>
                <w:rFonts w:cs="Arial"/>
                <w:b w:val="0"/>
              </w:rPr>
            </w:pPr>
            <w:r>
              <w:rPr>
                <w:rFonts w:cs="Arial"/>
                <w:b w:val="0"/>
              </w:rPr>
              <w:t xml:space="preserve">Are the arm’s length conditions of cross-border transactions consistent with the arm’s length methodologies approved by the OECD as effectively required under section 815-135 of the </w:t>
            </w:r>
            <w:r w:rsidRPr="00A260A5">
              <w:rPr>
                <w:b w:val="0"/>
                <w:i/>
              </w:rPr>
              <w:t>Income Tax Assessment Act (1997)</w:t>
            </w:r>
            <w:r>
              <w:rPr>
                <w:b w:val="0"/>
                <w:i/>
              </w:rPr>
              <w:t>?</w:t>
            </w:r>
            <w:r w:rsidRPr="00A260A5">
              <w:rPr>
                <w:b w:val="0"/>
              </w:rPr>
              <w:t xml:space="preserve"> </w:t>
            </w:r>
            <w:r w:rsidRPr="00ED3139">
              <w:rPr>
                <w:rFonts w:cs="Arial"/>
                <w:b w:val="0"/>
              </w:rPr>
              <w:t xml:space="preserve">        </w:t>
            </w:r>
          </w:p>
        </w:tc>
        <w:tc>
          <w:tcPr>
            <w:tcW w:w="352" w:type="pct"/>
            <w:tcBorders>
              <w:top w:val="single" w:sz="4" w:space="0" w:color="939598"/>
              <w:left w:val="single" w:sz="4" w:space="0" w:color="939598"/>
              <w:bottom w:val="single" w:sz="4" w:space="0" w:color="939598"/>
              <w:right w:val="single" w:sz="4" w:space="0" w:color="939598"/>
            </w:tcBorders>
            <w:shd w:val="clear" w:color="auto" w:fill="auto"/>
          </w:tcPr>
          <w:p w14:paraId="2F454602" w14:textId="77777777" w:rsidR="00ED3139" w:rsidRPr="009D23C0" w:rsidRDefault="00ED3139" w:rsidP="00D0554E">
            <w:pPr>
              <w:pStyle w:val="Tableheading"/>
              <w:keepNext/>
            </w:pPr>
          </w:p>
        </w:tc>
        <w:tc>
          <w:tcPr>
            <w:tcW w:w="281" w:type="pct"/>
            <w:tcBorders>
              <w:top w:val="single" w:sz="4" w:space="0" w:color="939598"/>
              <w:left w:val="single" w:sz="4" w:space="0" w:color="939598"/>
              <w:bottom w:val="single" w:sz="4" w:space="0" w:color="939598"/>
              <w:right w:val="single" w:sz="4" w:space="0" w:color="939598"/>
            </w:tcBorders>
            <w:shd w:val="clear" w:color="auto" w:fill="auto"/>
          </w:tcPr>
          <w:p w14:paraId="0F9B7A45" w14:textId="77777777" w:rsidR="00ED3139" w:rsidRPr="009D23C0" w:rsidRDefault="00ED3139" w:rsidP="00D0554E">
            <w:pPr>
              <w:pStyle w:val="Tableheading"/>
              <w:keepNext/>
            </w:pPr>
          </w:p>
        </w:tc>
        <w:tc>
          <w:tcPr>
            <w:tcW w:w="361" w:type="pct"/>
            <w:tcBorders>
              <w:top w:val="single" w:sz="4" w:space="0" w:color="939598"/>
              <w:left w:val="single" w:sz="4" w:space="0" w:color="939598"/>
              <w:bottom w:val="single" w:sz="4" w:space="0" w:color="939598"/>
              <w:right w:val="single" w:sz="4" w:space="0" w:color="939598"/>
            </w:tcBorders>
            <w:shd w:val="clear" w:color="auto" w:fill="auto"/>
          </w:tcPr>
          <w:p w14:paraId="5AAE5DBD" w14:textId="77777777" w:rsidR="00ED3139" w:rsidRPr="009D23C0" w:rsidRDefault="00ED3139" w:rsidP="00D0554E">
            <w:pPr>
              <w:pStyle w:val="Tableheading"/>
              <w:keepNext/>
            </w:pPr>
          </w:p>
        </w:tc>
      </w:tr>
      <w:tr w:rsidR="00D0554E" w:rsidRPr="009D23C0" w14:paraId="6CF361AF" w14:textId="77777777" w:rsidTr="005A4F47">
        <w:tc>
          <w:tcPr>
            <w:tcW w:w="4006" w:type="pct"/>
            <w:tcBorders>
              <w:top w:val="single" w:sz="4" w:space="0" w:color="939598"/>
              <w:bottom w:val="single" w:sz="4" w:space="0" w:color="939598"/>
              <w:right w:val="single" w:sz="4" w:space="0" w:color="939598"/>
            </w:tcBorders>
            <w:shd w:val="clear" w:color="auto" w:fill="auto"/>
          </w:tcPr>
          <w:p w14:paraId="770AF772" w14:textId="19E863DF" w:rsidR="00ED3139" w:rsidRPr="0057118B" w:rsidRDefault="005524C3" w:rsidP="00D0554E">
            <w:pPr>
              <w:pStyle w:val="Tableheading"/>
              <w:keepNext/>
              <w:rPr>
                <w:rFonts w:cs="Arial"/>
                <w:b w:val="0"/>
              </w:rPr>
            </w:pPr>
            <w:r>
              <w:rPr>
                <w:rFonts w:cs="Arial"/>
                <w:b w:val="0"/>
              </w:rPr>
              <w:t>Has the company prepared conte</w:t>
            </w:r>
            <w:r w:rsidR="0057118B">
              <w:rPr>
                <w:rFonts w:cs="Arial"/>
                <w:b w:val="0"/>
              </w:rPr>
              <w:t>mporaneous</w:t>
            </w:r>
            <w:r>
              <w:rPr>
                <w:rFonts w:cs="Arial"/>
                <w:b w:val="0"/>
              </w:rPr>
              <w:t xml:space="preserve"> documentation in respect of the arm’s length</w:t>
            </w:r>
            <w:r w:rsidR="0057118B">
              <w:rPr>
                <w:rFonts w:cs="Arial"/>
                <w:b w:val="0"/>
              </w:rPr>
              <w:t xml:space="preserve"> conditions of any cross-border transaction setting out the arm’s length methodology used in identifying the arm’s length conditions and pricing of such a transaction? Does such documentation satisfy the requirements of Subdivision 284-E of Schedule 1 of the </w:t>
            </w:r>
            <w:r w:rsidR="0057118B" w:rsidRPr="00A260A5">
              <w:rPr>
                <w:rFonts w:cs="Arial"/>
                <w:b w:val="0"/>
                <w:i/>
              </w:rPr>
              <w:t>Taxation Administration Act (1953)</w:t>
            </w:r>
            <w:r w:rsidR="0057118B">
              <w:rPr>
                <w:rFonts w:cs="Arial"/>
                <w:b w:val="0"/>
              </w:rPr>
              <w:t xml:space="preserve"> and </w:t>
            </w:r>
            <w:r w:rsidR="0057118B" w:rsidRPr="00A260A5">
              <w:rPr>
                <w:rFonts w:cs="Arial"/>
                <w:b w:val="0"/>
                <w:i/>
              </w:rPr>
              <w:t>Taxation Ruling TR 2014/8</w:t>
            </w:r>
            <w:r w:rsidR="0057118B">
              <w:rPr>
                <w:rFonts w:cs="Arial"/>
                <w:b w:val="0"/>
                <w:i/>
              </w:rPr>
              <w:t xml:space="preserve">? </w:t>
            </w:r>
          </w:p>
        </w:tc>
        <w:tc>
          <w:tcPr>
            <w:tcW w:w="352" w:type="pct"/>
            <w:tcBorders>
              <w:top w:val="single" w:sz="4" w:space="0" w:color="939598"/>
              <w:left w:val="single" w:sz="4" w:space="0" w:color="939598"/>
              <w:bottom w:val="single" w:sz="4" w:space="0" w:color="939598"/>
              <w:right w:val="single" w:sz="4" w:space="0" w:color="939598"/>
            </w:tcBorders>
            <w:shd w:val="clear" w:color="auto" w:fill="auto"/>
          </w:tcPr>
          <w:p w14:paraId="7AC3D2E6" w14:textId="77777777" w:rsidR="005524C3" w:rsidRPr="009D23C0" w:rsidRDefault="005524C3" w:rsidP="00D0554E">
            <w:pPr>
              <w:pStyle w:val="Tableheading"/>
              <w:keepNext/>
            </w:pPr>
          </w:p>
        </w:tc>
        <w:tc>
          <w:tcPr>
            <w:tcW w:w="281" w:type="pct"/>
            <w:tcBorders>
              <w:top w:val="single" w:sz="4" w:space="0" w:color="939598"/>
              <w:left w:val="single" w:sz="4" w:space="0" w:color="939598"/>
              <w:bottom w:val="single" w:sz="4" w:space="0" w:color="939598"/>
              <w:right w:val="single" w:sz="4" w:space="0" w:color="939598"/>
            </w:tcBorders>
            <w:shd w:val="clear" w:color="auto" w:fill="auto"/>
          </w:tcPr>
          <w:p w14:paraId="457EBB2A" w14:textId="77777777" w:rsidR="005524C3" w:rsidRPr="009D23C0" w:rsidRDefault="005524C3" w:rsidP="00D0554E">
            <w:pPr>
              <w:pStyle w:val="Tableheading"/>
              <w:keepNext/>
            </w:pPr>
          </w:p>
        </w:tc>
        <w:tc>
          <w:tcPr>
            <w:tcW w:w="361" w:type="pct"/>
            <w:tcBorders>
              <w:top w:val="single" w:sz="4" w:space="0" w:color="939598"/>
              <w:left w:val="single" w:sz="4" w:space="0" w:color="939598"/>
              <w:bottom w:val="single" w:sz="4" w:space="0" w:color="939598"/>
              <w:right w:val="single" w:sz="4" w:space="0" w:color="939598"/>
            </w:tcBorders>
            <w:shd w:val="clear" w:color="auto" w:fill="auto"/>
          </w:tcPr>
          <w:p w14:paraId="29DF0C9B" w14:textId="77777777" w:rsidR="005524C3" w:rsidRPr="009D23C0" w:rsidRDefault="005524C3" w:rsidP="00D0554E">
            <w:pPr>
              <w:pStyle w:val="Tableheading"/>
              <w:keepNext/>
            </w:pPr>
          </w:p>
        </w:tc>
      </w:tr>
    </w:tbl>
    <w:p w14:paraId="1D8B3712" w14:textId="77777777" w:rsidR="0097006B" w:rsidRDefault="0097006B">
      <w:r>
        <w:rPr>
          <w:b/>
        </w:rPr>
        <w:br w:type="page"/>
      </w:r>
    </w:p>
    <w:tbl>
      <w:tblPr>
        <w:tblW w:w="5002" w:type="pct"/>
        <w:tblBorders>
          <w:top w:val="single" w:sz="4" w:space="0" w:color="939598"/>
          <w:left w:val="single" w:sz="4" w:space="0" w:color="939598"/>
          <w:bottom w:val="single" w:sz="4" w:space="0" w:color="939598"/>
          <w:right w:val="single" w:sz="4" w:space="0" w:color="939598"/>
        </w:tblBorders>
        <w:tblLayout w:type="fixed"/>
        <w:tblLook w:val="00A0" w:firstRow="1" w:lastRow="0" w:firstColumn="1" w:lastColumn="0" w:noHBand="0" w:noVBand="0"/>
      </w:tblPr>
      <w:tblGrid>
        <w:gridCol w:w="8075"/>
        <w:gridCol w:w="710"/>
        <w:gridCol w:w="566"/>
        <w:gridCol w:w="728"/>
      </w:tblGrid>
      <w:tr w:rsidR="0097006B" w:rsidRPr="005A1539" w14:paraId="66D45B5F" w14:textId="77777777" w:rsidTr="008C013F">
        <w:tc>
          <w:tcPr>
            <w:tcW w:w="4006" w:type="pct"/>
            <w:tcBorders>
              <w:top w:val="single" w:sz="4" w:space="0" w:color="939598"/>
              <w:bottom w:val="single" w:sz="4" w:space="0" w:color="939598"/>
              <w:right w:val="single" w:sz="4" w:space="0" w:color="939598"/>
            </w:tcBorders>
            <w:shd w:val="clear" w:color="auto" w:fill="051C3C"/>
          </w:tcPr>
          <w:p w14:paraId="5ACCDACA" w14:textId="453857C0" w:rsidR="0097006B" w:rsidRPr="005A1539" w:rsidRDefault="0097006B" w:rsidP="008C013F">
            <w:pPr>
              <w:pStyle w:val="Tableheading"/>
              <w:keepNext/>
              <w:rPr>
                <w:sz w:val="18"/>
              </w:rPr>
            </w:pPr>
            <w:r>
              <w:rPr>
                <w:b w:val="0"/>
              </w:rPr>
              <w:lastRenderedPageBreak/>
              <w:br w:type="page"/>
            </w:r>
            <w:r w:rsidRPr="00621783">
              <w:rPr>
                <w:sz w:val="18"/>
              </w:rPr>
              <w:t>T</w:t>
            </w:r>
            <w:r>
              <w:rPr>
                <w:sz w:val="18"/>
              </w:rPr>
              <w:t>AX RETURN FORM COMPLETION</w:t>
            </w:r>
            <w:r w:rsidRPr="00621783">
              <w:rPr>
                <w:sz w:val="18"/>
              </w:rPr>
              <w:t xml:space="preserve"> </w:t>
            </w:r>
          </w:p>
        </w:tc>
        <w:tc>
          <w:tcPr>
            <w:tcW w:w="352" w:type="pct"/>
            <w:tcBorders>
              <w:top w:val="single" w:sz="4" w:space="0" w:color="939598"/>
              <w:left w:val="single" w:sz="4" w:space="0" w:color="939598"/>
              <w:bottom w:val="single" w:sz="4" w:space="0" w:color="939598"/>
              <w:right w:val="single" w:sz="4" w:space="0" w:color="939598"/>
            </w:tcBorders>
            <w:shd w:val="clear" w:color="auto" w:fill="051C3C"/>
          </w:tcPr>
          <w:p w14:paraId="7FF25DA8" w14:textId="77777777" w:rsidR="0097006B" w:rsidRPr="005A1539" w:rsidRDefault="0097006B" w:rsidP="008C013F">
            <w:pPr>
              <w:pStyle w:val="Tableheading"/>
              <w:keepNext/>
              <w:rPr>
                <w:sz w:val="18"/>
              </w:rPr>
            </w:pPr>
            <w:r>
              <w:rPr>
                <w:sz w:val="18"/>
              </w:rPr>
              <w:t>YES</w:t>
            </w:r>
          </w:p>
        </w:tc>
        <w:tc>
          <w:tcPr>
            <w:tcW w:w="281" w:type="pct"/>
            <w:tcBorders>
              <w:top w:val="single" w:sz="4" w:space="0" w:color="939598"/>
              <w:left w:val="single" w:sz="4" w:space="0" w:color="939598"/>
              <w:bottom w:val="single" w:sz="4" w:space="0" w:color="939598"/>
              <w:right w:val="single" w:sz="4" w:space="0" w:color="939598"/>
            </w:tcBorders>
            <w:shd w:val="clear" w:color="auto" w:fill="051C3C"/>
          </w:tcPr>
          <w:p w14:paraId="0FFFF3EA" w14:textId="77777777" w:rsidR="0097006B" w:rsidRPr="005A1539" w:rsidRDefault="0097006B" w:rsidP="008C013F">
            <w:pPr>
              <w:pStyle w:val="Tableheading"/>
              <w:keepNext/>
              <w:rPr>
                <w:sz w:val="18"/>
              </w:rPr>
            </w:pPr>
            <w:r>
              <w:rPr>
                <w:sz w:val="18"/>
              </w:rPr>
              <w:t>NO</w:t>
            </w:r>
          </w:p>
        </w:tc>
        <w:tc>
          <w:tcPr>
            <w:tcW w:w="361" w:type="pct"/>
            <w:tcBorders>
              <w:top w:val="single" w:sz="4" w:space="0" w:color="939598"/>
              <w:left w:val="single" w:sz="4" w:space="0" w:color="939598"/>
              <w:bottom w:val="single" w:sz="4" w:space="0" w:color="939598"/>
            </w:tcBorders>
            <w:shd w:val="clear" w:color="auto" w:fill="051C3C"/>
          </w:tcPr>
          <w:p w14:paraId="693D117A" w14:textId="77777777" w:rsidR="0097006B" w:rsidRPr="005A1539" w:rsidRDefault="0097006B" w:rsidP="008C013F">
            <w:pPr>
              <w:pStyle w:val="Tableheading"/>
              <w:keepNext/>
              <w:rPr>
                <w:sz w:val="18"/>
              </w:rPr>
            </w:pPr>
            <w:r w:rsidRPr="005A1539">
              <w:rPr>
                <w:sz w:val="18"/>
              </w:rPr>
              <w:t>N/A</w:t>
            </w:r>
          </w:p>
        </w:tc>
      </w:tr>
      <w:tr w:rsidR="0097006B" w:rsidRPr="009D23C0" w14:paraId="564919E3" w14:textId="77777777" w:rsidTr="008C013F">
        <w:tc>
          <w:tcPr>
            <w:tcW w:w="5000" w:type="pct"/>
            <w:gridSpan w:val="4"/>
            <w:tcBorders>
              <w:top w:val="single" w:sz="4" w:space="0" w:color="939598"/>
              <w:bottom w:val="single" w:sz="4" w:space="0" w:color="939598"/>
            </w:tcBorders>
            <w:shd w:val="clear" w:color="auto" w:fill="D9D9D9" w:themeFill="background1" w:themeFillShade="D9"/>
          </w:tcPr>
          <w:p w14:paraId="0AE6E0C2" w14:textId="77777777" w:rsidR="0097006B" w:rsidRPr="009D23C0" w:rsidRDefault="0097006B" w:rsidP="008C013F">
            <w:pPr>
              <w:pStyle w:val="Tableheading"/>
              <w:keepNext/>
            </w:pPr>
            <w:r w:rsidRPr="000D3B0E">
              <w:rPr>
                <w:rFonts w:cs="Arial"/>
              </w:rPr>
              <w:t>O</w:t>
            </w:r>
            <w:r>
              <w:rPr>
                <w:rFonts w:cs="Arial"/>
              </w:rPr>
              <w:t xml:space="preserve">VERSEAS TRANSACTIONS OR INTERESTS / THIN CAPITALISATION </w:t>
            </w:r>
            <w:r w:rsidRPr="000D3B0E">
              <w:rPr>
                <w:rFonts w:cs="Arial"/>
              </w:rPr>
              <w:t>/ F</w:t>
            </w:r>
            <w:r>
              <w:rPr>
                <w:rFonts w:cs="Arial"/>
              </w:rPr>
              <w:t>OREIGN SOURCE INCOME</w:t>
            </w:r>
            <w:r w:rsidRPr="000D3B0E">
              <w:rPr>
                <w:rFonts w:cs="Arial"/>
              </w:rPr>
              <w:t xml:space="preserve"> (</w:t>
            </w:r>
            <w:r>
              <w:rPr>
                <w:rFonts w:cs="Arial"/>
              </w:rPr>
              <w:t>ITEMS</w:t>
            </w:r>
            <w:r w:rsidRPr="000D3B0E">
              <w:rPr>
                <w:rFonts w:cs="Arial"/>
              </w:rPr>
              <w:t xml:space="preserve"> </w:t>
            </w:r>
            <w:r>
              <w:rPr>
                <w:rFonts w:cs="Arial"/>
              </w:rPr>
              <w:t>26-30</w:t>
            </w:r>
            <w:r w:rsidRPr="000D3B0E">
              <w:rPr>
                <w:rFonts w:cs="Arial"/>
              </w:rPr>
              <w:t>)</w:t>
            </w:r>
            <w:r>
              <w:rPr>
                <w:rFonts w:cs="Arial"/>
              </w:rPr>
              <w:t xml:space="preserve"> </w:t>
            </w:r>
          </w:p>
        </w:tc>
      </w:tr>
      <w:tr w:rsidR="00D0554E" w:rsidRPr="009D23C0" w14:paraId="168BC6AF" w14:textId="77777777" w:rsidTr="005A4F47">
        <w:tc>
          <w:tcPr>
            <w:tcW w:w="4006" w:type="pct"/>
            <w:tcBorders>
              <w:top w:val="single" w:sz="4" w:space="0" w:color="939598"/>
              <w:bottom w:val="single" w:sz="4" w:space="0" w:color="939598"/>
              <w:right w:val="single" w:sz="4" w:space="0" w:color="939598"/>
            </w:tcBorders>
            <w:shd w:val="clear" w:color="auto" w:fill="auto"/>
          </w:tcPr>
          <w:p w14:paraId="7B7CDC04" w14:textId="2D35E5A0" w:rsidR="0057118B" w:rsidRDefault="00ED3139" w:rsidP="00D0554E">
            <w:pPr>
              <w:pStyle w:val="Tableheading"/>
              <w:keepNext/>
              <w:rPr>
                <w:rFonts w:cs="Arial"/>
                <w:b w:val="0"/>
              </w:rPr>
            </w:pPr>
            <w:r>
              <w:rPr>
                <w:rFonts w:cs="Arial"/>
                <w:b w:val="0"/>
              </w:rPr>
              <w:t xml:space="preserve">Is </w:t>
            </w:r>
            <w:r w:rsidR="0057118B">
              <w:rPr>
                <w:rFonts w:cs="Arial"/>
                <w:b w:val="0"/>
              </w:rPr>
              <w:t xml:space="preserve">the company </w:t>
            </w:r>
            <w:r>
              <w:rPr>
                <w:rFonts w:cs="Arial"/>
                <w:b w:val="0"/>
              </w:rPr>
              <w:t xml:space="preserve">eligible to </w:t>
            </w:r>
            <w:r w:rsidR="0057118B">
              <w:rPr>
                <w:rFonts w:cs="Arial"/>
                <w:b w:val="0"/>
              </w:rPr>
              <w:t xml:space="preserve">elect to </w:t>
            </w:r>
            <w:r>
              <w:rPr>
                <w:rFonts w:cs="Arial"/>
                <w:b w:val="0"/>
              </w:rPr>
              <w:t>apply</w:t>
            </w:r>
            <w:r w:rsidR="00D20781">
              <w:rPr>
                <w:rFonts w:cs="Arial"/>
                <w:b w:val="0"/>
              </w:rPr>
              <w:t xml:space="preserve"> the simplified transfer pricing record keeping options under</w:t>
            </w:r>
            <w:r w:rsidR="0057118B">
              <w:rPr>
                <w:rFonts w:cs="Arial"/>
                <w:b w:val="0"/>
              </w:rPr>
              <w:t xml:space="preserve"> </w:t>
            </w:r>
            <w:r w:rsidR="0057118B" w:rsidRPr="00A260A5">
              <w:rPr>
                <w:rFonts w:cs="Arial"/>
                <w:b w:val="0"/>
                <w:i/>
              </w:rPr>
              <w:t>Practical Compliance Guideline PCG 2017/2</w:t>
            </w:r>
            <w:r w:rsidR="0057118B">
              <w:rPr>
                <w:rFonts w:cs="Arial"/>
                <w:b w:val="0"/>
              </w:rPr>
              <w:t xml:space="preserve"> to reduce the amount of contemporaneous transfer pricing documentation administratively required to be retained in order to ensure that a penalty for a failure to maintain a reasonably arguable position will not be imposed?</w:t>
            </w:r>
          </w:p>
        </w:tc>
        <w:tc>
          <w:tcPr>
            <w:tcW w:w="352" w:type="pct"/>
            <w:tcBorders>
              <w:top w:val="single" w:sz="4" w:space="0" w:color="939598"/>
              <w:left w:val="single" w:sz="4" w:space="0" w:color="939598"/>
              <w:bottom w:val="single" w:sz="4" w:space="0" w:color="939598"/>
              <w:right w:val="single" w:sz="4" w:space="0" w:color="939598"/>
            </w:tcBorders>
            <w:shd w:val="clear" w:color="auto" w:fill="auto"/>
          </w:tcPr>
          <w:p w14:paraId="0011745A" w14:textId="77777777" w:rsidR="0057118B" w:rsidRPr="009D23C0" w:rsidRDefault="0057118B" w:rsidP="00D0554E">
            <w:pPr>
              <w:pStyle w:val="Tableheading"/>
              <w:keepNext/>
            </w:pPr>
          </w:p>
        </w:tc>
        <w:tc>
          <w:tcPr>
            <w:tcW w:w="281" w:type="pct"/>
            <w:tcBorders>
              <w:top w:val="single" w:sz="4" w:space="0" w:color="939598"/>
              <w:left w:val="single" w:sz="4" w:space="0" w:color="939598"/>
              <w:bottom w:val="single" w:sz="4" w:space="0" w:color="939598"/>
              <w:right w:val="single" w:sz="4" w:space="0" w:color="939598"/>
            </w:tcBorders>
            <w:shd w:val="clear" w:color="auto" w:fill="auto"/>
          </w:tcPr>
          <w:p w14:paraId="38A94D94" w14:textId="77777777" w:rsidR="0057118B" w:rsidRPr="009D23C0" w:rsidRDefault="0057118B" w:rsidP="00D0554E">
            <w:pPr>
              <w:pStyle w:val="Tableheading"/>
              <w:keepNext/>
            </w:pPr>
          </w:p>
        </w:tc>
        <w:tc>
          <w:tcPr>
            <w:tcW w:w="361" w:type="pct"/>
            <w:tcBorders>
              <w:top w:val="single" w:sz="4" w:space="0" w:color="939598"/>
              <w:left w:val="single" w:sz="4" w:space="0" w:color="939598"/>
              <w:bottom w:val="single" w:sz="4" w:space="0" w:color="939598"/>
              <w:right w:val="single" w:sz="4" w:space="0" w:color="939598"/>
            </w:tcBorders>
            <w:shd w:val="clear" w:color="auto" w:fill="auto"/>
          </w:tcPr>
          <w:p w14:paraId="5211F90A" w14:textId="77777777" w:rsidR="0057118B" w:rsidRPr="009D23C0" w:rsidRDefault="0057118B" w:rsidP="00D0554E">
            <w:pPr>
              <w:pStyle w:val="Tableheading"/>
              <w:keepNext/>
            </w:pPr>
          </w:p>
        </w:tc>
      </w:tr>
      <w:tr w:rsidR="00D0554E" w:rsidRPr="009D23C0" w14:paraId="00DF8926" w14:textId="77777777" w:rsidTr="005A4F47">
        <w:tc>
          <w:tcPr>
            <w:tcW w:w="4006" w:type="pct"/>
            <w:tcBorders>
              <w:top w:val="single" w:sz="4" w:space="0" w:color="939598"/>
              <w:bottom w:val="single" w:sz="4" w:space="0" w:color="939598"/>
              <w:right w:val="single" w:sz="4" w:space="0" w:color="939598"/>
            </w:tcBorders>
            <w:shd w:val="clear" w:color="auto" w:fill="auto"/>
          </w:tcPr>
          <w:p w14:paraId="6CB504A0" w14:textId="77777777" w:rsidR="00ED3139" w:rsidRPr="00ED3139" w:rsidRDefault="00ED3139" w:rsidP="00D0554E">
            <w:pPr>
              <w:spacing w:before="100" w:after="100"/>
              <w:rPr>
                <w:sz w:val="17"/>
                <w:szCs w:val="17"/>
              </w:rPr>
            </w:pPr>
            <w:r w:rsidRPr="00ED3139">
              <w:rPr>
                <w:sz w:val="17"/>
                <w:szCs w:val="17"/>
              </w:rPr>
              <w:t xml:space="preserve">Consider the interaction of the thin capitalisation and transfer pricing provisions under Subdivision 815-B of the </w:t>
            </w:r>
            <w:r w:rsidRPr="00ED3139">
              <w:rPr>
                <w:i/>
                <w:sz w:val="17"/>
                <w:szCs w:val="17"/>
              </w:rPr>
              <w:t xml:space="preserve">Income Tax Assessment Act (1997) </w:t>
            </w:r>
            <w:r w:rsidRPr="00ED3139">
              <w:rPr>
                <w:sz w:val="17"/>
                <w:szCs w:val="17"/>
              </w:rPr>
              <w:t xml:space="preserve">on interest claimed on any cross-border related party debt.  </w:t>
            </w:r>
          </w:p>
          <w:p w14:paraId="0AF7B988" w14:textId="777F718C" w:rsidR="00ED3139" w:rsidRPr="00211718" w:rsidRDefault="00ED3139" w:rsidP="00D0554E">
            <w:pPr>
              <w:pStyle w:val="Tableheading"/>
              <w:keepNext/>
              <w:rPr>
                <w:rFonts w:cs="Arial"/>
                <w:b w:val="0"/>
                <w:sz w:val="15"/>
                <w:szCs w:val="15"/>
              </w:rPr>
            </w:pPr>
            <w:r w:rsidRPr="00211718">
              <w:rPr>
                <w:sz w:val="15"/>
                <w:szCs w:val="15"/>
              </w:rPr>
              <w:t xml:space="preserve">Note: </w:t>
            </w:r>
            <w:r w:rsidRPr="00211718">
              <w:rPr>
                <w:b w:val="0"/>
                <w:sz w:val="15"/>
                <w:szCs w:val="15"/>
              </w:rPr>
              <w:t xml:space="preserve">section 815-140 of the </w:t>
            </w:r>
            <w:r w:rsidRPr="00211718">
              <w:rPr>
                <w:b w:val="0"/>
                <w:i/>
                <w:sz w:val="15"/>
                <w:szCs w:val="15"/>
              </w:rPr>
              <w:t>Income Tax Assessment Act (1997)</w:t>
            </w:r>
            <w:r w:rsidRPr="00211718">
              <w:rPr>
                <w:b w:val="0"/>
                <w:sz w:val="15"/>
                <w:szCs w:val="15"/>
              </w:rPr>
              <w:t xml:space="preserve"> essentially provides that the transfer pricing provisions under Subdivision 815-B may apply to reduce any interest rate charged on related party debt to an arm’s length amount which may result in reduced debt deductions. The thin capitalisation provisions under Division 820 of the </w:t>
            </w:r>
            <w:r w:rsidRPr="00211718">
              <w:rPr>
                <w:b w:val="0"/>
                <w:i/>
                <w:sz w:val="15"/>
                <w:szCs w:val="15"/>
              </w:rPr>
              <w:t>Income Tax Assessment Act (1997)</w:t>
            </w:r>
            <w:r w:rsidRPr="00211718">
              <w:rPr>
                <w:b w:val="0"/>
                <w:sz w:val="15"/>
                <w:szCs w:val="15"/>
              </w:rPr>
              <w:t xml:space="preserve"> are then applied after any transfer pricing benefit has been cancelled to determine whether an entity’s adjusted average debt exceeds its maximum allowable debt.</w:t>
            </w:r>
          </w:p>
        </w:tc>
        <w:tc>
          <w:tcPr>
            <w:tcW w:w="352" w:type="pct"/>
            <w:tcBorders>
              <w:top w:val="single" w:sz="4" w:space="0" w:color="939598"/>
              <w:left w:val="single" w:sz="4" w:space="0" w:color="939598"/>
              <w:bottom w:val="single" w:sz="4" w:space="0" w:color="939598"/>
              <w:right w:val="single" w:sz="4" w:space="0" w:color="939598"/>
            </w:tcBorders>
            <w:shd w:val="clear" w:color="auto" w:fill="auto"/>
          </w:tcPr>
          <w:p w14:paraId="5C95428A" w14:textId="77777777" w:rsidR="00ED3139" w:rsidRPr="009D23C0" w:rsidRDefault="00ED3139" w:rsidP="00D0554E">
            <w:pPr>
              <w:pStyle w:val="Tableheading"/>
              <w:keepNext/>
            </w:pPr>
          </w:p>
        </w:tc>
        <w:tc>
          <w:tcPr>
            <w:tcW w:w="281" w:type="pct"/>
            <w:tcBorders>
              <w:top w:val="single" w:sz="4" w:space="0" w:color="939598"/>
              <w:left w:val="single" w:sz="4" w:space="0" w:color="939598"/>
              <w:bottom w:val="single" w:sz="4" w:space="0" w:color="939598"/>
              <w:right w:val="single" w:sz="4" w:space="0" w:color="939598"/>
            </w:tcBorders>
            <w:shd w:val="clear" w:color="auto" w:fill="auto"/>
          </w:tcPr>
          <w:p w14:paraId="65268172" w14:textId="77777777" w:rsidR="00ED3139" w:rsidRPr="009D23C0" w:rsidRDefault="00ED3139" w:rsidP="00D0554E">
            <w:pPr>
              <w:pStyle w:val="Tableheading"/>
              <w:keepNext/>
            </w:pPr>
          </w:p>
        </w:tc>
        <w:tc>
          <w:tcPr>
            <w:tcW w:w="361" w:type="pct"/>
            <w:tcBorders>
              <w:top w:val="single" w:sz="4" w:space="0" w:color="939598"/>
              <w:left w:val="single" w:sz="4" w:space="0" w:color="939598"/>
              <w:bottom w:val="single" w:sz="4" w:space="0" w:color="939598"/>
              <w:right w:val="single" w:sz="4" w:space="0" w:color="939598"/>
            </w:tcBorders>
            <w:shd w:val="clear" w:color="auto" w:fill="auto"/>
          </w:tcPr>
          <w:p w14:paraId="1140E00A" w14:textId="77777777" w:rsidR="00ED3139" w:rsidRPr="009D23C0" w:rsidRDefault="00ED3139" w:rsidP="00D0554E">
            <w:pPr>
              <w:pStyle w:val="Tableheading"/>
              <w:keepNext/>
            </w:pPr>
          </w:p>
        </w:tc>
      </w:tr>
      <w:tr w:rsidR="00D0554E" w:rsidRPr="009D23C0" w14:paraId="748764DD" w14:textId="77777777" w:rsidTr="005A4F47">
        <w:tc>
          <w:tcPr>
            <w:tcW w:w="4006" w:type="pct"/>
            <w:tcBorders>
              <w:top w:val="single" w:sz="4" w:space="0" w:color="939598"/>
              <w:bottom w:val="single" w:sz="4" w:space="0" w:color="939598"/>
              <w:right w:val="single" w:sz="4" w:space="0" w:color="939598"/>
            </w:tcBorders>
            <w:shd w:val="clear" w:color="auto" w:fill="auto"/>
          </w:tcPr>
          <w:p w14:paraId="0A518123" w14:textId="292B3FAB" w:rsidR="00435A37" w:rsidRPr="00CE20D4" w:rsidRDefault="0057118B" w:rsidP="00D0554E">
            <w:pPr>
              <w:pStyle w:val="Tablealphabullet"/>
              <w:keepNext/>
              <w:numPr>
                <w:ilvl w:val="0"/>
                <w:numId w:val="37"/>
              </w:numPr>
              <w:tabs>
                <w:tab w:val="clear" w:pos="709"/>
                <w:tab w:val="left" w:pos="336"/>
              </w:tabs>
              <w:spacing w:before="100" w:after="100"/>
              <w:ind w:left="357" w:hanging="357"/>
              <w:rPr>
                <w:rFonts w:cs="Arial"/>
              </w:rPr>
            </w:pPr>
            <w:r>
              <w:t>I</w:t>
            </w:r>
            <w:r w:rsidR="00435A37" w:rsidRPr="00CE20D4">
              <w:t xml:space="preserve">s the aggregate amount of </w:t>
            </w:r>
            <w:r w:rsidR="00D044DA">
              <w:t>the company’s</w:t>
            </w:r>
            <w:r w:rsidR="00435A37" w:rsidRPr="00CE20D4">
              <w:t xml:space="preserve"> transactions or dealings with international related parties </w:t>
            </w:r>
            <w:r w:rsidR="00D044DA">
              <w:t xml:space="preserve">(including the value of any property transferred or the balance outstanding on any loans) </w:t>
            </w:r>
            <w:r w:rsidR="00435A37" w:rsidRPr="00CE20D4">
              <w:t>greater than $2,000,000?</w:t>
            </w:r>
          </w:p>
        </w:tc>
        <w:tc>
          <w:tcPr>
            <w:tcW w:w="352" w:type="pct"/>
            <w:tcBorders>
              <w:top w:val="single" w:sz="4" w:space="0" w:color="939598"/>
              <w:left w:val="single" w:sz="4" w:space="0" w:color="939598"/>
              <w:bottom w:val="single" w:sz="4" w:space="0" w:color="939598"/>
              <w:right w:val="single" w:sz="4" w:space="0" w:color="939598"/>
            </w:tcBorders>
            <w:shd w:val="clear" w:color="auto" w:fill="auto"/>
          </w:tcPr>
          <w:p w14:paraId="73D3C55F" w14:textId="77777777" w:rsidR="00435A37" w:rsidRPr="009D23C0" w:rsidRDefault="00435A37" w:rsidP="00D0554E">
            <w:pPr>
              <w:pStyle w:val="Tableheading"/>
              <w:keepNext/>
            </w:pPr>
          </w:p>
        </w:tc>
        <w:tc>
          <w:tcPr>
            <w:tcW w:w="281" w:type="pct"/>
            <w:tcBorders>
              <w:top w:val="single" w:sz="4" w:space="0" w:color="939598"/>
              <w:left w:val="single" w:sz="4" w:space="0" w:color="939598"/>
              <w:bottom w:val="single" w:sz="4" w:space="0" w:color="939598"/>
              <w:right w:val="single" w:sz="4" w:space="0" w:color="939598"/>
            </w:tcBorders>
            <w:shd w:val="clear" w:color="auto" w:fill="auto"/>
          </w:tcPr>
          <w:p w14:paraId="1E47CD6B" w14:textId="77777777" w:rsidR="00435A37" w:rsidRPr="009D23C0" w:rsidRDefault="00435A37" w:rsidP="00D0554E">
            <w:pPr>
              <w:pStyle w:val="Tableheading"/>
              <w:keepNext/>
            </w:pPr>
          </w:p>
        </w:tc>
        <w:tc>
          <w:tcPr>
            <w:tcW w:w="361" w:type="pct"/>
            <w:tcBorders>
              <w:top w:val="single" w:sz="4" w:space="0" w:color="939598"/>
              <w:left w:val="single" w:sz="4" w:space="0" w:color="939598"/>
              <w:bottom w:val="single" w:sz="4" w:space="0" w:color="939598"/>
              <w:right w:val="single" w:sz="4" w:space="0" w:color="939598"/>
            </w:tcBorders>
            <w:shd w:val="clear" w:color="auto" w:fill="auto"/>
          </w:tcPr>
          <w:p w14:paraId="43A037BF" w14:textId="77777777" w:rsidR="00435A37" w:rsidRPr="009D23C0" w:rsidRDefault="00435A37" w:rsidP="00D0554E">
            <w:pPr>
              <w:pStyle w:val="Tableheading"/>
              <w:keepNext/>
            </w:pPr>
          </w:p>
        </w:tc>
      </w:tr>
      <w:tr w:rsidR="00D0554E" w:rsidRPr="009D23C0" w14:paraId="379B195A" w14:textId="77777777" w:rsidTr="005A4F47">
        <w:tc>
          <w:tcPr>
            <w:tcW w:w="4006" w:type="pct"/>
            <w:tcBorders>
              <w:top w:val="single" w:sz="4" w:space="0" w:color="939598"/>
              <w:bottom w:val="single" w:sz="4" w:space="0" w:color="939598"/>
              <w:right w:val="single" w:sz="4" w:space="0" w:color="939598"/>
            </w:tcBorders>
            <w:shd w:val="clear" w:color="auto" w:fill="auto"/>
          </w:tcPr>
          <w:p w14:paraId="09356142" w14:textId="7B363F23" w:rsidR="00264BD5" w:rsidRDefault="00B14BFE" w:rsidP="00D0554E">
            <w:pPr>
              <w:pStyle w:val="Tablealphabullet"/>
              <w:keepNext/>
              <w:numPr>
                <w:ilvl w:val="0"/>
                <w:numId w:val="37"/>
              </w:numPr>
              <w:tabs>
                <w:tab w:val="clear" w:pos="709"/>
                <w:tab w:val="left" w:pos="336"/>
              </w:tabs>
              <w:spacing w:before="100" w:after="100"/>
            </w:pPr>
            <w:r>
              <w:t xml:space="preserve">Does the entity need to work out its maximum allowable debt (e.g. the safe harbour debt amount) under thin capitalisation provisions in Division 820 of the </w:t>
            </w:r>
            <w:r w:rsidR="00DE1FC8" w:rsidRPr="00BA674A">
              <w:rPr>
                <w:i/>
              </w:rPr>
              <w:t>Income Tax Assessment Act (1997</w:t>
            </w:r>
            <w:r w:rsidR="00DE1FC8">
              <w:t>)</w:t>
            </w:r>
            <w:r>
              <w:t>?</w:t>
            </w:r>
          </w:p>
          <w:p w14:paraId="5FE0D4E6" w14:textId="77777777" w:rsidR="00B14BFE" w:rsidRPr="00211718" w:rsidRDefault="00B14BFE" w:rsidP="00D0554E">
            <w:pPr>
              <w:pStyle w:val="Tablealphabullet"/>
              <w:keepNext/>
              <w:tabs>
                <w:tab w:val="clear" w:pos="284"/>
                <w:tab w:val="clear" w:pos="709"/>
                <w:tab w:val="left" w:pos="336"/>
              </w:tabs>
              <w:spacing w:before="100" w:after="100"/>
              <w:ind w:left="0" w:firstLine="0"/>
              <w:rPr>
                <w:sz w:val="15"/>
                <w:szCs w:val="15"/>
              </w:rPr>
            </w:pPr>
            <w:r w:rsidRPr="00211718">
              <w:rPr>
                <w:b/>
                <w:sz w:val="15"/>
                <w:szCs w:val="15"/>
              </w:rPr>
              <w:t>Note:</w:t>
            </w:r>
            <w:r w:rsidRPr="00211718">
              <w:rPr>
                <w:sz w:val="15"/>
                <w:szCs w:val="15"/>
              </w:rPr>
              <w:t xml:space="preserve"> the following entities are subject to the thin capitalisation provisions:</w:t>
            </w:r>
          </w:p>
          <w:p w14:paraId="4F547709" w14:textId="77777777" w:rsidR="00B14BFE" w:rsidRPr="00211718" w:rsidRDefault="00B14BFE" w:rsidP="00D0554E">
            <w:pPr>
              <w:pStyle w:val="TableBullet"/>
              <w:keepNext/>
              <w:spacing w:before="100" w:after="100"/>
              <w:ind w:left="576" w:hanging="576"/>
              <w:rPr>
                <w:sz w:val="15"/>
                <w:szCs w:val="15"/>
              </w:rPr>
            </w:pPr>
            <w:r w:rsidRPr="00211718">
              <w:rPr>
                <w:sz w:val="15"/>
                <w:szCs w:val="15"/>
              </w:rPr>
              <w:t xml:space="preserve">Australian entities with certain overseas operations, and their associate entities (outward investors) </w:t>
            </w:r>
          </w:p>
          <w:p w14:paraId="76677B4B" w14:textId="77777777" w:rsidR="00B14BFE" w:rsidRPr="00211718" w:rsidRDefault="00B14BFE" w:rsidP="00D0554E">
            <w:pPr>
              <w:pStyle w:val="TableBullet"/>
              <w:keepNext/>
              <w:spacing w:before="100" w:after="100"/>
              <w:ind w:left="576" w:hanging="576"/>
              <w:rPr>
                <w:sz w:val="15"/>
                <w:szCs w:val="15"/>
              </w:rPr>
            </w:pPr>
            <w:r w:rsidRPr="00211718">
              <w:rPr>
                <w:sz w:val="15"/>
                <w:szCs w:val="15"/>
              </w:rPr>
              <w:t xml:space="preserve">Australian entities that are foreign controlled (inward investors) </w:t>
            </w:r>
          </w:p>
          <w:p w14:paraId="7AF1E314" w14:textId="77777777" w:rsidR="00B14BFE" w:rsidRPr="00211718" w:rsidRDefault="00B14BFE" w:rsidP="00D0554E">
            <w:pPr>
              <w:pStyle w:val="TableBullet"/>
              <w:keepNext/>
              <w:spacing w:before="100" w:after="100"/>
              <w:ind w:left="576" w:hanging="576"/>
              <w:rPr>
                <w:sz w:val="15"/>
                <w:szCs w:val="15"/>
              </w:rPr>
            </w:pPr>
            <w:r w:rsidRPr="00211718">
              <w:rPr>
                <w:sz w:val="15"/>
                <w:szCs w:val="15"/>
              </w:rPr>
              <w:t>Foreign entities with operations or investments in Australia that are claiming debt deductions (inward investors).</w:t>
            </w:r>
            <w:r w:rsidRPr="00211718">
              <w:rPr>
                <w:rFonts w:eastAsia="Times New Roman" w:cs="Arial"/>
                <w:color w:val="333333"/>
                <w:sz w:val="15"/>
                <w:szCs w:val="15"/>
                <w:lang w:eastAsia="en-AU"/>
              </w:rPr>
              <w:t xml:space="preserve"> </w:t>
            </w:r>
          </w:p>
          <w:p w14:paraId="2CA179C4" w14:textId="77777777" w:rsidR="00B14BFE" w:rsidRPr="00211718" w:rsidRDefault="00B14BFE" w:rsidP="00D0554E">
            <w:pPr>
              <w:pStyle w:val="Tableheading"/>
              <w:keepNext/>
              <w:rPr>
                <w:b w:val="0"/>
                <w:sz w:val="15"/>
                <w:szCs w:val="15"/>
              </w:rPr>
            </w:pPr>
            <w:r w:rsidRPr="00211718">
              <w:rPr>
                <w:sz w:val="15"/>
                <w:szCs w:val="15"/>
              </w:rPr>
              <w:t>Note</w:t>
            </w:r>
            <w:r w:rsidRPr="00211718">
              <w:rPr>
                <w:b w:val="0"/>
                <w:sz w:val="15"/>
                <w:szCs w:val="15"/>
              </w:rPr>
              <w:t xml:space="preserve">: check whether the </w:t>
            </w:r>
            <w:r w:rsidR="00442957" w:rsidRPr="00211718">
              <w:rPr>
                <w:b w:val="0"/>
                <w:sz w:val="15"/>
                <w:szCs w:val="15"/>
              </w:rPr>
              <w:t xml:space="preserve">outward investor’s </w:t>
            </w:r>
            <w:r w:rsidRPr="00211718">
              <w:rPr>
                <w:b w:val="0"/>
                <w:sz w:val="15"/>
                <w:szCs w:val="15"/>
              </w:rPr>
              <w:t xml:space="preserve">foreign assets represent less than 10% of its total assets. If so, the exemption in section 820-37 of the </w:t>
            </w:r>
            <w:r w:rsidRPr="00211718">
              <w:rPr>
                <w:b w:val="0"/>
                <w:i/>
                <w:sz w:val="15"/>
                <w:szCs w:val="15"/>
              </w:rPr>
              <w:t>Income Tax Assessment Act (1997)</w:t>
            </w:r>
            <w:r w:rsidRPr="00211718">
              <w:rPr>
                <w:b w:val="0"/>
                <w:sz w:val="15"/>
                <w:szCs w:val="15"/>
              </w:rPr>
              <w:t xml:space="preserve"> may apply.</w:t>
            </w:r>
          </w:p>
          <w:p w14:paraId="49C925A6" w14:textId="6E368789" w:rsidR="00B14BFE" w:rsidRPr="00CE20D4" w:rsidRDefault="00B14BFE" w:rsidP="00D0554E">
            <w:pPr>
              <w:pStyle w:val="Tableheading"/>
              <w:keepNext/>
              <w:rPr>
                <w:rFonts w:cs="Arial"/>
                <w:b w:val="0"/>
              </w:rPr>
            </w:pPr>
            <w:r w:rsidRPr="00211718">
              <w:rPr>
                <w:sz w:val="15"/>
                <w:szCs w:val="15"/>
              </w:rPr>
              <w:t>Note</w:t>
            </w:r>
            <w:r w:rsidRPr="00211718">
              <w:rPr>
                <w:b w:val="0"/>
                <w:sz w:val="15"/>
                <w:szCs w:val="15"/>
              </w:rPr>
              <w:t>:</w:t>
            </w:r>
            <w:r w:rsidRPr="00211718">
              <w:rPr>
                <w:sz w:val="15"/>
                <w:szCs w:val="15"/>
              </w:rPr>
              <w:t xml:space="preserve"> </w:t>
            </w:r>
            <w:r w:rsidRPr="00211718">
              <w:rPr>
                <w:b w:val="0"/>
                <w:sz w:val="15"/>
                <w:szCs w:val="15"/>
              </w:rPr>
              <w:t>check</w:t>
            </w:r>
            <w:r w:rsidRPr="00211718" w:rsidDel="00A028EF">
              <w:rPr>
                <w:b w:val="0"/>
                <w:sz w:val="15"/>
                <w:szCs w:val="15"/>
              </w:rPr>
              <w:t xml:space="preserve"> </w:t>
            </w:r>
            <w:r w:rsidRPr="00211718">
              <w:rPr>
                <w:b w:val="0"/>
                <w:sz w:val="15"/>
                <w:szCs w:val="15"/>
              </w:rPr>
              <w:t>whether the sum of the company’s debt deductions together with</w:t>
            </w:r>
            <w:r w:rsidR="00376073" w:rsidRPr="00211718">
              <w:rPr>
                <w:b w:val="0"/>
                <w:sz w:val="15"/>
                <w:szCs w:val="15"/>
              </w:rPr>
              <w:t xml:space="preserve"> all</w:t>
            </w:r>
            <w:r w:rsidRPr="00211718">
              <w:rPr>
                <w:b w:val="0"/>
                <w:sz w:val="15"/>
                <w:szCs w:val="15"/>
              </w:rPr>
              <w:t xml:space="preserve"> of its associate entities is $2 million or less. If so, the exemption </w:t>
            </w:r>
            <w:r w:rsidR="0058162B" w:rsidRPr="00211718">
              <w:rPr>
                <w:b w:val="0"/>
                <w:sz w:val="15"/>
                <w:szCs w:val="15"/>
              </w:rPr>
              <w:t>under</w:t>
            </w:r>
            <w:r w:rsidRPr="00211718">
              <w:rPr>
                <w:b w:val="0"/>
                <w:sz w:val="15"/>
                <w:szCs w:val="15"/>
              </w:rPr>
              <w:t xml:space="preserve"> section 820-35 of the </w:t>
            </w:r>
            <w:r w:rsidRPr="00211718">
              <w:rPr>
                <w:b w:val="0"/>
                <w:i/>
                <w:sz w:val="15"/>
                <w:szCs w:val="15"/>
              </w:rPr>
              <w:t>Income Tax Assessment Act (1997)</w:t>
            </w:r>
            <w:r w:rsidRPr="00211718">
              <w:rPr>
                <w:b w:val="0"/>
                <w:sz w:val="15"/>
                <w:szCs w:val="15"/>
              </w:rPr>
              <w:t xml:space="preserve"> may apply.</w:t>
            </w:r>
            <w:r w:rsidRPr="00264BD5">
              <w:rPr>
                <w:b w:val="0"/>
                <w:sz w:val="14"/>
                <w:szCs w:val="14"/>
              </w:rPr>
              <w:t xml:space="preserve"> </w:t>
            </w:r>
          </w:p>
        </w:tc>
        <w:tc>
          <w:tcPr>
            <w:tcW w:w="352" w:type="pct"/>
            <w:tcBorders>
              <w:top w:val="single" w:sz="4" w:space="0" w:color="939598"/>
              <w:left w:val="single" w:sz="4" w:space="0" w:color="939598"/>
              <w:bottom w:val="single" w:sz="4" w:space="0" w:color="939598"/>
              <w:right w:val="single" w:sz="4" w:space="0" w:color="939598"/>
            </w:tcBorders>
            <w:shd w:val="clear" w:color="auto" w:fill="auto"/>
          </w:tcPr>
          <w:p w14:paraId="44B63C27" w14:textId="77777777" w:rsidR="00B14BFE" w:rsidRPr="009D23C0" w:rsidRDefault="00B14BFE" w:rsidP="00D0554E">
            <w:pPr>
              <w:pStyle w:val="Tableheading"/>
              <w:keepNext/>
            </w:pPr>
          </w:p>
        </w:tc>
        <w:tc>
          <w:tcPr>
            <w:tcW w:w="281" w:type="pct"/>
            <w:tcBorders>
              <w:top w:val="single" w:sz="4" w:space="0" w:color="939598"/>
              <w:left w:val="single" w:sz="4" w:space="0" w:color="939598"/>
              <w:bottom w:val="single" w:sz="4" w:space="0" w:color="939598"/>
              <w:right w:val="single" w:sz="4" w:space="0" w:color="939598"/>
            </w:tcBorders>
            <w:shd w:val="clear" w:color="auto" w:fill="auto"/>
          </w:tcPr>
          <w:p w14:paraId="1E2E7EC2" w14:textId="77777777" w:rsidR="00B14BFE" w:rsidRPr="009D23C0" w:rsidRDefault="00B14BFE" w:rsidP="00D0554E">
            <w:pPr>
              <w:pStyle w:val="Tableheading"/>
              <w:keepNext/>
            </w:pPr>
          </w:p>
        </w:tc>
        <w:tc>
          <w:tcPr>
            <w:tcW w:w="361" w:type="pct"/>
            <w:tcBorders>
              <w:top w:val="single" w:sz="4" w:space="0" w:color="939598"/>
              <w:left w:val="single" w:sz="4" w:space="0" w:color="939598"/>
              <w:bottom w:val="single" w:sz="4" w:space="0" w:color="939598"/>
              <w:right w:val="single" w:sz="4" w:space="0" w:color="939598"/>
            </w:tcBorders>
            <w:shd w:val="clear" w:color="auto" w:fill="auto"/>
          </w:tcPr>
          <w:p w14:paraId="78C1A31A" w14:textId="77777777" w:rsidR="00B14BFE" w:rsidRPr="009D23C0" w:rsidRDefault="00B14BFE" w:rsidP="00D0554E">
            <w:pPr>
              <w:pStyle w:val="Tableheading"/>
              <w:keepNext/>
            </w:pPr>
          </w:p>
        </w:tc>
      </w:tr>
      <w:tr w:rsidR="00D0554E" w:rsidRPr="009D23C0" w14:paraId="74E0BA2B" w14:textId="77777777" w:rsidTr="005A4F47">
        <w:tc>
          <w:tcPr>
            <w:tcW w:w="4006" w:type="pct"/>
            <w:tcBorders>
              <w:top w:val="single" w:sz="4" w:space="0" w:color="939598"/>
              <w:bottom w:val="single" w:sz="4" w:space="0" w:color="939598"/>
              <w:right w:val="single" w:sz="4" w:space="0" w:color="939598"/>
            </w:tcBorders>
            <w:shd w:val="clear" w:color="auto" w:fill="auto"/>
          </w:tcPr>
          <w:p w14:paraId="542863BE" w14:textId="72D1389E" w:rsidR="00B14BFE" w:rsidRPr="00CE20D4" w:rsidRDefault="00B14BFE" w:rsidP="00D0554E">
            <w:pPr>
              <w:pStyle w:val="Tableheading"/>
              <w:keepNext/>
              <w:numPr>
                <w:ilvl w:val="0"/>
                <w:numId w:val="37"/>
              </w:numPr>
              <w:rPr>
                <w:rFonts w:cs="Arial"/>
                <w:b w:val="0"/>
              </w:rPr>
            </w:pPr>
            <w:r>
              <w:rPr>
                <w:b w:val="0"/>
              </w:rPr>
              <w:t xml:space="preserve"> </w:t>
            </w:r>
            <w:r w:rsidRPr="00CE20D4">
              <w:rPr>
                <w:b w:val="0"/>
              </w:rPr>
              <w:t xml:space="preserve">Has the </w:t>
            </w:r>
            <w:r w:rsidR="00376073">
              <w:rPr>
                <w:b w:val="0"/>
              </w:rPr>
              <w:t>company any overseas branch operations</w:t>
            </w:r>
            <w:r w:rsidRPr="00CE20D4">
              <w:rPr>
                <w:b w:val="0"/>
              </w:rPr>
              <w:t>?</w:t>
            </w:r>
          </w:p>
        </w:tc>
        <w:tc>
          <w:tcPr>
            <w:tcW w:w="352" w:type="pct"/>
            <w:tcBorders>
              <w:top w:val="single" w:sz="4" w:space="0" w:color="939598"/>
              <w:left w:val="single" w:sz="4" w:space="0" w:color="939598"/>
              <w:bottom w:val="single" w:sz="4" w:space="0" w:color="939598"/>
              <w:right w:val="single" w:sz="4" w:space="0" w:color="939598"/>
            </w:tcBorders>
            <w:shd w:val="clear" w:color="auto" w:fill="auto"/>
          </w:tcPr>
          <w:p w14:paraId="2C8745E5" w14:textId="77777777" w:rsidR="00B14BFE" w:rsidRPr="009D23C0" w:rsidRDefault="00B14BFE" w:rsidP="00D0554E">
            <w:pPr>
              <w:pStyle w:val="Tableheading"/>
              <w:keepNext/>
            </w:pPr>
          </w:p>
        </w:tc>
        <w:tc>
          <w:tcPr>
            <w:tcW w:w="281" w:type="pct"/>
            <w:tcBorders>
              <w:top w:val="single" w:sz="4" w:space="0" w:color="939598"/>
              <w:left w:val="single" w:sz="4" w:space="0" w:color="939598"/>
              <w:bottom w:val="single" w:sz="4" w:space="0" w:color="939598"/>
              <w:right w:val="single" w:sz="4" w:space="0" w:color="939598"/>
            </w:tcBorders>
            <w:shd w:val="clear" w:color="auto" w:fill="auto"/>
          </w:tcPr>
          <w:p w14:paraId="5C911BCF" w14:textId="77777777" w:rsidR="00B14BFE" w:rsidRPr="009D23C0" w:rsidRDefault="00B14BFE" w:rsidP="00D0554E">
            <w:pPr>
              <w:pStyle w:val="Tableheading"/>
              <w:keepNext/>
            </w:pPr>
          </w:p>
        </w:tc>
        <w:tc>
          <w:tcPr>
            <w:tcW w:w="361" w:type="pct"/>
            <w:tcBorders>
              <w:top w:val="single" w:sz="4" w:space="0" w:color="939598"/>
              <w:left w:val="single" w:sz="4" w:space="0" w:color="939598"/>
              <w:bottom w:val="single" w:sz="4" w:space="0" w:color="939598"/>
              <w:right w:val="single" w:sz="4" w:space="0" w:color="939598"/>
            </w:tcBorders>
            <w:shd w:val="clear" w:color="auto" w:fill="auto"/>
          </w:tcPr>
          <w:p w14:paraId="45E4C830" w14:textId="77777777" w:rsidR="00B14BFE" w:rsidRPr="009D23C0" w:rsidRDefault="00B14BFE" w:rsidP="00D0554E">
            <w:pPr>
              <w:pStyle w:val="Tableheading"/>
              <w:keepNext/>
            </w:pPr>
          </w:p>
        </w:tc>
      </w:tr>
      <w:tr w:rsidR="00D0554E" w:rsidRPr="009D23C0" w14:paraId="6FEB2792" w14:textId="77777777" w:rsidTr="005A4F47">
        <w:tc>
          <w:tcPr>
            <w:tcW w:w="4006" w:type="pct"/>
            <w:tcBorders>
              <w:top w:val="single" w:sz="4" w:space="0" w:color="939598"/>
              <w:bottom w:val="single" w:sz="4" w:space="0" w:color="939598"/>
              <w:right w:val="single" w:sz="4" w:space="0" w:color="939598"/>
            </w:tcBorders>
            <w:shd w:val="clear" w:color="auto" w:fill="auto"/>
          </w:tcPr>
          <w:p w14:paraId="6C52F091" w14:textId="4AC7F90A" w:rsidR="00B14BFE" w:rsidRPr="00CE20D4" w:rsidRDefault="00B14BFE" w:rsidP="00D0554E">
            <w:pPr>
              <w:pStyle w:val="Tableheading"/>
              <w:keepNext/>
              <w:numPr>
                <w:ilvl w:val="0"/>
                <w:numId w:val="37"/>
              </w:numPr>
              <w:rPr>
                <w:rFonts w:cs="Arial"/>
                <w:b w:val="0"/>
              </w:rPr>
            </w:pPr>
            <w:r>
              <w:rPr>
                <w:b w:val="0"/>
              </w:rPr>
              <w:t xml:space="preserve"> </w:t>
            </w:r>
            <w:r w:rsidRPr="00CE20D4">
              <w:rPr>
                <w:b w:val="0"/>
              </w:rPr>
              <w:t xml:space="preserve">Has the </w:t>
            </w:r>
            <w:r w:rsidR="00376073">
              <w:rPr>
                <w:b w:val="0"/>
              </w:rPr>
              <w:t xml:space="preserve">company a direct or indirect interest in a foreign trust, foreign company, controlled foreign </w:t>
            </w:r>
            <w:r w:rsidRPr="00CE20D4">
              <w:rPr>
                <w:b w:val="0"/>
              </w:rPr>
              <w:t xml:space="preserve">entity </w:t>
            </w:r>
            <w:r w:rsidR="00376073">
              <w:rPr>
                <w:b w:val="0"/>
              </w:rPr>
              <w:t>or transferor trust</w:t>
            </w:r>
            <w:r w:rsidRPr="00CE20D4">
              <w:rPr>
                <w:b w:val="0"/>
              </w:rPr>
              <w:t>?</w:t>
            </w:r>
          </w:p>
        </w:tc>
        <w:tc>
          <w:tcPr>
            <w:tcW w:w="352" w:type="pct"/>
            <w:tcBorders>
              <w:top w:val="single" w:sz="4" w:space="0" w:color="939598"/>
              <w:left w:val="single" w:sz="4" w:space="0" w:color="939598"/>
              <w:bottom w:val="single" w:sz="4" w:space="0" w:color="939598"/>
              <w:right w:val="single" w:sz="4" w:space="0" w:color="939598"/>
            </w:tcBorders>
            <w:shd w:val="clear" w:color="auto" w:fill="auto"/>
          </w:tcPr>
          <w:p w14:paraId="44E3C8B6" w14:textId="77777777" w:rsidR="00B14BFE" w:rsidRPr="009D23C0" w:rsidRDefault="00B14BFE" w:rsidP="00D0554E">
            <w:pPr>
              <w:pStyle w:val="Tableheading"/>
              <w:keepNext/>
            </w:pPr>
          </w:p>
        </w:tc>
        <w:tc>
          <w:tcPr>
            <w:tcW w:w="281" w:type="pct"/>
            <w:tcBorders>
              <w:top w:val="single" w:sz="4" w:space="0" w:color="939598"/>
              <w:left w:val="single" w:sz="4" w:space="0" w:color="939598"/>
              <w:bottom w:val="single" w:sz="4" w:space="0" w:color="939598"/>
              <w:right w:val="single" w:sz="4" w:space="0" w:color="939598"/>
            </w:tcBorders>
            <w:shd w:val="clear" w:color="auto" w:fill="auto"/>
          </w:tcPr>
          <w:p w14:paraId="7197C674" w14:textId="77777777" w:rsidR="00B14BFE" w:rsidRPr="009D23C0" w:rsidRDefault="00B14BFE" w:rsidP="00D0554E">
            <w:pPr>
              <w:pStyle w:val="Tableheading"/>
              <w:keepNext/>
            </w:pPr>
          </w:p>
        </w:tc>
        <w:tc>
          <w:tcPr>
            <w:tcW w:w="361" w:type="pct"/>
            <w:tcBorders>
              <w:top w:val="single" w:sz="4" w:space="0" w:color="939598"/>
              <w:left w:val="single" w:sz="4" w:space="0" w:color="939598"/>
              <w:bottom w:val="single" w:sz="4" w:space="0" w:color="939598"/>
              <w:right w:val="single" w:sz="4" w:space="0" w:color="939598"/>
            </w:tcBorders>
            <w:shd w:val="clear" w:color="auto" w:fill="auto"/>
          </w:tcPr>
          <w:p w14:paraId="66A55643" w14:textId="77777777" w:rsidR="00B14BFE" w:rsidRPr="009D23C0" w:rsidRDefault="00B14BFE" w:rsidP="00D0554E">
            <w:pPr>
              <w:pStyle w:val="Tableheading"/>
              <w:keepNext/>
            </w:pPr>
          </w:p>
        </w:tc>
      </w:tr>
      <w:tr w:rsidR="00D0554E" w:rsidRPr="009D23C0" w14:paraId="73C3D355" w14:textId="77777777" w:rsidTr="005A4F47">
        <w:tc>
          <w:tcPr>
            <w:tcW w:w="4006" w:type="pct"/>
            <w:tcBorders>
              <w:top w:val="single" w:sz="4" w:space="0" w:color="939598"/>
              <w:bottom w:val="single" w:sz="4" w:space="0" w:color="939598"/>
              <w:right w:val="single" w:sz="4" w:space="0" w:color="939598"/>
            </w:tcBorders>
            <w:shd w:val="clear" w:color="auto" w:fill="auto"/>
          </w:tcPr>
          <w:p w14:paraId="2B5A0713" w14:textId="74A9C780" w:rsidR="00B14BFE" w:rsidRPr="00CE20D4" w:rsidRDefault="00B14BFE" w:rsidP="00D0554E">
            <w:pPr>
              <w:pStyle w:val="Tableheading"/>
              <w:keepNext/>
              <w:rPr>
                <w:rFonts w:cs="Arial"/>
                <w:b w:val="0"/>
              </w:rPr>
            </w:pPr>
            <w:r w:rsidRPr="00CE20D4">
              <w:rPr>
                <w:b w:val="0"/>
              </w:rPr>
              <w:t xml:space="preserve">If the answer to (a), (b), (c) or (d) is yes, has an </w:t>
            </w:r>
            <w:r w:rsidR="00803F71">
              <w:rPr>
                <w:b w:val="0"/>
              </w:rPr>
              <w:t>I</w:t>
            </w:r>
            <w:r w:rsidRPr="00CE20D4">
              <w:rPr>
                <w:b w:val="0"/>
              </w:rPr>
              <w:t xml:space="preserve">nternational </w:t>
            </w:r>
            <w:r w:rsidR="00803F71">
              <w:rPr>
                <w:b w:val="0"/>
              </w:rPr>
              <w:t>D</w:t>
            </w:r>
            <w:r w:rsidRPr="00CE20D4">
              <w:rPr>
                <w:b w:val="0"/>
              </w:rPr>
              <w:t xml:space="preserve">ealings </w:t>
            </w:r>
            <w:r w:rsidR="00803F71">
              <w:rPr>
                <w:b w:val="0"/>
              </w:rPr>
              <w:t>S</w:t>
            </w:r>
            <w:r w:rsidRPr="00CE20D4">
              <w:rPr>
                <w:b w:val="0"/>
              </w:rPr>
              <w:t xml:space="preserve">chedule (IDS) </w:t>
            </w:r>
            <w:r w:rsidR="00803F71">
              <w:rPr>
                <w:b w:val="0"/>
              </w:rPr>
              <w:t>201</w:t>
            </w:r>
            <w:r w:rsidR="0058162B">
              <w:rPr>
                <w:b w:val="0"/>
              </w:rPr>
              <w:t>8</w:t>
            </w:r>
            <w:r w:rsidR="00803F71">
              <w:rPr>
                <w:b w:val="0"/>
              </w:rPr>
              <w:t xml:space="preserve"> </w:t>
            </w:r>
            <w:r w:rsidRPr="00CE20D4">
              <w:rPr>
                <w:b w:val="0"/>
              </w:rPr>
              <w:t>been prepared?</w:t>
            </w:r>
          </w:p>
        </w:tc>
        <w:tc>
          <w:tcPr>
            <w:tcW w:w="352" w:type="pct"/>
            <w:tcBorders>
              <w:top w:val="single" w:sz="4" w:space="0" w:color="939598"/>
              <w:left w:val="single" w:sz="4" w:space="0" w:color="939598"/>
              <w:bottom w:val="single" w:sz="4" w:space="0" w:color="939598"/>
              <w:right w:val="single" w:sz="4" w:space="0" w:color="939598"/>
            </w:tcBorders>
            <w:shd w:val="clear" w:color="auto" w:fill="auto"/>
          </w:tcPr>
          <w:p w14:paraId="37CE2145" w14:textId="77777777" w:rsidR="00B14BFE" w:rsidRPr="009D23C0" w:rsidRDefault="00B14BFE" w:rsidP="00D0554E">
            <w:pPr>
              <w:pStyle w:val="Tableheading"/>
              <w:keepNext/>
            </w:pPr>
          </w:p>
        </w:tc>
        <w:tc>
          <w:tcPr>
            <w:tcW w:w="281" w:type="pct"/>
            <w:tcBorders>
              <w:top w:val="single" w:sz="4" w:space="0" w:color="939598"/>
              <w:left w:val="single" w:sz="4" w:space="0" w:color="939598"/>
              <w:bottom w:val="single" w:sz="4" w:space="0" w:color="939598"/>
              <w:right w:val="single" w:sz="4" w:space="0" w:color="939598"/>
            </w:tcBorders>
            <w:shd w:val="clear" w:color="auto" w:fill="auto"/>
          </w:tcPr>
          <w:p w14:paraId="79DF24D6" w14:textId="77777777" w:rsidR="00B14BFE" w:rsidRPr="009D23C0" w:rsidRDefault="00B14BFE" w:rsidP="00D0554E">
            <w:pPr>
              <w:pStyle w:val="Tableheading"/>
              <w:keepNext/>
            </w:pPr>
          </w:p>
        </w:tc>
        <w:tc>
          <w:tcPr>
            <w:tcW w:w="361" w:type="pct"/>
            <w:tcBorders>
              <w:top w:val="single" w:sz="4" w:space="0" w:color="939598"/>
              <w:left w:val="single" w:sz="4" w:space="0" w:color="939598"/>
              <w:bottom w:val="single" w:sz="4" w:space="0" w:color="939598"/>
              <w:right w:val="single" w:sz="4" w:space="0" w:color="939598"/>
            </w:tcBorders>
            <w:shd w:val="clear" w:color="auto" w:fill="auto"/>
          </w:tcPr>
          <w:p w14:paraId="00951E9B" w14:textId="77777777" w:rsidR="00B14BFE" w:rsidRPr="009D23C0" w:rsidRDefault="00B14BFE" w:rsidP="00D0554E">
            <w:pPr>
              <w:pStyle w:val="Tableheading"/>
              <w:keepNext/>
            </w:pPr>
          </w:p>
        </w:tc>
      </w:tr>
      <w:tr w:rsidR="00077D09" w:rsidRPr="009D23C0" w14:paraId="7FD7FDF7" w14:textId="77777777" w:rsidTr="008C013F">
        <w:tc>
          <w:tcPr>
            <w:tcW w:w="5000" w:type="pct"/>
            <w:gridSpan w:val="4"/>
            <w:tcBorders>
              <w:top w:val="single" w:sz="4" w:space="0" w:color="939598"/>
              <w:bottom w:val="single" w:sz="4" w:space="0" w:color="939598"/>
            </w:tcBorders>
            <w:shd w:val="clear" w:color="auto" w:fill="auto"/>
          </w:tcPr>
          <w:p w14:paraId="5EC3BA41" w14:textId="10D0992A" w:rsidR="00077D09" w:rsidRDefault="00077D09" w:rsidP="008C013F">
            <w:pPr>
              <w:spacing w:before="100" w:after="100"/>
              <w:rPr>
                <w:rFonts w:cs="Arial"/>
                <w:b/>
                <w:sz w:val="17"/>
                <w:szCs w:val="17"/>
              </w:rPr>
            </w:pPr>
            <w:r w:rsidRPr="00C572BB">
              <w:rPr>
                <w:rFonts w:cs="Arial"/>
                <w:b/>
                <w:sz w:val="17"/>
                <w:szCs w:val="17"/>
              </w:rPr>
              <w:t>Comments:</w:t>
            </w:r>
          </w:p>
          <w:p w14:paraId="2D90ABDD" w14:textId="32F54B5A" w:rsidR="00077D09" w:rsidRDefault="00077D09" w:rsidP="008C013F">
            <w:pPr>
              <w:spacing w:before="100" w:after="100"/>
              <w:rPr>
                <w:rFonts w:cs="Arial"/>
                <w:b/>
                <w:sz w:val="17"/>
                <w:szCs w:val="17"/>
              </w:rPr>
            </w:pPr>
          </w:p>
          <w:p w14:paraId="31D23A58" w14:textId="2C3D80BA" w:rsidR="00077D09" w:rsidRDefault="00077D09" w:rsidP="008C013F">
            <w:pPr>
              <w:spacing w:before="100" w:after="100"/>
              <w:rPr>
                <w:rFonts w:cs="Arial"/>
                <w:b/>
                <w:sz w:val="17"/>
                <w:szCs w:val="17"/>
              </w:rPr>
            </w:pPr>
          </w:p>
          <w:p w14:paraId="31BCCAAB" w14:textId="77777777" w:rsidR="00077D09" w:rsidRDefault="00077D09" w:rsidP="008C013F">
            <w:pPr>
              <w:spacing w:before="100" w:after="100"/>
              <w:rPr>
                <w:rFonts w:cs="Arial"/>
                <w:b/>
                <w:sz w:val="17"/>
                <w:szCs w:val="17"/>
              </w:rPr>
            </w:pPr>
          </w:p>
          <w:p w14:paraId="15CD4B8C" w14:textId="77777777" w:rsidR="00077D09" w:rsidRPr="009D23C0" w:rsidRDefault="00077D09" w:rsidP="008C013F">
            <w:pPr>
              <w:pStyle w:val="Tableheading"/>
              <w:keepNext/>
            </w:pPr>
          </w:p>
        </w:tc>
      </w:tr>
      <w:tr w:rsidR="00077D09" w:rsidRPr="009D23C0" w14:paraId="39088F36" w14:textId="77777777" w:rsidTr="002A0B36">
        <w:tc>
          <w:tcPr>
            <w:tcW w:w="5000" w:type="pct"/>
            <w:gridSpan w:val="4"/>
            <w:tcBorders>
              <w:top w:val="single" w:sz="4" w:space="0" w:color="939598"/>
              <w:bottom w:val="single" w:sz="4" w:space="0" w:color="939598"/>
            </w:tcBorders>
            <w:shd w:val="clear" w:color="auto" w:fill="D9D9D9" w:themeFill="background1" w:themeFillShade="D9"/>
          </w:tcPr>
          <w:p w14:paraId="39D4F004" w14:textId="0D632855" w:rsidR="00077D09" w:rsidRPr="009D23C0" w:rsidRDefault="00077D09" w:rsidP="00077D09">
            <w:pPr>
              <w:pStyle w:val="Tableheading"/>
              <w:keepNext/>
            </w:pPr>
            <w:r w:rsidRPr="000D3B0E">
              <w:rPr>
                <w:rFonts w:cs="Arial"/>
              </w:rPr>
              <w:t>C</w:t>
            </w:r>
            <w:r>
              <w:rPr>
                <w:rFonts w:cs="Arial"/>
              </w:rPr>
              <w:t>ALCULATION STATEMENT</w:t>
            </w:r>
            <w:r w:rsidRPr="000D3B0E">
              <w:rPr>
                <w:rFonts w:cs="Arial"/>
              </w:rPr>
              <w:t xml:space="preserve"> </w:t>
            </w:r>
          </w:p>
        </w:tc>
      </w:tr>
      <w:tr w:rsidR="00077D09" w:rsidRPr="009D23C0" w14:paraId="7125C57B" w14:textId="77777777" w:rsidTr="005A4F47">
        <w:tc>
          <w:tcPr>
            <w:tcW w:w="4006" w:type="pct"/>
            <w:tcBorders>
              <w:top w:val="single" w:sz="4" w:space="0" w:color="939598"/>
              <w:bottom w:val="single" w:sz="4" w:space="0" w:color="939598"/>
              <w:right w:val="single" w:sz="4" w:space="0" w:color="939598"/>
            </w:tcBorders>
            <w:shd w:val="clear" w:color="auto" w:fill="auto"/>
          </w:tcPr>
          <w:p w14:paraId="0DAFB564" w14:textId="77777777" w:rsidR="00077D09" w:rsidRDefault="00077D09" w:rsidP="00077D09">
            <w:pPr>
              <w:keepNext/>
              <w:spacing w:before="100" w:after="100"/>
              <w:rPr>
                <w:rFonts w:cs="Arial"/>
                <w:sz w:val="17"/>
                <w:szCs w:val="17"/>
              </w:rPr>
            </w:pPr>
            <w:r>
              <w:rPr>
                <w:rFonts w:cs="Arial"/>
                <w:sz w:val="17"/>
                <w:szCs w:val="17"/>
              </w:rPr>
              <w:t xml:space="preserve">Is the company a base rate entity for the 2018 year? A company will be regarded as a base rate entity for the year ended 30 June 2018 if it carries on business in this year and has an aggregated turnover of less than $25 million worked out as at the end of the year. </w:t>
            </w:r>
          </w:p>
          <w:p w14:paraId="28CE7646" w14:textId="31CA9BAD" w:rsidR="00077D09" w:rsidRPr="00211718" w:rsidRDefault="00077D09" w:rsidP="00077D09">
            <w:pPr>
              <w:keepNext/>
              <w:spacing w:before="100" w:after="100"/>
              <w:rPr>
                <w:sz w:val="15"/>
                <w:szCs w:val="15"/>
              </w:rPr>
            </w:pPr>
            <w:r w:rsidRPr="00211718">
              <w:rPr>
                <w:rFonts w:cs="Arial"/>
                <w:b/>
                <w:sz w:val="15"/>
                <w:szCs w:val="15"/>
              </w:rPr>
              <w:t>Note</w:t>
            </w:r>
            <w:r w:rsidRPr="00211718">
              <w:rPr>
                <w:rFonts w:cs="Arial"/>
                <w:sz w:val="15"/>
                <w:szCs w:val="15"/>
              </w:rPr>
              <w:t xml:space="preserve">: </w:t>
            </w:r>
            <w:r w:rsidRPr="00211718">
              <w:rPr>
                <w:sz w:val="15"/>
                <w:szCs w:val="15"/>
              </w:rPr>
              <w:t>the 27.5% company tax rate will be extended in the year ended 30 June 2019 to apply</w:t>
            </w:r>
            <w:r>
              <w:rPr>
                <w:sz w:val="15"/>
                <w:szCs w:val="15"/>
              </w:rPr>
              <w:t xml:space="preserve"> to a base rate entity being a</w:t>
            </w:r>
            <w:r w:rsidRPr="00211718">
              <w:rPr>
                <w:sz w:val="15"/>
                <w:szCs w:val="15"/>
              </w:rPr>
              <w:t xml:space="preserve"> company which carries on a business and which has an aggregated turnover of less than $50 million for the 2019 year.</w:t>
            </w:r>
          </w:p>
          <w:p w14:paraId="4A4A0977" w14:textId="139C3712" w:rsidR="00077D09" w:rsidRPr="00077D09" w:rsidRDefault="00077D09" w:rsidP="00077D09">
            <w:pPr>
              <w:pStyle w:val="Tableheading"/>
              <w:keepNext/>
              <w:rPr>
                <w:b w:val="0"/>
              </w:rPr>
            </w:pPr>
            <w:r w:rsidRPr="00077D09">
              <w:rPr>
                <w:rFonts w:cs="Arial"/>
                <w:sz w:val="15"/>
                <w:szCs w:val="15"/>
              </w:rPr>
              <w:t>Note:</w:t>
            </w:r>
            <w:r w:rsidRPr="00077D09">
              <w:rPr>
                <w:rFonts w:cs="Arial"/>
                <w:b w:val="0"/>
                <w:sz w:val="15"/>
                <w:szCs w:val="15"/>
              </w:rPr>
              <w:t xml:space="preserve"> the </w:t>
            </w:r>
            <w:r w:rsidRPr="00077D09">
              <w:rPr>
                <w:rFonts w:cs="Arial"/>
                <w:b w:val="0"/>
                <w:i/>
                <w:sz w:val="15"/>
                <w:szCs w:val="15"/>
              </w:rPr>
              <w:t>Treasury Laws Amendment (Enterprise Tax Plan Base Rate Entities) Bill (2017)</w:t>
            </w:r>
            <w:r w:rsidRPr="00077D09">
              <w:rPr>
                <w:rFonts w:cs="Arial"/>
                <w:b w:val="0"/>
                <w:sz w:val="15"/>
                <w:szCs w:val="15"/>
              </w:rPr>
              <w:t xml:space="preserve"> proposes to replace the requirement that a company be carrying on a business in order to be a base rate entity with the requirement that the company’s assessable income must be comprised 80% or less of passive income in the relevant income year effective from the 2018 year. This Bill has yet to be enacted as at that date of this update.</w:t>
            </w:r>
            <w:r w:rsidRPr="00077D09">
              <w:rPr>
                <w:b w:val="0"/>
                <w:sz w:val="14"/>
                <w:szCs w:val="14"/>
              </w:rPr>
              <w:t xml:space="preserve">      </w:t>
            </w:r>
          </w:p>
        </w:tc>
        <w:tc>
          <w:tcPr>
            <w:tcW w:w="352" w:type="pct"/>
            <w:tcBorders>
              <w:top w:val="single" w:sz="4" w:space="0" w:color="939598"/>
              <w:left w:val="single" w:sz="4" w:space="0" w:color="939598"/>
              <w:bottom w:val="single" w:sz="4" w:space="0" w:color="939598"/>
              <w:right w:val="single" w:sz="4" w:space="0" w:color="939598"/>
            </w:tcBorders>
            <w:shd w:val="clear" w:color="auto" w:fill="auto"/>
          </w:tcPr>
          <w:p w14:paraId="155A07DA" w14:textId="77777777" w:rsidR="00077D09" w:rsidRPr="009D23C0" w:rsidRDefault="00077D09" w:rsidP="00D0554E">
            <w:pPr>
              <w:pStyle w:val="Tableheading"/>
              <w:keepNext/>
            </w:pPr>
          </w:p>
        </w:tc>
        <w:tc>
          <w:tcPr>
            <w:tcW w:w="281" w:type="pct"/>
            <w:tcBorders>
              <w:top w:val="single" w:sz="4" w:space="0" w:color="939598"/>
              <w:left w:val="single" w:sz="4" w:space="0" w:color="939598"/>
              <w:bottom w:val="single" w:sz="4" w:space="0" w:color="939598"/>
              <w:right w:val="single" w:sz="4" w:space="0" w:color="939598"/>
            </w:tcBorders>
            <w:shd w:val="clear" w:color="auto" w:fill="auto"/>
          </w:tcPr>
          <w:p w14:paraId="39EC0612" w14:textId="77777777" w:rsidR="00077D09" w:rsidRPr="009D23C0" w:rsidRDefault="00077D09" w:rsidP="00D0554E">
            <w:pPr>
              <w:pStyle w:val="Tableheading"/>
              <w:keepNext/>
            </w:pPr>
          </w:p>
        </w:tc>
        <w:tc>
          <w:tcPr>
            <w:tcW w:w="361" w:type="pct"/>
            <w:tcBorders>
              <w:top w:val="single" w:sz="4" w:space="0" w:color="939598"/>
              <w:left w:val="single" w:sz="4" w:space="0" w:color="939598"/>
              <w:bottom w:val="single" w:sz="4" w:space="0" w:color="939598"/>
              <w:right w:val="single" w:sz="4" w:space="0" w:color="939598"/>
            </w:tcBorders>
            <w:shd w:val="clear" w:color="auto" w:fill="auto"/>
          </w:tcPr>
          <w:p w14:paraId="2EB1AC25" w14:textId="77777777" w:rsidR="00077D09" w:rsidRPr="009D23C0" w:rsidRDefault="00077D09" w:rsidP="00D0554E">
            <w:pPr>
              <w:pStyle w:val="Tableheading"/>
              <w:keepNext/>
            </w:pPr>
          </w:p>
        </w:tc>
      </w:tr>
    </w:tbl>
    <w:p w14:paraId="17D68235" w14:textId="77777777" w:rsidR="00077D09" w:rsidRDefault="00077D09">
      <w:bookmarkStart w:id="3" w:name="_Hlk516219438"/>
      <w:r>
        <w:br w:type="page"/>
      </w:r>
    </w:p>
    <w:bookmarkEnd w:id="3"/>
    <w:tbl>
      <w:tblPr>
        <w:tblW w:w="5002" w:type="pct"/>
        <w:tblBorders>
          <w:top w:val="single" w:sz="4" w:space="0" w:color="939598"/>
          <w:left w:val="single" w:sz="4" w:space="0" w:color="939598"/>
          <w:bottom w:val="single" w:sz="4" w:space="0" w:color="939598"/>
          <w:right w:val="single" w:sz="4" w:space="0" w:color="939598"/>
        </w:tblBorders>
        <w:tblLayout w:type="fixed"/>
        <w:tblLook w:val="00A0" w:firstRow="1" w:lastRow="0" w:firstColumn="1" w:lastColumn="0" w:noHBand="0" w:noVBand="0"/>
      </w:tblPr>
      <w:tblGrid>
        <w:gridCol w:w="8075"/>
        <w:gridCol w:w="710"/>
        <w:gridCol w:w="566"/>
        <w:gridCol w:w="728"/>
      </w:tblGrid>
      <w:tr w:rsidR="00077D09" w:rsidRPr="009D23C0" w14:paraId="2D695D04" w14:textId="77777777" w:rsidTr="0089116C">
        <w:tc>
          <w:tcPr>
            <w:tcW w:w="4006" w:type="pct"/>
            <w:tcBorders>
              <w:top w:val="single" w:sz="4" w:space="0" w:color="939598"/>
              <w:bottom w:val="single" w:sz="4" w:space="0" w:color="939598"/>
              <w:right w:val="single" w:sz="4" w:space="0" w:color="939598"/>
            </w:tcBorders>
            <w:shd w:val="clear" w:color="auto" w:fill="051C3C"/>
          </w:tcPr>
          <w:p w14:paraId="63BAF4A4" w14:textId="4F98383B" w:rsidR="00077D09" w:rsidRPr="000D3B0E" w:rsidRDefault="00077D09" w:rsidP="00077D09">
            <w:pPr>
              <w:pStyle w:val="Tableheading"/>
              <w:keepNext/>
              <w:rPr>
                <w:rFonts w:cs="Arial"/>
              </w:rPr>
            </w:pPr>
            <w:r>
              <w:rPr>
                <w:b w:val="0"/>
              </w:rPr>
              <w:lastRenderedPageBreak/>
              <w:br w:type="page"/>
            </w:r>
            <w:r w:rsidRPr="00621783">
              <w:rPr>
                <w:sz w:val="18"/>
              </w:rPr>
              <w:t>T</w:t>
            </w:r>
            <w:r>
              <w:rPr>
                <w:sz w:val="18"/>
              </w:rPr>
              <w:t>AX RETURN FORM COMPLETION</w:t>
            </w:r>
            <w:r w:rsidRPr="00621783">
              <w:rPr>
                <w:sz w:val="18"/>
              </w:rPr>
              <w:t xml:space="preserve"> </w:t>
            </w:r>
          </w:p>
        </w:tc>
        <w:tc>
          <w:tcPr>
            <w:tcW w:w="352" w:type="pct"/>
            <w:tcBorders>
              <w:top w:val="single" w:sz="4" w:space="0" w:color="939598"/>
              <w:left w:val="single" w:sz="4" w:space="0" w:color="939598"/>
              <w:bottom w:val="single" w:sz="4" w:space="0" w:color="939598"/>
              <w:right w:val="single" w:sz="4" w:space="0" w:color="939598"/>
            </w:tcBorders>
            <w:shd w:val="clear" w:color="auto" w:fill="051C3C"/>
          </w:tcPr>
          <w:p w14:paraId="16482FD7" w14:textId="5508D259" w:rsidR="00077D09" w:rsidRPr="009D23C0" w:rsidRDefault="00077D09" w:rsidP="00077D09">
            <w:pPr>
              <w:pStyle w:val="Tableheading"/>
              <w:keepNext/>
            </w:pPr>
            <w:r>
              <w:rPr>
                <w:sz w:val="18"/>
              </w:rPr>
              <w:t>YES</w:t>
            </w:r>
          </w:p>
        </w:tc>
        <w:tc>
          <w:tcPr>
            <w:tcW w:w="281" w:type="pct"/>
            <w:tcBorders>
              <w:top w:val="single" w:sz="4" w:space="0" w:color="939598"/>
              <w:left w:val="single" w:sz="4" w:space="0" w:color="939598"/>
              <w:bottom w:val="single" w:sz="4" w:space="0" w:color="939598"/>
              <w:right w:val="single" w:sz="4" w:space="0" w:color="939598"/>
            </w:tcBorders>
            <w:shd w:val="clear" w:color="auto" w:fill="051C3C"/>
          </w:tcPr>
          <w:p w14:paraId="6A601309" w14:textId="4B65DEE4" w:rsidR="00077D09" w:rsidRPr="009D23C0" w:rsidRDefault="00077D09" w:rsidP="00077D09">
            <w:pPr>
              <w:pStyle w:val="Tableheading"/>
              <w:keepNext/>
            </w:pPr>
            <w:r>
              <w:rPr>
                <w:sz w:val="18"/>
              </w:rPr>
              <w:t>NO</w:t>
            </w:r>
          </w:p>
        </w:tc>
        <w:tc>
          <w:tcPr>
            <w:tcW w:w="361" w:type="pct"/>
            <w:tcBorders>
              <w:top w:val="single" w:sz="4" w:space="0" w:color="939598"/>
              <w:left w:val="single" w:sz="4" w:space="0" w:color="939598"/>
              <w:bottom w:val="single" w:sz="4" w:space="0" w:color="939598"/>
            </w:tcBorders>
            <w:shd w:val="clear" w:color="auto" w:fill="051C3C"/>
          </w:tcPr>
          <w:p w14:paraId="02C72880" w14:textId="7DD42963" w:rsidR="00077D09" w:rsidRPr="009D23C0" w:rsidRDefault="00077D09" w:rsidP="00077D09">
            <w:pPr>
              <w:pStyle w:val="Tableheading"/>
              <w:keepNext/>
            </w:pPr>
            <w:r w:rsidRPr="005A1539">
              <w:rPr>
                <w:sz w:val="18"/>
              </w:rPr>
              <w:t>N/A</w:t>
            </w:r>
          </w:p>
        </w:tc>
      </w:tr>
      <w:tr w:rsidR="00950668" w:rsidRPr="009D23C0" w14:paraId="3EC6DC15" w14:textId="77777777" w:rsidTr="0089116C">
        <w:tc>
          <w:tcPr>
            <w:tcW w:w="5000" w:type="pct"/>
            <w:gridSpan w:val="4"/>
            <w:tcBorders>
              <w:top w:val="single" w:sz="4" w:space="0" w:color="939598"/>
              <w:bottom w:val="single" w:sz="4" w:space="0" w:color="939598"/>
            </w:tcBorders>
            <w:shd w:val="clear" w:color="auto" w:fill="D9D9D9" w:themeFill="background1" w:themeFillShade="D9"/>
          </w:tcPr>
          <w:p w14:paraId="3E2223DE" w14:textId="1AD0ACDC" w:rsidR="00950668" w:rsidRPr="009D23C0" w:rsidRDefault="00950668" w:rsidP="00D0554E">
            <w:pPr>
              <w:pStyle w:val="Tableheading"/>
              <w:keepNext/>
            </w:pPr>
            <w:r w:rsidRPr="000D3B0E">
              <w:rPr>
                <w:rFonts w:cs="Arial"/>
              </w:rPr>
              <w:t>C</w:t>
            </w:r>
            <w:r w:rsidR="00077D09">
              <w:rPr>
                <w:rFonts w:cs="Arial"/>
              </w:rPr>
              <w:t>ALCULATION STATEMENT</w:t>
            </w:r>
            <w:r w:rsidR="00E74CE0">
              <w:rPr>
                <w:rFonts w:cs="Arial"/>
              </w:rPr>
              <w:t xml:space="preserve"> (continued)</w:t>
            </w:r>
            <w:r w:rsidRPr="000D3B0E">
              <w:rPr>
                <w:rFonts w:cs="Arial"/>
              </w:rPr>
              <w:t xml:space="preserve"> </w:t>
            </w:r>
          </w:p>
        </w:tc>
      </w:tr>
      <w:tr w:rsidR="00D0554E" w:rsidRPr="00FC3B3B" w14:paraId="5E2FF47E" w14:textId="77777777" w:rsidTr="0089116C">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Ex>
        <w:tc>
          <w:tcPr>
            <w:tcW w:w="4006" w:type="pct"/>
            <w:tcBorders>
              <w:top w:val="single" w:sz="4" w:space="0" w:color="939598"/>
              <w:left w:val="single" w:sz="4" w:space="0" w:color="939598"/>
              <w:bottom w:val="single" w:sz="4" w:space="0" w:color="939598"/>
              <w:right w:val="single" w:sz="4" w:space="0" w:color="939598"/>
            </w:tcBorders>
          </w:tcPr>
          <w:p w14:paraId="6585103B" w14:textId="6562018D" w:rsidR="001B6D1F" w:rsidRDefault="001B6D1F" w:rsidP="00D0554E">
            <w:pPr>
              <w:keepNext/>
              <w:spacing w:before="100" w:after="100"/>
              <w:rPr>
                <w:rFonts w:cs="Arial"/>
                <w:sz w:val="17"/>
                <w:szCs w:val="17"/>
              </w:rPr>
            </w:pPr>
            <w:r>
              <w:rPr>
                <w:rFonts w:cs="Arial"/>
                <w:sz w:val="17"/>
                <w:szCs w:val="17"/>
              </w:rPr>
              <w:t xml:space="preserve">Is the company not a base rate entity for the 2018 year? Where the company is not a base rate entity a standard company tax rate of 30% will be applied to the taxable income derived by the non-base rate entity. This will be the case were either the company is not carrying on a business in the 2018 year </w:t>
            </w:r>
            <w:r w:rsidR="00DE1FC8">
              <w:rPr>
                <w:rFonts w:cs="Arial"/>
                <w:sz w:val="17"/>
                <w:szCs w:val="17"/>
              </w:rPr>
              <w:t>and/</w:t>
            </w:r>
            <w:r>
              <w:rPr>
                <w:rFonts w:cs="Arial"/>
                <w:sz w:val="17"/>
                <w:szCs w:val="17"/>
              </w:rPr>
              <w:t>or has an aggregated turnover for that year of $25 million or more</w:t>
            </w:r>
            <w:r w:rsidR="00DE1FC8">
              <w:rPr>
                <w:rFonts w:cs="Arial"/>
                <w:sz w:val="17"/>
                <w:szCs w:val="17"/>
              </w:rPr>
              <w:t>.</w:t>
            </w:r>
          </w:p>
        </w:tc>
        <w:tc>
          <w:tcPr>
            <w:tcW w:w="352" w:type="pct"/>
            <w:tcBorders>
              <w:top w:val="single" w:sz="4" w:space="0" w:color="939598"/>
              <w:left w:val="single" w:sz="4" w:space="0" w:color="939598"/>
              <w:bottom w:val="single" w:sz="4" w:space="0" w:color="939598"/>
              <w:right w:val="single" w:sz="4" w:space="0" w:color="939598"/>
            </w:tcBorders>
          </w:tcPr>
          <w:p w14:paraId="3CCC9FC5" w14:textId="77777777" w:rsidR="001B6D1F" w:rsidRPr="00FC3B3B" w:rsidRDefault="001B6D1F" w:rsidP="00D0554E">
            <w:pPr>
              <w:keepNext/>
              <w:spacing w:before="100" w:after="100"/>
              <w:rPr>
                <w:rFonts w:cs="Arial"/>
                <w:sz w:val="18"/>
                <w:szCs w:val="18"/>
              </w:rPr>
            </w:pPr>
          </w:p>
        </w:tc>
        <w:tc>
          <w:tcPr>
            <w:tcW w:w="281" w:type="pct"/>
            <w:tcBorders>
              <w:top w:val="single" w:sz="4" w:space="0" w:color="939598"/>
              <w:left w:val="single" w:sz="4" w:space="0" w:color="939598"/>
              <w:bottom w:val="single" w:sz="4" w:space="0" w:color="939598"/>
              <w:right w:val="single" w:sz="4" w:space="0" w:color="939598"/>
            </w:tcBorders>
          </w:tcPr>
          <w:p w14:paraId="111A1778" w14:textId="77777777" w:rsidR="001B6D1F" w:rsidRPr="00FC3B3B" w:rsidRDefault="001B6D1F" w:rsidP="00D0554E">
            <w:pPr>
              <w:keepNext/>
              <w:spacing w:before="100" w:after="100"/>
              <w:rPr>
                <w:rFonts w:cs="Arial"/>
                <w:sz w:val="18"/>
                <w:szCs w:val="18"/>
              </w:rPr>
            </w:pPr>
          </w:p>
        </w:tc>
        <w:tc>
          <w:tcPr>
            <w:tcW w:w="361" w:type="pct"/>
            <w:tcBorders>
              <w:top w:val="single" w:sz="4" w:space="0" w:color="939598"/>
              <w:left w:val="single" w:sz="4" w:space="0" w:color="939598"/>
              <w:bottom w:val="single" w:sz="4" w:space="0" w:color="939598"/>
              <w:right w:val="single" w:sz="4" w:space="0" w:color="939598"/>
            </w:tcBorders>
          </w:tcPr>
          <w:p w14:paraId="31031456" w14:textId="77777777" w:rsidR="001B6D1F" w:rsidRPr="00FC3B3B" w:rsidRDefault="001B6D1F" w:rsidP="00D0554E">
            <w:pPr>
              <w:keepNext/>
              <w:spacing w:before="100" w:after="100"/>
              <w:rPr>
                <w:rFonts w:cs="Arial"/>
                <w:sz w:val="18"/>
                <w:szCs w:val="18"/>
              </w:rPr>
            </w:pPr>
          </w:p>
        </w:tc>
      </w:tr>
      <w:tr w:rsidR="00D0554E" w:rsidRPr="00FC3B3B" w14:paraId="4C214E7A" w14:textId="77777777" w:rsidTr="0089116C">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Ex>
        <w:tc>
          <w:tcPr>
            <w:tcW w:w="4006" w:type="pct"/>
            <w:tcBorders>
              <w:top w:val="single" w:sz="4" w:space="0" w:color="939598"/>
              <w:left w:val="single" w:sz="4" w:space="0" w:color="939598"/>
              <w:bottom w:val="single" w:sz="4" w:space="0" w:color="939598"/>
              <w:right w:val="single" w:sz="4" w:space="0" w:color="939598"/>
            </w:tcBorders>
          </w:tcPr>
          <w:p w14:paraId="36E17515" w14:textId="75724D48" w:rsidR="00BA560C" w:rsidRDefault="00BA560C" w:rsidP="00D0554E">
            <w:pPr>
              <w:keepNext/>
              <w:spacing w:before="100" w:after="100"/>
              <w:rPr>
                <w:rFonts w:cs="Arial"/>
                <w:sz w:val="17"/>
                <w:szCs w:val="17"/>
              </w:rPr>
            </w:pPr>
            <w:r>
              <w:rPr>
                <w:rFonts w:cs="Arial"/>
                <w:sz w:val="17"/>
                <w:szCs w:val="17"/>
              </w:rPr>
              <w:t>Have all the applicable non-refundable non-carry forward tax offsets been included (e.g. foreign income tax offset and franking credit tax offset)? (Label C)</w:t>
            </w:r>
          </w:p>
        </w:tc>
        <w:tc>
          <w:tcPr>
            <w:tcW w:w="352" w:type="pct"/>
            <w:tcBorders>
              <w:top w:val="single" w:sz="4" w:space="0" w:color="939598"/>
              <w:left w:val="single" w:sz="4" w:space="0" w:color="939598"/>
              <w:bottom w:val="single" w:sz="4" w:space="0" w:color="939598"/>
              <w:right w:val="single" w:sz="4" w:space="0" w:color="939598"/>
            </w:tcBorders>
          </w:tcPr>
          <w:p w14:paraId="025583FE" w14:textId="77777777" w:rsidR="00BA560C" w:rsidRPr="00FC3B3B" w:rsidRDefault="00BA560C" w:rsidP="00D0554E">
            <w:pPr>
              <w:keepNext/>
              <w:spacing w:before="100" w:after="100"/>
              <w:rPr>
                <w:rFonts w:cs="Arial"/>
                <w:sz w:val="18"/>
                <w:szCs w:val="18"/>
              </w:rPr>
            </w:pPr>
          </w:p>
        </w:tc>
        <w:tc>
          <w:tcPr>
            <w:tcW w:w="281" w:type="pct"/>
            <w:tcBorders>
              <w:top w:val="single" w:sz="4" w:space="0" w:color="939598"/>
              <w:left w:val="single" w:sz="4" w:space="0" w:color="939598"/>
              <w:bottom w:val="single" w:sz="4" w:space="0" w:color="939598"/>
              <w:right w:val="single" w:sz="4" w:space="0" w:color="939598"/>
            </w:tcBorders>
          </w:tcPr>
          <w:p w14:paraId="25B56730" w14:textId="77777777" w:rsidR="00BA560C" w:rsidRPr="00FC3B3B" w:rsidRDefault="00BA560C" w:rsidP="00D0554E">
            <w:pPr>
              <w:keepNext/>
              <w:spacing w:before="100" w:after="100"/>
              <w:rPr>
                <w:rFonts w:cs="Arial"/>
                <w:sz w:val="18"/>
                <w:szCs w:val="18"/>
              </w:rPr>
            </w:pPr>
          </w:p>
        </w:tc>
        <w:tc>
          <w:tcPr>
            <w:tcW w:w="361" w:type="pct"/>
            <w:tcBorders>
              <w:top w:val="single" w:sz="4" w:space="0" w:color="939598"/>
              <w:left w:val="single" w:sz="4" w:space="0" w:color="939598"/>
              <w:bottom w:val="single" w:sz="4" w:space="0" w:color="939598"/>
              <w:right w:val="single" w:sz="4" w:space="0" w:color="939598"/>
            </w:tcBorders>
          </w:tcPr>
          <w:p w14:paraId="3B4473F5" w14:textId="77777777" w:rsidR="00BA560C" w:rsidRPr="00FC3B3B" w:rsidRDefault="00BA560C" w:rsidP="00D0554E">
            <w:pPr>
              <w:keepNext/>
              <w:spacing w:before="100" w:after="100"/>
              <w:rPr>
                <w:rFonts w:cs="Arial"/>
                <w:sz w:val="18"/>
                <w:szCs w:val="18"/>
              </w:rPr>
            </w:pPr>
          </w:p>
        </w:tc>
      </w:tr>
      <w:tr w:rsidR="00D0554E" w:rsidRPr="00FC3B3B" w14:paraId="3AC4C792" w14:textId="77777777" w:rsidTr="0089116C">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Ex>
        <w:tc>
          <w:tcPr>
            <w:tcW w:w="4006" w:type="pct"/>
            <w:tcBorders>
              <w:top w:val="single" w:sz="4" w:space="0" w:color="939598"/>
              <w:left w:val="single" w:sz="4" w:space="0" w:color="939598"/>
              <w:bottom w:val="single" w:sz="4" w:space="0" w:color="939598"/>
              <w:right w:val="single" w:sz="4" w:space="0" w:color="939598"/>
            </w:tcBorders>
          </w:tcPr>
          <w:p w14:paraId="3312CF40" w14:textId="77777777" w:rsidR="00BA560C" w:rsidRPr="00110FC2" w:rsidRDefault="00BA560C" w:rsidP="00D0554E">
            <w:pPr>
              <w:spacing w:before="100" w:after="100"/>
              <w:rPr>
                <w:rFonts w:cs="Arial"/>
                <w:sz w:val="17"/>
                <w:szCs w:val="17"/>
              </w:rPr>
            </w:pPr>
            <w:r>
              <w:rPr>
                <w:rFonts w:cs="Arial"/>
                <w:sz w:val="17"/>
                <w:szCs w:val="17"/>
              </w:rPr>
              <w:t>Have all the applicable non-refundable carry forward tax offsets been included (e.g. non-refundable  R&amp;D tax offset)? (Label D)</w:t>
            </w:r>
          </w:p>
        </w:tc>
        <w:tc>
          <w:tcPr>
            <w:tcW w:w="352" w:type="pct"/>
            <w:tcBorders>
              <w:top w:val="single" w:sz="4" w:space="0" w:color="939598"/>
              <w:left w:val="single" w:sz="4" w:space="0" w:color="939598"/>
              <w:bottom w:val="single" w:sz="4" w:space="0" w:color="939598"/>
              <w:right w:val="single" w:sz="4" w:space="0" w:color="939598"/>
            </w:tcBorders>
          </w:tcPr>
          <w:p w14:paraId="73A58C42" w14:textId="77777777" w:rsidR="00BA560C" w:rsidRPr="00FC3B3B" w:rsidRDefault="00BA560C" w:rsidP="00D0554E">
            <w:pPr>
              <w:spacing w:before="100" w:after="100"/>
              <w:rPr>
                <w:rFonts w:cs="Arial"/>
                <w:sz w:val="18"/>
                <w:szCs w:val="18"/>
              </w:rPr>
            </w:pPr>
          </w:p>
        </w:tc>
        <w:tc>
          <w:tcPr>
            <w:tcW w:w="281" w:type="pct"/>
            <w:tcBorders>
              <w:top w:val="single" w:sz="4" w:space="0" w:color="939598"/>
              <w:left w:val="single" w:sz="4" w:space="0" w:color="939598"/>
              <w:bottom w:val="single" w:sz="4" w:space="0" w:color="939598"/>
              <w:right w:val="single" w:sz="4" w:space="0" w:color="939598"/>
            </w:tcBorders>
          </w:tcPr>
          <w:p w14:paraId="3102C127" w14:textId="77777777" w:rsidR="00BA560C" w:rsidRPr="00FC3B3B" w:rsidRDefault="00BA560C" w:rsidP="00D0554E">
            <w:pPr>
              <w:spacing w:before="100" w:after="100"/>
              <w:rPr>
                <w:rFonts w:cs="Arial"/>
                <w:sz w:val="18"/>
                <w:szCs w:val="18"/>
              </w:rPr>
            </w:pPr>
          </w:p>
        </w:tc>
        <w:tc>
          <w:tcPr>
            <w:tcW w:w="361" w:type="pct"/>
            <w:tcBorders>
              <w:top w:val="single" w:sz="4" w:space="0" w:color="939598"/>
              <w:left w:val="single" w:sz="4" w:space="0" w:color="939598"/>
              <w:bottom w:val="single" w:sz="4" w:space="0" w:color="939598"/>
              <w:right w:val="single" w:sz="4" w:space="0" w:color="939598"/>
            </w:tcBorders>
          </w:tcPr>
          <w:p w14:paraId="51B8D4B3" w14:textId="77777777" w:rsidR="00BA560C" w:rsidRPr="00FC3B3B" w:rsidRDefault="00BA560C" w:rsidP="00D0554E">
            <w:pPr>
              <w:spacing w:before="100" w:after="100"/>
              <w:rPr>
                <w:rFonts w:cs="Arial"/>
                <w:sz w:val="18"/>
                <w:szCs w:val="18"/>
              </w:rPr>
            </w:pPr>
          </w:p>
        </w:tc>
      </w:tr>
      <w:tr w:rsidR="00D0554E" w:rsidRPr="00FC3B3B" w14:paraId="7D44022E" w14:textId="77777777" w:rsidTr="0089116C">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Ex>
        <w:tc>
          <w:tcPr>
            <w:tcW w:w="4006" w:type="pct"/>
            <w:tcBorders>
              <w:top w:val="single" w:sz="4" w:space="0" w:color="939598"/>
              <w:left w:val="single" w:sz="4" w:space="0" w:color="939598"/>
              <w:bottom w:val="single" w:sz="4" w:space="0" w:color="939598"/>
              <w:right w:val="single" w:sz="4" w:space="0" w:color="939598"/>
            </w:tcBorders>
          </w:tcPr>
          <w:p w14:paraId="2A28FF23" w14:textId="5FE2030C" w:rsidR="00BA560C" w:rsidRPr="00110FC2" w:rsidRDefault="00BA560C" w:rsidP="00D0554E">
            <w:pPr>
              <w:spacing w:before="100" w:after="100"/>
              <w:rPr>
                <w:rFonts w:cs="Arial"/>
                <w:sz w:val="17"/>
                <w:szCs w:val="17"/>
              </w:rPr>
            </w:pPr>
            <w:r>
              <w:rPr>
                <w:rFonts w:cs="Arial"/>
                <w:sz w:val="17"/>
                <w:szCs w:val="17"/>
              </w:rPr>
              <w:t xml:space="preserve">Have all refundable tax offsets been included (e.g. refundable </w:t>
            </w:r>
            <w:r w:rsidR="00DE1FC8">
              <w:rPr>
                <w:rFonts w:cs="Arial"/>
                <w:sz w:val="17"/>
                <w:szCs w:val="17"/>
              </w:rPr>
              <w:t xml:space="preserve">R&amp;D </w:t>
            </w:r>
            <w:r>
              <w:rPr>
                <w:rFonts w:cs="Arial"/>
                <w:sz w:val="17"/>
                <w:szCs w:val="17"/>
              </w:rPr>
              <w:t>tax offset and film tax offset)? (Label E and I)</w:t>
            </w:r>
          </w:p>
        </w:tc>
        <w:tc>
          <w:tcPr>
            <w:tcW w:w="352" w:type="pct"/>
            <w:tcBorders>
              <w:top w:val="single" w:sz="4" w:space="0" w:color="939598"/>
              <w:left w:val="single" w:sz="4" w:space="0" w:color="939598"/>
              <w:bottom w:val="single" w:sz="4" w:space="0" w:color="939598"/>
              <w:right w:val="single" w:sz="4" w:space="0" w:color="939598"/>
            </w:tcBorders>
          </w:tcPr>
          <w:p w14:paraId="01D0A60E" w14:textId="77777777" w:rsidR="00BA560C" w:rsidRPr="00FC3B3B" w:rsidRDefault="00BA560C" w:rsidP="00D0554E">
            <w:pPr>
              <w:spacing w:before="100" w:after="100"/>
              <w:rPr>
                <w:rFonts w:cs="Arial"/>
                <w:sz w:val="18"/>
                <w:szCs w:val="18"/>
              </w:rPr>
            </w:pPr>
          </w:p>
        </w:tc>
        <w:tc>
          <w:tcPr>
            <w:tcW w:w="281" w:type="pct"/>
            <w:tcBorders>
              <w:top w:val="single" w:sz="4" w:space="0" w:color="939598"/>
              <w:left w:val="single" w:sz="4" w:space="0" w:color="939598"/>
              <w:bottom w:val="single" w:sz="4" w:space="0" w:color="939598"/>
              <w:right w:val="single" w:sz="4" w:space="0" w:color="939598"/>
            </w:tcBorders>
          </w:tcPr>
          <w:p w14:paraId="3C7F0D60" w14:textId="77777777" w:rsidR="00BA560C" w:rsidRPr="00FC3B3B" w:rsidRDefault="00BA560C" w:rsidP="00D0554E">
            <w:pPr>
              <w:spacing w:before="100" w:after="100"/>
              <w:rPr>
                <w:rFonts w:cs="Arial"/>
                <w:sz w:val="18"/>
                <w:szCs w:val="18"/>
              </w:rPr>
            </w:pPr>
          </w:p>
        </w:tc>
        <w:tc>
          <w:tcPr>
            <w:tcW w:w="361" w:type="pct"/>
            <w:tcBorders>
              <w:top w:val="single" w:sz="4" w:space="0" w:color="939598"/>
              <w:left w:val="single" w:sz="4" w:space="0" w:color="939598"/>
              <w:bottom w:val="single" w:sz="4" w:space="0" w:color="939598"/>
              <w:right w:val="single" w:sz="4" w:space="0" w:color="939598"/>
            </w:tcBorders>
          </w:tcPr>
          <w:p w14:paraId="7130EEBF" w14:textId="77777777" w:rsidR="00BA560C" w:rsidRPr="00FC3B3B" w:rsidRDefault="00BA560C" w:rsidP="00D0554E">
            <w:pPr>
              <w:spacing w:before="100" w:after="100"/>
              <w:rPr>
                <w:rFonts w:cs="Arial"/>
                <w:sz w:val="18"/>
                <w:szCs w:val="18"/>
              </w:rPr>
            </w:pPr>
          </w:p>
        </w:tc>
      </w:tr>
      <w:tr w:rsidR="00D0554E" w:rsidRPr="00FC3B3B" w14:paraId="1CBD34FA" w14:textId="77777777" w:rsidTr="0089116C">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Ex>
        <w:tc>
          <w:tcPr>
            <w:tcW w:w="4006" w:type="pct"/>
            <w:tcBorders>
              <w:top w:val="single" w:sz="4" w:space="0" w:color="939598"/>
              <w:left w:val="single" w:sz="4" w:space="0" w:color="939598"/>
              <w:bottom w:val="single" w:sz="4" w:space="0" w:color="939598"/>
              <w:right w:val="single" w:sz="4" w:space="0" w:color="939598"/>
            </w:tcBorders>
          </w:tcPr>
          <w:p w14:paraId="35149506" w14:textId="77777777" w:rsidR="00BA560C" w:rsidRPr="00110FC2" w:rsidRDefault="00BA560C" w:rsidP="00D0554E">
            <w:pPr>
              <w:spacing w:before="100" w:after="100"/>
              <w:rPr>
                <w:rFonts w:cs="Arial"/>
                <w:sz w:val="17"/>
                <w:szCs w:val="17"/>
              </w:rPr>
            </w:pPr>
            <w:r>
              <w:rPr>
                <w:rFonts w:cs="Arial"/>
                <w:sz w:val="17"/>
                <w:szCs w:val="17"/>
              </w:rPr>
              <w:t>Have all eligible credits been included (e.g. credit for TFN withholding tax)? (Label H)</w:t>
            </w:r>
          </w:p>
        </w:tc>
        <w:tc>
          <w:tcPr>
            <w:tcW w:w="352" w:type="pct"/>
            <w:tcBorders>
              <w:top w:val="single" w:sz="4" w:space="0" w:color="939598"/>
              <w:left w:val="single" w:sz="4" w:space="0" w:color="939598"/>
              <w:bottom w:val="single" w:sz="4" w:space="0" w:color="939598"/>
              <w:right w:val="single" w:sz="4" w:space="0" w:color="939598"/>
            </w:tcBorders>
          </w:tcPr>
          <w:p w14:paraId="71A5D9D3" w14:textId="77777777" w:rsidR="00BA560C" w:rsidRPr="00FC3B3B" w:rsidRDefault="00BA560C" w:rsidP="00D0554E">
            <w:pPr>
              <w:spacing w:before="100" w:after="100"/>
              <w:rPr>
                <w:rFonts w:cs="Arial"/>
                <w:sz w:val="18"/>
                <w:szCs w:val="18"/>
              </w:rPr>
            </w:pPr>
          </w:p>
        </w:tc>
        <w:tc>
          <w:tcPr>
            <w:tcW w:w="281" w:type="pct"/>
            <w:tcBorders>
              <w:top w:val="single" w:sz="4" w:space="0" w:color="939598"/>
              <w:left w:val="single" w:sz="4" w:space="0" w:color="939598"/>
              <w:bottom w:val="single" w:sz="4" w:space="0" w:color="939598"/>
              <w:right w:val="single" w:sz="4" w:space="0" w:color="939598"/>
            </w:tcBorders>
          </w:tcPr>
          <w:p w14:paraId="02A25AE8" w14:textId="77777777" w:rsidR="00BA560C" w:rsidRPr="00FC3B3B" w:rsidRDefault="00BA560C" w:rsidP="00D0554E">
            <w:pPr>
              <w:spacing w:before="100" w:after="100"/>
              <w:rPr>
                <w:rFonts w:cs="Arial"/>
                <w:sz w:val="18"/>
                <w:szCs w:val="18"/>
              </w:rPr>
            </w:pPr>
          </w:p>
        </w:tc>
        <w:tc>
          <w:tcPr>
            <w:tcW w:w="361" w:type="pct"/>
            <w:tcBorders>
              <w:top w:val="single" w:sz="4" w:space="0" w:color="939598"/>
              <w:left w:val="single" w:sz="4" w:space="0" w:color="939598"/>
              <w:bottom w:val="single" w:sz="4" w:space="0" w:color="939598"/>
              <w:right w:val="single" w:sz="4" w:space="0" w:color="939598"/>
            </w:tcBorders>
          </w:tcPr>
          <w:p w14:paraId="29863573" w14:textId="77777777" w:rsidR="00BA560C" w:rsidRPr="00FC3B3B" w:rsidRDefault="00BA560C" w:rsidP="00D0554E">
            <w:pPr>
              <w:spacing w:before="100" w:after="100"/>
              <w:rPr>
                <w:rFonts w:cs="Arial"/>
                <w:sz w:val="18"/>
                <w:szCs w:val="18"/>
              </w:rPr>
            </w:pPr>
          </w:p>
        </w:tc>
      </w:tr>
      <w:tr w:rsidR="00D0554E" w:rsidRPr="00FC3B3B" w14:paraId="38DE42E3" w14:textId="77777777" w:rsidTr="0089116C">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Ex>
        <w:tc>
          <w:tcPr>
            <w:tcW w:w="4006" w:type="pct"/>
            <w:tcBorders>
              <w:top w:val="single" w:sz="4" w:space="0" w:color="939598"/>
              <w:left w:val="single" w:sz="4" w:space="0" w:color="939598"/>
              <w:bottom w:val="single" w:sz="4" w:space="0" w:color="939598"/>
              <w:right w:val="single" w:sz="4" w:space="0" w:color="939598"/>
            </w:tcBorders>
          </w:tcPr>
          <w:p w14:paraId="41B8E2B8" w14:textId="7C833EFB" w:rsidR="00BA560C" w:rsidRPr="00AE1F66" w:rsidRDefault="00BA560C" w:rsidP="00D0554E">
            <w:pPr>
              <w:spacing w:before="100" w:after="100"/>
              <w:rPr>
                <w:sz w:val="17"/>
                <w:szCs w:val="17"/>
              </w:rPr>
            </w:pPr>
            <w:r>
              <w:rPr>
                <w:sz w:val="17"/>
                <w:szCs w:val="17"/>
              </w:rPr>
              <w:t>Has</w:t>
            </w:r>
            <w:r w:rsidRPr="00AE1F66">
              <w:rPr>
                <w:sz w:val="17"/>
                <w:szCs w:val="17"/>
              </w:rPr>
              <w:t xml:space="preserve"> a credit </w:t>
            </w:r>
            <w:r>
              <w:rPr>
                <w:sz w:val="17"/>
                <w:szCs w:val="17"/>
              </w:rPr>
              <w:t xml:space="preserve">been claimed </w:t>
            </w:r>
            <w:r w:rsidRPr="00AE1F66">
              <w:rPr>
                <w:sz w:val="17"/>
                <w:szCs w:val="17"/>
              </w:rPr>
              <w:t xml:space="preserve">for any amount withheld under the foreign resident capital gains tax withholding rules at Label </w:t>
            </w:r>
            <w:r>
              <w:rPr>
                <w:sz w:val="17"/>
                <w:szCs w:val="17"/>
              </w:rPr>
              <w:t>H</w:t>
            </w:r>
            <w:r w:rsidR="00376073">
              <w:rPr>
                <w:sz w:val="17"/>
                <w:szCs w:val="17"/>
              </w:rPr>
              <w:t>8</w:t>
            </w:r>
            <w:r>
              <w:rPr>
                <w:sz w:val="17"/>
                <w:szCs w:val="17"/>
              </w:rPr>
              <w:t xml:space="preserve"> in the calculation statement of the return</w:t>
            </w:r>
            <w:r w:rsidR="00E74CE0">
              <w:rPr>
                <w:sz w:val="17"/>
                <w:szCs w:val="17"/>
              </w:rPr>
              <w:t>?</w:t>
            </w:r>
          </w:p>
          <w:p w14:paraId="39F0E5AF" w14:textId="0E84EBD4" w:rsidR="00BA560C" w:rsidRPr="00211718" w:rsidRDefault="00BA560C" w:rsidP="00D0554E">
            <w:pPr>
              <w:spacing w:before="100" w:after="100"/>
              <w:rPr>
                <w:rFonts w:cs="Arial"/>
                <w:sz w:val="15"/>
                <w:szCs w:val="15"/>
              </w:rPr>
            </w:pPr>
            <w:r w:rsidRPr="00211718">
              <w:rPr>
                <w:rFonts w:cs="Arial"/>
                <w:b/>
                <w:sz w:val="15"/>
                <w:szCs w:val="15"/>
              </w:rPr>
              <w:t>Note</w:t>
            </w:r>
            <w:r w:rsidRPr="00211718">
              <w:rPr>
                <w:rFonts w:cs="Arial"/>
                <w:sz w:val="15"/>
                <w:szCs w:val="15"/>
              </w:rPr>
              <w:t>: the rate of foreign resident CGT withholding tax that must be retained by a purchaser at settlement from the purchase price of a property was increased from 10% to 12.5% effective from 1 July 2017. However, such tax does not need to be retained from the purchase price of the property if the vendor obtains a clearance certificate from the ATO prior to settlement or if an exemption or variation otherwise applies. It should be noted that the foreign resident CGT withholding obligation does not arise in relation to a CGT asset if the market value of that asset is less than $750,000, and the CGT asset is either taxable Australian real property or certain indirect taxable Australian real property interests.</w:t>
            </w:r>
          </w:p>
        </w:tc>
        <w:tc>
          <w:tcPr>
            <w:tcW w:w="352" w:type="pct"/>
            <w:tcBorders>
              <w:top w:val="single" w:sz="4" w:space="0" w:color="939598"/>
              <w:left w:val="single" w:sz="4" w:space="0" w:color="939598"/>
              <w:bottom w:val="single" w:sz="4" w:space="0" w:color="939598"/>
              <w:right w:val="single" w:sz="4" w:space="0" w:color="939598"/>
            </w:tcBorders>
          </w:tcPr>
          <w:p w14:paraId="69A82D2F" w14:textId="77777777" w:rsidR="00BA560C" w:rsidRPr="00FC3B3B" w:rsidRDefault="00BA560C" w:rsidP="00D0554E">
            <w:pPr>
              <w:spacing w:before="100" w:after="100"/>
              <w:rPr>
                <w:rFonts w:cs="Arial"/>
                <w:sz w:val="18"/>
                <w:szCs w:val="18"/>
              </w:rPr>
            </w:pPr>
          </w:p>
        </w:tc>
        <w:tc>
          <w:tcPr>
            <w:tcW w:w="281" w:type="pct"/>
            <w:tcBorders>
              <w:top w:val="single" w:sz="4" w:space="0" w:color="939598"/>
              <w:left w:val="single" w:sz="4" w:space="0" w:color="939598"/>
              <w:bottom w:val="single" w:sz="4" w:space="0" w:color="939598"/>
              <w:right w:val="single" w:sz="4" w:space="0" w:color="939598"/>
            </w:tcBorders>
          </w:tcPr>
          <w:p w14:paraId="73DA5045" w14:textId="77777777" w:rsidR="00BA560C" w:rsidRPr="00FC3B3B" w:rsidRDefault="00BA560C" w:rsidP="00D0554E">
            <w:pPr>
              <w:spacing w:before="100" w:after="100"/>
              <w:rPr>
                <w:rFonts w:cs="Arial"/>
                <w:sz w:val="18"/>
                <w:szCs w:val="18"/>
              </w:rPr>
            </w:pPr>
          </w:p>
        </w:tc>
        <w:tc>
          <w:tcPr>
            <w:tcW w:w="361" w:type="pct"/>
            <w:tcBorders>
              <w:top w:val="single" w:sz="4" w:space="0" w:color="939598"/>
              <w:left w:val="single" w:sz="4" w:space="0" w:color="939598"/>
              <w:bottom w:val="single" w:sz="4" w:space="0" w:color="939598"/>
              <w:right w:val="single" w:sz="4" w:space="0" w:color="939598"/>
            </w:tcBorders>
          </w:tcPr>
          <w:p w14:paraId="19464BFF" w14:textId="77777777" w:rsidR="00BA560C" w:rsidRPr="00FC3B3B" w:rsidRDefault="00BA560C" w:rsidP="00D0554E">
            <w:pPr>
              <w:spacing w:before="100" w:after="100"/>
              <w:rPr>
                <w:rFonts w:cs="Arial"/>
                <w:sz w:val="18"/>
                <w:szCs w:val="18"/>
              </w:rPr>
            </w:pPr>
          </w:p>
        </w:tc>
      </w:tr>
      <w:tr w:rsidR="00D0554E" w:rsidRPr="00FC3B3B" w14:paraId="7931DA4E" w14:textId="77777777" w:rsidTr="0089116C">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Ex>
        <w:tc>
          <w:tcPr>
            <w:tcW w:w="4006" w:type="pct"/>
            <w:tcBorders>
              <w:top w:val="single" w:sz="4" w:space="0" w:color="939598"/>
              <w:left w:val="single" w:sz="4" w:space="0" w:color="939598"/>
              <w:bottom w:val="single" w:sz="4" w:space="0" w:color="939598"/>
              <w:right w:val="single" w:sz="4" w:space="0" w:color="939598"/>
            </w:tcBorders>
          </w:tcPr>
          <w:p w14:paraId="21A62E25" w14:textId="77777777" w:rsidR="00BA560C" w:rsidRPr="00110FC2" w:rsidRDefault="00BA560C" w:rsidP="00D0554E">
            <w:pPr>
              <w:spacing w:before="100" w:after="100"/>
              <w:rPr>
                <w:rFonts w:cs="Arial"/>
                <w:sz w:val="17"/>
                <w:szCs w:val="17"/>
              </w:rPr>
            </w:pPr>
            <w:r w:rsidRPr="00110FC2">
              <w:rPr>
                <w:rFonts w:cs="Arial"/>
                <w:sz w:val="17"/>
                <w:szCs w:val="17"/>
              </w:rPr>
              <w:t>Have all PAYG instalments paid during the year been included?</w:t>
            </w:r>
            <w:r>
              <w:rPr>
                <w:rFonts w:cs="Arial"/>
                <w:sz w:val="17"/>
                <w:szCs w:val="17"/>
              </w:rPr>
              <w:t xml:space="preserve"> (Label K)</w:t>
            </w:r>
          </w:p>
        </w:tc>
        <w:tc>
          <w:tcPr>
            <w:tcW w:w="352" w:type="pct"/>
            <w:tcBorders>
              <w:top w:val="single" w:sz="4" w:space="0" w:color="939598"/>
              <w:left w:val="single" w:sz="4" w:space="0" w:color="939598"/>
              <w:bottom w:val="single" w:sz="4" w:space="0" w:color="939598"/>
              <w:right w:val="single" w:sz="4" w:space="0" w:color="939598"/>
            </w:tcBorders>
          </w:tcPr>
          <w:p w14:paraId="7F44F450" w14:textId="77777777" w:rsidR="00BA560C" w:rsidRPr="00FC3B3B" w:rsidRDefault="00BA560C" w:rsidP="00D0554E">
            <w:pPr>
              <w:spacing w:before="100" w:after="100"/>
              <w:rPr>
                <w:rFonts w:cs="Arial"/>
                <w:sz w:val="18"/>
                <w:szCs w:val="18"/>
              </w:rPr>
            </w:pPr>
          </w:p>
        </w:tc>
        <w:tc>
          <w:tcPr>
            <w:tcW w:w="281" w:type="pct"/>
            <w:tcBorders>
              <w:top w:val="single" w:sz="4" w:space="0" w:color="939598"/>
              <w:left w:val="single" w:sz="4" w:space="0" w:color="939598"/>
              <w:bottom w:val="single" w:sz="4" w:space="0" w:color="939598"/>
              <w:right w:val="single" w:sz="4" w:space="0" w:color="939598"/>
            </w:tcBorders>
          </w:tcPr>
          <w:p w14:paraId="135DAE15" w14:textId="77777777" w:rsidR="00BA560C" w:rsidRPr="00FC3B3B" w:rsidRDefault="00BA560C" w:rsidP="00D0554E">
            <w:pPr>
              <w:spacing w:before="100" w:after="100"/>
              <w:rPr>
                <w:rFonts w:cs="Arial"/>
                <w:sz w:val="18"/>
                <w:szCs w:val="18"/>
              </w:rPr>
            </w:pPr>
          </w:p>
        </w:tc>
        <w:tc>
          <w:tcPr>
            <w:tcW w:w="361" w:type="pct"/>
            <w:tcBorders>
              <w:top w:val="single" w:sz="4" w:space="0" w:color="939598"/>
              <w:left w:val="single" w:sz="4" w:space="0" w:color="939598"/>
              <w:bottom w:val="single" w:sz="4" w:space="0" w:color="939598"/>
              <w:right w:val="single" w:sz="4" w:space="0" w:color="939598"/>
            </w:tcBorders>
          </w:tcPr>
          <w:p w14:paraId="0BEC096A" w14:textId="77777777" w:rsidR="00BA560C" w:rsidRPr="00FC3B3B" w:rsidRDefault="00BA560C" w:rsidP="00D0554E">
            <w:pPr>
              <w:spacing w:before="100" w:after="100"/>
              <w:rPr>
                <w:rFonts w:cs="Arial"/>
                <w:sz w:val="18"/>
                <w:szCs w:val="18"/>
              </w:rPr>
            </w:pPr>
          </w:p>
        </w:tc>
      </w:tr>
      <w:tr w:rsidR="00FC2815" w:rsidRPr="005A1539" w14:paraId="7850B658" w14:textId="77777777" w:rsidTr="0089116C">
        <w:tc>
          <w:tcPr>
            <w:tcW w:w="4006" w:type="pct"/>
            <w:tcBorders>
              <w:top w:val="single" w:sz="4" w:space="0" w:color="939598"/>
              <w:bottom w:val="single" w:sz="4" w:space="0" w:color="939598"/>
              <w:right w:val="single" w:sz="4" w:space="0" w:color="939598"/>
            </w:tcBorders>
            <w:shd w:val="clear" w:color="auto" w:fill="051C3C"/>
          </w:tcPr>
          <w:p w14:paraId="0890E863" w14:textId="48FC2B75" w:rsidR="00BA560C" w:rsidRPr="005A1539" w:rsidRDefault="00BA560C" w:rsidP="00D0554E">
            <w:pPr>
              <w:pStyle w:val="Tableheading"/>
              <w:keepNext/>
              <w:rPr>
                <w:sz w:val="18"/>
              </w:rPr>
            </w:pPr>
            <w:r w:rsidRPr="000D3B0E">
              <w:rPr>
                <w:sz w:val="18"/>
              </w:rPr>
              <w:t>O</w:t>
            </w:r>
            <w:r w:rsidR="0089116C">
              <w:rPr>
                <w:sz w:val="18"/>
              </w:rPr>
              <w:t>THER ATO FORMS</w:t>
            </w:r>
            <w:r w:rsidRPr="000D3B0E">
              <w:rPr>
                <w:sz w:val="18"/>
              </w:rPr>
              <w:t xml:space="preserve"> / E</w:t>
            </w:r>
            <w:r w:rsidR="0089116C">
              <w:rPr>
                <w:sz w:val="18"/>
              </w:rPr>
              <w:t>LECTIONS</w:t>
            </w:r>
            <w:r w:rsidRPr="000D3B0E">
              <w:rPr>
                <w:sz w:val="18"/>
              </w:rPr>
              <w:t xml:space="preserve"> </w:t>
            </w:r>
          </w:p>
        </w:tc>
        <w:tc>
          <w:tcPr>
            <w:tcW w:w="352" w:type="pct"/>
            <w:tcBorders>
              <w:top w:val="single" w:sz="4" w:space="0" w:color="939598"/>
              <w:left w:val="single" w:sz="4" w:space="0" w:color="939598"/>
              <w:bottom w:val="single" w:sz="4" w:space="0" w:color="939598"/>
              <w:right w:val="single" w:sz="4" w:space="0" w:color="939598"/>
            </w:tcBorders>
            <w:shd w:val="clear" w:color="auto" w:fill="051C3C"/>
          </w:tcPr>
          <w:p w14:paraId="3A2FCFCB" w14:textId="3FAFA6DB" w:rsidR="00BA560C" w:rsidRPr="005A1539" w:rsidRDefault="0089116C" w:rsidP="00D0554E">
            <w:pPr>
              <w:pStyle w:val="Tableheading"/>
              <w:keepNext/>
              <w:rPr>
                <w:sz w:val="18"/>
              </w:rPr>
            </w:pPr>
            <w:r>
              <w:rPr>
                <w:sz w:val="18"/>
              </w:rPr>
              <w:t>YES</w:t>
            </w:r>
          </w:p>
        </w:tc>
        <w:tc>
          <w:tcPr>
            <w:tcW w:w="281" w:type="pct"/>
            <w:tcBorders>
              <w:top w:val="single" w:sz="4" w:space="0" w:color="939598"/>
              <w:left w:val="single" w:sz="4" w:space="0" w:color="939598"/>
              <w:bottom w:val="single" w:sz="4" w:space="0" w:color="939598"/>
              <w:right w:val="single" w:sz="4" w:space="0" w:color="939598"/>
            </w:tcBorders>
            <w:shd w:val="clear" w:color="auto" w:fill="051C3C"/>
          </w:tcPr>
          <w:p w14:paraId="57437091" w14:textId="245E93A6" w:rsidR="00BA560C" w:rsidRPr="005A1539" w:rsidRDefault="0089116C" w:rsidP="00D0554E">
            <w:pPr>
              <w:pStyle w:val="Tableheading"/>
              <w:keepNext/>
              <w:rPr>
                <w:sz w:val="18"/>
              </w:rPr>
            </w:pPr>
            <w:r>
              <w:rPr>
                <w:sz w:val="18"/>
              </w:rPr>
              <w:t>NO</w:t>
            </w:r>
          </w:p>
        </w:tc>
        <w:tc>
          <w:tcPr>
            <w:tcW w:w="361" w:type="pct"/>
            <w:tcBorders>
              <w:top w:val="single" w:sz="4" w:space="0" w:color="939598"/>
              <w:left w:val="single" w:sz="4" w:space="0" w:color="939598"/>
              <w:bottom w:val="single" w:sz="4" w:space="0" w:color="939598"/>
            </w:tcBorders>
            <w:shd w:val="clear" w:color="auto" w:fill="051C3C"/>
          </w:tcPr>
          <w:p w14:paraId="51425200" w14:textId="77777777" w:rsidR="00BA560C" w:rsidRPr="005A1539" w:rsidRDefault="00BA560C" w:rsidP="00D0554E">
            <w:pPr>
              <w:pStyle w:val="Tableheading"/>
              <w:keepNext/>
              <w:rPr>
                <w:sz w:val="18"/>
              </w:rPr>
            </w:pPr>
            <w:r w:rsidRPr="005A1539">
              <w:rPr>
                <w:sz w:val="18"/>
              </w:rPr>
              <w:t>N/A</w:t>
            </w:r>
          </w:p>
        </w:tc>
      </w:tr>
      <w:tr w:rsidR="00BA560C" w:rsidRPr="009D23C0" w14:paraId="2C7416C1" w14:textId="77777777" w:rsidTr="0089116C">
        <w:tc>
          <w:tcPr>
            <w:tcW w:w="5000" w:type="pct"/>
            <w:gridSpan w:val="4"/>
            <w:tcBorders>
              <w:top w:val="single" w:sz="4" w:space="0" w:color="939598"/>
              <w:bottom w:val="single" w:sz="4" w:space="0" w:color="939598"/>
            </w:tcBorders>
            <w:shd w:val="clear" w:color="auto" w:fill="D9D9D9" w:themeFill="background1" w:themeFillShade="D9"/>
          </w:tcPr>
          <w:p w14:paraId="4B7040D5" w14:textId="487CD2C2" w:rsidR="00BA560C" w:rsidRPr="009D23C0" w:rsidRDefault="00BA560C" w:rsidP="00D0554E">
            <w:pPr>
              <w:pStyle w:val="Tableheading"/>
              <w:keepNext/>
            </w:pPr>
            <w:r w:rsidRPr="000D3B0E">
              <w:rPr>
                <w:rFonts w:cs="Arial"/>
              </w:rPr>
              <w:t>T</w:t>
            </w:r>
            <w:r w:rsidR="00843135">
              <w:rPr>
                <w:rFonts w:cs="Arial"/>
              </w:rPr>
              <w:t>AX CONSOLIDATION</w:t>
            </w:r>
            <w:r w:rsidRPr="000D3B0E">
              <w:rPr>
                <w:rFonts w:cs="Arial"/>
              </w:rPr>
              <w:t xml:space="preserve"> </w:t>
            </w:r>
          </w:p>
        </w:tc>
      </w:tr>
      <w:tr w:rsidR="00D0554E" w:rsidRPr="00FC3B3B" w14:paraId="21C0FF10" w14:textId="77777777" w:rsidTr="0089116C">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Ex>
        <w:tc>
          <w:tcPr>
            <w:tcW w:w="4006" w:type="pct"/>
            <w:tcBorders>
              <w:top w:val="single" w:sz="4" w:space="0" w:color="939598"/>
              <w:left w:val="single" w:sz="4" w:space="0" w:color="939598"/>
              <w:bottom w:val="single" w:sz="4" w:space="0" w:color="939598"/>
              <w:right w:val="single" w:sz="4" w:space="0" w:color="939598"/>
            </w:tcBorders>
          </w:tcPr>
          <w:p w14:paraId="7C99A8C0" w14:textId="77777777" w:rsidR="00BA560C" w:rsidRDefault="00BA560C" w:rsidP="00D0554E">
            <w:pPr>
              <w:pStyle w:val="Table"/>
              <w:keepNext/>
              <w:spacing w:before="100" w:after="100"/>
            </w:pPr>
            <w:r w:rsidRPr="00FC3B3B">
              <w:t>Is the company a member of a wholly-owned group of companies</w:t>
            </w:r>
            <w:r>
              <w:t xml:space="preserve"> which has not consolidated</w:t>
            </w:r>
            <w:r w:rsidRPr="00FC3B3B">
              <w:t xml:space="preserve">? </w:t>
            </w:r>
          </w:p>
          <w:p w14:paraId="2DEBC842" w14:textId="77777777" w:rsidR="00BA560C" w:rsidRPr="00FC3B3B" w:rsidRDefault="00BA560C" w:rsidP="00D0554E">
            <w:pPr>
              <w:pStyle w:val="Table"/>
              <w:keepNext/>
              <w:spacing w:before="100" w:after="100"/>
            </w:pPr>
            <w:r w:rsidRPr="00FC3B3B">
              <w:t>If yes, have the benefits of entering the tax consolidation regime been considered?</w:t>
            </w:r>
          </w:p>
        </w:tc>
        <w:tc>
          <w:tcPr>
            <w:tcW w:w="352" w:type="pct"/>
            <w:tcBorders>
              <w:top w:val="single" w:sz="4" w:space="0" w:color="939598"/>
              <w:left w:val="single" w:sz="4" w:space="0" w:color="939598"/>
              <w:bottom w:val="single" w:sz="4" w:space="0" w:color="939598"/>
              <w:right w:val="single" w:sz="4" w:space="0" w:color="939598"/>
            </w:tcBorders>
          </w:tcPr>
          <w:p w14:paraId="496E6537" w14:textId="77777777" w:rsidR="00BA560C" w:rsidRPr="00FC3B3B" w:rsidRDefault="00BA560C" w:rsidP="00D0554E">
            <w:pPr>
              <w:pStyle w:val="Table"/>
              <w:keepNext/>
              <w:spacing w:before="100" w:after="100"/>
            </w:pPr>
          </w:p>
        </w:tc>
        <w:tc>
          <w:tcPr>
            <w:tcW w:w="281" w:type="pct"/>
            <w:tcBorders>
              <w:top w:val="single" w:sz="4" w:space="0" w:color="939598"/>
              <w:left w:val="single" w:sz="4" w:space="0" w:color="939598"/>
              <w:bottom w:val="single" w:sz="4" w:space="0" w:color="939598"/>
              <w:right w:val="single" w:sz="4" w:space="0" w:color="939598"/>
            </w:tcBorders>
          </w:tcPr>
          <w:p w14:paraId="2B2DD5A2" w14:textId="77777777" w:rsidR="00BA560C" w:rsidRPr="00FC3B3B" w:rsidRDefault="00BA560C" w:rsidP="00D0554E">
            <w:pPr>
              <w:pStyle w:val="Table"/>
              <w:keepNext/>
              <w:spacing w:before="100" w:after="100"/>
            </w:pPr>
          </w:p>
        </w:tc>
        <w:tc>
          <w:tcPr>
            <w:tcW w:w="361" w:type="pct"/>
            <w:tcBorders>
              <w:top w:val="single" w:sz="4" w:space="0" w:color="939598"/>
              <w:left w:val="single" w:sz="4" w:space="0" w:color="939598"/>
              <w:bottom w:val="single" w:sz="4" w:space="0" w:color="939598"/>
              <w:right w:val="single" w:sz="4" w:space="0" w:color="939598"/>
            </w:tcBorders>
          </w:tcPr>
          <w:p w14:paraId="18697BD9" w14:textId="77777777" w:rsidR="00BA560C" w:rsidRPr="00FC3B3B" w:rsidRDefault="00BA560C" w:rsidP="00D0554E">
            <w:pPr>
              <w:pStyle w:val="Table"/>
              <w:keepNext/>
              <w:spacing w:before="100" w:after="100"/>
            </w:pPr>
          </w:p>
        </w:tc>
      </w:tr>
      <w:tr w:rsidR="00D0554E" w:rsidRPr="00FC3B3B" w14:paraId="3425D65B" w14:textId="77777777" w:rsidTr="0089116C">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Ex>
        <w:tc>
          <w:tcPr>
            <w:tcW w:w="4006" w:type="pct"/>
            <w:tcBorders>
              <w:top w:val="single" w:sz="4" w:space="0" w:color="939598"/>
              <w:left w:val="single" w:sz="4" w:space="0" w:color="939598"/>
              <w:bottom w:val="single" w:sz="4" w:space="0" w:color="939598"/>
              <w:right w:val="single" w:sz="4" w:space="0" w:color="939598"/>
            </w:tcBorders>
          </w:tcPr>
          <w:p w14:paraId="0405CA61" w14:textId="77777777" w:rsidR="00BA560C" w:rsidRPr="00FC3B3B" w:rsidRDefault="00BA560C" w:rsidP="00D0554E">
            <w:pPr>
              <w:pStyle w:val="Table"/>
              <w:keepNext/>
              <w:spacing w:before="100" w:after="100"/>
            </w:pPr>
            <w:r w:rsidRPr="00FC3B3B">
              <w:t>Have any members of the consolidated group left during the year and, if so, has the ATO been appropriately notified?</w:t>
            </w:r>
            <w:r>
              <w:t xml:space="preserve"> </w:t>
            </w:r>
            <w:r w:rsidRPr="00FC3B3B">
              <w:t>(Note that the ATO is required to be notified within 28 days of an entity leaving the group)</w:t>
            </w:r>
          </w:p>
        </w:tc>
        <w:tc>
          <w:tcPr>
            <w:tcW w:w="352" w:type="pct"/>
            <w:tcBorders>
              <w:top w:val="single" w:sz="4" w:space="0" w:color="939598"/>
              <w:left w:val="single" w:sz="4" w:space="0" w:color="939598"/>
              <w:bottom w:val="single" w:sz="4" w:space="0" w:color="939598"/>
              <w:right w:val="single" w:sz="4" w:space="0" w:color="939598"/>
            </w:tcBorders>
          </w:tcPr>
          <w:p w14:paraId="6D319C3D" w14:textId="77777777" w:rsidR="00BA560C" w:rsidRPr="00FC3B3B" w:rsidRDefault="00BA560C" w:rsidP="00D0554E">
            <w:pPr>
              <w:pStyle w:val="Table"/>
              <w:keepNext/>
              <w:spacing w:before="100" w:after="100"/>
            </w:pPr>
          </w:p>
        </w:tc>
        <w:tc>
          <w:tcPr>
            <w:tcW w:w="281" w:type="pct"/>
            <w:tcBorders>
              <w:top w:val="single" w:sz="4" w:space="0" w:color="939598"/>
              <w:left w:val="single" w:sz="4" w:space="0" w:color="939598"/>
              <w:bottom w:val="single" w:sz="4" w:space="0" w:color="939598"/>
              <w:right w:val="single" w:sz="4" w:space="0" w:color="939598"/>
            </w:tcBorders>
          </w:tcPr>
          <w:p w14:paraId="2343C86C" w14:textId="77777777" w:rsidR="00BA560C" w:rsidRPr="00FC3B3B" w:rsidRDefault="00BA560C" w:rsidP="00D0554E">
            <w:pPr>
              <w:pStyle w:val="Table"/>
              <w:keepNext/>
              <w:spacing w:before="100" w:after="100"/>
            </w:pPr>
          </w:p>
        </w:tc>
        <w:tc>
          <w:tcPr>
            <w:tcW w:w="361" w:type="pct"/>
            <w:tcBorders>
              <w:top w:val="single" w:sz="4" w:space="0" w:color="939598"/>
              <w:left w:val="single" w:sz="4" w:space="0" w:color="939598"/>
              <w:bottom w:val="single" w:sz="4" w:space="0" w:color="939598"/>
              <w:right w:val="single" w:sz="4" w:space="0" w:color="939598"/>
            </w:tcBorders>
          </w:tcPr>
          <w:p w14:paraId="7A6C9F3D" w14:textId="77777777" w:rsidR="00BA560C" w:rsidRPr="00FC3B3B" w:rsidRDefault="00BA560C" w:rsidP="00D0554E">
            <w:pPr>
              <w:pStyle w:val="Table"/>
              <w:keepNext/>
              <w:spacing w:before="100" w:after="100"/>
            </w:pPr>
          </w:p>
        </w:tc>
      </w:tr>
      <w:tr w:rsidR="00BA560C" w:rsidRPr="009D23C0" w14:paraId="6A59F8B6" w14:textId="77777777" w:rsidTr="0089116C">
        <w:tc>
          <w:tcPr>
            <w:tcW w:w="5000" w:type="pct"/>
            <w:gridSpan w:val="4"/>
            <w:tcBorders>
              <w:top w:val="single" w:sz="4" w:space="0" w:color="939598"/>
              <w:bottom w:val="single" w:sz="4" w:space="0" w:color="939598"/>
            </w:tcBorders>
            <w:shd w:val="clear" w:color="auto" w:fill="D9D9D9" w:themeFill="background1" w:themeFillShade="D9"/>
          </w:tcPr>
          <w:p w14:paraId="2A9D29D1" w14:textId="576E8927" w:rsidR="00BA560C" w:rsidRPr="009D23C0" w:rsidRDefault="00BA560C" w:rsidP="00D0554E">
            <w:pPr>
              <w:pStyle w:val="Tableheading"/>
            </w:pPr>
            <w:r w:rsidRPr="000D3B0E">
              <w:rPr>
                <w:rFonts w:cs="Arial"/>
              </w:rPr>
              <w:t>N</w:t>
            </w:r>
            <w:r w:rsidR="00843135">
              <w:rPr>
                <w:rFonts w:cs="Arial"/>
              </w:rPr>
              <w:t>OTICES AND ELECTIONS</w:t>
            </w:r>
            <w:r w:rsidRPr="000D3B0E">
              <w:rPr>
                <w:rFonts w:cs="Arial"/>
              </w:rPr>
              <w:t xml:space="preserve"> </w:t>
            </w:r>
          </w:p>
        </w:tc>
      </w:tr>
      <w:tr w:rsidR="00D0554E" w:rsidRPr="00FC3B3B" w14:paraId="580B857D" w14:textId="77777777" w:rsidTr="0089116C">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Ex>
        <w:tc>
          <w:tcPr>
            <w:tcW w:w="4006" w:type="pct"/>
            <w:tcBorders>
              <w:top w:val="single" w:sz="4" w:space="0" w:color="939598"/>
              <w:left w:val="single" w:sz="4" w:space="0" w:color="939598"/>
              <w:bottom w:val="single" w:sz="4" w:space="0" w:color="939598"/>
              <w:right w:val="single" w:sz="4" w:space="0" w:color="939598"/>
            </w:tcBorders>
          </w:tcPr>
          <w:p w14:paraId="18A74A64" w14:textId="77777777" w:rsidR="00BA560C" w:rsidRPr="00FC3B3B" w:rsidRDefault="00BA560C" w:rsidP="00D0554E">
            <w:pPr>
              <w:pStyle w:val="Table"/>
              <w:spacing w:before="100" w:after="100"/>
            </w:pPr>
            <w:r w:rsidRPr="00FC3B3B">
              <w:t>Have all the relevant notices and / or elections relied on by the entity been properly prepared?</w:t>
            </w:r>
          </w:p>
        </w:tc>
        <w:tc>
          <w:tcPr>
            <w:tcW w:w="352" w:type="pct"/>
            <w:tcBorders>
              <w:top w:val="single" w:sz="4" w:space="0" w:color="939598"/>
              <w:left w:val="single" w:sz="4" w:space="0" w:color="939598"/>
              <w:bottom w:val="single" w:sz="4" w:space="0" w:color="939598"/>
              <w:right w:val="single" w:sz="4" w:space="0" w:color="939598"/>
            </w:tcBorders>
          </w:tcPr>
          <w:p w14:paraId="64DDA3DC" w14:textId="77777777" w:rsidR="00BA560C" w:rsidRPr="00FC3B3B" w:rsidRDefault="00BA560C" w:rsidP="00D0554E">
            <w:pPr>
              <w:pStyle w:val="Table"/>
              <w:spacing w:before="100" w:after="100"/>
            </w:pPr>
          </w:p>
        </w:tc>
        <w:tc>
          <w:tcPr>
            <w:tcW w:w="281" w:type="pct"/>
            <w:tcBorders>
              <w:top w:val="single" w:sz="4" w:space="0" w:color="939598"/>
              <w:left w:val="single" w:sz="4" w:space="0" w:color="939598"/>
              <w:bottom w:val="single" w:sz="4" w:space="0" w:color="939598"/>
              <w:right w:val="single" w:sz="4" w:space="0" w:color="939598"/>
            </w:tcBorders>
          </w:tcPr>
          <w:p w14:paraId="25E41E58" w14:textId="77777777" w:rsidR="00BA560C" w:rsidRPr="00FC3B3B" w:rsidRDefault="00BA560C" w:rsidP="00D0554E">
            <w:pPr>
              <w:pStyle w:val="Table"/>
              <w:spacing w:before="100" w:after="100"/>
            </w:pPr>
          </w:p>
        </w:tc>
        <w:tc>
          <w:tcPr>
            <w:tcW w:w="361" w:type="pct"/>
            <w:tcBorders>
              <w:top w:val="single" w:sz="4" w:space="0" w:color="939598"/>
              <w:left w:val="single" w:sz="4" w:space="0" w:color="939598"/>
              <w:bottom w:val="single" w:sz="4" w:space="0" w:color="939598"/>
              <w:right w:val="single" w:sz="4" w:space="0" w:color="939598"/>
            </w:tcBorders>
          </w:tcPr>
          <w:p w14:paraId="3B6CCD44" w14:textId="77777777" w:rsidR="00BA560C" w:rsidRPr="00FC3B3B" w:rsidRDefault="00BA560C" w:rsidP="00D0554E">
            <w:pPr>
              <w:pStyle w:val="Table"/>
              <w:spacing w:before="100" w:after="100"/>
            </w:pPr>
          </w:p>
        </w:tc>
      </w:tr>
      <w:tr w:rsidR="00D0554E" w:rsidRPr="00FC3B3B" w14:paraId="48916CCF" w14:textId="77777777" w:rsidTr="0089116C">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Ex>
        <w:tc>
          <w:tcPr>
            <w:tcW w:w="4006" w:type="pct"/>
            <w:tcBorders>
              <w:top w:val="single" w:sz="4" w:space="0" w:color="939598"/>
              <w:left w:val="single" w:sz="4" w:space="0" w:color="939598"/>
              <w:bottom w:val="single" w:sz="4" w:space="0" w:color="939598"/>
              <w:right w:val="single" w:sz="4" w:space="0" w:color="939598"/>
            </w:tcBorders>
          </w:tcPr>
          <w:p w14:paraId="4D0CF9CE" w14:textId="77777777" w:rsidR="00BA560C" w:rsidRPr="00FC3B3B" w:rsidRDefault="00BA560C" w:rsidP="00D0554E">
            <w:pPr>
              <w:pStyle w:val="Table"/>
              <w:spacing w:before="100" w:after="100"/>
            </w:pPr>
            <w:r w:rsidRPr="00FC3B3B">
              <w:t xml:space="preserve">Where applicable have you completed </w:t>
            </w:r>
            <w:r>
              <w:t>all required schedules such as:</w:t>
            </w:r>
          </w:p>
          <w:p w14:paraId="05D8352C" w14:textId="77777777" w:rsidR="00BA560C" w:rsidRPr="00FC3B3B" w:rsidRDefault="00BA560C" w:rsidP="00D0554E">
            <w:pPr>
              <w:pStyle w:val="TableBullet"/>
              <w:spacing w:before="100" w:after="100"/>
            </w:pPr>
            <w:r>
              <w:t>d</w:t>
            </w:r>
            <w:r w:rsidRPr="00FC3B3B">
              <w:t>iv</w:t>
            </w:r>
            <w:r>
              <w:t xml:space="preserve">idend and interest schedules </w:t>
            </w:r>
          </w:p>
          <w:p w14:paraId="527C8A96" w14:textId="77777777" w:rsidR="00BA560C" w:rsidRPr="00FC3B3B" w:rsidRDefault="00BA560C" w:rsidP="00D0554E">
            <w:pPr>
              <w:pStyle w:val="TableBullet"/>
              <w:spacing w:before="100" w:after="100"/>
            </w:pPr>
            <w:r>
              <w:t>capital gains tax schedule.</w:t>
            </w:r>
          </w:p>
        </w:tc>
        <w:tc>
          <w:tcPr>
            <w:tcW w:w="352" w:type="pct"/>
            <w:tcBorders>
              <w:top w:val="single" w:sz="4" w:space="0" w:color="939598"/>
              <w:left w:val="single" w:sz="4" w:space="0" w:color="939598"/>
              <w:bottom w:val="single" w:sz="4" w:space="0" w:color="939598"/>
              <w:right w:val="single" w:sz="4" w:space="0" w:color="939598"/>
            </w:tcBorders>
          </w:tcPr>
          <w:p w14:paraId="0EDD7FC7" w14:textId="77777777" w:rsidR="00BA560C" w:rsidRPr="00FC3B3B" w:rsidRDefault="00BA560C" w:rsidP="00D0554E">
            <w:pPr>
              <w:pStyle w:val="Table"/>
              <w:spacing w:before="100" w:after="100"/>
            </w:pPr>
          </w:p>
        </w:tc>
        <w:tc>
          <w:tcPr>
            <w:tcW w:w="281" w:type="pct"/>
            <w:tcBorders>
              <w:top w:val="single" w:sz="4" w:space="0" w:color="939598"/>
              <w:left w:val="single" w:sz="4" w:space="0" w:color="939598"/>
              <w:bottom w:val="single" w:sz="4" w:space="0" w:color="939598"/>
              <w:right w:val="single" w:sz="4" w:space="0" w:color="939598"/>
            </w:tcBorders>
          </w:tcPr>
          <w:p w14:paraId="627B9C41" w14:textId="77777777" w:rsidR="00BA560C" w:rsidRPr="00FC3B3B" w:rsidRDefault="00BA560C" w:rsidP="00D0554E">
            <w:pPr>
              <w:pStyle w:val="Table"/>
              <w:spacing w:before="100" w:after="100"/>
            </w:pPr>
          </w:p>
        </w:tc>
        <w:tc>
          <w:tcPr>
            <w:tcW w:w="361" w:type="pct"/>
            <w:tcBorders>
              <w:top w:val="single" w:sz="4" w:space="0" w:color="939598"/>
              <w:left w:val="single" w:sz="4" w:space="0" w:color="939598"/>
              <w:bottom w:val="single" w:sz="4" w:space="0" w:color="939598"/>
              <w:right w:val="single" w:sz="4" w:space="0" w:color="939598"/>
            </w:tcBorders>
          </w:tcPr>
          <w:p w14:paraId="3B2654D6" w14:textId="77777777" w:rsidR="00BA560C" w:rsidRPr="00FC3B3B" w:rsidRDefault="00BA560C" w:rsidP="00D0554E">
            <w:pPr>
              <w:pStyle w:val="Table"/>
              <w:spacing w:before="100" w:after="100"/>
            </w:pPr>
          </w:p>
        </w:tc>
      </w:tr>
      <w:tr w:rsidR="00D0554E" w:rsidRPr="00FC3B3B" w14:paraId="0F700269" w14:textId="77777777" w:rsidTr="0089116C">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Ex>
        <w:tc>
          <w:tcPr>
            <w:tcW w:w="4006" w:type="pct"/>
            <w:tcBorders>
              <w:top w:val="single" w:sz="4" w:space="0" w:color="939598"/>
              <w:left w:val="single" w:sz="4" w:space="0" w:color="939598"/>
              <w:bottom w:val="single" w:sz="4" w:space="0" w:color="939598"/>
              <w:right w:val="single" w:sz="4" w:space="0" w:color="939598"/>
            </w:tcBorders>
          </w:tcPr>
          <w:p w14:paraId="0E081D97" w14:textId="77777777" w:rsidR="00BA560C" w:rsidRPr="00FC3B3B" w:rsidRDefault="00BA560C" w:rsidP="00D0554E">
            <w:pPr>
              <w:pStyle w:val="Table"/>
              <w:spacing w:before="100" w:after="100"/>
            </w:pPr>
            <w:r w:rsidRPr="00FC3B3B">
              <w:t>Have all notices and / or elections, where lodgment is not required, been appropriately sighted and retained on record?</w:t>
            </w:r>
          </w:p>
        </w:tc>
        <w:tc>
          <w:tcPr>
            <w:tcW w:w="352" w:type="pct"/>
            <w:tcBorders>
              <w:top w:val="single" w:sz="4" w:space="0" w:color="939598"/>
              <w:left w:val="single" w:sz="4" w:space="0" w:color="939598"/>
              <w:bottom w:val="single" w:sz="4" w:space="0" w:color="939598"/>
              <w:right w:val="single" w:sz="4" w:space="0" w:color="939598"/>
            </w:tcBorders>
          </w:tcPr>
          <w:p w14:paraId="6863DBE8" w14:textId="77777777" w:rsidR="00BA560C" w:rsidRPr="00FC3B3B" w:rsidRDefault="00BA560C" w:rsidP="00D0554E">
            <w:pPr>
              <w:pStyle w:val="Table"/>
              <w:spacing w:before="100" w:after="100"/>
            </w:pPr>
          </w:p>
        </w:tc>
        <w:tc>
          <w:tcPr>
            <w:tcW w:w="281" w:type="pct"/>
            <w:tcBorders>
              <w:top w:val="single" w:sz="4" w:space="0" w:color="939598"/>
              <w:left w:val="single" w:sz="4" w:space="0" w:color="939598"/>
              <w:bottom w:val="single" w:sz="4" w:space="0" w:color="939598"/>
              <w:right w:val="single" w:sz="4" w:space="0" w:color="939598"/>
            </w:tcBorders>
          </w:tcPr>
          <w:p w14:paraId="59F83A02" w14:textId="77777777" w:rsidR="00BA560C" w:rsidRPr="00FC3B3B" w:rsidRDefault="00BA560C" w:rsidP="00D0554E">
            <w:pPr>
              <w:pStyle w:val="Table"/>
              <w:spacing w:before="100" w:after="100"/>
            </w:pPr>
          </w:p>
        </w:tc>
        <w:tc>
          <w:tcPr>
            <w:tcW w:w="361" w:type="pct"/>
            <w:tcBorders>
              <w:top w:val="single" w:sz="4" w:space="0" w:color="939598"/>
              <w:left w:val="single" w:sz="4" w:space="0" w:color="939598"/>
              <w:bottom w:val="single" w:sz="4" w:space="0" w:color="939598"/>
              <w:right w:val="single" w:sz="4" w:space="0" w:color="939598"/>
            </w:tcBorders>
          </w:tcPr>
          <w:p w14:paraId="22D639B1" w14:textId="77777777" w:rsidR="00BA560C" w:rsidRPr="00FC3B3B" w:rsidRDefault="00BA560C" w:rsidP="00D0554E">
            <w:pPr>
              <w:pStyle w:val="Table"/>
              <w:spacing w:before="100" w:after="100"/>
            </w:pPr>
          </w:p>
        </w:tc>
      </w:tr>
      <w:tr w:rsidR="00BA560C" w:rsidRPr="009D23C0" w14:paraId="7D895178" w14:textId="77777777" w:rsidTr="0089116C">
        <w:tc>
          <w:tcPr>
            <w:tcW w:w="5000" w:type="pct"/>
            <w:gridSpan w:val="4"/>
            <w:tcBorders>
              <w:top w:val="single" w:sz="4" w:space="0" w:color="939598"/>
              <w:bottom w:val="single" w:sz="4" w:space="0" w:color="939598"/>
            </w:tcBorders>
            <w:shd w:val="clear" w:color="auto" w:fill="D9D9D9" w:themeFill="background1" w:themeFillShade="D9"/>
          </w:tcPr>
          <w:p w14:paraId="57193815" w14:textId="5E658FCF" w:rsidR="00BA560C" w:rsidRPr="009D23C0" w:rsidRDefault="00BA560C" w:rsidP="00D0554E">
            <w:pPr>
              <w:pStyle w:val="Tableheading"/>
              <w:keepNext/>
            </w:pPr>
            <w:bookmarkStart w:id="4" w:name="_Hlk516220050"/>
            <w:r w:rsidRPr="00C75D23">
              <w:rPr>
                <w:rFonts w:cs="Arial"/>
              </w:rPr>
              <w:t>D</w:t>
            </w:r>
            <w:r w:rsidR="00843135">
              <w:rPr>
                <w:rFonts w:cs="Arial"/>
              </w:rPr>
              <w:t>IVIDEND IMPUTATION</w:t>
            </w:r>
            <w:r w:rsidRPr="00C75D23">
              <w:rPr>
                <w:rFonts w:cs="Arial"/>
              </w:rPr>
              <w:t xml:space="preserve"> / F</w:t>
            </w:r>
            <w:r w:rsidR="00843135">
              <w:rPr>
                <w:rFonts w:cs="Arial"/>
              </w:rPr>
              <w:t>RANKING ACCOUNT</w:t>
            </w:r>
          </w:p>
        </w:tc>
      </w:tr>
      <w:bookmarkEnd w:id="4"/>
      <w:tr w:rsidR="00D0554E" w:rsidRPr="00FC3B3B" w14:paraId="43F786BB" w14:textId="77777777" w:rsidTr="0089116C">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Ex>
        <w:tc>
          <w:tcPr>
            <w:tcW w:w="4006" w:type="pct"/>
            <w:tcBorders>
              <w:top w:val="single" w:sz="4" w:space="0" w:color="939598"/>
              <w:left w:val="single" w:sz="4" w:space="0" w:color="939598"/>
              <w:bottom w:val="single" w:sz="4" w:space="0" w:color="939598"/>
              <w:right w:val="single" w:sz="4" w:space="0" w:color="939598"/>
            </w:tcBorders>
          </w:tcPr>
          <w:p w14:paraId="1807729D" w14:textId="77777777" w:rsidR="00BA560C" w:rsidRPr="00FC3B3B" w:rsidRDefault="00BA560C" w:rsidP="00D0554E">
            <w:pPr>
              <w:pStyle w:val="Table"/>
              <w:spacing w:before="100" w:after="100"/>
            </w:pPr>
            <w:r w:rsidRPr="00FC3B3B">
              <w:t>Has the franking account been prepared in accordance with the simplified imputation rules?</w:t>
            </w:r>
          </w:p>
        </w:tc>
        <w:tc>
          <w:tcPr>
            <w:tcW w:w="352" w:type="pct"/>
            <w:tcBorders>
              <w:top w:val="single" w:sz="4" w:space="0" w:color="939598"/>
              <w:left w:val="single" w:sz="4" w:space="0" w:color="939598"/>
              <w:bottom w:val="single" w:sz="4" w:space="0" w:color="939598"/>
              <w:right w:val="single" w:sz="4" w:space="0" w:color="939598"/>
            </w:tcBorders>
          </w:tcPr>
          <w:p w14:paraId="70C4BAFD" w14:textId="77777777" w:rsidR="00BA560C" w:rsidRPr="00FC3B3B" w:rsidRDefault="00BA560C" w:rsidP="00D0554E">
            <w:pPr>
              <w:pStyle w:val="Table"/>
              <w:spacing w:before="100" w:after="100"/>
            </w:pPr>
          </w:p>
        </w:tc>
        <w:tc>
          <w:tcPr>
            <w:tcW w:w="281" w:type="pct"/>
            <w:tcBorders>
              <w:top w:val="single" w:sz="4" w:space="0" w:color="939598"/>
              <w:left w:val="single" w:sz="4" w:space="0" w:color="939598"/>
              <w:bottom w:val="single" w:sz="4" w:space="0" w:color="939598"/>
              <w:right w:val="single" w:sz="4" w:space="0" w:color="939598"/>
            </w:tcBorders>
          </w:tcPr>
          <w:p w14:paraId="46466077" w14:textId="77777777" w:rsidR="00BA560C" w:rsidRPr="00FC3B3B" w:rsidRDefault="00BA560C" w:rsidP="00D0554E">
            <w:pPr>
              <w:pStyle w:val="Table"/>
              <w:spacing w:before="100" w:after="100"/>
            </w:pPr>
          </w:p>
        </w:tc>
        <w:tc>
          <w:tcPr>
            <w:tcW w:w="361" w:type="pct"/>
            <w:tcBorders>
              <w:top w:val="single" w:sz="4" w:space="0" w:color="939598"/>
              <w:left w:val="single" w:sz="4" w:space="0" w:color="939598"/>
              <w:bottom w:val="single" w:sz="4" w:space="0" w:color="939598"/>
              <w:right w:val="single" w:sz="4" w:space="0" w:color="939598"/>
            </w:tcBorders>
          </w:tcPr>
          <w:p w14:paraId="14EF8615" w14:textId="77777777" w:rsidR="00BA560C" w:rsidRPr="00FC3B3B" w:rsidRDefault="00BA560C" w:rsidP="00D0554E">
            <w:pPr>
              <w:pStyle w:val="Table"/>
              <w:spacing w:before="100" w:after="100"/>
            </w:pPr>
          </w:p>
        </w:tc>
      </w:tr>
      <w:tr w:rsidR="00D0554E" w:rsidRPr="00FC3B3B" w14:paraId="6B726FB7" w14:textId="77777777" w:rsidTr="0089116C">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Ex>
        <w:tc>
          <w:tcPr>
            <w:tcW w:w="4006" w:type="pct"/>
            <w:tcBorders>
              <w:top w:val="single" w:sz="4" w:space="0" w:color="939598"/>
              <w:left w:val="single" w:sz="4" w:space="0" w:color="939598"/>
              <w:bottom w:val="single" w:sz="4" w:space="0" w:color="939598"/>
              <w:right w:val="single" w:sz="4" w:space="0" w:color="939598"/>
            </w:tcBorders>
          </w:tcPr>
          <w:p w14:paraId="6272554A" w14:textId="34AFE5C3" w:rsidR="00B42168" w:rsidRPr="00FC3B3B" w:rsidRDefault="00B42168" w:rsidP="00D0554E">
            <w:pPr>
              <w:pStyle w:val="Table"/>
              <w:spacing w:before="100" w:after="100"/>
            </w:pPr>
            <w:r>
              <w:t xml:space="preserve">Check to ensure that the amount of any franking credits attached to a dividend does not exceed the maximum franking credit available to </w:t>
            </w:r>
            <w:r w:rsidR="005A04D8">
              <w:t>be franked by the company.</w:t>
            </w:r>
          </w:p>
        </w:tc>
        <w:tc>
          <w:tcPr>
            <w:tcW w:w="352" w:type="pct"/>
            <w:tcBorders>
              <w:top w:val="single" w:sz="4" w:space="0" w:color="939598"/>
              <w:left w:val="single" w:sz="4" w:space="0" w:color="939598"/>
              <w:bottom w:val="single" w:sz="4" w:space="0" w:color="939598"/>
              <w:right w:val="single" w:sz="4" w:space="0" w:color="939598"/>
            </w:tcBorders>
          </w:tcPr>
          <w:p w14:paraId="573EE4C1" w14:textId="77777777" w:rsidR="00B42168" w:rsidRPr="00FC3B3B" w:rsidRDefault="00B42168" w:rsidP="00D0554E">
            <w:pPr>
              <w:pStyle w:val="Table"/>
              <w:spacing w:before="100" w:after="100"/>
            </w:pPr>
          </w:p>
        </w:tc>
        <w:tc>
          <w:tcPr>
            <w:tcW w:w="281" w:type="pct"/>
            <w:tcBorders>
              <w:top w:val="single" w:sz="4" w:space="0" w:color="939598"/>
              <w:left w:val="single" w:sz="4" w:space="0" w:color="939598"/>
              <w:bottom w:val="single" w:sz="4" w:space="0" w:color="939598"/>
              <w:right w:val="single" w:sz="4" w:space="0" w:color="939598"/>
            </w:tcBorders>
          </w:tcPr>
          <w:p w14:paraId="22DA9708" w14:textId="77777777" w:rsidR="00B42168" w:rsidRPr="00FC3B3B" w:rsidRDefault="00B42168" w:rsidP="00D0554E">
            <w:pPr>
              <w:pStyle w:val="Table"/>
              <w:spacing w:before="100" w:after="100"/>
            </w:pPr>
          </w:p>
        </w:tc>
        <w:tc>
          <w:tcPr>
            <w:tcW w:w="361" w:type="pct"/>
            <w:tcBorders>
              <w:top w:val="single" w:sz="4" w:space="0" w:color="939598"/>
              <w:left w:val="single" w:sz="4" w:space="0" w:color="939598"/>
              <w:bottom w:val="single" w:sz="4" w:space="0" w:color="939598"/>
              <w:right w:val="single" w:sz="4" w:space="0" w:color="939598"/>
            </w:tcBorders>
          </w:tcPr>
          <w:p w14:paraId="36E0DC5B" w14:textId="77777777" w:rsidR="00B42168" w:rsidRPr="00FC3B3B" w:rsidRDefault="00B42168" w:rsidP="00D0554E">
            <w:pPr>
              <w:pStyle w:val="Table"/>
              <w:spacing w:before="100" w:after="100"/>
            </w:pPr>
          </w:p>
        </w:tc>
      </w:tr>
    </w:tbl>
    <w:p w14:paraId="73C7914B" w14:textId="77777777" w:rsidR="005A04D8" w:rsidRDefault="005A04D8">
      <w:r>
        <w:rPr>
          <w:b/>
        </w:rPr>
        <w:br w:type="page"/>
      </w:r>
    </w:p>
    <w:tbl>
      <w:tblPr>
        <w:tblW w:w="5002" w:type="pct"/>
        <w:tblBorders>
          <w:top w:val="single" w:sz="4" w:space="0" w:color="939598"/>
          <w:left w:val="single" w:sz="4" w:space="0" w:color="939598"/>
          <w:bottom w:val="single" w:sz="4" w:space="0" w:color="939598"/>
          <w:right w:val="single" w:sz="4" w:space="0" w:color="939598"/>
        </w:tblBorders>
        <w:tblLayout w:type="fixed"/>
        <w:tblLook w:val="00A0" w:firstRow="1" w:lastRow="0" w:firstColumn="1" w:lastColumn="0" w:noHBand="0" w:noVBand="0"/>
      </w:tblPr>
      <w:tblGrid>
        <w:gridCol w:w="8075"/>
        <w:gridCol w:w="710"/>
        <w:gridCol w:w="566"/>
        <w:gridCol w:w="728"/>
      </w:tblGrid>
      <w:tr w:rsidR="005A04D8" w:rsidRPr="005A1539" w14:paraId="32DD9760" w14:textId="77777777" w:rsidTr="008C013F">
        <w:tc>
          <w:tcPr>
            <w:tcW w:w="4006" w:type="pct"/>
            <w:tcBorders>
              <w:top w:val="single" w:sz="4" w:space="0" w:color="939598"/>
              <w:bottom w:val="single" w:sz="4" w:space="0" w:color="939598"/>
              <w:right w:val="single" w:sz="4" w:space="0" w:color="939598"/>
            </w:tcBorders>
            <w:shd w:val="clear" w:color="auto" w:fill="051C3C"/>
          </w:tcPr>
          <w:p w14:paraId="1240A1EE" w14:textId="4136F0FB" w:rsidR="005A04D8" w:rsidRPr="005A1539" w:rsidRDefault="005A04D8" w:rsidP="008C013F">
            <w:pPr>
              <w:pStyle w:val="Tableheading"/>
              <w:keepNext/>
              <w:rPr>
                <w:sz w:val="18"/>
              </w:rPr>
            </w:pPr>
            <w:r w:rsidRPr="000D3B0E">
              <w:rPr>
                <w:sz w:val="18"/>
              </w:rPr>
              <w:lastRenderedPageBreak/>
              <w:t>O</w:t>
            </w:r>
            <w:r>
              <w:rPr>
                <w:sz w:val="18"/>
              </w:rPr>
              <w:t>THER ATO FORMS</w:t>
            </w:r>
            <w:r w:rsidRPr="000D3B0E">
              <w:rPr>
                <w:sz w:val="18"/>
              </w:rPr>
              <w:t xml:space="preserve"> / E</w:t>
            </w:r>
            <w:r>
              <w:rPr>
                <w:sz w:val="18"/>
              </w:rPr>
              <w:t>LECTIONS</w:t>
            </w:r>
            <w:r w:rsidRPr="000D3B0E">
              <w:rPr>
                <w:sz w:val="18"/>
              </w:rPr>
              <w:t xml:space="preserve"> </w:t>
            </w:r>
          </w:p>
        </w:tc>
        <w:tc>
          <w:tcPr>
            <w:tcW w:w="352" w:type="pct"/>
            <w:tcBorders>
              <w:top w:val="single" w:sz="4" w:space="0" w:color="939598"/>
              <w:left w:val="single" w:sz="4" w:space="0" w:color="939598"/>
              <w:bottom w:val="single" w:sz="4" w:space="0" w:color="939598"/>
              <w:right w:val="single" w:sz="4" w:space="0" w:color="939598"/>
            </w:tcBorders>
            <w:shd w:val="clear" w:color="auto" w:fill="051C3C"/>
          </w:tcPr>
          <w:p w14:paraId="5490E2BA" w14:textId="77777777" w:rsidR="005A04D8" w:rsidRPr="005A1539" w:rsidRDefault="005A04D8" w:rsidP="008C013F">
            <w:pPr>
              <w:pStyle w:val="Tableheading"/>
              <w:keepNext/>
              <w:rPr>
                <w:sz w:val="18"/>
              </w:rPr>
            </w:pPr>
            <w:r>
              <w:rPr>
                <w:sz w:val="18"/>
              </w:rPr>
              <w:t>YES</w:t>
            </w:r>
          </w:p>
        </w:tc>
        <w:tc>
          <w:tcPr>
            <w:tcW w:w="281" w:type="pct"/>
            <w:tcBorders>
              <w:top w:val="single" w:sz="4" w:space="0" w:color="939598"/>
              <w:left w:val="single" w:sz="4" w:space="0" w:color="939598"/>
              <w:bottom w:val="single" w:sz="4" w:space="0" w:color="939598"/>
              <w:right w:val="single" w:sz="4" w:space="0" w:color="939598"/>
            </w:tcBorders>
            <w:shd w:val="clear" w:color="auto" w:fill="051C3C"/>
          </w:tcPr>
          <w:p w14:paraId="5556ED69" w14:textId="77777777" w:rsidR="005A04D8" w:rsidRPr="005A1539" w:rsidRDefault="005A04D8" w:rsidP="008C013F">
            <w:pPr>
              <w:pStyle w:val="Tableheading"/>
              <w:keepNext/>
              <w:rPr>
                <w:sz w:val="18"/>
              </w:rPr>
            </w:pPr>
            <w:r>
              <w:rPr>
                <w:sz w:val="18"/>
              </w:rPr>
              <w:t>NO</w:t>
            </w:r>
          </w:p>
        </w:tc>
        <w:tc>
          <w:tcPr>
            <w:tcW w:w="361" w:type="pct"/>
            <w:tcBorders>
              <w:top w:val="single" w:sz="4" w:space="0" w:color="939598"/>
              <w:left w:val="single" w:sz="4" w:space="0" w:color="939598"/>
              <w:bottom w:val="single" w:sz="4" w:space="0" w:color="939598"/>
            </w:tcBorders>
            <w:shd w:val="clear" w:color="auto" w:fill="051C3C"/>
          </w:tcPr>
          <w:p w14:paraId="02DEA7F2" w14:textId="77777777" w:rsidR="005A04D8" w:rsidRPr="005A1539" w:rsidRDefault="005A04D8" w:rsidP="008C013F">
            <w:pPr>
              <w:pStyle w:val="Tableheading"/>
              <w:keepNext/>
              <w:rPr>
                <w:sz w:val="18"/>
              </w:rPr>
            </w:pPr>
            <w:r w:rsidRPr="005A1539">
              <w:rPr>
                <w:sz w:val="18"/>
              </w:rPr>
              <w:t>N/A</w:t>
            </w:r>
          </w:p>
        </w:tc>
      </w:tr>
      <w:tr w:rsidR="005A04D8" w:rsidRPr="009D23C0" w14:paraId="46822A07" w14:textId="77777777" w:rsidTr="008C013F">
        <w:tc>
          <w:tcPr>
            <w:tcW w:w="5000" w:type="pct"/>
            <w:gridSpan w:val="4"/>
            <w:tcBorders>
              <w:top w:val="single" w:sz="4" w:space="0" w:color="939598"/>
              <w:bottom w:val="single" w:sz="4" w:space="0" w:color="939598"/>
            </w:tcBorders>
            <w:shd w:val="clear" w:color="auto" w:fill="D9D9D9" w:themeFill="background1" w:themeFillShade="D9"/>
          </w:tcPr>
          <w:p w14:paraId="5681A41F" w14:textId="53FEF0F9" w:rsidR="005A04D8" w:rsidRPr="009D23C0" w:rsidRDefault="005A04D8" w:rsidP="008C013F">
            <w:pPr>
              <w:pStyle w:val="Tableheading"/>
              <w:keepNext/>
            </w:pPr>
            <w:r w:rsidRPr="00C75D23">
              <w:rPr>
                <w:rFonts w:cs="Arial"/>
              </w:rPr>
              <w:t>D</w:t>
            </w:r>
            <w:r>
              <w:rPr>
                <w:rFonts w:cs="Arial"/>
              </w:rPr>
              <w:t>IVIDEND IMPUTATION</w:t>
            </w:r>
            <w:r w:rsidRPr="00C75D23">
              <w:rPr>
                <w:rFonts w:cs="Arial"/>
              </w:rPr>
              <w:t xml:space="preserve"> / F</w:t>
            </w:r>
            <w:r>
              <w:rPr>
                <w:rFonts w:cs="Arial"/>
              </w:rPr>
              <w:t>RANKING ACCOUNT (continued)</w:t>
            </w:r>
          </w:p>
        </w:tc>
      </w:tr>
      <w:tr w:rsidR="00D0554E" w:rsidRPr="00FC3B3B" w14:paraId="56168E78" w14:textId="77777777" w:rsidTr="0089116C">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Ex>
        <w:tc>
          <w:tcPr>
            <w:tcW w:w="4006" w:type="pct"/>
            <w:tcBorders>
              <w:top w:val="single" w:sz="4" w:space="0" w:color="939598"/>
              <w:left w:val="single" w:sz="4" w:space="0" w:color="939598"/>
              <w:bottom w:val="single" w:sz="4" w:space="0" w:color="939598"/>
              <w:right w:val="single" w:sz="4" w:space="0" w:color="939598"/>
            </w:tcBorders>
          </w:tcPr>
          <w:p w14:paraId="524A6FEF" w14:textId="22C887F1" w:rsidR="00BA560C" w:rsidRDefault="00BA560C" w:rsidP="00D0554E">
            <w:pPr>
              <w:pStyle w:val="Table"/>
              <w:spacing w:before="100" w:after="100"/>
            </w:pPr>
            <w:r>
              <w:t>Check to ensure that dividends have been franked to the correct extent given that the company tax rate for a company which is a</w:t>
            </w:r>
            <w:r w:rsidR="001B6D1F">
              <w:t xml:space="preserve"> base rate </w:t>
            </w:r>
            <w:r>
              <w:t>entity has been reduced to 27.5% for the year ended 30 June 201</w:t>
            </w:r>
            <w:r w:rsidR="001B6D1F">
              <w:t>8</w:t>
            </w:r>
            <w:r w:rsidR="00B42168">
              <w:t xml:space="preserve"> so that only a company which is a non-base rate entity is subject to a 30% tax rate </w:t>
            </w:r>
            <w:r w:rsidR="005A04D8">
              <w:t>for the year ended 30 June 2018.</w:t>
            </w:r>
          </w:p>
          <w:p w14:paraId="0CB4F38D" w14:textId="2441A9FA" w:rsidR="009E4237" w:rsidRPr="00211718" w:rsidRDefault="006722C0" w:rsidP="00D0554E">
            <w:pPr>
              <w:pStyle w:val="Table"/>
              <w:spacing w:before="100" w:after="100"/>
              <w:rPr>
                <w:rFonts w:cs="Arial"/>
                <w:sz w:val="15"/>
                <w:szCs w:val="15"/>
              </w:rPr>
            </w:pPr>
            <w:r w:rsidRPr="00211718">
              <w:rPr>
                <w:rFonts w:cs="Arial"/>
                <w:b/>
                <w:sz w:val="15"/>
                <w:szCs w:val="15"/>
              </w:rPr>
              <w:t>Note</w:t>
            </w:r>
            <w:r w:rsidRPr="00211718">
              <w:rPr>
                <w:rFonts w:cs="Arial"/>
                <w:sz w:val="15"/>
                <w:szCs w:val="15"/>
              </w:rPr>
              <w:t>: th</w:t>
            </w:r>
            <w:r w:rsidR="009E4237" w:rsidRPr="00211718">
              <w:rPr>
                <w:rFonts w:cs="Arial"/>
                <w:sz w:val="15"/>
                <w:szCs w:val="15"/>
              </w:rPr>
              <w:t>e</w:t>
            </w:r>
            <w:r w:rsidR="009921C1" w:rsidRPr="00211718">
              <w:rPr>
                <w:sz w:val="15"/>
                <w:szCs w:val="15"/>
              </w:rPr>
              <w:t xml:space="preserve"> </w:t>
            </w:r>
            <w:r w:rsidR="009E4237" w:rsidRPr="00211718">
              <w:rPr>
                <w:rFonts w:cs="Arial"/>
                <w:sz w:val="15"/>
                <w:szCs w:val="15"/>
              </w:rPr>
              <w:t xml:space="preserve">cut in the company tax rate for a company which is a base rate entity has </w:t>
            </w:r>
            <w:r w:rsidR="00B42168" w:rsidRPr="00211718">
              <w:rPr>
                <w:rFonts w:cs="Arial"/>
                <w:sz w:val="15"/>
                <w:szCs w:val="15"/>
              </w:rPr>
              <w:t>r</w:t>
            </w:r>
            <w:r w:rsidR="009E4237" w:rsidRPr="00211718">
              <w:rPr>
                <w:rFonts w:cs="Arial"/>
                <w:sz w:val="15"/>
                <w:szCs w:val="15"/>
              </w:rPr>
              <w:t>esulted in changes to the maximum franking credit which can be passed on to shareholders which is based on a company tax rate determined according to the aggregated turnover made by the company in the immediately preceding year.</w:t>
            </w:r>
            <w:r w:rsidRPr="00211718">
              <w:rPr>
                <w:rFonts w:cs="Arial"/>
                <w:sz w:val="15"/>
                <w:szCs w:val="15"/>
              </w:rPr>
              <w:t xml:space="preserve"> </w:t>
            </w:r>
            <w:r w:rsidR="009E4237" w:rsidRPr="00211718">
              <w:rPr>
                <w:rFonts w:cs="Arial"/>
                <w:sz w:val="15"/>
                <w:szCs w:val="15"/>
              </w:rPr>
              <w:t>Hence, a company must work out its company tax rate for franking purposes in the 2018 year as if its aggregated turnover for the 2017 year had been notionally derived in the 2018 year.</w:t>
            </w:r>
          </w:p>
          <w:p w14:paraId="6739B689" w14:textId="271C8D1E" w:rsidR="00B42168" w:rsidRPr="00211718" w:rsidRDefault="009E4237" w:rsidP="00D0554E">
            <w:pPr>
              <w:pStyle w:val="Table"/>
              <w:spacing w:before="100" w:after="100"/>
              <w:rPr>
                <w:rFonts w:cs="Arial"/>
                <w:sz w:val="15"/>
                <w:szCs w:val="15"/>
              </w:rPr>
            </w:pPr>
            <w:r w:rsidRPr="00211718">
              <w:rPr>
                <w:rFonts w:cs="Arial"/>
                <w:b/>
                <w:sz w:val="15"/>
                <w:szCs w:val="15"/>
              </w:rPr>
              <w:t>Note</w:t>
            </w:r>
            <w:r w:rsidRPr="00211718">
              <w:rPr>
                <w:rFonts w:cs="Arial"/>
                <w:sz w:val="15"/>
                <w:szCs w:val="15"/>
              </w:rPr>
              <w:t xml:space="preserve">: if a company derived an aggregated turnover which is less than $25 million in the 2017 year it will frank any dividend it makes during the year ended 30 June 2018 at a rate of 27.5% on the basis that its 2017 aggregated turnover is taken to apply in the 2018 year albeit for franking purposes only. </w:t>
            </w:r>
          </w:p>
          <w:p w14:paraId="6D16F811" w14:textId="77777777" w:rsidR="00B42168" w:rsidRPr="00211718" w:rsidRDefault="00B42168" w:rsidP="00D0554E">
            <w:pPr>
              <w:pStyle w:val="Table"/>
              <w:spacing w:before="100" w:after="100"/>
              <w:rPr>
                <w:rFonts w:cs="Arial"/>
                <w:sz w:val="15"/>
                <w:szCs w:val="15"/>
              </w:rPr>
            </w:pPr>
            <w:r w:rsidRPr="00211718">
              <w:rPr>
                <w:rFonts w:cs="Arial"/>
                <w:b/>
                <w:sz w:val="15"/>
                <w:szCs w:val="15"/>
              </w:rPr>
              <w:t>Note</w:t>
            </w:r>
            <w:r w:rsidRPr="00211718">
              <w:rPr>
                <w:rFonts w:cs="Arial"/>
                <w:sz w:val="15"/>
                <w:szCs w:val="15"/>
              </w:rPr>
              <w:t>: if a company’s aggregated turnover threshold for the 2017 year is equal to or exceeds $25 million the maximum franking credit that can be attached to a dividend paid in the 2018 year will be based on a 30% company tax rate</w:t>
            </w:r>
            <w:r w:rsidR="006722C0" w:rsidRPr="00211718">
              <w:rPr>
                <w:rFonts w:cs="Arial"/>
                <w:sz w:val="15"/>
                <w:szCs w:val="15"/>
              </w:rPr>
              <w:t>.</w:t>
            </w:r>
          </w:p>
          <w:p w14:paraId="09F88921" w14:textId="68099712" w:rsidR="006722C0" w:rsidRPr="00A260A5" w:rsidRDefault="006722C0" w:rsidP="00D0554E">
            <w:pPr>
              <w:pStyle w:val="Table"/>
              <w:spacing w:before="100" w:after="100"/>
              <w:rPr>
                <w:sz w:val="14"/>
                <w:szCs w:val="14"/>
                <w:u w:val="single"/>
              </w:rPr>
            </w:pPr>
            <w:r w:rsidRPr="00211718">
              <w:rPr>
                <w:rFonts w:cs="Arial"/>
                <w:b/>
                <w:sz w:val="15"/>
                <w:szCs w:val="15"/>
              </w:rPr>
              <w:t>Note</w:t>
            </w:r>
            <w:r w:rsidRPr="00211718">
              <w:rPr>
                <w:rFonts w:cs="Arial"/>
                <w:sz w:val="15"/>
                <w:szCs w:val="15"/>
              </w:rPr>
              <w:t xml:space="preserve">: the </w:t>
            </w:r>
            <w:r w:rsidRPr="00211718">
              <w:rPr>
                <w:rFonts w:cs="Arial"/>
                <w:i/>
                <w:sz w:val="15"/>
                <w:szCs w:val="15"/>
              </w:rPr>
              <w:t xml:space="preserve">Treasury Laws Amendment (Enterprise Tax Plan Base Rate Entities) Bill (2017) </w:t>
            </w:r>
            <w:r w:rsidRPr="005A04D8">
              <w:rPr>
                <w:rFonts w:cs="Arial"/>
                <w:sz w:val="15"/>
                <w:szCs w:val="15"/>
              </w:rPr>
              <w:t>proposes further changes to the dividend imputation provisions effective from the 2018 year as a corollary to the proposed amendments to the definition of a base rate entity.</w:t>
            </w:r>
            <w:r w:rsidR="000B40F2" w:rsidRPr="005A04D8">
              <w:rPr>
                <w:rFonts w:cs="Arial"/>
                <w:sz w:val="15"/>
                <w:szCs w:val="15"/>
              </w:rPr>
              <w:t xml:space="preserve"> </w:t>
            </w:r>
            <w:r w:rsidRPr="005A04D8">
              <w:rPr>
                <w:rFonts w:cs="Arial"/>
                <w:sz w:val="15"/>
                <w:szCs w:val="15"/>
              </w:rPr>
              <w:t>This Bill has yet to be enacted as at that date of this update.</w:t>
            </w:r>
            <w:r>
              <w:rPr>
                <w:sz w:val="14"/>
                <w:szCs w:val="14"/>
              </w:rPr>
              <w:t xml:space="preserve">      </w:t>
            </w:r>
            <w:r>
              <w:rPr>
                <w:rFonts w:cs="Arial"/>
                <w:sz w:val="14"/>
                <w:szCs w:val="14"/>
                <w:u w:val="single"/>
              </w:rPr>
              <w:t xml:space="preserve"> </w:t>
            </w:r>
          </w:p>
        </w:tc>
        <w:tc>
          <w:tcPr>
            <w:tcW w:w="352" w:type="pct"/>
            <w:tcBorders>
              <w:top w:val="single" w:sz="4" w:space="0" w:color="939598"/>
              <w:left w:val="single" w:sz="4" w:space="0" w:color="939598"/>
              <w:bottom w:val="single" w:sz="4" w:space="0" w:color="939598"/>
              <w:right w:val="single" w:sz="4" w:space="0" w:color="939598"/>
            </w:tcBorders>
          </w:tcPr>
          <w:p w14:paraId="1EB17E9F" w14:textId="77777777" w:rsidR="00BA560C" w:rsidRPr="00FC3B3B" w:rsidRDefault="00BA560C" w:rsidP="00D0554E">
            <w:pPr>
              <w:pStyle w:val="Table"/>
              <w:spacing w:before="100" w:after="100"/>
            </w:pPr>
          </w:p>
        </w:tc>
        <w:tc>
          <w:tcPr>
            <w:tcW w:w="281" w:type="pct"/>
            <w:tcBorders>
              <w:top w:val="single" w:sz="4" w:space="0" w:color="939598"/>
              <w:left w:val="single" w:sz="4" w:space="0" w:color="939598"/>
              <w:bottom w:val="single" w:sz="4" w:space="0" w:color="939598"/>
              <w:right w:val="single" w:sz="4" w:space="0" w:color="939598"/>
            </w:tcBorders>
          </w:tcPr>
          <w:p w14:paraId="1A53661E" w14:textId="77777777" w:rsidR="00BA560C" w:rsidRPr="00FC3B3B" w:rsidRDefault="00BA560C" w:rsidP="00D0554E">
            <w:pPr>
              <w:pStyle w:val="Table"/>
              <w:spacing w:before="100" w:after="100"/>
            </w:pPr>
          </w:p>
        </w:tc>
        <w:tc>
          <w:tcPr>
            <w:tcW w:w="361" w:type="pct"/>
            <w:tcBorders>
              <w:top w:val="single" w:sz="4" w:space="0" w:color="939598"/>
              <w:left w:val="single" w:sz="4" w:space="0" w:color="939598"/>
              <w:bottom w:val="single" w:sz="4" w:space="0" w:color="939598"/>
              <w:right w:val="single" w:sz="4" w:space="0" w:color="939598"/>
            </w:tcBorders>
          </w:tcPr>
          <w:p w14:paraId="0C8143E6" w14:textId="77777777" w:rsidR="00BA560C" w:rsidRPr="00FC3B3B" w:rsidRDefault="00BA560C" w:rsidP="00D0554E">
            <w:pPr>
              <w:pStyle w:val="Table"/>
              <w:spacing w:before="100" w:after="100"/>
            </w:pPr>
          </w:p>
        </w:tc>
      </w:tr>
      <w:tr w:rsidR="00D0554E" w:rsidRPr="00FC3B3B" w14:paraId="736F98E1" w14:textId="77777777" w:rsidTr="0089116C">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Ex>
        <w:tc>
          <w:tcPr>
            <w:tcW w:w="4006" w:type="pct"/>
            <w:tcBorders>
              <w:top w:val="single" w:sz="4" w:space="0" w:color="939598"/>
              <w:left w:val="single" w:sz="4" w:space="0" w:color="939598"/>
              <w:bottom w:val="single" w:sz="4" w:space="0" w:color="939598"/>
              <w:right w:val="single" w:sz="4" w:space="0" w:color="939598"/>
            </w:tcBorders>
          </w:tcPr>
          <w:p w14:paraId="77FF9B58" w14:textId="77777777" w:rsidR="00BA560C" w:rsidRDefault="00BA560C" w:rsidP="00D0554E">
            <w:pPr>
              <w:pStyle w:val="Table"/>
              <w:spacing w:before="100" w:after="100"/>
            </w:pPr>
            <w:r w:rsidRPr="00FC3B3B">
              <w:t xml:space="preserve">Has the franking percentage applied to the first distribution been applied to all other distributions made during the </w:t>
            </w:r>
            <w:r w:rsidR="009921C1">
              <w:t xml:space="preserve">relevant franking </w:t>
            </w:r>
            <w:r w:rsidRPr="00FC3B3B">
              <w:t>period</w:t>
            </w:r>
            <w:r>
              <w:t xml:space="preserve"> in accordance with the franking benchmark percentage rule</w:t>
            </w:r>
            <w:r w:rsidRPr="00FC3B3B">
              <w:t>?</w:t>
            </w:r>
          </w:p>
          <w:p w14:paraId="3A64691C" w14:textId="4410E9B7" w:rsidR="00DE1FC8" w:rsidRPr="00FC3B3B" w:rsidRDefault="00DE1FC8" w:rsidP="00D0554E">
            <w:pPr>
              <w:pStyle w:val="Table"/>
              <w:spacing w:before="100" w:after="100"/>
            </w:pPr>
            <w:r>
              <w:t xml:space="preserve">Has there been any over-franking or under-franking of dividends? </w:t>
            </w:r>
          </w:p>
        </w:tc>
        <w:tc>
          <w:tcPr>
            <w:tcW w:w="352" w:type="pct"/>
            <w:tcBorders>
              <w:top w:val="single" w:sz="4" w:space="0" w:color="939598"/>
              <w:left w:val="single" w:sz="4" w:space="0" w:color="939598"/>
              <w:bottom w:val="single" w:sz="4" w:space="0" w:color="939598"/>
              <w:right w:val="single" w:sz="4" w:space="0" w:color="939598"/>
            </w:tcBorders>
          </w:tcPr>
          <w:p w14:paraId="39213702" w14:textId="77777777" w:rsidR="00BA560C" w:rsidRPr="00FC3B3B" w:rsidRDefault="00BA560C" w:rsidP="00D0554E">
            <w:pPr>
              <w:pStyle w:val="Table"/>
              <w:spacing w:before="100" w:after="100"/>
            </w:pPr>
          </w:p>
        </w:tc>
        <w:tc>
          <w:tcPr>
            <w:tcW w:w="281" w:type="pct"/>
            <w:tcBorders>
              <w:top w:val="single" w:sz="4" w:space="0" w:color="939598"/>
              <w:left w:val="single" w:sz="4" w:space="0" w:color="939598"/>
              <w:bottom w:val="single" w:sz="4" w:space="0" w:color="939598"/>
              <w:right w:val="single" w:sz="4" w:space="0" w:color="939598"/>
            </w:tcBorders>
          </w:tcPr>
          <w:p w14:paraId="4A48076A" w14:textId="77777777" w:rsidR="00BA560C" w:rsidRPr="00FC3B3B" w:rsidRDefault="00BA560C" w:rsidP="00D0554E">
            <w:pPr>
              <w:pStyle w:val="Table"/>
              <w:spacing w:before="100" w:after="100"/>
            </w:pPr>
          </w:p>
        </w:tc>
        <w:tc>
          <w:tcPr>
            <w:tcW w:w="361" w:type="pct"/>
            <w:tcBorders>
              <w:top w:val="single" w:sz="4" w:space="0" w:color="939598"/>
              <w:left w:val="single" w:sz="4" w:space="0" w:color="939598"/>
              <w:bottom w:val="single" w:sz="4" w:space="0" w:color="939598"/>
              <w:right w:val="single" w:sz="4" w:space="0" w:color="939598"/>
            </w:tcBorders>
          </w:tcPr>
          <w:p w14:paraId="4851567B" w14:textId="77777777" w:rsidR="00BA560C" w:rsidRPr="00FC3B3B" w:rsidRDefault="00BA560C" w:rsidP="00D0554E">
            <w:pPr>
              <w:pStyle w:val="Table"/>
              <w:spacing w:before="100" w:after="100"/>
            </w:pPr>
          </w:p>
        </w:tc>
      </w:tr>
      <w:tr w:rsidR="00D0554E" w:rsidRPr="00FC3B3B" w14:paraId="64A43F57" w14:textId="77777777" w:rsidTr="0089116C">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Ex>
        <w:tc>
          <w:tcPr>
            <w:tcW w:w="4006" w:type="pct"/>
            <w:tcBorders>
              <w:top w:val="single" w:sz="4" w:space="0" w:color="939598"/>
              <w:left w:val="single" w:sz="4" w:space="0" w:color="939598"/>
              <w:bottom w:val="single" w:sz="4" w:space="0" w:color="939598"/>
              <w:right w:val="single" w:sz="4" w:space="0" w:color="939598"/>
            </w:tcBorders>
          </w:tcPr>
          <w:p w14:paraId="1B48D4AB" w14:textId="77777777" w:rsidR="00BA560C" w:rsidRPr="00FC3B3B" w:rsidRDefault="00BA560C" w:rsidP="00D0554E">
            <w:pPr>
              <w:pStyle w:val="Table"/>
              <w:spacing w:before="100" w:after="100"/>
            </w:pPr>
            <w:r w:rsidRPr="00FC3B3B">
              <w:t>If there is greater than 20% variance of the benchmark franking percentage between franking periods has the ATO been notified?</w:t>
            </w:r>
          </w:p>
        </w:tc>
        <w:tc>
          <w:tcPr>
            <w:tcW w:w="352" w:type="pct"/>
            <w:tcBorders>
              <w:top w:val="single" w:sz="4" w:space="0" w:color="939598"/>
              <w:left w:val="single" w:sz="4" w:space="0" w:color="939598"/>
              <w:bottom w:val="single" w:sz="4" w:space="0" w:color="939598"/>
              <w:right w:val="single" w:sz="4" w:space="0" w:color="939598"/>
            </w:tcBorders>
          </w:tcPr>
          <w:p w14:paraId="5413715F" w14:textId="77777777" w:rsidR="00BA560C" w:rsidRPr="00FC3B3B" w:rsidRDefault="00BA560C" w:rsidP="00D0554E">
            <w:pPr>
              <w:pStyle w:val="Table"/>
              <w:spacing w:before="100" w:after="100"/>
            </w:pPr>
          </w:p>
        </w:tc>
        <w:tc>
          <w:tcPr>
            <w:tcW w:w="281" w:type="pct"/>
            <w:tcBorders>
              <w:top w:val="single" w:sz="4" w:space="0" w:color="939598"/>
              <w:left w:val="single" w:sz="4" w:space="0" w:color="939598"/>
              <w:bottom w:val="single" w:sz="4" w:space="0" w:color="939598"/>
              <w:right w:val="single" w:sz="4" w:space="0" w:color="939598"/>
            </w:tcBorders>
          </w:tcPr>
          <w:p w14:paraId="08F12DC5" w14:textId="77777777" w:rsidR="00BA560C" w:rsidRPr="00FC3B3B" w:rsidRDefault="00BA560C" w:rsidP="00D0554E">
            <w:pPr>
              <w:pStyle w:val="Table"/>
              <w:spacing w:before="100" w:after="100"/>
            </w:pPr>
          </w:p>
        </w:tc>
        <w:tc>
          <w:tcPr>
            <w:tcW w:w="361" w:type="pct"/>
            <w:tcBorders>
              <w:top w:val="single" w:sz="4" w:space="0" w:color="939598"/>
              <w:left w:val="single" w:sz="4" w:space="0" w:color="939598"/>
              <w:bottom w:val="single" w:sz="4" w:space="0" w:color="939598"/>
              <w:right w:val="single" w:sz="4" w:space="0" w:color="939598"/>
            </w:tcBorders>
          </w:tcPr>
          <w:p w14:paraId="27759365" w14:textId="77777777" w:rsidR="00BA560C" w:rsidRPr="00FC3B3B" w:rsidRDefault="00BA560C" w:rsidP="00D0554E">
            <w:pPr>
              <w:pStyle w:val="Table"/>
              <w:spacing w:before="100" w:after="100"/>
            </w:pPr>
          </w:p>
        </w:tc>
      </w:tr>
      <w:tr w:rsidR="00D0554E" w:rsidRPr="00FC3B3B" w14:paraId="6E40B5EC" w14:textId="77777777" w:rsidTr="0089116C">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Ex>
        <w:tc>
          <w:tcPr>
            <w:tcW w:w="4006" w:type="pct"/>
            <w:tcBorders>
              <w:top w:val="single" w:sz="4" w:space="0" w:color="939598"/>
              <w:left w:val="single" w:sz="4" w:space="0" w:color="939598"/>
              <w:bottom w:val="single" w:sz="4" w:space="0" w:color="939598"/>
              <w:right w:val="single" w:sz="4" w:space="0" w:color="939598"/>
            </w:tcBorders>
          </w:tcPr>
          <w:p w14:paraId="0C1EC88C" w14:textId="77777777" w:rsidR="00BA560C" w:rsidRDefault="00BA560C" w:rsidP="00D0554E">
            <w:pPr>
              <w:pStyle w:val="Table"/>
              <w:spacing w:before="100" w:after="100"/>
            </w:pPr>
            <w:r w:rsidRPr="00FC3B3B">
              <w:t xml:space="preserve">Is there a franking deficit at year end? </w:t>
            </w:r>
          </w:p>
          <w:p w14:paraId="279DBCA7" w14:textId="77777777" w:rsidR="00BA560C" w:rsidRDefault="00BA560C" w:rsidP="00D0554E">
            <w:pPr>
              <w:pStyle w:val="Table"/>
              <w:spacing w:before="100" w:after="100"/>
            </w:pPr>
            <w:r w:rsidRPr="00FC3B3B">
              <w:t>If so, is the company aware that a franking account return must be lodged together with franking deficit tax payable within a month of the end of the franking year?</w:t>
            </w:r>
          </w:p>
          <w:p w14:paraId="14005178" w14:textId="54E1848A" w:rsidR="009921C1" w:rsidRPr="00DB2D33" w:rsidRDefault="009921C1" w:rsidP="00D0554E">
            <w:pPr>
              <w:pStyle w:val="Table"/>
              <w:spacing w:before="100" w:after="100"/>
              <w:rPr>
                <w:sz w:val="15"/>
                <w:szCs w:val="15"/>
              </w:rPr>
            </w:pPr>
            <w:r w:rsidRPr="00DB2D33">
              <w:rPr>
                <w:rFonts w:cs="Arial"/>
                <w:b/>
                <w:sz w:val="15"/>
                <w:szCs w:val="15"/>
              </w:rPr>
              <w:t>Note</w:t>
            </w:r>
            <w:r w:rsidRPr="00DB2D33">
              <w:rPr>
                <w:rFonts w:cs="Arial"/>
                <w:sz w:val="15"/>
                <w:szCs w:val="15"/>
              </w:rPr>
              <w:t>: a company which pa</w:t>
            </w:r>
            <w:r w:rsidR="00CF6371">
              <w:rPr>
                <w:rFonts w:cs="Arial"/>
                <w:sz w:val="15"/>
                <w:szCs w:val="15"/>
              </w:rPr>
              <w:t xml:space="preserve">ys franking deficit tax at year </w:t>
            </w:r>
            <w:r w:rsidRPr="00DB2D33">
              <w:rPr>
                <w:rFonts w:cs="Arial"/>
                <w:sz w:val="15"/>
                <w:szCs w:val="15"/>
              </w:rPr>
              <w:t>end will record a franking credit in its franking account and will be entitled to a franking deficit tax offset. However, the amount of that franking deficit tax offset will be reduced by 30% if the amount of the franking deficit exceeded 10% of the company’s total franking credits for the relevant year.</w:t>
            </w:r>
            <w:r w:rsidRPr="00DB2D33">
              <w:rPr>
                <w:sz w:val="15"/>
                <w:szCs w:val="15"/>
              </w:rPr>
              <w:t xml:space="preserve">      </w:t>
            </w:r>
          </w:p>
        </w:tc>
        <w:tc>
          <w:tcPr>
            <w:tcW w:w="352" w:type="pct"/>
            <w:tcBorders>
              <w:top w:val="single" w:sz="4" w:space="0" w:color="939598"/>
              <w:left w:val="single" w:sz="4" w:space="0" w:color="939598"/>
              <w:bottom w:val="single" w:sz="4" w:space="0" w:color="939598"/>
              <w:right w:val="single" w:sz="4" w:space="0" w:color="939598"/>
            </w:tcBorders>
          </w:tcPr>
          <w:p w14:paraId="6B421B51" w14:textId="77777777" w:rsidR="00BA560C" w:rsidRPr="00FC3B3B" w:rsidRDefault="00BA560C" w:rsidP="00D0554E">
            <w:pPr>
              <w:pStyle w:val="Table"/>
              <w:spacing w:before="100" w:after="100"/>
            </w:pPr>
          </w:p>
        </w:tc>
        <w:tc>
          <w:tcPr>
            <w:tcW w:w="281" w:type="pct"/>
            <w:tcBorders>
              <w:top w:val="single" w:sz="4" w:space="0" w:color="939598"/>
              <w:left w:val="single" w:sz="4" w:space="0" w:color="939598"/>
              <w:bottom w:val="single" w:sz="4" w:space="0" w:color="939598"/>
              <w:right w:val="single" w:sz="4" w:space="0" w:color="939598"/>
            </w:tcBorders>
          </w:tcPr>
          <w:p w14:paraId="621EF181" w14:textId="77777777" w:rsidR="00BA560C" w:rsidRPr="00FC3B3B" w:rsidRDefault="00BA560C" w:rsidP="00D0554E">
            <w:pPr>
              <w:pStyle w:val="Table"/>
              <w:spacing w:before="100" w:after="100"/>
            </w:pPr>
          </w:p>
        </w:tc>
        <w:tc>
          <w:tcPr>
            <w:tcW w:w="361" w:type="pct"/>
            <w:tcBorders>
              <w:top w:val="single" w:sz="4" w:space="0" w:color="939598"/>
              <w:left w:val="single" w:sz="4" w:space="0" w:color="939598"/>
              <w:bottom w:val="single" w:sz="4" w:space="0" w:color="939598"/>
              <w:right w:val="single" w:sz="4" w:space="0" w:color="939598"/>
            </w:tcBorders>
          </w:tcPr>
          <w:p w14:paraId="5823BE19" w14:textId="77777777" w:rsidR="00BA560C" w:rsidRPr="00FC3B3B" w:rsidRDefault="00BA560C" w:rsidP="00D0554E">
            <w:pPr>
              <w:pStyle w:val="Table"/>
              <w:spacing w:before="100" w:after="100"/>
            </w:pPr>
          </w:p>
        </w:tc>
      </w:tr>
      <w:tr w:rsidR="00D0554E" w:rsidRPr="00FC3B3B" w14:paraId="2A3AF20C" w14:textId="77777777" w:rsidTr="0089116C">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Ex>
        <w:tc>
          <w:tcPr>
            <w:tcW w:w="4006" w:type="pct"/>
            <w:tcBorders>
              <w:top w:val="single" w:sz="4" w:space="0" w:color="939598"/>
              <w:left w:val="single" w:sz="4" w:space="0" w:color="939598"/>
              <w:bottom w:val="single" w:sz="4" w:space="0" w:color="939598"/>
              <w:right w:val="single" w:sz="4" w:space="0" w:color="939598"/>
            </w:tcBorders>
          </w:tcPr>
          <w:p w14:paraId="43900DB4" w14:textId="62104F47" w:rsidR="00BA560C" w:rsidRPr="00FC3B3B" w:rsidRDefault="00BA560C" w:rsidP="00D0554E">
            <w:pPr>
              <w:pStyle w:val="Table"/>
              <w:spacing w:before="100" w:after="100"/>
            </w:pPr>
            <w:r w:rsidRPr="00FC3B3B">
              <w:t xml:space="preserve">Has the 45/90 </w:t>
            </w:r>
            <w:r w:rsidR="009921C1">
              <w:t>holding period</w:t>
            </w:r>
            <w:r w:rsidRPr="00FC3B3B">
              <w:t xml:space="preserve"> rule been considered in relation to dividends received by the company?</w:t>
            </w:r>
          </w:p>
        </w:tc>
        <w:tc>
          <w:tcPr>
            <w:tcW w:w="352" w:type="pct"/>
            <w:tcBorders>
              <w:top w:val="single" w:sz="4" w:space="0" w:color="939598"/>
              <w:left w:val="single" w:sz="4" w:space="0" w:color="939598"/>
              <w:bottom w:val="single" w:sz="4" w:space="0" w:color="939598"/>
              <w:right w:val="single" w:sz="4" w:space="0" w:color="939598"/>
            </w:tcBorders>
          </w:tcPr>
          <w:p w14:paraId="086A8CAF" w14:textId="77777777" w:rsidR="00BA560C" w:rsidRPr="00FC3B3B" w:rsidRDefault="00BA560C" w:rsidP="00D0554E">
            <w:pPr>
              <w:pStyle w:val="Table"/>
              <w:spacing w:before="100" w:after="100"/>
            </w:pPr>
          </w:p>
        </w:tc>
        <w:tc>
          <w:tcPr>
            <w:tcW w:w="281" w:type="pct"/>
            <w:tcBorders>
              <w:top w:val="single" w:sz="4" w:space="0" w:color="939598"/>
              <w:left w:val="single" w:sz="4" w:space="0" w:color="939598"/>
              <w:bottom w:val="single" w:sz="4" w:space="0" w:color="939598"/>
              <w:right w:val="single" w:sz="4" w:space="0" w:color="939598"/>
            </w:tcBorders>
          </w:tcPr>
          <w:p w14:paraId="7AA3C454" w14:textId="77777777" w:rsidR="00BA560C" w:rsidRPr="00FC3B3B" w:rsidRDefault="00BA560C" w:rsidP="00D0554E">
            <w:pPr>
              <w:pStyle w:val="Table"/>
              <w:spacing w:before="100" w:after="100"/>
            </w:pPr>
          </w:p>
        </w:tc>
        <w:tc>
          <w:tcPr>
            <w:tcW w:w="361" w:type="pct"/>
            <w:tcBorders>
              <w:top w:val="single" w:sz="4" w:space="0" w:color="939598"/>
              <w:left w:val="single" w:sz="4" w:space="0" w:color="939598"/>
              <w:bottom w:val="single" w:sz="4" w:space="0" w:color="939598"/>
              <w:right w:val="single" w:sz="4" w:space="0" w:color="939598"/>
            </w:tcBorders>
          </w:tcPr>
          <w:p w14:paraId="77AFB18A" w14:textId="77777777" w:rsidR="00BA560C" w:rsidRPr="00FC3B3B" w:rsidRDefault="00BA560C" w:rsidP="00D0554E">
            <w:pPr>
              <w:pStyle w:val="Table"/>
              <w:spacing w:before="100" w:after="100"/>
            </w:pPr>
          </w:p>
        </w:tc>
      </w:tr>
      <w:tr w:rsidR="00D0554E" w:rsidRPr="00FC3B3B" w14:paraId="0E8BD625" w14:textId="77777777" w:rsidTr="0089116C">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Ex>
        <w:tc>
          <w:tcPr>
            <w:tcW w:w="4006" w:type="pct"/>
            <w:tcBorders>
              <w:top w:val="single" w:sz="4" w:space="0" w:color="939598"/>
              <w:left w:val="single" w:sz="4" w:space="0" w:color="939598"/>
              <w:bottom w:val="single" w:sz="4" w:space="0" w:color="939598"/>
              <w:right w:val="single" w:sz="4" w:space="0" w:color="939598"/>
            </w:tcBorders>
          </w:tcPr>
          <w:p w14:paraId="1401537D" w14:textId="0789F84C" w:rsidR="001B6D1F" w:rsidRPr="00FC3B3B" w:rsidRDefault="001B6D1F" w:rsidP="00D0554E">
            <w:pPr>
              <w:pStyle w:val="Table"/>
              <w:spacing w:before="100" w:after="100"/>
            </w:pPr>
            <w:r>
              <w:t xml:space="preserve">Have the dividend washing provisions been considered?  </w:t>
            </w:r>
          </w:p>
        </w:tc>
        <w:tc>
          <w:tcPr>
            <w:tcW w:w="352" w:type="pct"/>
            <w:tcBorders>
              <w:top w:val="single" w:sz="4" w:space="0" w:color="939598"/>
              <w:left w:val="single" w:sz="4" w:space="0" w:color="939598"/>
              <w:bottom w:val="single" w:sz="4" w:space="0" w:color="939598"/>
              <w:right w:val="single" w:sz="4" w:space="0" w:color="939598"/>
            </w:tcBorders>
          </w:tcPr>
          <w:p w14:paraId="11ECA39A" w14:textId="77777777" w:rsidR="001B6D1F" w:rsidRPr="00FC3B3B" w:rsidRDefault="001B6D1F" w:rsidP="00D0554E">
            <w:pPr>
              <w:pStyle w:val="Table"/>
              <w:spacing w:before="100" w:after="100"/>
            </w:pPr>
          </w:p>
        </w:tc>
        <w:tc>
          <w:tcPr>
            <w:tcW w:w="281" w:type="pct"/>
            <w:tcBorders>
              <w:top w:val="single" w:sz="4" w:space="0" w:color="939598"/>
              <w:left w:val="single" w:sz="4" w:space="0" w:color="939598"/>
              <w:bottom w:val="single" w:sz="4" w:space="0" w:color="939598"/>
              <w:right w:val="single" w:sz="4" w:space="0" w:color="939598"/>
            </w:tcBorders>
          </w:tcPr>
          <w:p w14:paraId="3E4CFF78" w14:textId="77777777" w:rsidR="001B6D1F" w:rsidRPr="00FC3B3B" w:rsidRDefault="001B6D1F" w:rsidP="00D0554E">
            <w:pPr>
              <w:pStyle w:val="Table"/>
              <w:spacing w:before="100" w:after="100"/>
            </w:pPr>
          </w:p>
        </w:tc>
        <w:tc>
          <w:tcPr>
            <w:tcW w:w="361" w:type="pct"/>
            <w:tcBorders>
              <w:top w:val="single" w:sz="4" w:space="0" w:color="939598"/>
              <w:left w:val="single" w:sz="4" w:space="0" w:color="939598"/>
              <w:bottom w:val="single" w:sz="4" w:space="0" w:color="939598"/>
              <w:right w:val="single" w:sz="4" w:space="0" w:color="939598"/>
            </w:tcBorders>
          </w:tcPr>
          <w:p w14:paraId="2AF18519" w14:textId="77777777" w:rsidR="001B6D1F" w:rsidRPr="00FC3B3B" w:rsidRDefault="001B6D1F" w:rsidP="00D0554E">
            <w:pPr>
              <w:pStyle w:val="Table"/>
              <w:spacing w:before="100" w:after="100"/>
            </w:pPr>
          </w:p>
        </w:tc>
      </w:tr>
      <w:tr w:rsidR="00366AD5" w:rsidRPr="009D23C0" w14:paraId="0A29C395" w14:textId="77777777" w:rsidTr="0089116C">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Ex>
        <w:tc>
          <w:tcPr>
            <w:tcW w:w="5000" w:type="pct"/>
            <w:gridSpan w:val="4"/>
            <w:tcBorders>
              <w:top w:val="single" w:sz="4" w:space="0" w:color="939598"/>
              <w:left w:val="single" w:sz="4" w:space="0" w:color="939598"/>
              <w:bottom w:val="single" w:sz="4" w:space="0" w:color="939598"/>
              <w:right w:val="single" w:sz="4" w:space="0" w:color="939598"/>
            </w:tcBorders>
            <w:shd w:val="clear" w:color="auto" w:fill="D9D9D9" w:themeFill="background1" w:themeFillShade="D9"/>
          </w:tcPr>
          <w:p w14:paraId="14D35327" w14:textId="0F00C1AC" w:rsidR="00366AD5" w:rsidRPr="009D23C0" w:rsidRDefault="00366AD5" w:rsidP="00D0554E">
            <w:pPr>
              <w:pStyle w:val="Tableheading"/>
              <w:keepNext/>
            </w:pPr>
            <w:r w:rsidRPr="00C75D23">
              <w:rPr>
                <w:rFonts w:cs="Arial"/>
              </w:rPr>
              <w:t>I</w:t>
            </w:r>
            <w:r w:rsidR="00B4647C">
              <w:rPr>
                <w:rFonts w:cs="Arial"/>
              </w:rPr>
              <w:t>NTERNATIONAL DEALINGS SCHEDULE</w:t>
            </w:r>
          </w:p>
        </w:tc>
      </w:tr>
      <w:tr w:rsidR="00F85198" w:rsidRPr="00FC3B3B" w14:paraId="70ABC73A" w14:textId="77777777" w:rsidTr="0089116C">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Ex>
        <w:tc>
          <w:tcPr>
            <w:tcW w:w="4006" w:type="pct"/>
            <w:tcBorders>
              <w:top w:val="single" w:sz="4" w:space="0" w:color="939598"/>
              <w:left w:val="single" w:sz="4" w:space="0" w:color="939598"/>
              <w:bottom w:val="single" w:sz="4" w:space="0" w:color="939598"/>
              <w:right w:val="single" w:sz="4" w:space="0" w:color="939598"/>
            </w:tcBorders>
          </w:tcPr>
          <w:p w14:paraId="7F40D862" w14:textId="77777777" w:rsidR="00F85198" w:rsidRDefault="00F85198" w:rsidP="00D0554E">
            <w:pPr>
              <w:pStyle w:val="Table"/>
              <w:spacing w:before="100" w:after="100"/>
            </w:pPr>
            <w:r w:rsidRPr="00FC3B3B">
              <w:t>Has all assessable foreign sourced income been identified and returned as assessable income?</w:t>
            </w:r>
          </w:p>
          <w:p w14:paraId="75BA1CB6" w14:textId="77777777" w:rsidR="00F85198" w:rsidRPr="00FC3B3B" w:rsidRDefault="00F85198" w:rsidP="00D0554E">
            <w:pPr>
              <w:pStyle w:val="Table"/>
              <w:spacing w:before="100" w:after="100"/>
            </w:pPr>
            <w:r>
              <w:t>I</w:t>
            </w:r>
            <w:r w:rsidRPr="00FC3B3B">
              <w:t>f so, has foreign income been grossed up for the appropriate taxes?</w:t>
            </w:r>
          </w:p>
        </w:tc>
        <w:tc>
          <w:tcPr>
            <w:tcW w:w="352" w:type="pct"/>
            <w:tcBorders>
              <w:top w:val="single" w:sz="4" w:space="0" w:color="939598"/>
              <w:left w:val="single" w:sz="4" w:space="0" w:color="939598"/>
              <w:bottom w:val="single" w:sz="4" w:space="0" w:color="939598"/>
              <w:right w:val="single" w:sz="4" w:space="0" w:color="939598"/>
            </w:tcBorders>
          </w:tcPr>
          <w:p w14:paraId="7FEC6EB8" w14:textId="77777777" w:rsidR="00F85198" w:rsidRPr="00FC3B3B" w:rsidRDefault="00F85198" w:rsidP="00D0554E">
            <w:pPr>
              <w:pStyle w:val="Table"/>
              <w:keepNext/>
              <w:spacing w:before="100" w:after="100"/>
            </w:pPr>
          </w:p>
        </w:tc>
        <w:tc>
          <w:tcPr>
            <w:tcW w:w="281" w:type="pct"/>
            <w:tcBorders>
              <w:top w:val="single" w:sz="4" w:space="0" w:color="939598"/>
              <w:left w:val="single" w:sz="4" w:space="0" w:color="939598"/>
              <w:bottom w:val="single" w:sz="4" w:space="0" w:color="939598"/>
              <w:right w:val="single" w:sz="4" w:space="0" w:color="939598"/>
            </w:tcBorders>
          </w:tcPr>
          <w:p w14:paraId="2C608BBF" w14:textId="77777777" w:rsidR="00F85198" w:rsidRPr="00FC3B3B" w:rsidRDefault="00F85198" w:rsidP="00D0554E">
            <w:pPr>
              <w:pStyle w:val="Table"/>
              <w:keepNext/>
              <w:spacing w:before="100" w:after="100"/>
            </w:pPr>
          </w:p>
        </w:tc>
        <w:tc>
          <w:tcPr>
            <w:tcW w:w="361" w:type="pct"/>
            <w:tcBorders>
              <w:top w:val="single" w:sz="4" w:space="0" w:color="939598"/>
              <w:left w:val="single" w:sz="4" w:space="0" w:color="939598"/>
              <w:bottom w:val="single" w:sz="4" w:space="0" w:color="939598"/>
              <w:right w:val="single" w:sz="4" w:space="0" w:color="939598"/>
            </w:tcBorders>
          </w:tcPr>
          <w:p w14:paraId="0EDDDE74" w14:textId="77777777" w:rsidR="00F85198" w:rsidRPr="00FC3B3B" w:rsidRDefault="00F85198" w:rsidP="00D0554E">
            <w:pPr>
              <w:pStyle w:val="Table"/>
              <w:keepNext/>
              <w:spacing w:before="100" w:after="100"/>
            </w:pPr>
          </w:p>
        </w:tc>
      </w:tr>
      <w:tr w:rsidR="00F85198" w:rsidRPr="00FC3B3B" w14:paraId="46BB80FB" w14:textId="77777777" w:rsidTr="0089116C">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Ex>
        <w:tc>
          <w:tcPr>
            <w:tcW w:w="4006" w:type="pct"/>
            <w:tcBorders>
              <w:top w:val="single" w:sz="4" w:space="0" w:color="939598"/>
              <w:left w:val="single" w:sz="4" w:space="0" w:color="939598"/>
              <w:bottom w:val="single" w:sz="4" w:space="0" w:color="939598"/>
              <w:right w:val="single" w:sz="4" w:space="0" w:color="939598"/>
            </w:tcBorders>
          </w:tcPr>
          <w:p w14:paraId="0906FA07" w14:textId="77777777" w:rsidR="00F85198" w:rsidRPr="00FC3B3B" w:rsidRDefault="00F85198" w:rsidP="00D0554E">
            <w:pPr>
              <w:pStyle w:val="Table"/>
              <w:spacing w:before="100" w:after="100"/>
            </w:pPr>
            <w:r w:rsidRPr="00FC3B3B">
              <w:t>Has withholding tax been deducted from interest, royalties and unfranked dividends paid to non-residents or offshore / foreign ‘branches’ of resident companies during the year?</w:t>
            </w:r>
          </w:p>
        </w:tc>
        <w:tc>
          <w:tcPr>
            <w:tcW w:w="352" w:type="pct"/>
            <w:tcBorders>
              <w:top w:val="single" w:sz="4" w:space="0" w:color="939598"/>
              <w:left w:val="single" w:sz="4" w:space="0" w:color="939598"/>
              <w:bottom w:val="single" w:sz="4" w:space="0" w:color="939598"/>
              <w:right w:val="single" w:sz="4" w:space="0" w:color="939598"/>
            </w:tcBorders>
          </w:tcPr>
          <w:p w14:paraId="6BB29F0E" w14:textId="77777777" w:rsidR="00F85198" w:rsidRPr="00FC3B3B" w:rsidRDefault="00F85198" w:rsidP="00D0554E">
            <w:pPr>
              <w:pStyle w:val="Table"/>
              <w:keepNext/>
              <w:spacing w:before="100" w:after="100"/>
            </w:pPr>
          </w:p>
        </w:tc>
        <w:tc>
          <w:tcPr>
            <w:tcW w:w="281" w:type="pct"/>
            <w:tcBorders>
              <w:top w:val="single" w:sz="4" w:space="0" w:color="939598"/>
              <w:left w:val="single" w:sz="4" w:space="0" w:color="939598"/>
              <w:bottom w:val="single" w:sz="4" w:space="0" w:color="939598"/>
              <w:right w:val="single" w:sz="4" w:space="0" w:color="939598"/>
            </w:tcBorders>
          </w:tcPr>
          <w:p w14:paraId="3E8CC4FC" w14:textId="77777777" w:rsidR="00F85198" w:rsidRPr="00FC3B3B" w:rsidRDefault="00F85198" w:rsidP="00D0554E">
            <w:pPr>
              <w:pStyle w:val="Table"/>
              <w:keepNext/>
              <w:spacing w:before="100" w:after="100"/>
            </w:pPr>
          </w:p>
        </w:tc>
        <w:tc>
          <w:tcPr>
            <w:tcW w:w="361" w:type="pct"/>
            <w:tcBorders>
              <w:top w:val="single" w:sz="4" w:space="0" w:color="939598"/>
              <w:left w:val="single" w:sz="4" w:space="0" w:color="939598"/>
              <w:bottom w:val="single" w:sz="4" w:space="0" w:color="939598"/>
              <w:right w:val="single" w:sz="4" w:space="0" w:color="939598"/>
            </w:tcBorders>
          </w:tcPr>
          <w:p w14:paraId="396DDCC7" w14:textId="77777777" w:rsidR="00F85198" w:rsidRPr="00FC3B3B" w:rsidRDefault="00F85198" w:rsidP="00D0554E">
            <w:pPr>
              <w:pStyle w:val="Table"/>
              <w:keepNext/>
              <w:spacing w:before="100" w:after="100"/>
            </w:pPr>
          </w:p>
        </w:tc>
      </w:tr>
      <w:tr w:rsidR="00F85198" w:rsidRPr="00FC3B3B" w14:paraId="4270E243" w14:textId="77777777" w:rsidTr="0089116C">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Ex>
        <w:tc>
          <w:tcPr>
            <w:tcW w:w="4006" w:type="pct"/>
            <w:tcBorders>
              <w:top w:val="single" w:sz="4" w:space="0" w:color="939598"/>
              <w:left w:val="single" w:sz="4" w:space="0" w:color="939598"/>
              <w:bottom w:val="single" w:sz="4" w:space="0" w:color="939598"/>
              <w:right w:val="single" w:sz="4" w:space="0" w:color="939598"/>
            </w:tcBorders>
          </w:tcPr>
          <w:p w14:paraId="224FE9FD" w14:textId="77777777" w:rsidR="00F85198" w:rsidRPr="00FC3B3B" w:rsidRDefault="00F85198" w:rsidP="00D0554E">
            <w:pPr>
              <w:pStyle w:val="Table"/>
              <w:keepNext/>
              <w:spacing w:before="100" w:after="100"/>
            </w:pPr>
            <w:r w:rsidRPr="00FC3B3B">
              <w:t>Have management fees, software licence fees etc. paid to overseas entities been examined to determine whether they are within the definition of royalties?</w:t>
            </w:r>
          </w:p>
        </w:tc>
        <w:tc>
          <w:tcPr>
            <w:tcW w:w="352" w:type="pct"/>
            <w:tcBorders>
              <w:top w:val="single" w:sz="4" w:space="0" w:color="939598"/>
              <w:left w:val="single" w:sz="4" w:space="0" w:color="939598"/>
              <w:bottom w:val="single" w:sz="4" w:space="0" w:color="939598"/>
              <w:right w:val="single" w:sz="4" w:space="0" w:color="939598"/>
            </w:tcBorders>
          </w:tcPr>
          <w:p w14:paraId="6ED0495A" w14:textId="77777777" w:rsidR="00F85198" w:rsidRPr="00FC3B3B" w:rsidRDefault="00F85198" w:rsidP="00D0554E">
            <w:pPr>
              <w:pStyle w:val="Table"/>
              <w:keepNext/>
              <w:spacing w:before="100" w:after="100"/>
            </w:pPr>
          </w:p>
        </w:tc>
        <w:tc>
          <w:tcPr>
            <w:tcW w:w="281" w:type="pct"/>
            <w:tcBorders>
              <w:top w:val="single" w:sz="4" w:space="0" w:color="939598"/>
              <w:left w:val="single" w:sz="4" w:space="0" w:color="939598"/>
              <w:bottom w:val="single" w:sz="4" w:space="0" w:color="939598"/>
              <w:right w:val="single" w:sz="4" w:space="0" w:color="939598"/>
            </w:tcBorders>
          </w:tcPr>
          <w:p w14:paraId="479AF59C" w14:textId="77777777" w:rsidR="00F85198" w:rsidRPr="00FC3B3B" w:rsidRDefault="00F85198" w:rsidP="00D0554E">
            <w:pPr>
              <w:pStyle w:val="Table"/>
              <w:keepNext/>
              <w:spacing w:before="100" w:after="100"/>
            </w:pPr>
          </w:p>
        </w:tc>
        <w:tc>
          <w:tcPr>
            <w:tcW w:w="361" w:type="pct"/>
            <w:tcBorders>
              <w:top w:val="single" w:sz="4" w:space="0" w:color="939598"/>
              <w:left w:val="single" w:sz="4" w:space="0" w:color="939598"/>
              <w:bottom w:val="single" w:sz="4" w:space="0" w:color="939598"/>
              <w:right w:val="single" w:sz="4" w:space="0" w:color="939598"/>
            </w:tcBorders>
          </w:tcPr>
          <w:p w14:paraId="1ECD3B83" w14:textId="77777777" w:rsidR="00F85198" w:rsidRPr="00FC3B3B" w:rsidRDefault="00F85198" w:rsidP="00D0554E">
            <w:pPr>
              <w:pStyle w:val="Table"/>
              <w:keepNext/>
              <w:spacing w:before="100" w:after="100"/>
            </w:pPr>
          </w:p>
        </w:tc>
      </w:tr>
      <w:tr w:rsidR="00F85198" w:rsidRPr="00FC3B3B" w14:paraId="60E9E60A" w14:textId="77777777" w:rsidTr="0089116C">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Ex>
        <w:tc>
          <w:tcPr>
            <w:tcW w:w="4006" w:type="pct"/>
            <w:tcBorders>
              <w:top w:val="single" w:sz="4" w:space="0" w:color="939598"/>
              <w:left w:val="single" w:sz="4" w:space="0" w:color="939598"/>
              <w:bottom w:val="single" w:sz="4" w:space="0" w:color="939598"/>
              <w:right w:val="single" w:sz="4" w:space="0" w:color="939598"/>
            </w:tcBorders>
          </w:tcPr>
          <w:p w14:paraId="7FA4FDBA" w14:textId="77777777" w:rsidR="00F85198" w:rsidRDefault="00F85198" w:rsidP="00D0554E">
            <w:pPr>
              <w:pStyle w:val="Table"/>
              <w:keepNext/>
              <w:spacing w:before="100" w:after="100"/>
            </w:pPr>
            <w:r w:rsidRPr="00FC3B3B">
              <w:t>Have insurance premiums been paid by the entity to non-resident insurers?</w:t>
            </w:r>
          </w:p>
          <w:p w14:paraId="77A6BD28" w14:textId="77777777" w:rsidR="00F85198" w:rsidRPr="00FC3B3B" w:rsidRDefault="00F85198" w:rsidP="00D0554E">
            <w:pPr>
              <w:pStyle w:val="Table"/>
              <w:keepNext/>
              <w:spacing w:before="100" w:after="100"/>
            </w:pPr>
            <w:r w:rsidRPr="00FC3B3B">
              <w:t xml:space="preserve">If so, has the appropriate amount been deducted and a return been furnished in respect of the foreign premiums as required under Division 15 of the </w:t>
            </w:r>
            <w:r w:rsidRPr="00FC3B3B">
              <w:rPr>
                <w:i/>
              </w:rPr>
              <w:t>Income Tax Assessment Act 1936</w:t>
            </w:r>
            <w:r w:rsidRPr="00FC3B3B">
              <w:t>?</w:t>
            </w:r>
          </w:p>
        </w:tc>
        <w:tc>
          <w:tcPr>
            <w:tcW w:w="352" w:type="pct"/>
            <w:tcBorders>
              <w:top w:val="single" w:sz="4" w:space="0" w:color="939598"/>
              <w:left w:val="single" w:sz="4" w:space="0" w:color="939598"/>
              <w:bottom w:val="single" w:sz="4" w:space="0" w:color="939598"/>
              <w:right w:val="single" w:sz="4" w:space="0" w:color="939598"/>
            </w:tcBorders>
          </w:tcPr>
          <w:p w14:paraId="52B399A5" w14:textId="77777777" w:rsidR="00F85198" w:rsidRPr="00FC3B3B" w:rsidRDefault="00F85198" w:rsidP="00D0554E">
            <w:pPr>
              <w:pStyle w:val="Table"/>
              <w:keepNext/>
              <w:spacing w:before="100" w:after="100"/>
            </w:pPr>
          </w:p>
        </w:tc>
        <w:tc>
          <w:tcPr>
            <w:tcW w:w="281" w:type="pct"/>
            <w:tcBorders>
              <w:top w:val="single" w:sz="4" w:space="0" w:color="939598"/>
              <w:left w:val="single" w:sz="4" w:space="0" w:color="939598"/>
              <w:bottom w:val="single" w:sz="4" w:space="0" w:color="939598"/>
              <w:right w:val="single" w:sz="4" w:space="0" w:color="939598"/>
            </w:tcBorders>
          </w:tcPr>
          <w:p w14:paraId="4F1A415B" w14:textId="77777777" w:rsidR="00F85198" w:rsidRPr="00FC3B3B" w:rsidRDefault="00F85198" w:rsidP="00D0554E">
            <w:pPr>
              <w:pStyle w:val="Table"/>
              <w:keepNext/>
              <w:spacing w:before="100" w:after="100"/>
            </w:pPr>
          </w:p>
        </w:tc>
        <w:tc>
          <w:tcPr>
            <w:tcW w:w="361" w:type="pct"/>
            <w:tcBorders>
              <w:top w:val="single" w:sz="4" w:space="0" w:color="939598"/>
              <w:left w:val="single" w:sz="4" w:space="0" w:color="939598"/>
              <w:bottom w:val="single" w:sz="4" w:space="0" w:color="939598"/>
              <w:right w:val="single" w:sz="4" w:space="0" w:color="939598"/>
            </w:tcBorders>
          </w:tcPr>
          <w:p w14:paraId="3D4A27E9" w14:textId="77777777" w:rsidR="00F85198" w:rsidRPr="00FC3B3B" w:rsidRDefault="00F85198" w:rsidP="00D0554E">
            <w:pPr>
              <w:pStyle w:val="Table"/>
              <w:keepNext/>
              <w:spacing w:before="100" w:after="100"/>
            </w:pPr>
          </w:p>
        </w:tc>
      </w:tr>
      <w:tr w:rsidR="00F85198" w:rsidRPr="00FC3B3B" w14:paraId="01C68C56" w14:textId="77777777" w:rsidTr="0089116C">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Ex>
        <w:tc>
          <w:tcPr>
            <w:tcW w:w="4006" w:type="pct"/>
            <w:tcBorders>
              <w:top w:val="single" w:sz="4" w:space="0" w:color="939598"/>
              <w:left w:val="single" w:sz="4" w:space="0" w:color="939598"/>
              <w:bottom w:val="single" w:sz="4" w:space="0" w:color="939598"/>
              <w:right w:val="single" w:sz="4" w:space="0" w:color="939598"/>
            </w:tcBorders>
          </w:tcPr>
          <w:p w14:paraId="082B0A04" w14:textId="77777777" w:rsidR="00F85198" w:rsidRPr="00FC3B3B" w:rsidRDefault="00F85198" w:rsidP="00D0554E">
            <w:pPr>
              <w:pStyle w:val="Table"/>
              <w:keepNext/>
              <w:spacing w:before="100" w:after="100"/>
            </w:pPr>
            <w:r w:rsidRPr="00FC3B3B">
              <w:t xml:space="preserve">Have you considered the CFC </w:t>
            </w:r>
            <w:r>
              <w:t xml:space="preserve">rules </w:t>
            </w:r>
            <w:r w:rsidRPr="00FC3B3B">
              <w:t>in relation to the attribution of income?</w:t>
            </w:r>
          </w:p>
        </w:tc>
        <w:tc>
          <w:tcPr>
            <w:tcW w:w="352" w:type="pct"/>
            <w:tcBorders>
              <w:top w:val="single" w:sz="4" w:space="0" w:color="939598"/>
              <w:left w:val="single" w:sz="4" w:space="0" w:color="939598"/>
              <w:bottom w:val="single" w:sz="4" w:space="0" w:color="939598"/>
              <w:right w:val="single" w:sz="4" w:space="0" w:color="939598"/>
            </w:tcBorders>
          </w:tcPr>
          <w:p w14:paraId="762C0302" w14:textId="77777777" w:rsidR="00F85198" w:rsidRPr="00FC3B3B" w:rsidRDefault="00F85198" w:rsidP="00D0554E">
            <w:pPr>
              <w:pStyle w:val="Table"/>
              <w:keepNext/>
              <w:spacing w:before="100" w:after="100"/>
            </w:pPr>
          </w:p>
        </w:tc>
        <w:tc>
          <w:tcPr>
            <w:tcW w:w="281" w:type="pct"/>
            <w:tcBorders>
              <w:top w:val="single" w:sz="4" w:space="0" w:color="939598"/>
              <w:left w:val="single" w:sz="4" w:space="0" w:color="939598"/>
              <w:bottom w:val="single" w:sz="4" w:space="0" w:color="939598"/>
              <w:right w:val="single" w:sz="4" w:space="0" w:color="939598"/>
            </w:tcBorders>
          </w:tcPr>
          <w:p w14:paraId="117C4F7A" w14:textId="77777777" w:rsidR="00F85198" w:rsidRPr="00FC3B3B" w:rsidRDefault="00F85198" w:rsidP="00D0554E">
            <w:pPr>
              <w:pStyle w:val="Table"/>
              <w:keepNext/>
              <w:spacing w:before="100" w:after="100"/>
            </w:pPr>
          </w:p>
        </w:tc>
        <w:tc>
          <w:tcPr>
            <w:tcW w:w="361" w:type="pct"/>
            <w:tcBorders>
              <w:top w:val="single" w:sz="4" w:space="0" w:color="939598"/>
              <w:left w:val="single" w:sz="4" w:space="0" w:color="939598"/>
              <w:bottom w:val="single" w:sz="4" w:space="0" w:color="939598"/>
              <w:right w:val="single" w:sz="4" w:space="0" w:color="939598"/>
            </w:tcBorders>
          </w:tcPr>
          <w:p w14:paraId="6901B696" w14:textId="77777777" w:rsidR="00F85198" w:rsidRPr="00FC3B3B" w:rsidRDefault="00F85198" w:rsidP="00D0554E">
            <w:pPr>
              <w:pStyle w:val="Table"/>
              <w:keepNext/>
              <w:spacing w:before="100" w:after="100"/>
            </w:pPr>
          </w:p>
        </w:tc>
      </w:tr>
      <w:tr w:rsidR="00F85198" w:rsidRPr="00AE1A0F" w14:paraId="69DDE6AA" w14:textId="77777777" w:rsidTr="0089116C">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Ex>
        <w:tc>
          <w:tcPr>
            <w:tcW w:w="4006" w:type="pct"/>
            <w:tcBorders>
              <w:top w:val="single" w:sz="4" w:space="0" w:color="939598"/>
              <w:left w:val="single" w:sz="4" w:space="0" w:color="939598"/>
              <w:bottom w:val="single" w:sz="4" w:space="0" w:color="939598"/>
              <w:right w:val="single" w:sz="4" w:space="0" w:color="939598"/>
            </w:tcBorders>
          </w:tcPr>
          <w:p w14:paraId="39026BAD" w14:textId="77777777" w:rsidR="00F85198" w:rsidRPr="008239DD" w:rsidRDefault="00F85198" w:rsidP="00D0554E">
            <w:pPr>
              <w:pStyle w:val="Table"/>
              <w:keepNext/>
              <w:spacing w:before="100" w:after="100"/>
            </w:pPr>
            <w:r w:rsidRPr="008239DD">
              <w:t>Have you considered the ‘transferor trust’ rules in relation to the attribution of income?</w:t>
            </w:r>
          </w:p>
        </w:tc>
        <w:tc>
          <w:tcPr>
            <w:tcW w:w="352" w:type="pct"/>
            <w:tcBorders>
              <w:top w:val="single" w:sz="4" w:space="0" w:color="939598"/>
              <w:left w:val="single" w:sz="4" w:space="0" w:color="939598"/>
              <w:bottom w:val="single" w:sz="4" w:space="0" w:color="939598"/>
              <w:right w:val="single" w:sz="4" w:space="0" w:color="939598"/>
            </w:tcBorders>
          </w:tcPr>
          <w:p w14:paraId="2CE99AAD" w14:textId="77777777" w:rsidR="00F85198" w:rsidRPr="00AE1A0F" w:rsidRDefault="00F85198" w:rsidP="00D0554E">
            <w:pPr>
              <w:pStyle w:val="Table"/>
              <w:spacing w:before="100" w:after="100"/>
            </w:pPr>
          </w:p>
        </w:tc>
        <w:tc>
          <w:tcPr>
            <w:tcW w:w="281" w:type="pct"/>
            <w:tcBorders>
              <w:top w:val="single" w:sz="4" w:space="0" w:color="939598"/>
              <w:left w:val="single" w:sz="4" w:space="0" w:color="939598"/>
              <w:bottom w:val="single" w:sz="4" w:space="0" w:color="939598"/>
              <w:right w:val="single" w:sz="4" w:space="0" w:color="939598"/>
            </w:tcBorders>
          </w:tcPr>
          <w:p w14:paraId="18DFACA0" w14:textId="77777777" w:rsidR="00F85198" w:rsidRPr="00AE1A0F" w:rsidRDefault="00F85198" w:rsidP="00D0554E">
            <w:pPr>
              <w:pStyle w:val="Table"/>
              <w:spacing w:before="100" w:after="100"/>
            </w:pPr>
          </w:p>
        </w:tc>
        <w:tc>
          <w:tcPr>
            <w:tcW w:w="361" w:type="pct"/>
            <w:tcBorders>
              <w:top w:val="single" w:sz="4" w:space="0" w:color="939598"/>
              <w:left w:val="single" w:sz="4" w:space="0" w:color="939598"/>
              <w:bottom w:val="single" w:sz="4" w:space="0" w:color="939598"/>
              <w:right w:val="single" w:sz="4" w:space="0" w:color="939598"/>
            </w:tcBorders>
          </w:tcPr>
          <w:p w14:paraId="57EE3E6E" w14:textId="77777777" w:rsidR="00F85198" w:rsidRPr="00AE1A0F" w:rsidRDefault="00F85198" w:rsidP="00D0554E">
            <w:pPr>
              <w:pStyle w:val="Table"/>
              <w:spacing w:before="100" w:after="100"/>
            </w:pPr>
          </w:p>
        </w:tc>
      </w:tr>
    </w:tbl>
    <w:p w14:paraId="16853EDB" w14:textId="77777777" w:rsidR="00B4647C" w:rsidRDefault="00B4647C">
      <w:r>
        <w:br w:type="page"/>
      </w:r>
    </w:p>
    <w:tbl>
      <w:tblPr>
        <w:tblW w:w="5002"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firstRow="1" w:lastRow="1" w:firstColumn="1" w:lastColumn="1" w:noHBand="0" w:noVBand="0"/>
      </w:tblPr>
      <w:tblGrid>
        <w:gridCol w:w="8075"/>
        <w:gridCol w:w="710"/>
        <w:gridCol w:w="566"/>
        <w:gridCol w:w="728"/>
      </w:tblGrid>
      <w:tr w:rsidR="00B4647C" w:rsidRPr="00AE1A0F" w14:paraId="6614439B" w14:textId="77777777" w:rsidTr="00683DFF">
        <w:tc>
          <w:tcPr>
            <w:tcW w:w="4006" w:type="pct"/>
            <w:tcBorders>
              <w:top w:val="single" w:sz="4" w:space="0" w:color="939598"/>
              <w:bottom w:val="single" w:sz="4" w:space="0" w:color="939598"/>
              <w:right w:val="single" w:sz="4" w:space="0" w:color="939598"/>
            </w:tcBorders>
            <w:shd w:val="clear" w:color="auto" w:fill="051C3C"/>
          </w:tcPr>
          <w:p w14:paraId="3306AB0D" w14:textId="479E1480" w:rsidR="00B4647C" w:rsidRPr="00637458" w:rsidRDefault="00B4647C" w:rsidP="00B4647C">
            <w:pPr>
              <w:pStyle w:val="Table"/>
              <w:keepNext/>
              <w:spacing w:before="100" w:after="100"/>
              <w:rPr>
                <w:b/>
              </w:rPr>
            </w:pPr>
            <w:r w:rsidRPr="00637458">
              <w:rPr>
                <w:b/>
                <w:sz w:val="18"/>
              </w:rPr>
              <w:lastRenderedPageBreak/>
              <w:t xml:space="preserve">OTHER ATO FORMS / ELECTIONS </w:t>
            </w:r>
          </w:p>
        </w:tc>
        <w:tc>
          <w:tcPr>
            <w:tcW w:w="352" w:type="pct"/>
            <w:tcBorders>
              <w:top w:val="single" w:sz="4" w:space="0" w:color="939598"/>
              <w:left w:val="single" w:sz="4" w:space="0" w:color="939598"/>
              <w:bottom w:val="single" w:sz="4" w:space="0" w:color="939598"/>
              <w:right w:val="single" w:sz="4" w:space="0" w:color="939598"/>
            </w:tcBorders>
            <w:shd w:val="clear" w:color="auto" w:fill="051C3C"/>
          </w:tcPr>
          <w:p w14:paraId="21DCF0CF" w14:textId="4871B301" w:rsidR="00B4647C" w:rsidRPr="00637458" w:rsidRDefault="00B4647C" w:rsidP="00B4647C">
            <w:pPr>
              <w:pStyle w:val="Table"/>
              <w:spacing w:before="100" w:after="100"/>
              <w:rPr>
                <w:b/>
              </w:rPr>
            </w:pPr>
            <w:r w:rsidRPr="00637458">
              <w:rPr>
                <w:b/>
                <w:sz w:val="18"/>
              </w:rPr>
              <w:t>YES</w:t>
            </w:r>
          </w:p>
        </w:tc>
        <w:tc>
          <w:tcPr>
            <w:tcW w:w="281" w:type="pct"/>
            <w:tcBorders>
              <w:top w:val="single" w:sz="4" w:space="0" w:color="939598"/>
              <w:left w:val="single" w:sz="4" w:space="0" w:color="939598"/>
              <w:bottom w:val="single" w:sz="4" w:space="0" w:color="939598"/>
              <w:right w:val="single" w:sz="4" w:space="0" w:color="939598"/>
            </w:tcBorders>
            <w:shd w:val="clear" w:color="auto" w:fill="051C3C"/>
          </w:tcPr>
          <w:p w14:paraId="340EFBEF" w14:textId="4CED0A46" w:rsidR="00B4647C" w:rsidRPr="00637458" w:rsidRDefault="00B4647C" w:rsidP="00B4647C">
            <w:pPr>
              <w:pStyle w:val="Table"/>
              <w:spacing w:before="100" w:after="100"/>
              <w:rPr>
                <w:b/>
              </w:rPr>
            </w:pPr>
            <w:r w:rsidRPr="00637458">
              <w:rPr>
                <w:b/>
                <w:sz w:val="18"/>
              </w:rPr>
              <w:t>NO</w:t>
            </w:r>
          </w:p>
        </w:tc>
        <w:tc>
          <w:tcPr>
            <w:tcW w:w="361" w:type="pct"/>
            <w:tcBorders>
              <w:top w:val="single" w:sz="4" w:space="0" w:color="939598"/>
              <w:left w:val="single" w:sz="4" w:space="0" w:color="939598"/>
              <w:bottom w:val="single" w:sz="4" w:space="0" w:color="939598"/>
            </w:tcBorders>
            <w:shd w:val="clear" w:color="auto" w:fill="051C3C"/>
          </w:tcPr>
          <w:p w14:paraId="3DE3C548" w14:textId="3CB00243" w:rsidR="00B4647C" w:rsidRPr="00637458" w:rsidRDefault="00B4647C" w:rsidP="00B4647C">
            <w:pPr>
              <w:pStyle w:val="Table"/>
              <w:spacing w:before="100" w:after="100"/>
              <w:rPr>
                <w:b/>
              </w:rPr>
            </w:pPr>
            <w:r w:rsidRPr="00637458">
              <w:rPr>
                <w:b/>
                <w:sz w:val="18"/>
              </w:rPr>
              <w:t>N/A</w:t>
            </w:r>
          </w:p>
        </w:tc>
      </w:tr>
      <w:tr w:rsidR="00F85198" w:rsidRPr="009D23C0" w14:paraId="352173FA" w14:textId="77777777" w:rsidTr="0089116C">
        <w:tblPrEx>
          <w:tblBorders>
            <w:top w:val="single" w:sz="4" w:space="0" w:color="939598"/>
            <w:left w:val="single" w:sz="4" w:space="0" w:color="939598"/>
            <w:bottom w:val="single" w:sz="4" w:space="0" w:color="939598"/>
            <w:right w:val="single" w:sz="4" w:space="0" w:color="939598"/>
            <w:insideH w:val="none" w:sz="0" w:space="0" w:color="auto"/>
            <w:insideV w:val="none" w:sz="0" w:space="0" w:color="auto"/>
          </w:tblBorders>
          <w:tblLook w:val="00A0" w:firstRow="1" w:lastRow="0" w:firstColumn="1" w:lastColumn="0" w:noHBand="0" w:noVBand="0"/>
        </w:tblPrEx>
        <w:tc>
          <w:tcPr>
            <w:tcW w:w="5000" w:type="pct"/>
            <w:gridSpan w:val="4"/>
            <w:tcBorders>
              <w:top w:val="single" w:sz="4" w:space="0" w:color="939598"/>
              <w:bottom w:val="single" w:sz="4" w:space="0" w:color="939598"/>
            </w:tcBorders>
            <w:shd w:val="clear" w:color="auto" w:fill="D9D9D9" w:themeFill="background1" w:themeFillShade="D9"/>
          </w:tcPr>
          <w:p w14:paraId="00E6E665" w14:textId="59E67BF6" w:rsidR="00F85198" w:rsidRPr="009D23C0" w:rsidRDefault="00F85198" w:rsidP="00D0554E">
            <w:pPr>
              <w:pStyle w:val="Tableheading"/>
              <w:keepNext/>
            </w:pPr>
            <w:r w:rsidRPr="00977292">
              <w:rPr>
                <w:rFonts w:cs="Arial"/>
              </w:rPr>
              <w:t>G</w:t>
            </w:r>
            <w:r w:rsidR="009C2C19">
              <w:rPr>
                <w:rFonts w:cs="Arial"/>
              </w:rPr>
              <w:t>ENERAL VALUE SHIFTING REGIME</w:t>
            </w:r>
            <w:r w:rsidRPr="00977292">
              <w:rPr>
                <w:rFonts w:cs="Arial"/>
              </w:rPr>
              <w:t xml:space="preserve"> </w:t>
            </w:r>
          </w:p>
        </w:tc>
      </w:tr>
      <w:tr w:rsidR="00F85198" w:rsidRPr="00FC3B3B" w14:paraId="49D18937" w14:textId="77777777" w:rsidTr="0089116C">
        <w:tc>
          <w:tcPr>
            <w:tcW w:w="4006" w:type="pct"/>
            <w:tcBorders>
              <w:top w:val="single" w:sz="4" w:space="0" w:color="939598"/>
              <w:left w:val="single" w:sz="4" w:space="0" w:color="939598"/>
              <w:bottom w:val="single" w:sz="4" w:space="0" w:color="939598"/>
              <w:right w:val="single" w:sz="4" w:space="0" w:color="939598"/>
            </w:tcBorders>
          </w:tcPr>
          <w:p w14:paraId="5F6B1C01" w14:textId="77777777" w:rsidR="00F85198" w:rsidRPr="00FC3B3B" w:rsidRDefault="00F85198" w:rsidP="00D0554E">
            <w:pPr>
              <w:pStyle w:val="Table"/>
              <w:spacing w:before="100" w:after="100"/>
            </w:pPr>
            <w:r w:rsidRPr="00FC3B3B">
              <w:t>Have the value shifting rules been considered in respect of:</w:t>
            </w:r>
          </w:p>
          <w:p w14:paraId="2B1E4412" w14:textId="77777777" w:rsidR="00F85198" w:rsidRPr="00FC3B3B" w:rsidRDefault="00F85198" w:rsidP="00D0554E">
            <w:pPr>
              <w:pStyle w:val="TableBullet"/>
              <w:spacing w:before="100" w:after="100"/>
            </w:pPr>
            <w:r w:rsidRPr="00FC3B3B">
              <w:t>any acquisitions or disposals of equity or debt interests in the company (or the company’s subsidiaries, if appropriate</w:t>
            </w:r>
            <w:bookmarkStart w:id="5" w:name="_GoBack"/>
            <w:bookmarkEnd w:id="5"/>
            <w:r w:rsidRPr="00FC3B3B">
              <w:t>)</w:t>
            </w:r>
          </w:p>
          <w:p w14:paraId="43261F56" w14:textId="77777777" w:rsidR="00F85198" w:rsidRPr="00FC3B3B" w:rsidRDefault="00F85198" w:rsidP="00D0554E">
            <w:pPr>
              <w:pStyle w:val="TableBullet"/>
              <w:spacing w:before="100" w:after="100"/>
            </w:pPr>
            <w:r w:rsidRPr="00FC3B3B">
              <w:t>creation of rights in non-depreciating assets</w:t>
            </w:r>
          </w:p>
          <w:p w14:paraId="288CF3F2" w14:textId="77777777" w:rsidR="00F85198" w:rsidRPr="00FC3B3B" w:rsidRDefault="00F85198" w:rsidP="00D0554E">
            <w:pPr>
              <w:pStyle w:val="TableBullet"/>
              <w:spacing w:before="100" w:after="100"/>
            </w:pPr>
            <w:r w:rsidRPr="00FC3B3B">
              <w:t>non-arm’s lengt</w:t>
            </w:r>
            <w:r>
              <w:t>h dealings with related parties?</w:t>
            </w:r>
          </w:p>
        </w:tc>
        <w:tc>
          <w:tcPr>
            <w:tcW w:w="352" w:type="pct"/>
            <w:tcBorders>
              <w:top w:val="single" w:sz="4" w:space="0" w:color="939598"/>
              <w:left w:val="single" w:sz="4" w:space="0" w:color="939598"/>
              <w:bottom w:val="single" w:sz="4" w:space="0" w:color="939598"/>
              <w:right w:val="single" w:sz="4" w:space="0" w:color="939598"/>
            </w:tcBorders>
          </w:tcPr>
          <w:p w14:paraId="42774C40" w14:textId="77777777" w:rsidR="00F85198" w:rsidRPr="00FC3B3B" w:rsidRDefault="00F85198" w:rsidP="00D0554E">
            <w:pPr>
              <w:pStyle w:val="Table"/>
              <w:spacing w:before="100" w:after="100"/>
            </w:pPr>
          </w:p>
        </w:tc>
        <w:tc>
          <w:tcPr>
            <w:tcW w:w="281" w:type="pct"/>
            <w:tcBorders>
              <w:top w:val="single" w:sz="4" w:space="0" w:color="939598"/>
              <w:left w:val="single" w:sz="4" w:space="0" w:color="939598"/>
              <w:bottom w:val="single" w:sz="4" w:space="0" w:color="939598"/>
              <w:right w:val="single" w:sz="4" w:space="0" w:color="939598"/>
            </w:tcBorders>
          </w:tcPr>
          <w:p w14:paraId="75B51C12" w14:textId="77777777" w:rsidR="00F85198" w:rsidRPr="00FC3B3B" w:rsidRDefault="00F85198" w:rsidP="00D0554E">
            <w:pPr>
              <w:pStyle w:val="Table"/>
              <w:spacing w:before="100" w:after="100"/>
            </w:pPr>
          </w:p>
        </w:tc>
        <w:tc>
          <w:tcPr>
            <w:tcW w:w="361" w:type="pct"/>
            <w:tcBorders>
              <w:top w:val="single" w:sz="4" w:space="0" w:color="939598"/>
              <w:left w:val="single" w:sz="4" w:space="0" w:color="939598"/>
              <w:bottom w:val="single" w:sz="4" w:space="0" w:color="939598"/>
              <w:right w:val="single" w:sz="4" w:space="0" w:color="939598"/>
            </w:tcBorders>
          </w:tcPr>
          <w:p w14:paraId="4002E32A" w14:textId="77777777" w:rsidR="00F85198" w:rsidRPr="00FC3B3B" w:rsidRDefault="00F85198" w:rsidP="00D0554E">
            <w:pPr>
              <w:pStyle w:val="Table"/>
              <w:spacing w:before="100" w:after="100"/>
            </w:pPr>
          </w:p>
        </w:tc>
      </w:tr>
      <w:tr w:rsidR="00F85198" w:rsidRPr="009D23C0" w14:paraId="71FD550E" w14:textId="77777777" w:rsidTr="0089116C">
        <w:tblPrEx>
          <w:tblBorders>
            <w:top w:val="single" w:sz="4" w:space="0" w:color="939598"/>
            <w:left w:val="single" w:sz="4" w:space="0" w:color="939598"/>
            <w:bottom w:val="single" w:sz="4" w:space="0" w:color="939598"/>
            <w:right w:val="single" w:sz="4" w:space="0" w:color="939598"/>
            <w:insideH w:val="none" w:sz="0" w:space="0" w:color="auto"/>
            <w:insideV w:val="none" w:sz="0" w:space="0" w:color="auto"/>
          </w:tblBorders>
          <w:tblLook w:val="00A0" w:firstRow="1" w:lastRow="0" w:firstColumn="1" w:lastColumn="0" w:noHBand="0" w:noVBand="0"/>
        </w:tblPrEx>
        <w:tc>
          <w:tcPr>
            <w:tcW w:w="5000" w:type="pct"/>
            <w:gridSpan w:val="4"/>
            <w:tcBorders>
              <w:top w:val="single" w:sz="4" w:space="0" w:color="939598"/>
              <w:bottom w:val="single" w:sz="4" w:space="0" w:color="939598"/>
            </w:tcBorders>
            <w:shd w:val="clear" w:color="auto" w:fill="D9D9D9" w:themeFill="background1" w:themeFillShade="D9"/>
          </w:tcPr>
          <w:p w14:paraId="0689DD59" w14:textId="622FF010" w:rsidR="00F85198" w:rsidRPr="009D23C0" w:rsidRDefault="00F85198" w:rsidP="00D0554E">
            <w:pPr>
              <w:pStyle w:val="Tableheading"/>
              <w:keepNext/>
            </w:pPr>
            <w:r w:rsidRPr="00977292">
              <w:rPr>
                <w:rFonts w:cs="Arial"/>
              </w:rPr>
              <w:t>O</w:t>
            </w:r>
            <w:r w:rsidR="009C2C19">
              <w:rPr>
                <w:rFonts w:cs="Arial"/>
              </w:rPr>
              <w:t>THER TAX ISSUES</w:t>
            </w:r>
            <w:r w:rsidRPr="00977292">
              <w:rPr>
                <w:rFonts w:cs="Arial"/>
              </w:rPr>
              <w:t xml:space="preserve"> </w:t>
            </w:r>
          </w:p>
        </w:tc>
      </w:tr>
      <w:tr w:rsidR="00F85198" w:rsidRPr="00FC3B3B" w14:paraId="415F79D6" w14:textId="77777777" w:rsidTr="0089116C">
        <w:tc>
          <w:tcPr>
            <w:tcW w:w="4006" w:type="pct"/>
            <w:tcBorders>
              <w:top w:val="single" w:sz="4" w:space="0" w:color="939598"/>
              <w:left w:val="single" w:sz="4" w:space="0" w:color="939598"/>
              <w:bottom w:val="single" w:sz="4" w:space="0" w:color="939598"/>
              <w:right w:val="single" w:sz="4" w:space="0" w:color="939598"/>
            </w:tcBorders>
          </w:tcPr>
          <w:p w14:paraId="1EB4DCFE" w14:textId="6D6A39D6" w:rsidR="00F85198" w:rsidRPr="00FC3B3B" w:rsidRDefault="00F85198" w:rsidP="00D0554E">
            <w:pPr>
              <w:pStyle w:val="Table"/>
              <w:spacing w:before="100" w:after="100"/>
            </w:pPr>
            <w:r w:rsidRPr="00FC3B3B">
              <w:t xml:space="preserve">Do the </w:t>
            </w:r>
            <w:r w:rsidR="00E90E71">
              <w:t xml:space="preserve">amounts disclosed </w:t>
            </w:r>
            <w:r w:rsidR="00FC0A69">
              <w:t xml:space="preserve">in the Labels on </w:t>
            </w:r>
            <w:r w:rsidR="00E90E71">
              <w:t xml:space="preserve">the Business Activity Statements of the </w:t>
            </w:r>
            <w:r w:rsidRPr="00FC3B3B">
              <w:t xml:space="preserve">company </w:t>
            </w:r>
            <w:r w:rsidR="00E90E71">
              <w:t xml:space="preserve">reconcile </w:t>
            </w:r>
            <w:r w:rsidRPr="00FC3B3B">
              <w:t>to the</w:t>
            </w:r>
            <w:r w:rsidR="00E90E71">
              <w:t xml:space="preserve"> relevant</w:t>
            </w:r>
            <w:r w:rsidRPr="00FC3B3B">
              <w:t xml:space="preserve"> accounts of the company?</w:t>
            </w:r>
          </w:p>
        </w:tc>
        <w:tc>
          <w:tcPr>
            <w:tcW w:w="352" w:type="pct"/>
            <w:tcBorders>
              <w:top w:val="single" w:sz="4" w:space="0" w:color="939598"/>
              <w:left w:val="single" w:sz="4" w:space="0" w:color="939598"/>
              <w:bottom w:val="single" w:sz="4" w:space="0" w:color="939598"/>
              <w:right w:val="single" w:sz="4" w:space="0" w:color="939598"/>
            </w:tcBorders>
          </w:tcPr>
          <w:p w14:paraId="1B8ECD20" w14:textId="77777777" w:rsidR="00F85198" w:rsidRPr="00FC3B3B" w:rsidRDefault="00F85198" w:rsidP="00D0554E">
            <w:pPr>
              <w:pStyle w:val="Table"/>
              <w:spacing w:before="100" w:after="100"/>
            </w:pPr>
          </w:p>
        </w:tc>
        <w:tc>
          <w:tcPr>
            <w:tcW w:w="281" w:type="pct"/>
            <w:tcBorders>
              <w:top w:val="single" w:sz="4" w:space="0" w:color="939598"/>
              <w:left w:val="single" w:sz="4" w:space="0" w:color="939598"/>
              <w:bottom w:val="single" w:sz="4" w:space="0" w:color="939598"/>
              <w:right w:val="single" w:sz="4" w:space="0" w:color="939598"/>
            </w:tcBorders>
          </w:tcPr>
          <w:p w14:paraId="505FF7BA" w14:textId="77777777" w:rsidR="00F85198" w:rsidRPr="00FC3B3B" w:rsidRDefault="00F85198" w:rsidP="00D0554E">
            <w:pPr>
              <w:pStyle w:val="Table"/>
              <w:spacing w:before="100" w:after="100"/>
            </w:pPr>
          </w:p>
        </w:tc>
        <w:tc>
          <w:tcPr>
            <w:tcW w:w="361" w:type="pct"/>
            <w:tcBorders>
              <w:top w:val="single" w:sz="4" w:space="0" w:color="939598"/>
              <w:left w:val="single" w:sz="4" w:space="0" w:color="939598"/>
              <w:bottom w:val="single" w:sz="4" w:space="0" w:color="939598"/>
              <w:right w:val="single" w:sz="4" w:space="0" w:color="939598"/>
            </w:tcBorders>
          </w:tcPr>
          <w:p w14:paraId="0CAF6FC4" w14:textId="77777777" w:rsidR="00F85198" w:rsidRPr="00FC3B3B" w:rsidRDefault="00F85198" w:rsidP="00D0554E">
            <w:pPr>
              <w:pStyle w:val="Table"/>
              <w:spacing w:before="100" w:after="100"/>
            </w:pPr>
          </w:p>
        </w:tc>
      </w:tr>
      <w:tr w:rsidR="00F85198" w:rsidRPr="00FC3B3B" w14:paraId="4F112CEC" w14:textId="77777777" w:rsidTr="0089116C">
        <w:tc>
          <w:tcPr>
            <w:tcW w:w="4006" w:type="pct"/>
            <w:tcBorders>
              <w:top w:val="single" w:sz="4" w:space="0" w:color="939598"/>
              <w:left w:val="single" w:sz="4" w:space="0" w:color="939598"/>
              <w:bottom w:val="single" w:sz="4" w:space="0" w:color="939598"/>
              <w:right w:val="single" w:sz="4" w:space="0" w:color="939598"/>
            </w:tcBorders>
          </w:tcPr>
          <w:p w14:paraId="06D1D319" w14:textId="77777777" w:rsidR="00F85198" w:rsidRPr="00FC3B3B" w:rsidRDefault="00F85198" w:rsidP="00D0554E">
            <w:pPr>
              <w:pStyle w:val="Table"/>
              <w:spacing w:before="100" w:after="100"/>
            </w:pPr>
            <w:r w:rsidRPr="00FC3B3B">
              <w:t>Has the carry forward action sheet (attached to this checklist) been completed?</w:t>
            </w:r>
          </w:p>
        </w:tc>
        <w:tc>
          <w:tcPr>
            <w:tcW w:w="352" w:type="pct"/>
            <w:tcBorders>
              <w:top w:val="single" w:sz="4" w:space="0" w:color="939598"/>
              <w:left w:val="single" w:sz="4" w:space="0" w:color="939598"/>
              <w:bottom w:val="single" w:sz="4" w:space="0" w:color="939598"/>
              <w:right w:val="single" w:sz="4" w:space="0" w:color="939598"/>
            </w:tcBorders>
          </w:tcPr>
          <w:p w14:paraId="3A9C1D14" w14:textId="77777777" w:rsidR="00F85198" w:rsidRPr="00FC3B3B" w:rsidRDefault="00F85198" w:rsidP="00D0554E">
            <w:pPr>
              <w:pStyle w:val="Table"/>
              <w:spacing w:before="100" w:after="100"/>
            </w:pPr>
          </w:p>
        </w:tc>
        <w:tc>
          <w:tcPr>
            <w:tcW w:w="281" w:type="pct"/>
            <w:tcBorders>
              <w:top w:val="single" w:sz="4" w:space="0" w:color="939598"/>
              <w:left w:val="single" w:sz="4" w:space="0" w:color="939598"/>
              <w:bottom w:val="single" w:sz="4" w:space="0" w:color="939598"/>
              <w:right w:val="single" w:sz="4" w:space="0" w:color="939598"/>
            </w:tcBorders>
          </w:tcPr>
          <w:p w14:paraId="12146E8C" w14:textId="77777777" w:rsidR="00F85198" w:rsidRPr="00FC3B3B" w:rsidRDefault="00F85198" w:rsidP="00D0554E">
            <w:pPr>
              <w:pStyle w:val="Table"/>
              <w:spacing w:before="100" w:after="100"/>
            </w:pPr>
          </w:p>
        </w:tc>
        <w:tc>
          <w:tcPr>
            <w:tcW w:w="361" w:type="pct"/>
            <w:tcBorders>
              <w:top w:val="single" w:sz="4" w:space="0" w:color="939598"/>
              <w:left w:val="single" w:sz="4" w:space="0" w:color="939598"/>
              <w:bottom w:val="single" w:sz="4" w:space="0" w:color="939598"/>
              <w:right w:val="single" w:sz="4" w:space="0" w:color="939598"/>
            </w:tcBorders>
          </w:tcPr>
          <w:p w14:paraId="34E1A203" w14:textId="77777777" w:rsidR="00F85198" w:rsidRPr="00FC3B3B" w:rsidRDefault="00F85198" w:rsidP="00D0554E">
            <w:pPr>
              <w:pStyle w:val="Table"/>
              <w:spacing w:before="100" w:after="100"/>
            </w:pPr>
          </w:p>
        </w:tc>
      </w:tr>
    </w:tbl>
    <w:p w14:paraId="3B9CEAFF" w14:textId="77777777" w:rsidR="000B00C8" w:rsidRDefault="000B00C8" w:rsidP="00DA6B98">
      <w:pPr>
        <w:pStyle w:val="Body"/>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firstRow="1" w:lastRow="1" w:firstColumn="1" w:lastColumn="1" w:noHBand="0" w:noVBand="0"/>
      </w:tblPr>
      <w:tblGrid>
        <w:gridCol w:w="1842"/>
        <w:gridCol w:w="5212"/>
        <w:gridCol w:w="1623"/>
        <w:gridCol w:w="1624"/>
      </w:tblGrid>
      <w:tr w:rsidR="00895519" w:rsidRPr="008907EB" w14:paraId="2B41DAC7" w14:textId="77777777" w:rsidTr="008855A7">
        <w:tc>
          <w:tcPr>
            <w:tcW w:w="1842" w:type="dxa"/>
            <w:tcBorders>
              <w:top w:val="single" w:sz="4" w:space="0" w:color="939598"/>
              <w:left w:val="single" w:sz="4" w:space="0" w:color="939598"/>
              <w:bottom w:val="single" w:sz="4" w:space="0" w:color="939598"/>
              <w:right w:val="single" w:sz="4" w:space="0" w:color="939598"/>
            </w:tcBorders>
            <w:shd w:val="clear" w:color="auto" w:fill="051C3C"/>
          </w:tcPr>
          <w:p w14:paraId="0DEFFE79" w14:textId="62AB9124" w:rsidR="00895519" w:rsidRPr="008907EB" w:rsidRDefault="00895519" w:rsidP="00F109BA">
            <w:pPr>
              <w:pStyle w:val="Tableheading"/>
              <w:pageBreakBefore/>
              <w:rPr>
                <w:sz w:val="18"/>
                <w:szCs w:val="18"/>
              </w:rPr>
            </w:pPr>
            <w:r w:rsidRPr="008907EB">
              <w:rPr>
                <w:sz w:val="18"/>
                <w:szCs w:val="18"/>
              </w:rPr>
              <w:lastRenderedPageBreak/>
              <w:t>E</w:t>
            </w:r>
            <w:r w:rsidR="00B4647C">
              <w:rPr>
                <w:sz w:val="18"/>
                <w:szCs w:val="18"/>
              </w:rPr>
              <w:t>NTITY’S NAME</w:t>
            </w:r>
          </w:p>
        </w:tc>
        <w:tc>
          <w:tcPr>
            <w:tcW w:w="5212" w:type="dxa"/>
            <w:tcBorders>
              <w:top w:val="single" w:sz="4" w:space="0" w:color="939598"/>
              <w:left w:val="single" w:sz="4" w:space="0" w:color="939598"/>
              <w:bottom w:val="single" w:sz="4" w:space="0" w:color="939598"/>
              <w:right w:val="single" w:sz="4" w:space="0" w:color="939598"/>
            </w:tcBorders>
          </w:tcPr>
          <w:p w14:paraId="4B022686" w14:textId="77777777" w:rsidR="00895519" w:rsidRPr="008907EB" w:rsidRDefault="00895519" w:rsidP="00F109BA">
            <w:pPr>
              <w:pStyle w:val="Tableheading"/>
              <w:pageBreakBefore/>
              <w:rPr>
                <w:sz w:val="18"/>
                <w:szCs w:val="18"/>
              </w:rPr>
            </w:pPr>
          </w:p>
        </w:tc>
        <w:tc>
          <w:tcPr>
            <w:tcW w:w="1623" w:type="dxa"/>
            <w:tcBorders>
              <w:top w:val="single" w:sz="4" w:space="0" w:color="939598"/>
              <w:left w:val="single" w:sz="4" w:space="0" w:color="939598"/>
              <w:bottom w:val="single" w:sz="4" w:space="0" w:color="939598"/>
              <w:right w:val="single" w:sz="4" w:space="0" w:color="939598"/>
            </w:tcBorders>
            <w:shd w:val="clear" w:color="auto" w:fill="051C3C"/>
          </w:tcPr>
          <w:p w14:paraId="2C8CAFDB" w14:textId="52BD87E3" w:rsidR="00895519" w:rsidRPr="008907EB" w:rsidRDefault="00895519" w:rsidP="00F109BA">
            <w:pPr>
              <w:pStyle w:val="Tableheading"/>
              <w:keepNext/>
              <w:pageBreakBefore/>
              <w:rPr>
                <w:sz w:val="18"/>
                <w:szCs w:val="18"/>
              </w:rPr>
            </w:pPr>
            <w:r w:rsidRPr="008907EB">
              <w:rPr>
                <w:sz w:val="18"/>
                <w:szCs w:val="18"/>
              </w:rPr>
              <w:t>I</w:t>
            </w:r>
            <w:r w:rsidR="00B4647C">
              <w:rPr>
                <w:sz w:val="18"/>
                <w:szCs w:val="18"/>
              </w:rPr>
              <w:t>NITIAL</w:t>
            </w:r>
            <w:r w:rsidRPr="008907EB">
              <w:rPr>
                <w:sz w:val="18"/>
                <w:szCs w:val="18"/>
              </w:rPr>
              <w:t xml:space="preserve"> </w:t>
            </w:r>
          </w:p>
        </w:tc>
        <w:tc>
          <w:tcPr>
            <w:tcW w:w="1624" w:type="dxa"/>
            <w:tcBorders>
              <w:top w:val="single" w:sz="4" w:space="0" w:color="939598"/>
              <w:left w:val="single" w:sz="4" w:space="0" w:color="939598"/>
              <w:bottom w:val="single" w:sz="4" w:space="0" w:color="939598"/>
              <w:right w:val="single" w:sz="4" w:space="0" w:color="939598"/>
            </w:tcBorders>
            <w:shd w:val="clear" w:color="auto" w:fill="051C3C"/>
          </w:tcPr>
          <w:p w14:paraId="2C4341D9" w14:textId="79E71E03" w:rsidR="00895519" w:rsidRPr="008907EB" w:rsidRDefault="00B4647C" w:rsidP="00F109BA">
            <w:pPr>
              <w:pStyle w:val="Tableheading"/>
              <w:keepNext/>
              <w:pageBreakBefore/>
              <w:rPr>
                <w:sz w:val="18"/>
                <w:szCs w:val="18"/>
              </w:rPr>
            </w:pPr>
            <w:r>
              <w:rPr>
                <w:sz w:val="18"/>
                <w:szCs w:val="18"/>
              </w:rPr>
              <w:t>DATE</w:t>
            </w:r>
          </w:p>
        </w:tc>
      </w:tr>
      <w:tr w:rsidR="00895519" w:rsidRPr="00CF21FA" w14:paraId="0B23A722" w14:textId="77777777" w:rsidTr="00B10F8F">
        <w:tc>
          <w:tcPr>
            <w:tcW w:w="7054" w:type="dxa"/>
            <w:gridSpan w:val="2"/>
            <w:tcBorders>
              <w:top w:val="single" w:sz="4" w:space="0" w:color="939598"/>
              <w:left w:val="single" w:sz="4" w:space="0" w:color="939598"/>
              <w:bottom w:val="single" w:sz="4" w:space="0" w:color="939598"/>
              <w:right w:val="single" w:sz="4" w:space="0" w:color="939598"/>
            </w:tcBorders>
          </w:tcPr>
          <w:p w14:paraId="1872DFEF" w14:textId="77777777" w:rsidR="00895519" w:rsidRPr="00CF21FA" w:rsidRDefault="00895519" w:rsidP="008907EB">
            <w:pPr>
              <w:pStyle w:val="Tableheading"/>
            </w:pPr>
            <w:r w:rsidRPr="00CF21FA">
              <w:t>Preparer</w:t>
            </w:r>
          </w:p>
        </w:tc>
        <w:tc>
          <w:tcPr>
            <w:tcW w:w="1623" w:type="dxa"/>
            <w:tcBorders>
              <w:top w:val="single" w:sz="4" w:space="0" w:color="939598"/>
              <w:left w:val="single" w:sz="4" w:space="0" w:color="939598"/>
              <w:bottom w:val="single" w:sz="4" w:space="0" w:color="939598"/>
              <w:right w:val="single" w:sz="4" w:space="0" w:color="939598"/>
            </w:tcBorders>
            <w:vAlign w:val="center"/>
          </w:tcPr>
          <w:p w14:paraId="0A058CEC" w14:textId="77777777" w:rsidR="00895519" w:rsidRPr="00CF21FA" w:rsidRDefault="00895519" w:rsidP="008907EB">
            <w:pPr>
              <w:pStyle w:val="Table"/>
            </w:pPr>
          </w:p>
        </w:tc>
        <w:tc>
          <w:tcPr>
            <w:tcW w:w="1624" w:type="dxa"/>
            <w:tcBorders>
              <w:top w:val="single" w:sz="4" w:space="0" w:color="939598"/>
              <w:left w:val="single" w:sz="4" w:space="0" w:color="939598"/>
              <w:bottom w:val="single" w:sz="4" w:space="0" w:color="939598"/>
              <w:right w:val="single" w:sz="4" w:space="0" w:color="939598"/>
            </w:tcBorders>
            <w:vAlign w:val="center"/>
          </w:tcPr>
          <w:p w14:paraId="11FBFCF3" w14:textId="77777777" w:rsidR="00895519" w:rsidRPr="00CF21FA" w:rsidRDefault="00895519" w:rsidP="008907EB">
            <w:pPr>
              <w:pStyle w:val="Table"/>
            </w:pPr>
          </w:p>
        </w:tc>
      </w:tr>
      <w:tr w:rsidR="00895519" w:rsidRPr="00CF21FA" w14:paraId="5A66DA17" w14:textId="77777777" w:rsidTr="00B10F8F">
        <w:tc>
          <w:tcPr>
            <w:tcW w:w="7054" w:type="dxa"/>
            <w:gridSpan w:val="2"/>
            <w:tcBorders>
              <w:top w:val="single" w:sz="4" w:space="0" w:color="939598"/>
              <w:left w:val="single" w:sz="4" w:space="0" w:color="939598"/>
              <w:bottom w:val="single" w:sz="4" w:space="0" w:color="939598"/>
              <w:right w:val="single" w:sz="4" w:space="0" w:color="939598"/>
            </w:tcBorders>
          </w:tcPr>
          <w:p w14:paraId="71CF874F" w14:textId="77777777" w:rsidR="00895519" w:rsidRPr="00CF21FA" w:rsidRDefault="00895519" w:rsidP="008907EB">
            <w:pPr>
              <w:pStyle w:val="Tableheading"/>
            </w:pPr>
            <w:r w:rsidRPr="00CF21FA">
              <w:t>Reviewer</w:t>
            </w:r>
          </w:p>
        </w:tc>
        <w:tc>
          <w:tcPr>
            <w:tcW w:w="1623" w:type="dxa"/>
            <w:tcBorders>
              <w:top w:val="single" w:sz="4" w:space="0" w:color="939598"/>
              <w:left w:val="single" w:sz="4" w:space="0" w:color="939598"/>
              <w:bottom w:val="single" w:sz="4" w:space="0" w:color="939598"/>
              <w:right w:val="single" w:sz="4" w:space="0" w:color="939598"/>
            </w:tcBorders>
            <w:vAlign w:val="center"/>
          </w:tcPr>
          <w:p w14:paraId="4186D83C" w14:textId="77777777" w:rsidR="00895519" w:rsidRPr="00CF21FA" w:rsidRDefault="00895519" w:rsidP="008907EB">
            <w:pPr>
              <w:pStyle w:val="Table"/>
            </w:pPr>
          </w:p>
        </w:tc>
        <w:tc>
          <w:tcPr>
            <w:tcW w:w="1624" w:type="dxa"/>
            <w:tcBorders>
              <w:top w:val="single" w:sz="4" w:space="0" w:color="939598"/>
              <w:left w:val="single" w:sz="4" w:space="0" w:color="939598"/>
              <w:bottom w:val="single" w:sz="4" w:space="0" w:color="939598"/>
              <w:right w:val="single" w:sz="4" w:space="0" w:color="939598"/>
            </w:tcBorders>
            <w:vAlign w:val="center"/>
          </w:tcPr>
          <w:p w14:paraId="6D225D6C" w14:textId="77777777" w:rsidR="00895519" w:rsidRPr="00CF21FA" w:rsidRDefault="00895519" w:rsidP="008907EB">
            <w:pPr>
              <w:pStyle w:val="Table"/>
            </w:pPr>
          </w:p>
        </w:tc>
      </w:tr>
      <w:tr w:rsidR="00895519" w:rsidRPr="00CF21FA" w14:paraId="2C7E1A2D" w14:textId="77777777" w:rsidTr="00B10F8F">
        <w:tc>
          <w:tcPr>
            <w:tcW w:w="7054" w:type="dxa"/>
            <w:gridSpan w:val="2"/>
            <w:tcBorders>
              <w:top w:val="single" w:sz="4" w:space="0" w:color="939598"/>
              <w:left w:val="single" w:sz="4" w:space="0" w:color="939598"/>
              <w:bottom w:val="single" w:sz="4" w:space="0" w:color="939598"/>
              <w:right w:val="single" w:sz="4" w:space="0" w:color="939598"/>
            </w:tcBorders>
          </w:tcPr>
          <w:p w14:paraId="36C986E3" w14:textId="77777777" w:rsidR="00895519" w:rsidRPr="00CF21FA" w:rsidRDefault="00895519" w:rsidP="008907EB">
            <w:pPr>
              <w:pStyle w:val="Tableheading"/>
            </w:pPr>
            <w:r w:rsidRPr="00CF21FA">
              <w:t>Partner</w:t>
            </w:r>
          </w:p>
        </w:tc>
        <w:tc>
          <w:tcPr>
            <w:tcW w:w="1623" w:type="dxa"/>
            <w:tcBorders>
              <w:top w:val="single" w:sz="4" w:space="0" w:color="939598"/>
              <w:left w:val="single" w:sz="4" w:space="0" w:color="939598"/>
              <w:bottom w:val="single" w:sz="4" w:space="0" w:color="939598"/>
              <w:right w:val="single" w:sz="4" w:space="0" w:color="939598"/>
            </w:tcBorders>
            <w:vAlign w:val="center"/>
          </w:tcPr>
          <w:p w14:paraId="6C4886D5" w14:textId="77777777" w:rsidR="00895519" w:rsidRPr="00CF21FA" w:rsidRDefault="00895519" w:rsidP="008907EB">
            <w:pPr>
              <w:pStyle w:val="Table"/>
            </w:pPr>
          </w:p>
        </w:tc>
        <w:tc>
          <w:tcPr>
            <w:tcW w:w="1624" w:type="dxa"/>
            <w:tcBorders>
              <w:top w:val="single" w:sz="4" w:space="0" w:color="939598"/>
              <w:left w:val="single" w:sz="4" w:space="0" w:color="939598"/>
              <w:bottom w:val="single" w:sz="4" w:space="0" w:color="939598"/>
              <w:right w:val="single" w:sz="4" w:space="0" w:color="939598"/>
            </w:tcBorders>
            <w:vAlign w:val="center"/>
          </w:tcPr>
          <w:p w14:paraId="35698773" w14:textId="77777777" w:rsidR="00895519" w:rsidRPr="00CF21FA" w:rsidRDefault="00895519" w:rsidP="008907EB">
            <w:pPr>
              <w:pStyle w:val="Table"/>
            </w:pPr>
          </w:p>
        </w:tc>
      </w:tr>
    </w:tbl>
    <w:p w14:paraId="7CBEEA30" w14:textId="77777777" w:rsidR="00895519" w:rsidRDefault="00895519" w:rsidP="00B10F8F">
      <w:pPr>
        <w:pStyle w:val="Body"/>
      </w:pPr>
    </w:p>
    <w:p w14:paraId="432B3C55" w14:textId="1F39A89A" w:rsidR="00895519" w:rsidRPr="00B10F8F" w:rsidRDefault="001C47D9" w:rsidP="00B10F8F">
      <w:pPr>
        <w:pStyle w:val="Body"/>
        <w:spacing w:after="360"/>
        <w:ind w:left="-125" w:right="-119"/>
        <w:rPr>
          <w:b/>
          <w:i w:val="0"/>
        </w:rPr>
      </w:pPr>
      <w:r>
        <w:rPr>
          <w:b/>
          <w:i w:val="0"/>
        </w:rPr>
        <w:t>Year ended 30 June 201</w:t>
      </w:r>
      <w:r w:rsidR="00FC0A69">
        <w:rPr>
          <w:b/>
          <w:i w:val="0"/>
        </w:rPr>
        <w:t>8</w:t>
      </w: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firstRow="1" w:lastRow="1" w:firstColumn="1" w:lastColumn="1" w:noHBand="0" w:noVBand="0"/>
      </w:tblPr>
      <w:tblGrid>
        <w:gridCol w:w="1101"/>
        <w:gridCol w:w="4252"/>
        <w:gridCol w:w="1610"/>
        <w:gridCol w:w="1792"/>
        <w:gridCol w:w="1546"/>
      </w:tblGrid>
      <w:tr w:rsidR="00895519" w:rsidRPr="008907EB" w14:paraId="2B2707D4" w14:textId="77777777" w:rsidTr="008855A7">
        <w:tc>
          <w:tcPr>
            <w:tcW w:w="10301" w:type="dxa"/>
            <w:gridSpan w:val="5"/>
            <w:tcBorders>
              <w:bottom w:val="single" w:sz="4" w:space="0" w:color="939598"/>
            </w:tcBorders>
            <w:shd w:val="clear" w:color="auto" w:fill="051C3C"/>
          </w:tcPr>
          <w:p w14:paraId="6CB65D52" w14:textId="508A3919" w:rsidR="00895519" w:rsidRPr="008907EB" w:rsidRDefault="00895519" w:rsidP="008907EB">
            <w:pPr>
              <w:pStyle w:val="Tableheading"/>
              <w:keepNext/>
              <w:rPr>
                <w:sz w:val="18"/>
              </w:rPr>
            </w:pPr>
            <w:r w:rsidRPr="008907EB">
              <w:rPr>
                <w:sz w:val="18"/>
              </w:rPr>
              <w:t>C</w:t>
            </w:r>
            <w:r w:rsidR="00B4647C">
              <w:rPr>
                <w:sz w:val="18"/>
              </w:rPr>
              <w:t>ARRY FORWARD ACTION SHEET</w:t>
            </w:r>
          </w:p>
        </w:tc>
      </w:tr>
      <w:tr w:rsidR="00895519" w:rsidRPr="00CF21FA" w14:paraId="59336A4B" w14:textId="77777777" w:rsidTr="00AE6D7C">
        <w:tc>
          <w:tcPr>
            <w:tcW w:w="1101" w:type="dxa"/>
            <w:tcBorders>
              <w:top w:val="single" w:sz="4" w:space="0" w:color="939598"/>
              <w:left w:val="single" w:sz="4" w:space="0" w:color="939598"/>
              <w:bottom w:val="single" w:sz="4" w:space="0" w:color="939598"/>
              <w:right w:val="single" w:sz="4" w:space="0" w:color="939598"/>
            </w:tcBorders>
            <w:shd w:val="clear" w:color="auto" w:fill="D9D9D9" w:themeFill="background1" w:themeFillShade="D9"/>
            <w:vAlign w:val="bottom"/>
          </w:tcPr>
          <w:p w14:paraId="13641F5E" w14:textId="77777777" w:rsidR="00895519" w:rsidRPr="00CF21FA" w:rsidRDefault="00895519" w:rsidP="00B10F8F">
            <w:pPr>
              <w:pStyle w:val="Tableheading"/>
              <w:spacing w:after="60"/>
            </w:pPr>
            <w:r w:rsidRPr="00CF21FA">
              <w:t>Date</w:t>
            </w:r>
          </w:p>
        </w:tc>
        <w:tc>
          <w:tcPr>
            <w:tcW w:w="4252" w:type="dxa"/>
            <w:tcBorders>
              <w:top w:val="single" w:sz="4" w:space="0" w:color="939598"/>
              <w:left w:val="single" w:sz="4" w:space="0" w:color="939598"/>
              <w:bottom w:val="single" w:sz="4" w:space="0" w:color="939598"/>
              <w:right w:val="single" w:sz="4" w:space="0" w:color="939598"/>
            </w:tcBorders>
            <w:shd w:val="clear" w:color="auto" w:fill="D9D9D9" w:themeFill="background1" w:themeFillShade="D9"/>
            <w:vAlign w:val="bottom"/>
          </w:tcPr>
          <w:p w14:paraId="03141A57" w14:textId="77777777" w:rsidR="00895519" w:rsidRPr="00CF21FA" w:rsidRDefault="00895519" w:rsidP="00B10F8F">
            <w:pPr>
              <w:pStyle w:val="Tableheading"/>
              <w:spacing w:after="60"/>
            </w:pPr>
            <w:r w:rsidRPr="00CF21FA">
              <w:t>Item Carried Forward</w:t>
            </w:r>
          </w:p>
        </w:tc>
        <w:tc>
          <w:tcPr>
            <w:tcW w:w="1610" w:type="dxa"/>
            <w:tcBorders>
              <w:top w:val="single" w:sz="4" w:space="0" w:color="939598"/>
              <w:left w:val="single" w:sz="4" w:space="0" w:color="939598"/>
              <w:bottom w:val="single" w:sz="4" w:space="0" w:color="939598"/>
              <w:right w:val="single" w:sz="4" w:space="0" w:color="939598"/>
            </w:tcBorders>
            <w:shd w:val="clear" w:color="auto" w:fill="D9D9D9" w:themeFill="background1" w:themeFillShade="D9"/>
            <w:vAlign w:val="bottom"/>
          </w:tcPr>
          <w:p w14:paraId="35433022" w14:textId="77777777" w:rsidR="00895519" w:rsidRPr="00CF21FA" w:rsidRDefault="00895519" w:rsidP="00B10F8F">
            <w:pPr>
              <w:pStyle w:val="Tableheading"/>
              <w:spacing w:after="60"/>
              <w:jc w:val="center"/>
            </w:pPr>
            <w:r w:rsidRPr="00CF21FA">
              <w:t>$</w:t>
            </w:r>
          </w:p>
        </w:tc>
        <w:tc>
          <w:tcPr>
            <w:tcW w:w="1792" w:type="dxa"/>
            <w:tcBorders>
              <w:top w:val="single" w:sz="4" w:space="0" w:color="939598"/>
              <w:left w:val="single" w:sz="4" w:space="0" w:color="939598"/>
              <w:bottom w:val="single" w:sz="4" w:space="0" w:color="939598"/>
              <w:right w:val="single" w:sz="4" w:space="0" w:color="939598"/>
            </w:tcBorders>
            <w:shd w:val="clear" w:color="auto" w:fill="D9D9D9" w:themeFill="background1" w:themeFillShade="D9"/>
            <w:vAlign w:val="bottom"/>
          </w:tcPr>
          <w:p w14:paraId="6D9A487D" w14:textId="77777777" w:rsidR="00895519" w:rsidRPr="00CF21FA" w:rsidRDefault="00895519" w:rsidP="00B10F8F">
            <w:pPr>
              <w:pStyle w:val="Tableheading"/>
              <w:spacing w:after="60"/>
            </w:pPr>
            <w:r w:rsidRPr="00CF21FA">
              <w:t>Working Paper Ref</w:t>
            </w:r>
          </w:p>
        </w:tc>
        <w:tc>
          <w:tcPr>
            <w:tcW w:w="1546" w:type="dxa"/>
            <w:tcBorders>
              <w:top w:val="single" w:sz="4" w:space="0" w:color="939598"/>
              <w:left w:val="single" w:sz="4" w:space="0" w:color="939598"/>
              <w:bottom w:val="single" w:sz="4" w:space="0" w:color="939598"/>
              <w:right w:val="single" w:sz="4" w:space="0" w:color="939598"/>
            </w:tcBorders>
            <w:shd w:val="clear" w:color="auto" w:fill="D9D9D9" w:themeFill="background1" w:themeFillShade="D9"/>
            <w:vAlign w:val="bottom"/>
          </w:tcPr>
          <w:p w14:paraId="52DBE6D5" w14:textId="77777777" w:rsidR="00895519" w:rsidRPr="00CF21FA" w:rsidRDefault="00895519" w:rsidP="00B10F8F">
            <w:pPr>
              <w:pStyle w:val="Tableheading"/>
              <w:spacing w:after="60"/>
            </w:pPr>
            <w:r w:rsidRPr="00CF21FA">
              <w:t>Checked By</w:t>
            </w:r>
          </w:p>
        </w:tc>
      </w:tr>
      <w:tr w:rsidR="00895519" w:rsidRPr="00CF21FA" w14:paraId="0682D84A" w14:textId="77777777" w:rsidTr="000E2EC3">
        <w:tc>
          <w:tcPr>
            <w:tcW w:w="1101" w:type="dxa"/>
            <w:tcBorders>
              <w:top w:val="single" w:sz="4" w:space="0" w:color="939598"/>
              <w:left w:val="single" w:sz="4" w:space="0" w:color="939598"/>
              <w:bottom w:val="single" w:sz="4" w:space="0" w:color="939598"/>
              <w:right w:val="single" w:sz="4" w:space="0" w:color="939598"/>
            </w:tcBorders>
          </w:tcPr>
          <w:p w14:paraId="2481B52F" w14:textId="77777777" w:rsidR="00895519" w:rsidRPr="00CF21FA" w:rsidRDefault="00895519" w:rsidP="00DA6B98">
            <w:pPr>
              <w:pStyle w:val="Table"/>
            </w:pPr>
          </w:p>
        </w:tc>
        <w:tc>
          <w:tcPr>
            <w:tcW w:w="4252" w:type="dxa"/>
            <w:tcBorders>
              <w:top w:val="single" w:sz="4" w:space="0" w:color="939598"/>
              <w:left w:val="single" w:sz="4" w:space="0" w:color="939598"/>
              <w:bottom w:val="single" w:sz="4" w:space="0" w:color="939598"/>
              <w:right w:val="single" w:sz="4" w:space="0" w:color="939598"/>
            </w:tcBorders>
          </w:tcPr>
          <w:p w14:paraId="1F10A22B" w14:textId="77777777" w:rsidR="00895519" w:rsidRPr="006C2BDA" w:rsidRDefault="00895519" w:rsidP="00DA6B98">
            <w:pPr>
              <w:pStyle w:val="Table"/>
              <w:rPr>
                <w:rFonts w:ascii="HelveticaNeueLTPro-Lt" w:hAnsi="HelveticaNeueLTPro-Lt" w:cs="HelveticaNeueLTPro-Lt"/>
                <w:sz w:val="18"/>
                <w:szCs w:val="18"/>
              </w:rPr>
            </w:pPr>
            <w:r w:rsidRPr="006C2BDA">
              <w:rPr>
                <w:rFonts w:ascii="HelveticaNeueLTPro-Lt" w:hAnsi="HelveticaNeueLTPro-Lt" w:cs="HelveticaNeueLTPro-Lt"/>
                <w:sz w:val="18"/>
                <w:szCs w:val="18"/>
                <w:lang w:eastAsia="ja-JP"/>
              </w:rPr>
              <w:t>Net revenue losses carried forward</w:t>
            </w:r>
          </w:p>
        </w:tc>
        <w:tc>
          <w:tcPr>
            <w:tcW w:w="1610" w:type="dxa"/>
            <w:tcBorders>
              <w:top w:val="single" w:sz="4" w:space="0" w:color="939598"/>
              <w:left w:val="single" w:sz="4" w:space="0" w:color="939598"/>
              <w:bottom w:val="single" w:sz="4" w:space="0" w:color="939598"/>
              <w:right w:val="single" w:sz="4" w:space="0" w:color="939598"/>
            </w:tcBorders>
          </w:tcPr>
          <w:p w14:paraId="5C2A1A25" w14:textId="77777777" w:rsidR="00895519" w:rsidRPr="00CF21FA" w:rsidRDefault="00895519" w:rsidP="000E2EC3">
            <w:pPr>
              <w:pStyle w:val="Table"/>
              <w:jc w:val="center"/>
            </w:pPr>
          </w:p>
        </w:tc>
        <w:tc>
          <w:tcPr>
            <w:tcW w:w="1792" w:type="dxa"/>
            <w:tcBorders>
              <w:top w:val="single" w:sz="4" w:space="0" w:color="939598"/>
              <w:left w:val="single" w:sz="4" w:space="0" w:color="939598"/>
              <w:bottom w:val="single" w:sz="4" w:space="0" w:color="939598"/>
              <w:right w:val="single" w:sz="4" w:space="0" w:color="939598"/>
            </w:tcBorders>
          </w:tcPr>
          <w:p w14:paraId="5639E511" w14:textId="77777777" w:rsidR="00895519" w:rsidRPr="00CF21FA" w:rsidRDefault="00895519" w:rsidP="00DA6B98">
            <w:pPr>
              <w:pStyle w:val="Table"/>
            </w:pPr>
          </w:p>
        </w:tc>
        <w:tc>
          <w:tcPr>
            <w:tcW w:w="1546" w:type="dxa"/>
            <w:tcBorders>
              <w:top w:val="single" w:sz="4" w:space="0" w:color="939598"/>
              <w:left w:val="single" w:sz="4" w:space="0" w:color="939598"/>
              <w:bottom w:val="single" w:sz="4" w:space="0" w:color="939598"/>
              <w:right w:val="single" w:sz="4" w:space="0" w:color="939598"/>
            </w:tcBorders>
          </w:tcPr>
          <w:p w14:paraId="06159F09" w14:textId="77777777" w:rsidR="00895519" w:rsidRPr="00CF21FA" w:rsidRDefault="00895519" w:rsidP="00DA6B98">
            <w:pPr>
              <w:pStyle w:val="Table"/>
            </w:pPr>
          </w:p>
        </w:tc>
      </w:tr>
      <w:tr w:rsidR="00895519" w:rsidRPr="00CF21FA" w14:paraId="08DD1382" w14:textId="77777777" w:rsidTr="000E2EC3">
        <w:tc>
          <w:tcPr>
            <w:tcW w:w="1101" w:type="dxa"/>
            <w:tcBorders>
              <w:top w:val="single" w:sz="4" w:space="0" w:color="939598"/>
              <w:left w:val="single" w:sz="4" w:space="0" w:color="939598"/>
              <w:bottom w:val="single" w:sz="4" w:space="0" w:color="939598"/>
              <w:right w:val="single" w:sz="4" w:space="0" w:color="939598"/>
            </w:tcBorders>
          </w:tcPr>
          <w:p w14:paraId="64B05550" w14:textId="77777777" w:rsidR="00895519" w:rsidRPr="00CF21FA" w:rsidRDefault="00895519" w:rsidP="00DA6B98">
            <w:pPr>
              <w:pStyle w:val="Table"/>
            </w:pPr>
          </w:p>
        </w:tc>
        <w:tc>
          <w:tcPr>
            <w:tcW w:w="4252" w:type="dxa"/>
            <w:tcBorders>
              <w:top w:val="single" w:sz="4" w:space="0" w:color="939598"/>
              <w:left w:val="single" w:sz="4" w:space="0" w:color="939598"/>
              <w:bottom w:val="single" w:sz="4" w:space="0" w:color="939598"/>
              <w:right w:val="single" w:sz="4" w:space="0" w:color="939598"/>
            </w:tcBorders>
          </w:tcPr>
          <w:p w14:paraId="5BC5D45F" w14:textId="77777777" w:rsidR="00895519" w:rsidRPr="006C2BDA" w:rsidRDefault="00895519" w:rsidP="00DA6B98">
            <w:pPr>
              <w:pStyle w:val="Table"/>
              <w:rPr>
                <w:rFonts w:ascii="HelveticaNeueLTPro-Lt" w:hAnsi="HelveticaNeueLTPro-Lt" w:cs="HelveticaNeueLTPro-Lt"/>
                <w:sz w:val="18"/>
                <w:szCs w:val="18"/>
              </w:rPr>
            </w:pPr>
            <w:r w:rsidRPr="006C2BDA">
              <w:rPr>
                <w:rFonts w:ascii="HelveticaNeueLTPro-Lt" w:hAnsi="HelveticaNeueLTPro-Lt" w:cs="HelveticaNeueLTPro-Lt"/>
                <w:sz w:val="18"/>
                <w:szCs w:val="18"/>
                <w:lang w:eastAsia="ja-JP"/>
              </w:rPr>
              <w:t>Net capital losses carried forward</w:t>
            </w:r>
          </w:p>
        </w:tc>
        <w:tc>
          <w:tcPr>
            <w:tcW w:w="1610" w:type="dxa"/>
            <w:tcBorders>
              <w:top w:val="single" w:sz="4" w:space="0" w:color="939598"/>
              <w:left w:val="single" w:sz="4" w:space="0" w:color="939598"/>
              <w:bottom w:val="single" w:sz="4" w:space="0" w:color="939598"/>
              <w:right w:val="single" w:sz="4" w:space="0" w:color="939598"/>
            </w:tcBorders>
          </w:tcPr>
          <w:p w14:paraId="4F713972" w14:textId="77777777" w:rsidR="00895519" w:rsidRPr="00CF21FA" w:rsidRDefault="00895519" w:rsidP="000E2EC3">
            <w:pPr>
              <w:pStyle w:val="Table"/>
              <w:jc w:val="center"/>
            </w:pPr>
          </w:p>
        </w:tc>
        <w:tc>
          <w:tcPr>
            <w:tcW w:w="1792" w:type="dxa"/>
            <w:tcBorders>
              <w:top w:val="single" w:sz="4" w:space="0" w:color="939598"/>
              <w:left w:val="single" w:sz="4" w:space="0" w:color="939598"/>
              <w:bottom w:val="single" w:sz="4" w:space="0" w:color="939598"/>
              <w:right w:val="single" w:sz="4" w:space="0" w:color="939598"/>
            </w:tcBorders>
          </w:tcPr>
          <w:p w14:paraId="45B5AAB2" w14:textId="77777777" w:rsidR="00895519" w:rsidRPr="00CF21FA" w:rsidRDefault="00895519" w:rsidP="00DA6B98">
            <w:pPr>
              <w:pStyle w:val="Table"/>
            </w:pPr>
          </w:p>
        </w:tc>
        <w:tc>
          <w:tcPr>
            <w:tcW w:w="1546" w:type="dxa"/>
            <w:tcBorders>
              <w:top w:val="single" w:sz="4" w:space="0" w:color="939598"/>
              <w:left w:val="single" w:sz="4" w:space="0" w:color="939598"/>
              <w:bottom w:val="single" w:sz="4" w:space="0" w:color="939598"/>
              <w:right w:val="single" w:sz="4" w:space="0" w:color="939598"/>
            </w:tcBorders>
          </w:tcPr>
          <w:p w14:paraId="65625829" w14:textId="77777777" w:rsidR="00895519" w:rsidRPr="00CF21FA" w:rsidRDefault="00895519" w:rsidP="00DA6B98">
            <w:pPr>
              <w:pStyle w:val="Table"/>
            </w:pPr>
          </w:p>
        </w:tc>
      </w:tr>
      <w:tr w:rsidR="00895519" w:rsidRPr="00CF21FA" w14:paraId="30AC1BEB" w14:textId="77777777" w:rsidTr="000E2EC3">
        <w:tc>
          <w:tcPr>
            <w:tcW w:w="1101" w:type="dxa"/>
            <w:tcBorders>
              <w:top w:val="single" w:sz="4" w:space="0" w:color="939598"/>
              <w:left w:val="single" w:sz="4" w:space="0" w:color="939598"/>
              <w:bottom w:val="single" w:sz="4" w:space="0" w:color="939598"/>
              <w:right w:val="single" w:sz="4" w:space="0" w:color="939598"/>
            </w:tcBorders>
          </w:tcPr>
          <w:p w14:paraId="24422A4F" w14:textId="77777777" w:rsidR="00895519" w:rsidRPr="00CF21FA" w:rsidRDefault="00895519" w:rsidP="00DA6B98">
            <w:pPr>
              <w:pStyle w:val="Table"/>
            </w:pPr>
          </w:p>
        </w:tc>
        <w:tc>
          <w:tcPr>
            <w:tcW w:w="4252" w:type="dxa"/>
            <w:tcBorders>
              <w:top w:val="single" w:sz="4" w:space="0" w:color="939598"/>
              <w:left w:val="single" w:sz="4" w:space="0" w:color="939598"/>
              <w:bottom w:val="single" w:sz="4" w:space="0" w:color="939598"/>
              <w:right w:val="single" w:sz="4" w:space="0" w:color="939598"/>
            </w:tcBorders>
          </w:tcPr>
          <w:p w14:paraId="195DE880" w14:textId="77777777" w:rsidR="00895519" w:rsidRPr="006C2BDA" w:rsidRDefault="00895519" w:rsidP="00DA6B98">
            <w:pPr>
              <w:pStyle w:val="Table"/>
              <w:rPr>
                <w:rFonts w:ascii="HelveticaNeueLTPro-Lt" w:hAnsi="HelveticaNeueLTPro-Lt" w:cs="HelveticaNeueLTPro-Lt"/>
                <w:sz w:val="18"/>
                <w:szCs w:val="18"/>
              </w:rPr>
            </w:pPr>
            <w:r w:rsidRPr="006C2BDA">
              <w:rPr>
                <w:rFonts w:ascii="HelveticaNeueLTPro-Lt" w:hAnsi="HelveticaNeueLTPro-Lt" w:cs="HelveticaNeueLTPro-Lt"/>
                <w:sz w:val="18"/>
                <w:szCs w:val="18"/>
                <w:lang w:eastAsia="ja-JP"/>
              </w:rPr>
              <w:t>CGT small business rollover amount</w:t>
            </w:r>
          </w:p>
        </w:tc>
        <w:tc>
          <w:tcPr>
            <w:tcW w:w="1610" w:type="dxa"/>
            <w:tcBorders>
              <w:top w:val="single" w:sz="4" w:space="0" w:color="939598"/>
              <w:left w:val="single" w:sz="4" w:space="0" w:color="939598"/>
              <w:bottom w:val="single" w:sz="4" w:space="0" w:color="939598"/>
              <w:right w:val="single" w:sz="4" w:space="0" w:color="939598"/>
            </w:tcBorders>
          </w:tcPr>
          <w:p w14:paraId="42AD3B22" w14:textId="77777777" w:rsidR="00895519" w:rsidRPr="00CF21FA" w:rsidRDefault="00895519" w:rsidP="000E2EC3">
            <w:pPr>
              <w:pStyle w:val="Table"/>
              <w:jc w:val="center"/>
            </w:pPr>
          </w:p>
        </w:tc>
        <w:tc>
          <w:tcPr>
            <w:tcW w:w="1792" w:type="dxa"/>
            <w:tcBorders>
              <w:top w:val="single" w:sz="4" w:space="0" w:color="939598"/>
              <w:left w:val="single" w:sz="4" w:space="0" w:color="939598"/>
              <w:bottom w:val="single" w:sz="4" w:space="0" w:color="939598"/>
              <w:right w:val="single" w:sz="4" w:space="0" w:color="939598"/>
            </w:tcBorders>
          </w:tcPr>
          <w:p w14:paraId="0AC26FE1" w14:textId="77777777" w:rsidR="00895519" w:rsidRPr="00CF21FA" w:rsidRDefault="00895519" w:rsidP="00DA6B98">
            <w:pPr>
              <w:pStyle w:val="Table"/>
            </w:pPr>
          </w:p>
        </w:tc>
        <w:tc>
          <w:tcPr>
            <w:tcW w:w="1546" w:type="dxa"/>
            <w:tcBorders>
              <w:top w:val="single" w:sz="4" w:space="0" w:color="939598"/>
              <w:left w:val="single" w:sz="4" w:space="0" w:color="939598"/>
              <w:bottom w:val="single" w:sz="4" w:space="0" w:color="939598"/>
              <w:right w:val="single" w:sz="4" w:space="0" w:color="939598"/>
            </w:tcBorders>
          </w:tcPr>
          <w:p w14:paraId="604ACD20" w14:textId="77777777" w:rsidR="00895519" w:rsidRPr="00CF21FA" w:rsidRDefault="00895519" w:rsidP="00DA6B98">
            <w:pPr>
              <w:pStyle w:val="Table"/>
            </w:pPr>
          </w:p>
        </w:tc>
      </w:tr>
      <w:tr w:rsidR="00895519" w:rsidRPr="00CF21FA" w14:paraId="14743828" w14:textId="77777777" w:rsidTr="000E2EC3">
        <w:tc>
          <w:tcPr>
            <w:tcW w:w="1101" w:type="dxa"/>
            <w:tcBorders>
              <w:top w:val="single" w:sz="4" w:space="0" w:color="939598"/>
              <w:left w:val="single" w:sz="4" w:space="0" w:color="939598"/>
              <w:bottom w:val="single" w:sz="4" w:space="0" w:color="939598"/>
              <w:right w:val="single" w:sz="4" w:space="0" w:color="939598"/>
            </w:tcBorders>
          </w:tcPr>
          <w:p w14:paraId="55B7D14C" w14:textId="77777777" w:rsidR="00895519" w:rsidRPr="00CF21FA" w:rsidRDefault="00895519" w:rsidP="00DA6B98">
            <w:pPr>
              <w:pStyle w:val="Table"/>
            </w:pPr>
          </w:p>
        </w:tc>
        <w:tc>
          <w:tcPr>
            <w:tcW w:w="4252" w:type="dxa"/>
            <w:tcBorders>
              <w:top w:val="single" w:sz="4" w:space="0" w:color="939598"/>
              <w:left w:val="single" w:sz="4" w:space="0" w:color="939598"/>
              <w:bottom w:val="single" w:sz="4" w:space="0" w:color="939598"/>
              <w:right w:val="single" w:sz="4" w:space="0" w:color="939598"/>
            </w:tcBorders>
          </w:tcPr>
          <w:p w14:paraId="07E54307" w14:textId="77777777" w:rsidR="00895519" w:rsidRPr="006C2BDA" w:rsidRDefault="00895519" w:rsidP="00DA6B98">
            <w:pPr>
              <w:pStyle w:val="Table"/>
              <w:rPr>
                <w:rFonts w:ascii="HelveticaNeueLTPro-Lt" w:hAnsi="HelveticaNeueLTPro-Lt" w:cs="HelveticaNeueLTPro-Lt"/>
                <w:sz w:val="18"/>
                <w:szCs w:val="18"/>
              </w:rPr>
            </w:pPr>
            <w:r w:rsidRPr="006C2BDA">
              <w:rPr>
                <w:rFonts w:ascii="HelveticaNeueLTPro-Lt" w:hAnsi="HelveticaNeueLTPro-Lt" w:cs="HelveticaNeueLTPro-Lt"/>
                <w:sz w:val="18"/>
                <w:szCs w:val="18"/>
                <w:lang w:eastAsia="ja-JP"/>
              </w:rPr>
              <w:t>Other CGT rollover</w:t>
            </w:r>
          </w:p>
        </w:tc>
        <w:tc>
          <w:tcPr>
            <w:tcW w:w="1610" w:type="dxa"/>
            <w:tcBorders>
              <w:top w:val="single" w:sz="4" w:space="0" w:color="939598"/>
              <w:left w:val="single" w:sz="4" w:space="0" w:color="939598"/>
              <w:bottom w:val="single" w:sz="4" w:space="0" w:color="939598"/>
              <w:right w:val="single" w:sz="4" w:space="0" w:color="939598"/>
            </w:tcBorders>
          </w:tcPr>
          <w:p w14:paraId="01492509" w14:textId="77777777" w:rsidR="00895519" w:rsidRPr="00CF21FA" w:rsidRDefault="00895519" w:rsidP="000E2EC3">
            <w:pPr>
              <w:pStyle w:val="Table"/>
              <w:jc w:val="center"/>
            </w:pPr>
          </w:p>
        </w:tc>
        <w:tc>
          <w:tcPr>
            <w:tcW w:w="1792" w:type="dxa"/>
            <w:tcBorders>
              <w:top w:val="single" w:sz="4" w:space="0" w:color="939598"/>
              <w:left w:val="single" w:sz="4" w:space="0" w:color="939598"/>
              <w:bottom w:val="single" w:sz="4" w:space="0" w:color="939598"/>
              <w:right w:val="single" w:sz="4" w:space="0" w:color="939598"/>
            </w:tcBorders>
          </w:tcPr>
          <w:p w14:paraId="6E1E744D" w14:textId="77777777" w:rsidR="00895519" w:rsidRPr="00CF21FA" w:rsidRDefault="00895519" w:rsidP="00DA6B98">
            <w:pPr>
              <w:pStyle w:val="Table"/>
            </w:pPr>
          </w:p>
        </w:tc>
        <w:tc>
          <w:tcPr>
            <w:tcW w:w="1546" w:type="dxa"/>
            <w:tcBorders>
              <w:top w:val="single" w:sz="4" w:space="0" w:color="939598"/>
              <w:left w:val="single" w:sz="4" w:space="0" w:color="939598"/>
              <w:bottom w:val="single" w:sz="4" w:space="0" w:color="939598"/>
              <w:right w:val="single" w:sz="4" w:space="0" w:color="939598"/>
            </w:tcBorders>
          </w:tcPr>
          <w:p w14:paraId="2160AA5B" w14:textId="77777777" w:rsidR="00895519" w:rsidRPr="00CF21FA" w:rsidRDefault="00895519" w:rsidP="00DA6B98">
            <w:pPr>
              <w:pStyle w:val="Table"/>
            </w:pPr>
          </w:p>
        </w:tc>
      </w:tr>
      <w:tr w:rsidR="00895519" w:rsidRPr="00CF21FA" w14:paraId="4E7A7ECE" w14:textId="77777777" w:rsidTr="000E2EC3">
        <w:tc>
          <w:tcPr>
            <w:tcW w:w="1101" w:type="dxa"/>
            <w:tcBorders>
              <w:top w:val="single" w:sz="4" w:space="0" w:color="939598"/>
              <w:left w:val="single" w:sz="4" w:space="0" w:color="939598"/>
              <w:bottom w:val="single" w:sz="4" w:space="0" w:color="939598"/>
              <w:right w:val="single" w:sz="4" w:space="0" w:color="939598"/>
            </w:tcBorders>
          </w:tcPr>
          <w:p w14:paraId="499B1ADE" w14:textId="77777777" w:rsidR="00895519" w:rsidRPr="00CF21FA" w:rsidRDefault="00895519" w:rsidP="00DA6B98">
            <w:pPr>
              <w:pStyle w:val="Table"/>
            </w:pPr>
          </w:p>
        </w:tc>
        <w:tc>
          <w:tcPr>
            <w:tcW w:w="4252" w:type="dxa"/>
            <w:tcBorders>
              <w:top w:val="single" w:sz="4" w:space="0" w:color="939598"/>
              <w:left w:val="single" w:sz="4" w:space="0" w:color="939598"/>
              <w:bottom w:val="single" w:sz="4" w:space="0" w:color="939598"/>
              <w:right w:val="single" w:sz="4" w:space="0" w:color="939598"/>
            </w:tcBorders>
          </w:tcPr>
          <w:p w14:paraId="5E62834C" w14:textId="77777777" w:rsidR="00895519" w:rsidRPr="006C2BDA" w:rsidRDefault="00895519" w:rsidP="00DA6B98">
            <w:pPr>
              <w:pStyle w:val="Table"/>
              <w:rPr>
                <w:rFonts w:ascii="HelveticaNeueLTPro-Lt" w:hAnsi="HelveticaNeueLTPro-Lt" w:cs="HelveticaNeueLTPro-Lt"/>
                <w:sz w:val="18"/>
                <w:szCs w:val="18"/>
              </w:rPr>
            </w:pPr>
            <w:r w:rsidRPr="006C2BDA">
              <w:rPr>
                <w:rFonts w:ascii="HelveticaNeueLTPro-Lt" w:hAnsi="HelveticaNeueLTPro-Lt" w:cs="HelveticaNeueLTPro-Lt"/>
                <w:sz w:val="18"/>
                <w:szCs w:val="18"/>
                <w:lang w:eastAsia="ja-JP"/>
              </w:rPr>
              <w:t>Other assessable income amount</w:t>
            </w:r>
          </w:p>
        </w:tc>
        <w:tc>
          <w:tcPr>
            <w:tcW w:w="1610" w:type="dxa"/>
            <w:tcBorders>
              <w:top w:val="single" w:sz="4" w:space="0" w:color="939598"/>
              <w:left w:val="single" w:sz="4" w:space="0" w:color="939598"/>
              <w:bottom w:val="single" w:sz="4" w:space="0" w:color="939598"/>
              <w:right w:val="single" w:sz="4" w:space="0" w:color="939598"/>
            </w:tcBorders>
          </w:tcPr>
          <w:p w14:paraId="0453F3D9" w14:textId="77777777" w:rsidR="00895519" w:rsidRPr="00CF21FA" w:rsidRDefault="00895519" w:rsidP="000E2EC3">
            <w:pPr>
              <w:pStyle w:val="Table"/>
              <w:jc w:val="center"/>
            </w:pPr>
          </w:p>
        </w:tc>
        <w:tc>
          <w:tcPr>
            <w:tcW w:w="1792" w:type="dxa"/>
            <w:tcBorders>
              <w:top w:val="single" w:sz="4" w:space="0" w:color="939598"/>
              <w:left w:val="single" w:sz="4" w:space="0" w:color="939598"/>
              <w:bottom w:val="single" w:sz="4" w:space="0" w:color="939598"/>
              <w:right w:val="single" w:sz="4" w:space="0" w:color="939598"/>
            </w:tcBorders>
          </w:tcPr>
          <w:p w14:paraId="23BE7B44" w14:textId="77777777" w:rsidR="00895519" w:rsidRPr="00CF21FA" w:rsidRDefault="00895519" w:rsidP="00DA6B98">
            <w:pPr>
              <w:pStyle w:val="Table"/>
            </w:pPr>
          </w:p>
        </w:tc>
        <w:tc>
          <w:tcPr>
            <w:tcW w:w="1546" w:type="dxa"/>
            <w:tcBorders>
              <w:top w:val="single" w:sz="4" w:space="0" w:color="939598"/>
              <w:left w:val="single" w:sz="4" w:space="0" w:color="939598"/>
              <w:bottom w:val="single" w:sz="4" w:space="0" w:color="939598"/>
              <w:right w:val="single" w:sz="4" w:space="0" w:color="939598"/>
            </w:tcBorders>
          </w:tcPr>
          <w:p w14:paraId="5D8B925A" w14:textId="77777777" w:rsidR="00895519" w:rsidRPr="00CF21FA" w:rsidRDefault="00895519" w:rsidP="00DA6B98">
            <w:pPr>
              <w:pStyle w:val="Table"/>
            </w:pPr>
          </w:p>
        </w:tc>
      </w:tr>
      <w:tr w:rsidR="00895519" w:rsidRPr="00CF21FA" w14:paraId="54220406" w14:textId="77777777" w:rsidTr="000E2EC3">
        <w:tc>
          <w:tcPr>
            <w:tcW w:w="1101" w:type="dxa"/>
            <w:tcBorders>
              <w:top w:val="single" w:sz="4" w:space="0" w:color="939598"/>
              <w:left w:val="single" w:sz="4" w:space="0" w:color="939598"/>
              <w:bottom w:val="single" w:sz="4" w:space="0" w:color="939598"/>
              <w:right w:val="single" w:sz="4" w:space="0" w:color="939598"/>
            </w:tcBorders>
          </w:tcPr>
          <w:p w14:paraId="4C5F8531" w14:textId="77777777" w:rsidR="00895519" w:rsidRPr="00CF21FA" w:rsidRDefault="00895519" w:rsidP="00DA6B98">
            <w:pPr>
              <w:pStyle w:val="Table"/>
            </w:pPr>
          </w:p>
        </w:tc>
        <w:tc>
          <w:tcPr>
            <w:tcW w:w="4252" w:type="dxa"/>
            <w:tcBorders>
              <w:top w:val="single" w:sz="4" w:space="0" w:color="939598"/>
              <w:left w:val="single" w:sz="4" w:space="0" w:color="939598"/>
              <w:bottom w:val="single" w:sz="4" w:space="0" w:color="939598"/>
              <w:right w:val="single" w:sz="4" w:space="0" w:color="939598"/>
            </w:tcBorders>
          </w:tcPr>
          <w:p w14:paraId="07859946" w14:textId="77777777" w:rsidR="00895519" w:rsidRPr="006C2BDA" w:rsidRDefault="00895519" w:rsidP="00DA6B98">
            <w:pPr>
              <w:pStyle w:val="Table"/>
              <w:rPr>
                <w:rFonts w:ascii="HelveticaNeueLTPro-Lt" w:hAnsi="HelveticaNeueLTPro-Lt" w:cs="HelveticaNeueLTPro-Lt"/>
                <w:sz w:val="18"/>
                <w:szCs w:val="18"/>
              </w:rPr>
            </w:pPr>
            <w:r w:rsidRPr="006C2BDA">
              <w:rPr>
                <w:rFonts w:ascii="HelveticaNeueLTPro-Lt" w:hAnsi="HelveticaNeueLTPro-Lt" w:cs="HelveticaNeueLTPro-Lt"/>
                <w:sz w:val="18"/>
                <w:szCs w:val="18"/>
                <w:lang w:eastAsia="ja-JP"/>
              </w:rPr>
              <w:t>Other deductible expenses (i.e. prepayments)</w:t>
            </w:r>
          </w:p>
        </w:tc>
        <w:tc>
          <w:tcPr>
            <w:tcW w:w="1610" w:type="dxa"/>
            <w:tcBorders>
              <w:top w:val="single" w:sz="4" w:space="0" w:color="939598"/>
              <w:left w:val="single" w:sz="4" w:space="0" w:color="939598"/>
              <w:bottom w:val="single" w:sz="4" w:space="0" w:color="939598"/>
              <w:right w:val="single" w:sz="4" w:space="0" w:color="939598"/>
            </w:tcBorders>
          </w:tcPr>
          <w:p w14:paraId="2B55B832" w14:textId="77777777" w:rsidR="00895519" w:rsidRPr="00CF21FA" w:rsidRDefault="00895519" w:rsidP="000E2EC3">
            <w:pPr>
              <w:pStyle w:val="Table"/>
              <w:jc w:val="center"/>
            </w:pPr>
          </w:p>
        </w:tc>
        <w:tc>
          <w:tcPr>
            <w:tcW w:w="1792" w:type="dxa"/>
            <w:tcBorders>
              <w:top w:val="single" w:sz="4" w:space="0" w:color="939598"/>
              <w:left w:val="single" w:sz="4" w:space="0" w:color="939598"/>
              <w:bottom w:val="single" w:sz="4" w:space="0" w:color="939598"/>
              <w:right w:val="single" w:sz="4" w:space="0" w:color="939598"/>
            </w:tcBorders>
          </w:tcPr>
          <w:p w14:paraId="12881E9F" w14:textId="77777777" w:rsidR="00895519" w:rsidRPr="00CF21FA" w:rsidRDefault="00895519" w:rsidP="00DA6B98">
            <w:pPr>
              <w:pStyle w:val="Table"/>
            </w:pPr>
          </w:p>
        </w:tc>
        <w:tc>
          <w:tcPr>
            <w:tcW w:w="1546" w:type="dxa"/>
            <w:tcBorders>
              <w:top w:val="single" w:sz="4" w:space="0" w:color="939598"/>
              <w:left w:val="single" w:sz="4" w:space="0" w:color="939598"/>
              <w:bottom w:val="single" w:sz="4" w:space="0" w:color="939598"/>
              <w:right w:val="single" w:sz="4" w:space="0" w:color="939598"/>
            </w:tcBorders>
          </w:tcPr>
          <w:p w14:paraId="0B0B860B" w14:textId="77777777" w:rsidR="00895519" w:rsidRPr="00CF21FA" w:rsidRDefault="00895519" w:rsidP="00DA6B98">
            <w:pPr>
              <w:pStyle w:val="Table"/>
            </w:pPr>
          </w:p>
        </w:tc>
      </w:tr>
      <w:tr w:rsidR="00895519" w:rsidRPr="00CF21FA" w14:paraId="395A8BF5" w14:textId="77777777" w:rsidTr="000E2EC3">
        <w:tc>
          <w:tcPr>
            <w:tcW w:w="1101" w:type="dxa"/>
            <w:tcBorders>
              <w:top w:val="single" w:sz="4" w:space="0" w:color="939598"/>
              <w:left w:val="single" w:sz="4" w:space="0" w:color="939598"/>
              <w:bottom w:val="single" w:sz="4" w:space="0" w:color="939598"/>
              <w:right w:val="single" w:sz="4" w:space="0" w:color="939598"/>
            </w:tcBorders>
          </w:tcPr>
          <w:p w14:paraId="38014494" w14:textId="77777777" w:rsidR="00895519" w:rsidRPr="00CF21FA" w:rsidRDefault="00895519" w:rsidP="00DA6B98">
            <w:pPr>
              <w:pStyle w:val="Table"/>
            </w:pPr>
          </w:p>
        </w:tc>
        <w:tc>
          <w:tcPr>
            <w:tcW w:w="4252" w:type="dxa"/>
            <w:tcBorders>
              <w:top w:val="single" w:sz="4" w:space="0" w:color="939598"/>
              <w:left w:val="single" w:sz="4" w:space="0" w:color="939598"/>
              <w:bottom w:val="single" w:sz="4" w:space="0" w:color="939598"/>
              <w:right w:val="single" w:sz="4" w:space="0" w:color="939598"/>
            </w:tcBorders>
          </w:tcPr>
          <w:p w14:paraId="23B0B8E9" w14:textId="77777777" w:rsidR="00895519" w:rsidRDefault="00895519" w:rsidP="00DA6B98">
            <w:pPr>
              <w:pStyle w:val="Table"/>
            </w:pPr>
            <w:r w:rsidRPr="006C2BDA">
              <w:rPr>
                <w:rFonts w:ascii="HelveticaNeueLTPro-Lt" w:hAnsi="HelveticaNeueLTPro-Lt" w:cs="HelveticaNeueLTPro-Lt"/>
                <w:sz w:val="18"/>
                <w:szCs w:val="18"/>
                <w:lang w:eastAsia="ja-JP"/>
              </w:rPr>
              <w:t>Franking amount balance</w:t>
            </w:r>
          </w:p>
        </w:tc>
        <w:tc>
          <w:tcPr>
            <w:tcW w:w="1610" w:type="dxa"/>
            <w:tcBorders>
              <w:top w:val="single" w:sz="4" w:space="0" w:color="939598"/>
              <w:left w:val="single" w:sz="4" w:space="0" w:color="939598"/>
              <w:bottom w:val="single" w:sz="4" w:space="0" w:color="939598"/>
              <w:right w:val="single" w:sz="4" w:space="0" w:color="939598"/>
            </w:tcBorders>
          </w:tcPr>
          <w:p w14:paraId="4DB27FA3" w14:textId="77777777" w:rsidR="00895519" w:rsidRPr="00CF21FA" w:rsidRDefault="00895519" w:rsidP="000E2EC3">
            <w:pPr>
              <w:pStyle w:val="Table"/>
              <w:jc w:val="center"/>
            </w:pPr>
          </w:p>
        </w:tc>
        <w:tc>
          <w:tcPr>
            <w:tcW w:w="1792" w:type="dxa"/>
            <w:tcBorders>
              <w:top w:val="single" w:sz="4" w:space="0" w:color="939598"/>
              <w:left w:val="single" w:sz="4" w:space="0" w:color="939598"/>
              <w:bottom w:val="single" w:sz="4" w:space="0" w:color="939598"/>
              <w:right w:val="single" w:sz="4" w:space="0" w:color="939598"/>
            </w:tcBorders>
          </w:tcPr>
          <w:p w14:paraId="53D76482" w14:textId="77777777" w:rsidR="00895519" w:rsidRPr="00CF21FA" w:rsidRDefault="00895519" w:rsidP="00DA6B98">
            <w:pPr>
              <w:pStyle w:val="Table"/>
            </w:pPr>
          </w:p>
        </w:tc>
        <w:tc>
          <w:tcPr>
            <w:tcW w:w="1546" w:type="dxa"/>
            <w:tcBorders>
              <w:top w:val="single" w:sz="4" w:space="0" w:color="939598"/>
              <w:left w:val="single" w:sz="4" w:space="0" w:color="939598"/>
              <w:bottom w:val="single" w:sz="4" w:space="0" w:color="939598"/>
              <w:right w:val="single" w:sz="4" w:space="0" w:color="939598"/>
            </w:tcBorders>
          </w:tcPr>
          <w:p w14:paraId="0937B655" w14:textId="77777777" w:rsidR="00895519" w:rsidRPr="00CF21FA" w:rsidRDefault="00895519" w:rsidP="00DA6B98">
            <w:pPr>
              <w:pStyle w:val="Table"/>
            </w:pPr>
          </w:p>
        </w:tc>
      </w:tr>
      <w:tr w:rsidR="00895519" w:rsidRPr="00CF21FA" w14:paraId="7003DA30" w14:textId="77777777" w:rsidTr="000E2EC3">
        <w:tc>
          <w:tcPr>
            <w:tcW w:w="1101" w:type="dxa"/>
            <w:tcBorders>
              <w:top w:val="single" w:sz="4" w:space="0" w:color="939598"/>
              <w:left w:val="single" w:sz="4" w:space="0" w:color="939598"/>
              <w:bottom w:val="single" w:sz="4" w:space="0" w:color="939598"/>
              <w:right w:val="single" w:sz="4" w:space="0" w:color="939598"/>
            </w:tcBorders>
          </w:tcPr>
          <w:p w14:paraId="61B80EDE" w14:textId="77777777" w:rsidR="00895519" w:rsidRPr="00CF21FA" w:rsidRDefault="00895519" w:rsidP="00DA6B98">
            <w:pPr>
              <w:pStyle w:val="Table"/>
            </w:pPr>
          </w:p>
        </w:tc>
        <w:tc>
          <w:tcPr>
            <w:tcW w:w="4252" w:type="dxa"/>
            <w:tcBorders>
              <w:top w:val="single" w:sz="4" w:space="0" w:color="939598"/>
              <w:left w:val="single" w:sz="4" w:space="0" w:color="939598"/>
              <w:bottom w:val="single" w:sz="4" w:space="0" w:color="939598"/>
              <w:right w:val="single" w:sz="4" w:space="0" w:color="939598"/>
            </w:tcBorders>
          </w:tcPr>
          <w:p w14:paraId="6D1F44D2" w14:textId="77777777" w:rsidR="00895519" w:rsidRPr="00CF21FA" w:rsidRDefault="00895519" w:rsidP="00DA6B98">
            <w:pPr>
              <w:pStyle w:val="Table"/>
            </w:pPr>
          </w:p>
        </w:tc>
        <w:tc>
          <w:tcPr>
            <w:tcW w:w="1610" w:type="dxa"/>
            <w:tcBorders>
              <w:top w:val="single" w:sz="4" w:space="0" w:color="939598"/>
              <w:left w:val="single" w:sz="4" w:space="0" w:color="939598"/>
              <w:bottom w:val="single" w:sz="4" w:space="0" w:color="939598"/>
              <w:right w:val="single" w:sz="4" w:space="0" w:color="939598"/>
            </w:tcBorders>
          </w:tcPr>
          <w:p w14:paraId="63A014E3" w14:textId="77777777" w:rsidR="00895519" w:rsidRPr="00CF21FA" w:rsidRDefault="00895519" w:rsidP="000E2EC3">
            <w:pPr>
              <w:pStyle w:val="Table"/>
              <w:jc w:val="center"/>
            </w:pPr>
          </w:p>
        </w:tc>
        <w:tc>
          <w:tcPr>
            <w:tcW w:w="1792" w:type="dxa"/>
            <w:tcBorders>
              <w:top w:val="single" w:sz="4" w:space="0" w:color="939598"/>
              <w:left w:val="single" w:sz="4" w:space="0" w:color="939598"/>
              <w:bottom w:val="single" w:sz="4" w:space="0" w:color="939598"/>
              <w:right w:val="single" w:sz="4" w:space="0" w:color="939598"/>
            </w:tcBorders>
          </w:tcPr>
          <w:p w14:paraId="0F4E3830" w14:textId="77777777" w:rsidR="00895519" w:rsidRPr="00CF21FA" w:rsidRDefault="00895519" w:rsidP="00DA6B98">
            <w:pPr>
              <w:pStyle w:val="Table"/>
            </w:pPr>
          </w:p>
        </w:tc>
        <w:tc>
          <w:tcPr>
            <w:tcW w:w="1546" w:type="dxa"/>
            <w:tcBorders>
              <w:top w:val="single" w:sz="4" w:space="0" w:color="939598"/>
              <w:left w:val="single" w:sz="4" w:space="0" w:color="939598"/>
              <w:bottom w:val="single" w:sz="4" w:space="0" w:color="939598"/>
              <w:right w:val="single" w:sz="4" w:space="0" w:color="939598"/>
            </w:tcBorders>
          </w:tcPr>
          <w:p w14:paraId="46CE363F" w14:textId="77777777" w:rsidR="00895519" w:rsidRPr="00CF21FA" w:rsidRDefault="00895519" w:rsidP="00DA6B98">
            <w:pPr>
              <w:pStyle w:val="Table"/>
            </w:pPr>
          </w:p>
        </w:tc>
      </w:tr>
      <w:tr w:rsidR="00895519" w:rsidRPr="00CF21FA" w14:paraId="24344472" w14:textId="77777777" w:rsidTr="000E2EC3">
        <w:tc>
          <w:tcPr>
            <w:tcW w:w="1101" w:type="dxa"/>
            <w:tcBorders>
              <w:top w:val="single" w:sz="4" w:space="0" w:color="939598"/>
              <w:left w:val="single" w:sz="4" w:space="0" w:color="939598"/>
              <w:bottom w:val="single" w:sz="4" w:space="0" w:color="939598"/>
              <w:right w:val="single" w:sz="4" w:space="0" w:color="939598"/>
            </w:tcBorders>
          </w:tcPr>
          <w:p w14:paraId="5ED65254" w14:textId="77777777" w:rsidR="00895519" w:rsidRPr="00CF21FA" w:rsidRDefault="00895519" w:rsidP="00DA6B98">
            <w:pPr>
              <w:pStyle w:val="Table"/>
            </w:pPr>
          </w:p>
        </w:tc>
        <w:tc>
          <w:tcPr>
            <w:tcW w:w="4252" w:type="dxa"/>
            <w:tcBorders>
              <w:top w:val="single" w:sz="4" w:space="0" w:color="939598"/>
              <w:left w:val="single" w:sz="4" w:space="0" w:color="939598"/>
              <w:bottom w:val="single" w:sz="4" w:space="0" w:color="939598"/>
              <w:right w:val="single" w:sz="4" w:space="0" w:color="939598"/>
            </w:tcBorders>
          </w:tcPr>
          <w:p w14:paraId="5F215A1F" w14:textId="77777777" w:rsidR="00895519" w:rsidRPr="00CF21FA" w:rsidRDefault="00895519" w:rsidP="00DA6B98">
            <w:pPr>
              <w:pStyle w:val="Table"/>
            </w:pPr>
          </w:p>
        </w:tc>
        <w:tc>
          <w:tcPr>
            <w:tcW w:w="1610" w:type="dxa"/>
            <w:tcBorders>
              <w:top w:val="single" w:sz="4" w:space="0" w:color="939598"/>
              <w:left w:val="single" w:sz="4" w:space="0" w:color="939598"/>
              <w:bottom w:val="single" w:sz="4" w:space="0" w:color="939598"/>
              <w:right w:val="single" w:sz="4" w:space="0" w:color="939598"/>
            </w:tcBorders>
          </w:tcPr>
          <w:p w14:paraId="1D8B4FE6" w14:textId="77777777" w:rsidR="00895519" w:rsidRPr="00CF21FA" w:rsidRDefault="00895519" w:rsidP="000E2EC3">
            <w:pPr>
              <w:pStyle w:val="Table"/>
              <w:jc w:val="center"/>
            </w:pPr>
          </w:p>
        </w:tc>
        <w:tc>
          <w:tcPr>
            <w:tcW w:w="1792" w:type="dxa"/>
            <w:tcBorders>
              <w:top w:val="single" w:sz="4" w:space="0" w:color="939598"/>
              <w:left w:val="single" w:sz="4" w:space="0" w:color="939598"/>
              <w:bottom w:val="single" w:sz="4" w:space="0" w:color="939598"/>
              <w:right w:val="single" w:sz="4" w:space="0" w:color="939598"/>
            </w:tcBorders>
          </w:tcPr>
          <w:p w14:paraId="0484EEF8" w14:textId="77777777" w:rsidR="00895519" w:rsidRPr="00CF21FA" w:rsidRDefault="00895519" w:rsidP="00DA6B98">
            <w:pPr>
              <w:pStyle w:val="Table"/>
            </w:pPr>
          </w:p>
        </w:tc>
        <w:tc>
          <w:tcPr>
            <w:tcW w:w="1546" w:type="dxa"/>
            <w:tcBorders>
              <w:top w:val="single" w:sz="4" w:space="0" w:color="939598"/>
              <w:left w:val="single" w:sz="4" w:space="0" w:color="939598"/>
              <w:bottom w:val="single" w:sz="4" w:space="0" w:color="939598"/>
              <w:right w:val="single" w:sz="4" w:space="0" w:color="939598"/>
            </w:tcBorders>
          </w:tcPr>
          <w:p w14:paraId="7AD04D59" w14:textId="77777777" w:rsidR="00895519" w:rsidRPr="00CF21FA" w:rsidRDefault="00895519" w:rsidP="00DA6B98">
            <w:pPr>
              <w:pStyle w:val="Table"/>
            </w:pPr>
          </w:p>
        </w:tc>
      </w:tr>
      <w:tr w:rsidR="00895519" w:rsidRPr="00CF21FA" w14:paraId="542248BF" w14:textId="77777777" w:rsidTr="000E2EC3">
        <w:tc>
          <w:tcPr>
            <w:tcW w:w="1101" w:type="dxa"/>
            <w:tcBorders>
              <w:top w:val="single" w:sz="4" w:space="0" w:color="939598"/>
              <w:left w:val="single" w:sz="4" w:space="0" w:color="939598"/>
              <w:bottom w:val="single" w:sz="4" w:space="0" w:color="939598"/>
              <w:right w:val="single" w:sz="4" w:space="0" w:color="939598"/>
            </w:tcBorders>
          </w:tcPr>
          <w:p w14:paraId="04329FA9" w14:textId="77777777" w:rsidR="00895519" w:rsidRPr="00CF21FA" w:rsidRDefault="00895519" w:rsidP="00DA6B98">
            <w:pPr>
              <w:pStyle w:val="Table"/>
            </w:pPr>
          </w:p>
        </w:tc>
        <w:tc>
          <w:tcPr>
            <w:tcW w:w="4252" w:type="dxa"/>
            <w:tcBorders>
              <w:top w:val="single" w:sz="4" w:space="0" w:color="939598"/>
              <w:left w:val="single" w:sz="4" w:space="0" w:color="939598"/>
              <w:bottom w:val="single" w:sz="4" w:space="0" w:color="939598"/>
              <w:right w:val="single" w:sz="4" w:space="0" w:color="939598"/>
            </w:tcBorders>
          </w:tcPr>
          <w:p w14:paraId="2523CC7F" w14:textId="77777777" w:rsidR="00895519" w:rsidRPr="00CF21FA" w:rsidRDefault="00895519" w:rsidP="00DA6B98">
            <w:pPr>
              <w:pStyle w:val="Table"/>
            </w:pPr>
          </w:p>
        </w:tc>
        <w:tc>
          <w:tcPr>
            <w:tcW w:w="1610" w:type="dxa"/>
            <w:tcBorders>
              <w:top w:val="single" w:sz="4" w:space="0" w:color="939598"/>
              <w:left w:val="single" w:sz="4" w:space="0" w:color="939598"/>
              <w:bottom w:val="single" w:sz="4" w:space="0" w:color="939598"/>
              <w:right w:val="single" w:sz="4" w:space="0" w:color="939598"/>
            </w:tcBorders>
          </w:tcPr>
          <w:p w14:paraId="6968DD28" w14:textId="77777777" w:rsidR="00895519" w:rsidRPr="00CF21FA" w:rsidRDefault="00895519" w:rsidP="000E2EC3">
            <w:pPr>
              <w:pStyle w:val="Table"/>
              <w:jc w:val="center"/>
            </w:pPr>
          </w:p>
        </w:tc>
        <w:tc>
          <w:tcPr>
            <w:tcW w:w="1792" w:type="dxa"/>
            <w:tcBorders>
              <w:top w:val="single" w:sz="4" w:space="0" w:color="939598"/>
              <w:left w:val="single" w:sz="4" w:space="0" w:color="939598"/>
              <w:bottom w:val="single" w:sz="4" w:space="0" w:color="939598"/>
              <w:right w:val="single" w:sz="4" w:space="0" w:color="939598"/>
            </w:tcBorders>
          </w:tcPr>
          <w:p w14:paraId="76F92A22" w14:textId="77777777" w:rsidR="00895519" w:rsidRPr="00CF21FA" w:rsidRDefault="00895519" w:rsidP="00DA6B98">
            <w:pPr>
              <w:pStyle w:val="Table"/>
            </w:pPr>
          </w:p>
        </w:tc>
        <w:tc>
          <w:tcPr>
            <w:tcW w:w="1546" w:type="dxa"/>
            <w:tcBorders>
              <w:top w:val="single" w:sz="4" w:space="0" w:color="939598"/>
              <w:left w:val="single" w:sz="4" w:space="0" w:color="939598"/>
              <w:bottom w:val="single" w:sz="4" w:space="0" w:color="939598"/>
              <w:right w:val="single" w:sz="4" w:space="0" w:color="939598"/>
            </w:tcBorders>
          </w:tcPr>
          <w:p w14:paraId="4FD25C0D" w14:textId="77777777" w:rsidR="00895519" w:rsidRPr="00CF21FA" w:rsidRDefault="00895519" w:rsidP="00DA6B98">
            <w:pPr>
              <w:pStyle w:val="Table"/>
            </w:pPr>
          </w:p>
        </w:tc>
      </w:tr>
      <w:tr w:rsidR="00895519" w:rsidRPr="00CF21FA" w14:paraId="2D71AFAC" w14:textId="77777777" w:rsidTr="000E2EC3">
        <w:tc>
          <w:tcPr>
            <w:tcW w:w="1101" w:type="dxa"/>
            <w:tcBorders>
              <w:top w:val="single" w:sz="4" w:space="0" w:color="939598"/>
              <w:left w:val="single" w:sz="4" w:space="0" w:color="939598"/>
              <w:bottom w:val="single" w:sz="4" w:space="0" w:color="939598"/>
              <w:right w:val="single" w:sz="4" w:space="0" w:color="939598"/>
            </w:tcBorders>
          </w:tcPr>
          <w:p w14:paraId="424DA20D" w14:textId="77777777" w:rsidR="00895519" w:rsidRPr="00CF21FA" w:rsidRDefault="00895519" w:rsidP="00DA6B98">
            <w:pPr>
              <w:pStyle w:val="Table"/>
            </w:pPr>
          </w:p>
        </w:tc>
        <w:tc>
          <w:tcPr>
            <w:tcW w:w="4252" w:type="dxa"/>
            <w:tcBorders>
              <w:top w:val="single" w:sz="4" w:space="0" w:color="939598"/>
              <w:left w:val="single" w:sz="4" w:space="0" w:color="939598"/>
              <w:bottom w:val="single" w:sz="4" w:space="0" w:color="939598"/>
              <w:right w:val="single" w:sz="4" w:space="0" w:color="939598"/>
            </w:tcBorders>
          </w:tcPr>
          <w:p w14:paraId="374E9E52" w14:textId="77777777" w:rsidR="00895519" w:rsidRPr="00CF21FA" w:rsidRDefault="00895519" w:rsidP="00DA6B98">
            <w:pPr>
              <w:pStyle w:val="Table"/>
            </w:pPr>
          </w:p>
        </w:tc>
        <w:tc>
          <w:tcPr>
            <w:tcW w:w="1610" w:type="dxa"/>
            <w:tcBorders>
              <w:top w:val="single" w:sz="4" w:space="0" w:color="939598"/>
              <w:left w:val="single" w:sz="4" w:space="0" w:color="939598"/>
              <w:bottom w:val="single" w:sz="4" w:space="0" w:color="939598"/>
              <w:right w:val="single" w:sz="4" w:space="0" w:color="939598"/>
            </w:tcBorders>
          </w:tcPr>
          <w:p w14:paraId="5E1C8235" w14:textId="77777777" w:rsidR="00895519" w:rsidRPr="00CF21FA" w:rsidRDefault="00895519" w:rsidP="000E2EC3">
            <w:pPr>
              <w:pStyle w:val="Table"/>
              <w:jc w:val="center"/>
            </w:pPr>
          </w:p>
        </w:tc>
        <w:tc>
          <w:tcPr>
            <w:tcW w:w="1792" w:type="dxa"/>
            <w:tcBorders>
              <w:top w:val="single" w:sz="4" w:space="0" w:color="939598"/>
              <w:left w:val="single" w:sz="4" w:space="0" w:color="939598"/>
              <w:bottom w:val="single" w:sz="4" w:space="0" w:color="939598"/>
              <w:right w:val="single" w:sz="4" w:space="0" w:color="939598"/>
            </w:tcBorders>
          </w:tcPr>
          <w:p w14:paraId="06BC23F8" w14:textId="77777777" w:rsidR="00895519" w:rsidRPr="00CF21FA" w:rsidRDefault="00895519" w:rsidP="00DA6B98">
            <w:pPr>
              <w:pStyle w:val="Table"/>
            </w:pPr>
          </w:p>
        </w:tc>
        <w:tc>
          <w:tcPr>
            <w:tcW w:w="1546" w:type="dxa"/>
            <w:tcBorders>
              <w:top w:val="single" w:sz="4" w:space="0" w:color="939598"/>
              <w:left w:val="single" w:sz="4" w:space="0" w:color="939598"/>
              <w:bottom w:val="single" w:sz="4" w:space="0" w:color="939598"/>
              <w:right w:val="single" w:sz="4" w:space="0" w:color="939598"/>
            </w:tcBorders>
          </w:tcPr>
          <w:p w14:paraId="7ABC861B" w14:textId="77777777" w:rsidR="00895519" w:rsidRPr="00CF21FA" w:rsidRDefault="00895519" w:rsidP="00DA6B98">
            <w:pPr>
              <w:pStyle w:val="Table"/>
            </w:pPr>
          </w:p>
        </w:tc>
      </w:tr>
    </w:tbl>
    <w:p w14:paraId="7D6D28AE" w14:textId="77777777" w:rsidR="00895519" w:rsidRPr="00B10F8F" w:rsidRDefault="00895519" w:rsidP="00B10F8F">
      <w:pPr>
        <w:pStyle w:val="Body"/>
        <w:rPr>
          <w:sz w:val="23"/>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firstRow="1" w:lastRow="1" w:firstColumn="1" w:lastColumn="1" w:noHBand="0" w:noVBand="0"/>
      </w:tblPr>
      <w:tblGrid>
        <w:gridCol w:w="1101"/>
        <w:gridCol w:w="7457"/>
        <w:gridCol w:w="1743"/>
      </w:tblGrid>
      <w:tr w:rsidR="00895519" w:rsidRPr="008907EB" w14:paraId="2E546392" w14:textId="77777777" w:rsidTr="008855A7">
        <w:tc>
          <w:tcPr>
            <w:tcW w:w="10301" w:type="dxa"/>
            <w:gridSpan w:val="3"/>
            <w:tcBorders>
              <w:bottom w:val="single" w:sz="4" w:space="0" w:color="939598"/>
            </w:tcBorders>
            <w:shd w:val="clear" w:color="auto" w:fill="051C3C"/>
          </w:tcPr>
          <w:p w14:paraId="5FBE9B30" w14:textId="085D9BE0" w:rsidR="00895519" w:rsidRPr="008907EB" w:rsidRDefault="00895519" w:rsidP="008907EB">
            <w:pPr>
              <w:pStyle w:val="Tableheading"/>
              <w:keepNext/>
              <w:rPr>
                <w:sz w:val="18"/>
              </w:rPr>
            </w:pPr>
            <w:r w:rsidRPr="008907EB">
              <w:rPr>
                <w:sz w:val="18"/>
              </w:rPr>
              <w:t>P</w:t>
            </w:r>
            <w:r w:rsidR="00B4647C">
              <w:rPr>
                <w:sz w:val="18"/>
              </w:rPr>
              <w:t>OINTS FOR PARTNER REVIEW</w:t>
            </w:r>
          </w:p>
        </w:tc>
      </w:tr>
      <w:tr w:rsidR="00895519" w:rsidRPr="00CF21FA" w14:paraId="2DCFC54A" w14:textId="77777777" w:rsidTr="00AE6D7C">
        <w:tc>
          <w:tcPr>
            <w:tcW w:w="1101" w:type="dxa"/>
            <w:tcBorders>
              <w:top w:val="single" w:sz="4" w:space="0" w:color="939598"/>
              <w:left w:val="single" w:sz="4" w:space="0" w:color="939598"/>
              <w:bottom w:val="single" w:sz="4" w:space="0" w:color="939598"/>
              <w:right w:val="single" w:sz="4" w:space="0" w:color="939598"/>
            </w:tcBorders>
            <w:shd w:val="clear" w:color="auto" w:fill="D9D9D9" w:themeFill="background1" w:themeFillShade="D9"/>
          </w:tcPr>
          <w:p w14:paraId="767C976D" w14:textId="77777777" w:rsidR="00895519" w:rsidRPr="00B10F8F" w:rsidRDefault="00895519" w:rsidP="00B10F8F">
            <w:pPr>
              <w:pStyle w:val="Tableheading"/>
              <w:spacing w:after="60"/>
            </w:pPr>
            <w:r w:rsidRPr="00B10F8F">
              <w:t>Date</w:t>
            </w:r>
          </w:p>
        </w:tc>
        <w:tc>
          <w:tcPr>
            <w:tcW w:w="7457" w:type="dxa"/>
            <w:tcBorders>
              <w:top w:val="single" w:sz="4" w:space="0" w:color="939598"/>
              <w:left w:val="single" w:sz="4" w:space="0" w:color="939598"/>
              <w:bottom w:val="single" w:sz="4" w:space="0" w:color="939598"/>
              <w:right w:val="single" w:sz="4" w:space="0" w:color="939598"/>
            </w:tcBorders>
            <w:shd w:val="clear" w:color="auto" w:fill="D9D9D9" w:themeFill="background1" w:themeFillShade="D9"/>
          </w:tcPr>
          <w:p w14:paraId="24CA2410" w14:textId="77777777" w:rsidR="00895519" w:rsidRPr="00B10F8F" w:rsidRDefault="00895519" w:rsidP="00B10F8F">
            <w:pPr>
              <w:pStyle w:val="Tableheading"/>
              <w:spacing w:after="60"/>
            </w:pPr>
            <w:r w:rsidRPr="00B10F8F">
              <w:t>Review Point</w:t>
            </w:r>
          </w:p>
        </w:tc>
        <w:tc>
          <w:tcPr>
            <w:tcW w:w="1743" w:type="dxa"/>
            <w:tcBorders>
              <w:top w:val="single" w:sz="4" w:space="0" w:color="939598"/>
              <w:left w:val="single" w:sz="4" w:space="0" w:color="939598"/>
              <w:bottom w:val="single" w:sz="4" w:space="0" w:color="939598"/>
              <w:right w:val="single" w:sz="4" w:space="0" w:color="939598"/>
            </w:tcBorders>
            <w:shd w:val="clear" w:color="auto" w:fill="D9D9D9" w:themeFill="background1" w:themeFillShade="D9"/>
          </w:tcPr>
          <w:p w14:paraId="79D65034" w14:textId="77777777" w:rsidR="00895519" w:rsidRPr="00B10F8F" w:rsidRDefault="00895519" w:rsidP="00B10F8F">
            <w:pPr>
              <w:pStyle w:val="Tableheading"/>
              <w:spacing w:after="60"/>
            </w:pPr>
            <w:r w:rsidRPr="00B10F8F">
              <w:t>Checked By</w:t>
            </w:r>
          </w:p>
        </w:tc>
      </w:tr>
      <w:tr w:rsidR="00895519" w:rsidRPr="00CF21FA" w14:paraId="4E5804EA" w14:textId="77777777" w:rsidTr="000E2EC3">
        <w:tc>
          <w:tcPr>
            <w:tcW w:w="1101" w:type="dxa"/>
            <w:tcBorders>
              <w:top w:val="single" w:sz="4" w:space="0" w:color="939598"/>
            </w:tcBorders>
          </w:tcPr>
          <w:p w14:paraId="16D07F07" w14:textId="77777777" w:rsidR="00895519" w:rsidRPr="00CF21FA" w:rsidRDefault="00895519" w:rsidP="00B10F8F">
            <w:pPr>
              <w:pStyle w:val="Table"/>
            </w:pPr>
          </w:p>
        </w:tc>
        <w:tc>
          <w:tcPr>
            <w:tcW w:w="7457" w:type="dxa"/>
            <w:tcBorders>
              <w:top w:val="single" w:sz="4" w:space="0" w:color="939598"/>
            </w:tcBorders>
          </w:tcPr>
          <w:p w14:paraId="57A5EC89" w14:textId="77777777" w:rsidR="00895519" w:rsidRPr="00CF21FA" w:rsidRDefault="00895519" w:rsidP="00B10F8F">
            <w:pPr>
              <w:pStyle w:val="Table"/>
            </w:pPr>
          </w:p>
        </w:tc>
        <w:tc>
          <w:tcPr>
            <w:tcW w:w="1743" w:type="dxa"/>
            <w:tcBorders>
              <w:top w:val="single" w:sz="4" w:space="0" w:color="939598"/>
            </w:tcBorders>
          </w:tcPr>
          <w:p w14:paraId="13701811" w14:textId="77777777" w:rsidR="00895519" w:rsidRPr="00CF21FA" w:rsidRDefault="00895519" w:rsidP="00B10F8F">
            <w:pPr>
              <w:pStyle w:val="Table"/>
            </w:pPr>
          </w:p>
        </w:tc>
      </w:tr>
      <w:tr w:rsidR="00895519" w:rsidRPr="00CF21FA" w14:paraId="005E975B" w14:textId="77777777" w:rsidTr="000E2EC3">
        <w:tc>
          <w:tcPr>
            <w:tcW w:w="1101" w:type="dxa"/>
          </w:tcPr>
          <w:p w14:paraId="21C15C74" w14:textId="77777777" w:rsidR="00895519" w:rsidRPr="00CF21FA" w:rsidRDefault="00895519" w:rsidP="00B10F8F">
            <w:pPr>
              <w:pStyle w:val="Table"/>
            </w:pPr>
          </w:p>
        </w:tc>
        <w:tc>
          <w:tcPr>
            <w:tcW w:w="7457" w:type="dxa"/>
          </w:tcPr>
          <w:p w14:paraId="120480A5" w14:textId="77777777" w:rsidR="00895519" w:rsidRPr="00CF21FA" w:rsidRDefault="00895519" w:rsidP="00B10F8F">
            <w:pPr>
              <w:pStyle w:val="Table"/>
            </w:pPr>
          </w:p>
        </w:tc>
        <w:tc>
          <w:tcPr>
            <w:tcW w:w="1743" w:type="dxa"/>
          </w:tcPr>
          <w:p w14:paraId="51C7FDC0" w14:textId="77777777" w:rsidR="00895519" w:rsidRPr="00CF21FA" w:rsidRDefault="00895519" w:rsidP="00B10F8F">
            <w:pPr>
              <w:pStyle w:val="Table"/>
            </w:pPr>
          </w:p>
        </w:tc>
      </w:tr>
      <w:tr w:rsidR="00895519" w:rsidRPr="00CF21FA" w14:paraId="18C435D7" w14:textId="77777777" w:rsidTr="000E2EC3">
        <w:tc>
          <w:tcPr>
            <w:tcW w:w="1101" w:type="dxa"/>
          </w:tcPr>
          <w:p w14:paraId="47E1210D" w14:textId="77777777" w:rsidR="00895519" w:rsidRPr="00CF21FA" w:rsidRDefault="00895519" w:rsidP="00B10F8F">
            <w:pPr>
              <w:pStyle w:val="Table"/>
            </w:pPr>
          </w:p>
        </w:tc>
        <w:tc>
          <w:tcPr>
            <w:tcW w:w="7457" w:type="dxa"/>
          </w:tcPr>
          <w:p w14:paraId="22BDC2E6" w14:textId="77777777" w:rsidR="00895519" w:rsidRPr="00CF21FA" w:rsidRDefault="00895519" w:rsidP="00B10F8F">
            <w:pPr>
              <w:pStyle w:val="Table"/>
            </w:pPr>
          </w:p>
        </w:tc>
        <w:tc>
          <w:tcPr>
            <w:tcW w:w="1743" w:type="dxa"/>
          </w:tcPr>
          <w:p w14:paraId="64EAA4E1" w14:textId="77777777" w:rsidR="00895519" w:rsidRPr="00CF21FA" w:rsidRDefault="00895519" w:rsidP="00B10F8F">
            <w:pPr>
              <w:pStyle w:val="Table"/>
            </w:pPr>
          </w:p>
        </w:tc>
      </w:tr>
      <w:tr w:rsidR="00895519" w:rsidRPr="00CF21FA" w14:paraId="3E6C17AC" w14:textId="77777777" w:rsidTr="000E2EC3">
        <w:tc>
          <w:tcPr>
            <w:tcW w:w="1101" w:type="dxa"/>
          </w:tcPr>
          <w:p w14:paraId="3A523460" w14:textId="77777777" w:rsidR="00895519" w:rsidRPr="00CF21FA" w:rsidRDefault="00895519" w:rsidP="00B10F8F">
            <w:pPr>
              <w:pStyle w:val="Table"/>
            </w:pPr>
          </w:p>
        </w:tc>
        <w:tc>
          <w:tcPr>
            <w:tcW w:w="7457" w:type="dxa"/>
          </w:tcPr>
          <w:p w14:paraId="7EB01459" w14:textId="77777777" w:rsidR="00895519" w:rsidRPr="00CF21FA" w:rsidRDefault="00895519" w:rsidP="00B10F8F">
            <w:pPr>
              <w:pStyle w:val="Table"/>
            </w:pPr>
          </w:p>
        </w:tc>
        <w:tc>
          <w:tcPr>
            <w:tcW w:w="1743" w:type="dxa"/>
          </w:tcPr>
          <w:p w14:paraId="4409937E" w14:textId="77777777" w:rsidR="00895519" w:rsidRPr="00CF21FA" w:rsidRDefault="00895519" w:rsidP="00B10F8F">
            <w:pPr>
              <w:pStyle w:val="Table"/>
            </w:pPr>
          </w:p>
        </w:tc>
      </w:tr>
      <w:tr w:rsidR="00895519" w:rsidRPr="00CF21FA" w14:paraId="2AEEE800" w14:textId="77777777" w:rsidTr="000E2EC3">
        <w:tc>
          <w:tcPr>
            <w:tcW w:w="1101" w:type="dxa"/>
          </w:tcPr>
          <w:p w14:paraId="53D50596" w14:textId="77777777" w:rsidR="00895519" w:rsidRPr="00CF21FA" w:rsidRDefault="00895519" w:rsidP="00B10F8F">
            <w:pPr>
              <w:pStyle w:val="Table"/>
            </w:pPr>
          </w:p>
        </w:tc>
        <w:tc>
          <w:tcPr>
            <w:tcW w:w="7457" w:type="dxa"/>
          </w:tcPr>
          <w:p w14:paraId="2E443F1C" w14:textId="77777777" w:rsidR="00895519" w:rsidRPr="00CF21FA" w:rsidRDefault="00895519" w:rsidP="00B10F8F">
            <w:pPr>
              <w:pStyle w:val="Table"/>
            </w:pPr>
          </w:p>
        </w:tc>
        <w:tc>
          <w:tcPr>
            <w:tcW w:w="1743" w:type="dxa"/>
          </w:tcPr>
          <w:p w14:paraId="0B35D311" w14:textId="77777777" w:rsidR="00895519" w:rsidRPr="00CF21FA" w:rsidRDefault="00895519" w:rsidP="00B10F8F">
            <w:pPr>
              <w:pStyle w:val="Table"/>
            </w:pPr>
          </w:p>
        </w:tc>
      </w:tr>
      <w:tr w:rsidR="00895519" w:rsidRPr="00CF21FA" w14:paraId="13DAF2AF" w14:textId="77777777" w:rsidTr="000E2EC3">
        <w:tc>
          <w:tcPr>
            <w:tcW w:w="1101" w:type="dxa"/>
          </w:tcPr>
          <w:p w14:paraId="2A472403" w14:textId="77777777" w:rsidR="00895519" w:rsidRPr="00CF21FA" w:rsidRDefault="00895519" w:rsidP="00B10F8F">
            <w:pPr>
              <w:pStyle w:val="Table"/>
            </w:pPr>
          </w:p>
        </w:tc>
        <w:tc>
          <w:tcPr>
            <w:tcW w:w="7457" w:type="dxa"/>
          </w:tcPr>
          <w:p w14:paraId="063D6308" w14:textId="77777777" w:rsidR="00895519" w:rsidRPr="00CF21FA" w:rsidRDefault="00895519" w:rsidP="00B10F8F">
            <w:pPr>
              <w:pStyle w:val="Table"/>
            </w:pPr>
          </w:p>
        </w:tc>
        <w:tc>
          <w:tcPr>
            <w:tcW w:w="1743" w:type="dxa"/>
          </w:tcPr>
          <w:p w14:paraId="7C0CD882" w14:textId="77777777" w:rsidR="00895519" w:rsidRPr="00CF21FA" w:rsidRDefault="00895519" w:rsidP="00B10F8F">
            <w:pPr>
              <w:pStyle w:val="Table"/>
            </w:pPr>
          </w:p>
        </w:tc>
      </w:tr>
    </w:tbl>
    <w:p w14:paraId="519CD600" w14:textId="77777777" w:rsidR="00895519" w:rsidRPr="00B10F8F" w:rsidRDefault="00895519" w:rsidP="00B10F8F">
      <w:pPr>
        <w:pStyle w:val="Body"/>
        <w:rPr>
          <w:sz w:val="23"/>
        </w:rPr>
      </w:pPr>
    </w:p>
    <w:sectPr w:rsidR="00895519" w:rsidRPr="00B10F8F" w:rsidSect="00A260A5">
      <w:headerReference w:type="default" r:id="rId21"/>
      <w:footerReference w:type="default" r:id="rId22"/>
      <w:pgSz w:w="11899" w:h="16838" w:code="9"/>
      <w:pgMar w:top="851" w:right="907" w:bottom="851" w:left="907" w:header="255" w:footer="510" w:gutter="0"/>
      <w:pgNumType w:start="2"/>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2D2BFD" w14:textId="77777777" w:rsidR="00D0554E" w:rsidRDefault="00D0554E" w:rsidP="007132DC">
      <w:r>
        <w:separator/>
      </w:r>
    </w:p>
  </w:endnote>
  <w:endnote w:type="continuationSeparator" w:id="0">
    <w:p w14:paraId="6B8E73BF" w14:textId="77777777" w:rsidR="00D0554E" w:rsidRDefault="00D0554E" w:rsidP="007132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00000003" w:usb1="00000000" w:usb2="00000000" w:usb3="00000000" w:csb0="00000001" w:csb1="00000000"/>
  </w:font>
  <w:font w:name="Times-Roman">
    <w:altName w:val="Times New Roman"/>
    <w:panose1 w:val="00000000000000000000"/>
    <w:charset w:val="4D"/>
    <w:family w:val="auto"/>
    <w:notTrueType/>
    <w:pitch w:val="default"/>
    <w:sig w:usb0="00000003" w:usb1="00000000" w:usb2="00000000" w:usb3="00000000" w:csb0="00000001" w:csb1="00000000"/>
  </w:font>
  <w:font w:name="HelveticaNeueLTPro-L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E5BCE1" w14:textId="77777777" w:rsidR="00D0554E" w:rsidRDefault="00D0554E" w:rsidP="003E71B4">
    <w:pPr>
      <w:pStyle w:val="Header"/>
      <w:jc w:val="right"/>
    </w:pPr>
  </w:p>
  <w:p w14:paraId="4B8BB63D" w14:textId="77777777" w:rsidR="00D0554E" w:rsidRDefault="00D0554E" w:rsidP="003E71B4">
    <w:pPr>
      <w:pStyle w:val="Head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5113E1" w14:textId="77777777" w:rsidR="00D0554E" w:rsidRDefault="00D0554E" w:rsidP="007132DC">
    <w:pPr>
      <w:pStyle w:val="Footer"/>
      <w:tabs>
        <w:tab w:val="clear" w:pos="4320"/>
        <w:tab w:val="clear" w:pos="8640"/>
        <w:tab w:val="left" w:pos="804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FBE09F" w14:textId="3B6785DD" w:rsidR="00D0554E" w:rsidRPr="00C31AE3" w:rsidRDefault="00D0554E" w:rsidP="00532AC3">
    <w:pPr>
      <w:pStyle w:val="Header"/>
      <w:ind w:right="-121"/>
      <w:jc w:val="right"/>
      <w:rPr>
        <w:sz w:val="18"/>
      </w:rPr>
    </w:pPr>
    <w:r w:rsidRPr="00C31AE3">
      <w:rPr>
        <w:sz w:val="18"/>
      </w:rPr>
      <w:fldChar w:fldCharType="begin"/>
    </w:r>
    <w:r w:rsidRPr="00C31AE3">
      <w:rPr>
        <w:sz w:val="18"/>
      </w:rPr>
      <w:instrText xml:space="preserve"> PAGE   \* MERGEFORMAT </w:instrText>
    </w:r>
    <w:r w:rsidRPr="00C31AE3">
      <w:rPr>
        <w:sz w:val="18"/>
      </w:rPr>
      <w:fldChar w:fldCharType="separate"/>
    </w:r>
    <w:r w:rsidR="00637458">
      <w:rPr>
        <w:noProof/>
        <w:sz w:val="18"/>
      </w:rPr>
      <w:t>17</w:t>
    </w:r>
    <w:r w:rsidRPr="00C31AE3">
      <w:rPr>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395A25" w14:textId="77777777" w:rsidR="00D0554E" w:rsidRDefault="00D0554E" w:rsidP="007132DC">
      <w:r>
        <w:separator/>
      </w:r>
    </w:p>
  </w:footnote>
  <w:footnote w:type="continuationSeparator" w:id="0">
    <w:p w14:paraId="3CCAA4FB" w14:textId="77777777" w:rsidR="00D0554E" w:rsidRDefault="00D0554E" w:rsidP="007132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3582CC" w14:textId="77777777" w:rsidR="00D0554E" w:rsidRDefault="00D0554E" w:rsidP="00CF4387">
    <w:pPr>
      <w:pStyle w:val="Header"/>
    </w:pPr>
    <w:r>
      <w:rPr>
        <w:noProof/>
        <w:lang w:eastAsia="en-AU"/>
      </w:rPr>
      <mc:AlternateContent>
        <mc:Choice Requires="wps">
          <w:drawing>
            <wp:anchor distT="0" distB="0" distL="114300" distR="114300" simplePos="0" relativeHeight="251660288" behindDoc="0" locked="0" layoutInCell="1" allowOverlap="1" wp14:anchorId="176D7068" wp14:editId="5C7DF788">
              <wp:simplePos x="0" y="0"/>
              <wp:positionH relativeFrom="column">
                <wp:posOffset>-23495</wp:posOffset>
              </wp:positionH>
              <wp:positionV relativeFrom="paragraph">
                <wp:posOffset>7344410</wp:posOffset>
              </wp:positionV>
              <wp:extent cx="6419850" cy="182880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9850" cy="1828800"/>
                      </a:xfrm>
                      <a:prstGeom prst="rect">
                        <a:avLst/>
                      </a:prstGeom>
                      <a:solidFill>
                        <a:srgbClr val="00234B"/>
                      </a:solidFill>
                      <a:ln w="9525">
                        <a:solidFill>
                          <a:srgbClr val="00234B"/>
                        </a:solidFill>
                        <a:miter lim="800000"/>
                        <a:headEnd/>
                        <a:tailEnd/>
                      </a:ln>
                    </wps:spPr>
                    <wps:txbx>
                      <w:txbxContent>
                        <w:p w14:paraId="4CE9753A" w14:textId="77777777" w:rsidR="00D0554E" w:rsidRPr="005B4B4B" w:rsidRDefault="00D0554E" w:rsidP="005B4B4B">
                          <w:pPr>
                            <w:rPr>
                              <w:sz w:val="72"/>
                            </w:rPr>
                          </w:pPr>
                          <w:r w:rsidRPr="005B4B4B">
                            <w:rPr>
                              <w:sz w:val="72"/>
                            </w:rPr>
                            <w:t>COMPANY TAX R</w:t>
                          </w:r>
                          <w:r>
                            <w:rPr>
                              <w:sz w:val="72"/>
                            </w:rPr>
                            <w:t>ETURN PREPARATION CHECKLIST 2018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76D7068" id="_x0000_t202" coordsize="21600,21600" o:spt="202" path="m,l,21600r21600,l21600,xe">
              <v:stroke joinstyle="miter"/>
              <v:path gradientshapeok="t" o:connecttype="rect"/>
            </v:shapetype>
            <v:shape id="Text Box 2" o:spid="_x0000_s1026" type="#_x0000_t202" style="position:absolute;margin-left:-1.85pt;margin-top:578.3pt;width:505.5pt;height:2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" fillcolor="#00234b" strokecolor="#00234b">
              <v:textbox>
                <w:txbxContent>
                  <w:p w14:paraId="4CE9753A" w14:textId="77777777" w:rsidR="00D0554E" w:rsidRPr="005B4B4B" w:rsidRDefault="00D0554E" w:rsidP="005B4B4B">
                    <w:pPr>
                      <w:rPr>
                        <w:sz w:val="72"/>
                      </w:rPr>
                    </w:pPr>
                    <w:r w:rsidRPr="005B4B4B">
                      <w:rPr>
                        <w:sz w:val="72"/>
                      </w:rPr>
                      <w:t>COMPANY TAX R</w:t>
                    </w:r>
                    <w:r>
                      <w:rPr>
                        <w:sz w:val="72"/>
                      </w:rPr>
                      <w:t>ETURN PREPARATION CHECKLIST 2018</w:t>
                    </w:r>
                  </w:p>
                </w:txbxContent>
              </v:textbox>
            </v:shape>
          </w:pict>
        </mc:Fallback>
      </mc:AlternateContent>
    </w:r>
    <w:r>
      <w:rPr>
        <w:noProof/>
        <w:lang w:eastAsia="en-AU"/>
      </w:rPr>
      <w:drawing>
        <wp:anchor distT="0" distB="0" distL="114300" distR="114300" simplePos="0" relativeHeight="251658240" behindDoc="0" locked="0" layoutInCell="1" allowOverlap="1" wp14:anchorId="678E0D9F" wp14:editId="4FAD7835">
          <wp:simplePos x="0" y="0"/>
          <wp:positionH relativeFrom="column">
            <wp:posOffset>-575945</wp:posOffset>
          </wp:positionH>
          <wp:positionV relativeFrom="paragraph">
            <wp:posOffset>-180340</wp:posOffset>
          </wp:positionV>
          <wp:extent cx="7581900" cy="107251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PAH2272_Title_Image_A4_Tax_Checklists.jpg"/>
                  <pic:cNvPicPr/>
                </pic:nvPicPr>
                <pic:blipFill>
                  <a:blip r:embed="rId1">
                    <a:extLst>
                      <a:ext uri="{28A0092B-C50C-407E-A947-70E740481C1C}">
                        <a14:useLocalDpi xmlns:a14="http://schemas.microsoft.com/office/drawing/2010/main" val="0"/>
                      </a:ext>
                    </a:extLst>
                  </a:blip>
                  <a:stretch>
                    <a:fillRect/>
                  </a:stretch>
                </pic:blipFill>
                <pic:spPr>
                  <a:xfrm>
                    <a:off x="0" y="0"/>
                    <a:ext cx="7581900" cy="1072515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40A17A" w14:textId="77777777" w:rsidR="00D0554E" w:rsidRDefault="00D0554E" w:rsidP="007132DC">
    <w:pPr>
      <w:pStyle w:val="Header"/>
      <w:tabs>
        <w:tab w:val="clear" w:pos="4320"/>
        <w:tab w:val="clear" w:pos="8640"/>
        <w:tab w:val="left" w:pos="124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0A0" w:firstRow="1" w:lastRow="0" w:firstColumn="1" w:lastColumn="0" w:noHBand="0" w:noVBand="0"/>
    </w:tblPr>
    <w:tblGrid>
      <w:gridCol w:w="10085"/>
    </w:tblGrid>
    <w:tr w:rsidR="00D0554E" w:rsidRPr="006159C2" w14:paraId="47F0B61F" w14:textId="77777777" w:rsidTr="00040539">
      <w:tc>
        <w:tcPr>
          <w:tcW w:w="10301" w:type="dxa"/>
        </w:tcPr>
        <w:p w14:paraId="43204480" w14:textId="77777777" w:rsidR="00D0554E" w:rsidRPr="006159C2" w:rsidRDefault="00D0554E">
          <w:pPr>
            <w:pStyle w:val="Header"/>
          </w:pPr>
        </w:p>
      </w:tc>
    </w:tr>
  </w:tbl>
  <w:p w14:paraId="78879202" w14:textId="77777777" w:rsidR="00D0554E" w:rsidRPr="00EB7EC9" w:rsidRDefault="00D0554E" w:rsidP="00532AC3">
    <w:pPr>
      <w:pStyle w:val="BodyHeading"/>
      <w:spacing w:before="720" w:after="480"/>
      <w:ind w:left="-113"/>
      <w:rPr>
        <w:color w:val="051C3C"/>
        <w:sz w:val="40"/>
        <w:szCs w:val="40"/>
      </w:rPr>
    </w:pPr>
    <w:r w:rsidRPr="00EB7EC9">
      <w:rPr>
        <w:rFonts w:cs="Arial"/>
        <w:color w:val="051C3C"/>
        <w:sz w:val="40"/>
        <w:szCs w:val="40"/>
      </w:rPr>
      <w:t>Company Tax Return Preparation Checklist 201</w:t>
    </w:r>
    <w:r>
      <w:rPr>
        <w:rFonts w:cs="Arial"/>
        <w:color w:val="051C3C"/>
        <w:sz w:val="40"/>
        <w:szCs w:val="40"/>
      </w:rPr>
      <w:t>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5BAA5C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F036F8CE"/>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B344B1AA"/>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0C66BF1"/>
    <w:multiLevelType w:val="hybridMultilevel"/>
    <w:tmpl w:val="097E8A58"/>
    <w:lvl w:ilvl="0" w:tplc="0C090001">
      <w:start w:val="1"/>
      <w:numFmt w:val="bullet"/>
      <w:lvlText w:val=""/>
      <w:lvlJc w:val="left"/>
      <w:pPr>
        <w:ind w:left="720" w:hanging="360"/>
      </w:pPr>
      <w:rPr>
        <w:rFonts w:ascii="Symbol" w:hAnsi="Symbol" w:hint="default"/>
      </w:rPr>
    </w:lvl>
    <w:lvl w:ilvl="1" w:tplc="0C090005">
      <w:start w:val="1"/>
      <w:numFmt w:val="bullet"/>
      <w:lvlText w:val=""/>
      <w:lvlJc w:val="left"/>
      <w:pPr>
        <w:ind w:left="144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86A4A17"/>
    <w:multiLevelType w:val="hybridMultilevel"/>
    <w:tmpl w:val="652CDFB4"/>
    <w:lvl w:ilvl="0" w:tplc="8138E744">
      <w:start w:val="1"/>
      <w:numFmt w:val="bullet"/>
      <w:pStyle w:val="Bullet1"/>
      <w:lvlText w:val="+"/>
      <w:lvlJc w:val="left"/>
      <w:pPr>
        <w:ind w:left="833" w:hanging="360"/>
      </w:pPr>
      <w:rPr>
        <w:rFonts w:ascii="Arial Black" w:hAnsi="Arial Black" w:hint="default"/>
        <w:b/>
        <w:i w:val="0"/>
        <w:sz w:val="18"/>
      </w:rPr>
    </w:lvl>
    <w:lvl w:ilvl="1" w:tplc="08090003" w:tentative="1">
      <w:start w:val="1"/>
      <w:numFmt w:val="bullet"/>
      <w:lvlText w:val="o"/>
      <w:lvlJc w:val="left"/>
      <w:pPr>
        <w:ind w:left="1553" w:hanging="360"/>
      </w:pPr>
      <w:rPr>
        <w:rFonts w:ascii="Courier New" w:hAnsi="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5" w15:restartNumberingAfterBreak="0">
    <w:nsid w:val="1B6525FF"/>
    <w:multiLevelType w:val="hybridMultilevel"/>
    <w:tmpl w:val="DB0E6546"/>
    <w:lvl w:ilvl="0" w:tplc="89BC84AC">
      <w:start w:val="1"/>
      <w:numFmt w:val="bullet"/>
      <w:lvlText w:val=""/>
      <w:lvlJc w:val="left"/>
      <w:pPr>
        <w:ind w:left="644" w:hanging="360"/>
      </w:pPr>
      <w:rPr>
        <w:rFonts w:ascii="Symbol" w:hAnsi="Symbol" w:hint="default"/>
        <w:sz w:val="14"/>
        <w:szCs w:val="14"/>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6" w15:restartNumberingAfterBreak="0">
    <w:nsid w:val="1FC1725F"/>
    <w:multiLevelType w:val="hybridMultilevel"/>
    <w:tmpl w:val="20888A82"/>
    <w:lvl w:ilvl="0" w:tplc="0C090019">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12137F9"/>
    <w:multiLevelType w:val="hybridMultilevel"/>
    <w:tmpl w:val="FDDA40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620495C"/>
    <w:multiLevelType w:val="hybridMultilevel"/>
    <w:tmpl w:val="0DAA7D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BB6261D"/>
    <w:multiLevelType w:val="hybridMultilevel"/>
    <w:tmpl w:val="3B44EA8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2D01412E"/>
    <w:multiLevelType w:val="hybridMultilevel"/>
    <w:tmpl w:val="845C4BE2"/>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11" w15:restartNumberingAfterBreak="0">
    <w:nsid w:val="2D9B4E69"/>
    <w:multiLevelType w:val="hybridMultilevel"/>
    <w:tmpl w:val="B63A5BE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2E3B4878"/>
    <w:multiLevelType w:val="hybridMultilevel"/>
    <w:tmpl w:val="B64068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8C1136C"/>
    <w:multiLevelType w:val="hybridMultilevel"/>
    <w:tmpl w:val="93245AC6"/>
    <w:lvl w:ilvl="0" w:tplc="9A36934E">
      <w:start w:val="1"/>
      <w:numFmt w:val="bullet"/>
      <w:lvlRestart w:val="0"/>
      <w:lvlText w:val=""/>
      <w:lvlJc w:val="left"/>
      <w:pPr>
        <w:tabs>
          <w:tab w:val="num" w:pos="284"/>
        </w:tabs>
        <w:ind w:left="28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AC13B3B"/>
    <w:multiLevelType w:val="hybridMultilevel"/>
    <w:tmpl w:val="286C3DEC"/>
    <w:lvl w:ilvl="0" w:tplc="67BAC0DE">
      <w:start w:val="1"/>
      <w:numFmt w:val="bullet"/>
      <w:lvlText w:val="•"/>
      <w:lvlJc w:val="left"/>
      <w:pPr>
        <w:ind w:left="72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159474A"/>
    <w:multiLevelType w:val="hybridMultilevel"/>
    <w:tmpl w:val="3E92B0C4"/>
    <w:lvl w:ilvl="0" w:tplc="F4169CA6">
      <w:start w:val="1"/>
      <w:numFmt w:val="lowerLetter"/>
      <w:lvlText w:val="%1."/>
      <w:lvlJc w:val="left"/>
      <w:pPr>
        <w:ind w:left="360" w:hanging="360"/>
      </w:pPr>
      <w:rPr>
        <w:rFonts w:cs="Times New Roman" w:hint="default"/>
        <w:color w:val="000000"/>
        <w:sz w:val="17"/>
        <w:u w:val="none"/>
        <w:effect w:val="none"/>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20C7E39"/>
    <w:multiLevelType w:val="hybridMultilevel"/>
    <w:tmpl w:val="E1ECB15C"/>
    <w:lvl w:ilvl="0" w:tplc="B4F82B1A">
      <w:start w:val="1"/>
      <w:numFmt w:val="bullet"/>
      <w:pStyle w:val="TableBullet1"/>
      <w:lvlText w:val=""/>
      <w:lvlJc w:val="left"/>
      <w:pPr>
        <w:ind w:left="720" w:hanging="360"/>
      </w:pPr>
      <w:rPr>
        <w:rFonts w:ascii="Symbol" w:hAnsi="Symbol" w:hint="default"/>
        <w:sz w:val="14"/>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45A6B73"/>
    <w:multiLevelType w:val="hybridMultilevel"/>
    <w:tmpl w:val="B70A9960"/>
    <w:lvl w:ilvl="0" w:tplc="9A36934E">
      <w:start w:val="1"/>
      <w:numFmt w:val="bullet"/>
      <w:lvlRestart w:val="0"/>
      <w:lvlText w:val=""/>
      <w:lvlJc w:val="left"/>
      <w:pPr>
        <w:tabs>
          <w:tab w:val="num" w:pos="284"/>
        </w:tabs>
        <w:ind w:left="28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C8E1FA2"/>
    <w:multiLevelType w:val="hybridMultilevel"/>
    <w:tmpl w:val="71EC0356"/>
    <w:lvl w:ilvl="0" w:tplc="495EFD6E">
      <w:start w:val="1"/>
      <w:numFmt w:val="bullet"/>
      <w:pStyle w:val="TableBullet"/>
      <w:lvlText w:val=""/>
      <w:lvlJc w:val="left"/>
      <w:pPr>
        <w:ind w:left="360" w:hanging="360"/>
      </w:pPr>
      <w:rPr>
        <w:rFonts w:ascii="Symbol" w:hAnsi="Symbol" w:hint="default"/>
        <w:sz w:val="14"/>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D852BC6"/>
    <w:multiLevelType w:val="hybridMultilevel"/>
    <w:tmpl w:val="AD7E2A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48D511C"/>
    <w:multiLevelType w:val="hybridMultilevel"/>
    <w:tmpl w:val="3E92B0C4"/>
    <w:lvl w:ilvl="0" w:tplc="F4169CA6">
      <w:start w:val="1"/>
      <w:numFmt w:val="lowerLetter"/>
      <w:lvlText w:val="%1."/>
      <w:lvlJc w:val="left"/>
      <w:pPr>
        <w:ind w:left="360" w:hanging="360"/>
      </w:pPr>
      <w:rPr>
        <w:rFonts w:cs="Times New Roman" w:hint="default"/>
        <w:color w:val="000000"/>
        <w:sz w:val="17"/>
        <w:u w:val="none"/>
        <w:effect w:val="none"/>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9DB48B6"/>
    <w:multiLevelType w:val="hybridMultilevel"/>
    <w:tmpl w:val="6F6ACB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27C44CB"/>
    <w:multiLevelType w:val="hybridMultilevel"/>
    <w:tmpl w:val="C41266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D4A6018"/>
    <w:multiLevelType w:val="multilevel"/>
    <w:tmpl w:val="3536B7AA"/>
    <w:lvl w:ilvl="0">
      <w:start w:val="1"/>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num w:numId="1">
    <w:abstractNumId w:val="2"/>
  </w:num>
  <w:num w:numId="2">
    <w:abstractNumId w:val="4"/>
  </w:num>
  <w:num w:numId="3">
    <w:abstractNumId w:val="18"/>
  </w:num>
  <w:num w:numId="4">
    <w:abstractNumId w:val="16"/>
  </w:num>
  <w:num w:numId="5">
    <w:abstractNumId w:val="23"/>
  </w:num>
  <w:num w:numId="6">
    <w:abstractNumId w:val="15"/>
  </w:num>
  <w:num w:numId="7">
    <w:abstractNumId w:val="17"/>
  </w:num>
  <w:num w:numId="8">
    <w:abstractNumId w:val="13"/>
  </w:num>
  <w:num w:numId="9">
    <w:abstractNumId w:val="12"/>
  </w:num>
  <w:num w:numId="10">
    <w:abstractNumId w:val="22"/>
  </w:num>
  <w:num w:numId="11">
    <w:abstractNumId w:val="7"/>
  </w:num>
  <w:num w:numId="12">
    <w:abstractNumId w:val="19"/>
  </w:num>
  <w:num w:numId="13">
    <w:abstractNumId w:val="3"/>
  </w:num>
  <w:num w:numId="14">
    <w:abstractNumId w:val="18"/>
  </w:num>
  <w:num w:numId="15">
    <w:abstractNumId w:val="0"/>
  </w:num>
  <w:num w:numId="16">
    <w:abstractNumId w:val="8"/>
  </w:num>
  <w:num w:numId="17">
    <w:abstractNumId w:val="1"/>
  </w:num>
  <w:num w:numId="18">
    <w:abstractNumId w:val="11"/>
  </w:num>
  <w:num w:numId="19">
    <w:abstractNumId w:val="9"/>
  </w:num>
  <w:num w:numId="20">
    <w:abstractNumId w:val="18"/>
  </w:num>
  <w:num w:numId="21">
    <w:abstractNumId w:val="18"/>
  </w:num>
  <w:num w:numId="22">
    <w:abstractNumId w:val="18"/>
  </w:num>
  <w:num w:numId="23">
    <w:abstractNumId w:val="18"/>
  </w:num>
  <w:num w:numId="24">
    <w:abstractNumId w:val="18"/>
  </w:num>
  <w:num w:numId="25">
    <w:abstractNumId w:val="18"/>
  </w:num>
  <w:num w:numId="26">
    <w:abstractNumId w:val="18"/>
  </w:num>
  <w:num w:numId="27">
    <w:abstractNumId w:val="18"/>
  </w:num>
  <w:num w:numId="28">
    <w:abstractNumId w:val="18"/>
  </w:num>
  <w:num w:numId="29">
    <w:abstractNumId w:val="18"/>
  </w:num>
  <w:num w:numId="30">
    <w:abstractNumId w:val="18"/>
  </w:num>
  <w:num w:numId="31">
    <w:abstractNumId w:val="18"/>
  </w:num>
  <w:num w:numId="32">
    <w:abstractNumId w:val="18"/>
  </w:num>
  <w:num w:numId="33">
    <w:abstractNumId w:val="18"/>
  </w:num>
  <w:num w:numId="34">
    <w:abstractNumId w:val="18"/>
  </w:num>
  <w:num w:numId="35">
    <w:abstractNumId w:val="18"/>
  </w:num>
  <w:num w:numId="36">
    <w:abstractNumId w:val="6"/>
  </w:num>
  <w:num w:numId="37">
    <w:abstractNumId w:val="20"/>
  </w:num>
  <w:num w:numId="38">
    <w:abstractNumId w:val="21"/>
  </w:num>
  <w:num w:numId="39">
    <w:abstractNumId w:val="5"/>
  </w:num>
  <w:num w:numId="40">
    <w:abstractNumId w:val="14"/>
  </w:num>
  <w:num w:numId="41">
    <w:abstractNumId w:val="10"/>
  </w:num>
  <w:num w:numId="42">
    <w:abstractNumId w:val="18"/>
  </w:num>
  <w:num w:numId="43">
    <w:abstractNumId w:val="18"/>
  </w:num>
  <w:num w:numId="44">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0E4A62F7-E35A-41C9-ACEC-22A61F64750F}"/>
    <w:docVar w:name="dgnword-eventsink" w:val="1758606445824"/>
  </w:docVars>
  <w:rsids>
    <w:rsidRoot w:val="001A06E0"/>
    <w:rsid w:val="00000A6B"/>
    <w:rsid w:val="00001998"/>
    <w:rsid w:val="00004DD4"/>
    <w:rsid w:val="00013642"/>
    <w:rsid w:val="00031051"/>
    <w:rsid w:val="00040539"/>
    <w:rsid w:val="00051700"/>
    <w:rsid w:val="00051A7E"/>
    <w:rsid w:val="00063379"/>
    <w:rsid w:val="0007073E"/>
    <w:rsid w:val="00071517"/>
    <w:rsid w:val="00076472"/>
    <w:rsid w:val="00077D09"/>
    <w:rsid w:val="00091DF4"/>
    <w:rsid w:val="00093499"/>
    <w:rsid w:val="000A401A"/>
    <w:rsid w:val="000B00C8"/>
    <w:rsid w:val="000B3D98"/>
    <w:rsid w:val="000B40F2"/>
    <w:rsid w:val="000B4295"/>
    <w:rsid w:val="000C1716"/>
    <w:rsid w:val="000D0C99"/>
    <w:rsid w:val="000D0D38"/>
    <w:rsid w:val="000D3B0E"/>
    <w:rsid w:val="000D50A1"/>
    <w:rsid w:val="000E0D00"/>
    <w:rsid w:val="000E2EC3"/>
    <w:rsid w:val="000E40C2"/>
    <w:rsid w:val="000F2313"/>
    <w:rsid w:val="000F439E"/>
    <w:rsid w:val="000F545D"/>
    <w:rsid w:val="001016BE"/>
    <w:rsid w:val="0010450B"/>
    <w:rsid w:val="00107831"/>
    <w:rsid w:val="00110E30"/>
    <w:rsid w:val="00110FC2"/>
    <w:rsid w:val="00130E3B"/>
    <w:rsid w:val="00161151"/>
    <w:rsid w:val="00161CB7"/>
    <w:rsid w:val="00166127"/>
    <w:rsid w:val="001675C6"/>
    <w:rsid w:val="00171708"/>
    <w:rsid w:val="00184E12"/>
    <w:rsid w:val="001935D4"/>
    <w:rsid w:val="001A06E0"/>
    <w:rsid w:val="001A083C"/>
    <w:rsid w:val="001A2B92"/>
    <w:rsid w:val="001A5C14"/>
    <w:rsid w:val="001B30DF"/>
    <w:rsid w:val="001B5905"/>
    <w:rsid w:val="001B6D1F"/>
    <w:rsid w:val="001B76A5"/>
    <w:rsid w:val="001C0620"/>
    <w:rsid w:val="001C47D9"/>
    <w:rsid w:val="001C6719"/>
    <w:rsid w:val="001D2FEF"/>
    <w:rsid w:val="001D32AB"/>
    <w:rsid w:val="001D3D54"/>
    <w:rsid w:val="001D4363"/>
    <w:rsid w:val="001D6845"/>
    <w:rsid w:val="001D6BD2"/>
    <w:rsid w:val="001E5F05"/>
    <w:rsid w:val="001F156F"/>
    <w:rsid w:val="001F3484"/>
    <w:rsid w:val="00210651"/>
    <w:rsid w:val="00211718"/>
    <w:rsid w:val="002252BE"/>
    <w:rsid w:val="00225967"/>
    <w:rsid w:val="0022692D"/>
    <w:rsid w:val="00231BA7"/>
    <w:rsid w:val="002377B6"/>
    <w:rsid w:val="002457C0"/>
    <w:rsid w:val="00257548"/>
    <w:rsid w:val="00264BD5"/>
    <w:rsid w:val="00265D9F"/>
    <w:rsid w:val="002769E9"/>
    <w:rsid w:val="002772BC"/>
    <w:rsid w:val="0028660F"/>
    <w:rsid w:val="00286CF4"/>
    <w:rsid w:val="00294357"/>
    <w:rsid w:val="002A1FFA"/>
    <w:rsid w:val="002A4BBB"/>
    <w:rsid w:val="002A6071"/>
    <w:rsid w:val="002B13D5"/>
    <w:rsid w:val="002B7771"/>
    <w:rsid w:val="002C0166"/>
    <w:rsid w:val="002C614F"/>
    <w:rsid w:val="002C7597"/>
    <w:rsid w:val="002C7914"/>
    <w:rsid w:val="002D4A4C"/>
    <w:rsid w:val="002D6B9C"/>
    <w:rsid w:val="002E282A"/>
    <w:rsid w:val="002E5B4B"/>
    <w:rsid w:val="002E6A81"/>
    <w:rsid w:val="002F3E6A"/>
    <w:rsid w:val="002F4DF9"/>
    <w:rsid w:val="002F72D4"/>
    <w:rsid w:val="003124F8"/>
    <w:rsid w:val="003132F6"/>
    <w:rsid w:val="00316A25"/>
    <w:rsid w:val="00327BAD"/>
    <w:rsid w:val="00332B91"/>
    <w:rsid w:val="003366D6"/>
    <w:rsid w:val="00341C38"/>
    <w:rsid w:val="003530BC"/>
    <w:rsid w:val="003557B2"/>
    <w:rsid w:val="003667BC"/>
    <w:rsid w:val="00366AD5"/>
    <w:rsid w:val="00367E19"/>
    <w:rsid w:val="00370F7E"/>
    <w:rsid w:val="00372FA0"/>
    <w:rsid w:val="00376073"/>
    <w:rsid w:val="003774B4"/>
    <w:rsid w:val="003816A1"/>
    <w:rsid w:val="00385822"/>
    <w:rsid w:val="0038597E"/>
    <w:rsid w:val="00387C26"/>
    <w:rsid w:val="00395DDC"/>
    <w:rsid w:val="00397E48"/>
    <w:rsid w:val="003A3FE5"/>
    <w:rsid w:val="003B12E1"/>
    <w:rsid w:val="003B2823"/>
    <w:rsid w:val="003B2D02"/>
    <w:rsid w:val="003C2412"/>
    <w:rsid w:val="003C4397"/>
    <w:rsid w:val="003D2689"/>
    <w:rsid w:val="003D3FB9"/>
    <w:rsid w:val="003D56DD"/>
    <w:rsid w:val="003E19A9"/>
    <w:rsid w:val="003E5395"/>
    <w:rsid w:val="003E71B4"/>
    <w:rsid w:val="003F2E16"/>
    <w:rsid w:val="003F34A5"/>
    <w:rsid w:val="003F4385"/>
    <w:rsid w:val="003F5677"/>
    <w:rsid w:val="003F6269"/>
    <w:rsid w:val="00400159"/>
    <w:rsid w:val="00404B59"/>
    <w:rsid w:val="00405210"/>
    <w:rsid w:val="004065C5"/>
    <w:rsid w:val="00412829"/>
    <w:rsid w:val="00413648"/>
    <w:rsid w:val="00416D6C"/>
    <w:rsid w:val="004170E9"/>
    <w:rsid w:val="0042077F"/>
    <w:rsid w:val="004226F4"/>
    <w:rsid w:val="00422929"/>
    <w:rsid w:val="00435A37"/>
    <w:rsid w:val="00440D33"/>
    <w:rsid w:val="00442957"/>
    <w:rsid w:val="0044407E"/>
    <w:rsid w:val="0044541B"/>
    <w:rsid w:val="00452830"/>
    <w:rsid w:val="004560CA"/>
    <w:rsid w:val="00457834"/>
    <w:rsid w:val="00474E65"/>
    <w:rsid w:val="004774F0"/>
    <w:rsid w:val="004800E0"/>
    <w:rsid w:val="004816EF"/>
    <w:rsid w:val="004825BB"/>
    <w:rsid w:val="004906C5"/>
    <w:rsid w:val="00493951"/>
    <w:rsid w:val="004A3C91"/>
    <w:rsid w:val="004C1DF2"/>
    <w:rsid w:val="004C2FB9"/>
    <w:rsid w:val="004C592E"/>
    <w:rsid w:val="004E05A3"/>
    <w:rsid w:val="004E50A6"/>
    <w:rsid w:val="0050711B"/>
    <w:rsid w:val="0051011A"/>
    <w:rsid w:val="00510C7A"/>
    <w:rsid w:val="00517040"/>
    <w:rsid w:val="0052024E"/>
    <w:rsid w:val="00521D7D"/>
    <w:rsid w:val="005245CA"/>
    <w:rsid w:val="00525E5B"/>
    <w:rsid w:val="00527529"/>
    <w:rsid w:val="00532AC3"/>
    <w:rsid w:val="00533865"/>
    <w:rsid w:val="0054402B"/>
    <w:rsid w:val="005505E3"/>
    <w:rsid w:val="005524C3"/>
    <w:rsid w:val="005549C7"/>
    <w:rsid w:val="00555665"/>
    <w:rsid w:val="005564F8"/>
    <w:rsid w:val="005567D7"/>
    <w:rsid w:val="005641D9"/>
    <w:rsid w:val="005641F7"/>
    <w:rsid w:val="005666BE"/>
    <w:rsid w:val="0057118B"/>
    <w:rsid w:val="0058162B"/>
    <w:rsid w:val="0058304B"/>
    <w:rsid w:val="00597CDB"/>
    <w:rsid w:val="005A04D8"/>
    <w:rsid w:val="005A1539"/>
    <w:rsid w:val="005A1E4D"/>
    <w:rsid w:val="005A4F47"/>
    <w:rsid w:val="005A78CD"/>
    <w:rsid w:val="005B4B4B"/>
    <w:rsid w:val="005B7704"/>
    <w:rsid w:val="005D3EA5"/>
    <w:rsid w:val="005E7B83"/>
    <w:rsid w:val="00603DB8"/>
    <w:rsid w:val="006153F3"/>
    <w:rsid w:val="0061576B"/>
    <w:rsid w:val="006159C2"/>
    <w:rsid w:val="00617418"/>
    <w:rsid w:val="00617C7A"/>
    <w:rsid w:val="00621167"/>
    <w:rsid w:val="00621783"/>
    <w:rsid w:val="00624EBA"/>
    <w:rsid w:val="006258F2"/>
    <w:rsid w:val="00626C8F"/>
    <w:rsid w:val="00626EF2"/>
    <w:rsid w:val="006367D2"/>
    <w:rsid w:val="00637458"/>
    <w:rsid w:val="00645BE9"/>
    <w:rsid w:val="006605A9"/>
    <w:rsid w:val="00663916"/>
    <w:rsid w:val="00664F1C"/>
    <w:rsid w:val="00666621"/>
    <w:rsid w:val="00670AA6"/>
    <w:rsid w:val="006722C0"/>
    <w:rsid w:val="00673944"/>
    <w:rsid w:val="00683F7C"/>
    <w:rsid w:val="0068453E"/>
    <w:rsid w:val="00690061"/>
    <w:rsid w:val="006A6762"/>
    <w:rsid w:val="006A6D06"/>
    <w:rsid w:val="006A7305"/>
    <w:rsid w:val="006B43EC"/>
    <w:rsid w:val="006C2BDA"/>
    <w:rsid w:val="006E181B"/>
    <w:rsid w:val="006E2AE9"/>
    <w:rsid w:val="006E4772"/>
    <w:rsid w:val="006E712E"/>
    <w:rsid w:val="006F1DE8"/>
    <w:rsid w:val="006F47AF"/>
    <w:rsid w:val="006F607E"/>
    <w:rsid w:val="006F7761"/>
    <w:rsid w:val="007101F6"/>
    <w:rsid w:val="007132DC"/>
    <w:rsid w:val="00721BBC"/>
    <w:rsid w:val="00723320"/>
    <w:rsid w:val="00727EFE"/>
    <w:rsid w:val="00745C8D"/>
    <w:rsid w:val="007536BB"/>
    <w:rsid w:val="0076142A"/>
    <w:rsid w:val="00761E51"/>
    <w:rsid w:val="007630A3"/>
    <w:rsid w:val="00770BD0"/>
    <w:rsid w:val="00785284"/>
    <w:rsid w:val="00796F1B"/>
    <w:rsid w:val="007A007A"/>
    <w:rsid w:val="007B3AFF"/>
    <w:rsid w:val="007C00E8"/>
    <w:rsid w:val="007C20B2"/>
    <w:rsid w:val="007C26CD"/>
    <w:rsid w:val="007C2D15"/>
    <w:rsid w:val="007D5332"/>
    <w:rsid w:val="007E14DD"/>
    <w:rsid w:val="007E35C5"/>
    <w:rsid w:val="007F5C4F"/>
    <w:rsid w:val="00800095"/>
    <w:rsid w:val="00801C71"/>
    <w:rsid w:val="00801D82"/>
    <w:rsid w:val="00801FC3"/>
    <w:rsid w:val="00803F71"/>
    <w:rsid w:val="008070EF"/>
    <w:rsid w:val="008071B4"/>
    <w:rsid w:val="00811E61"/>
    <w:rsid w:val="008348CA"/>
    <w:rsid w:val="00843135"/>
    <w:rsid w:val="00845F4E"/>
    <w:rsid w:val="00850070"/>
    <w:rsid w:val="008552A1"/>
    <w:rsid w:val="00856C8E"/>
    <w:rsid w:val="00865D45"/>
    <w:rsid w:val="0087155B"/>
    <w:rsid w:val="0087188F"/>
    <w:rsid w:val="00871FE6"/>
    <w:rsid w:val="00875936"/>
    <w:rsid w:val="00877354"/>
    <w:rsid w:val="008855A7"/>
    <w:rsid w:val="008907EB"/>
    <w:rsid w:val="00890E38"/>
    <w:rsid w:val="0089116C"/>
    <w:rsid w:val="00891EBC"/>
    <w:rsid w:val="0089437F"/>
    <w:rsid w:val="00895519"/>
    <w:rsid w:val="008A3A4C"/>
    <w:rsid w:val="008B1046"/>
    <w:rsid w:val="008B2DED"/>
    <w:rsid w:val="008B3BF7"/>
    <w:rsid w:val="008B5E2D"/>
    <w:rsid w:val="008B7772"/>
    <w:rsid w:val="008B77E4"/>
    <w:rsid w:val="008B7C82"/>
    <w:rsid w:val="008C651F"/>
    <w:rsid w:val="008C717C"/>
    <w:rsid w:val="008D4B62"/>
    <w:rsid w:val="008E520B"/>
    <w:rsid w:val="008F16A8"/>
    <w:rsid w:val="008F3F3D"/>
    <w:rsid w:val="00906C82"/>
    <w:rsid w:val="0091499C"/>
    <w:rsid w:val="00924FA2"/>
    <w:rsid w:val="0092507E"/>
    <w:rsid w:val="00942C04"/>
    <w:rsid w:val="00950668"/>
    <w:rsid w:val="0095131F"/>
    <w:rsid w:val="009543A6"/>
    <w:rsid w:val="00954AD2"/>
    <w:rsid w:val="00955E5B"/>
    <w:rsid w:val="00957F71"/>
    <w:rsid w:val="00960AE3"/>
    <w:rsid w:val="00961B8A"/>
    <w:rsid w:val="009628B5"/>
    <w:rsid w:val="0096615A"/>
    <w:rsid w:val="00967486"/>
    <w:rsid w:val="0097006B"/>
    <w:rsid w:val="00976B49"/>
    <w:rsid w:val="00977292"/>
    <w:rsid w:val="009776CB"/>
    <w:rsid w:val="0097792E"/>
    <w:rsid w:val="00984335"/>
    <w:rsid w:val="00985D94"/>
    <w:rsid w:val="009867A9"/>
    <w:rsid w:val="009904B1"/>
    <w:rsid w:val="00990CCA"/>
    <w:rsid w:val="009921C1"/>
    <w:rsid w:val="00994199"/>
    <w:rsid w:val="009A136A"/>
    <w:rsid w:val="009B24B4"/>
    <w:rsid w:val="009B455B"/>
    <w:rsid w:val="009B6248"/>
    <w:rsid w:val="009C2C19"/>
    <w:rsid w:val="009C557A"/>
    <w:rsid w:val="009C6D2C"/>
    <w:rsid w:val="009D17F6"/>
    <w:rsid w:val="009D23C0"/>
    <w:rsid w:val="009D712D"/>
    <w:rsid w:val="009E4237"/>
    <w:rsid w:val="009E5B4B"/>
    <w:rsid w:val="009E7E4F"/>
    <w:rsid w:val="00A06358"/>
    <w:rsid w:val="00A10B62"/>
    <w:rsid w:val="00A12BB9"/>
    <w:rsid w:val="00A22352"/>
    <w:rsid w:val="00A23A03"/>
    <w:rsid w:val="00A260A5"/>
    <w:rsid w:val="00A261AF"/>
    <w:rsid w:val="00A33A12"/>
    <w:rsid w:val="00A34188"/>
    <w:rsid w:val="00A361D7"/>
    <w:rsid w:val="00A43496"/>
    <w:rsid w:val="00A47E57"/>
    <w:rsid w:val="00A50817"/>
    <w:rsid w:val="00A50D7F"/>
    <w:rsid w:val="00A52ACA"/>
    <w:rsid w:val="00A55299"/>
    <w:rsid w:val="00A57E48"/>
    <w:rsid w:val="00A61443"/>
    <w:rsid w:val="00A73C31"/>
    <w:rsid w:val="00A773FB"/>
    <w:rsid w:val="00A81422"/>
    <w:rsid w:val="00A837FB"/>
    <w:rsid w:val="00A83EC6"/>
    <w:rsid w:val="00A8676A"/>
    <w:rsid w:val="00A86829"/>
    <w:rsid w:val="00A93100"/>
    <w:rsid w:val="00AA1031"/>
    <w:rsid w:val="00AA1E78"/>
    <w:rsid w:val="00AB32AB"/>
    <w:rsid w:val="00AB64C4"/>
    <w:rsid w:val="00AC21A2"/>
    <w:rsid w:val="00AC274D"/>
    <w:rsid w:val="00AC2FDD"/>
    <w:rsid w:val="00AC6482"/>
    <w:rsid w:val="00AD2040"/>
    <w:rsid w:val="00AD29FE"/>
    <w:rsid w:val="00AE081E"/>
    <w:rsid w:val="00AE1A0F"/>
    <w:rsid w:val="00AE1F66"/>
    <w:rsid w:val="00AE38D1"/>
    <w:rsid w:val="00AE6D7C"/>
    <w:rsid w:val="00AE7613"/>
    <w:rsid w:val="00AF24CF"/>
    <w:rsid w:val="00AF553D"/>
    <w:rsid w:val="00AF6FF8"/>
    <w:rsid w:val="00B0164D"/>
    <w:rsid w:val="00B06D10"/>
    <w:rsid w:val="00B10F8F"/>
    <w:rsid w:val="00B119BB"/>
    <w:rsid w:val="00B14BFE"/>
    <w:rsid w:val="00B16433"/>
    <w:rsid w:val="00B203DF"/>
    <w:rsid w:val="00B31D73"/>
    <w:rsid w:val="00B32750"/>
    <w:rsid w:val="00B32BE9"/>
    <w:rsid w:val="00B340A7"/>
    <w:rsid w:val="00B34CD9"/>
    <w:rsid w:val="00B42168"/>
    <w:rsid w:val="00B4647C"/>
    <w:rsid w:val="00B61300"/>
    <w:rsid w:val="00B66356"/>
    <w:rsid w:val="00B71482"/>
    <w:rsid w:val="00B82FCF"/>
    <w:rsid w:val="00B8368A"/>
    <w:rsid w:val="00B85350"/>
    <w:rsid w:val="00B959B1"/>
    <w:rsid w:val="00BA000F"/>
    <w:rsid w:val="00BA3F10"/>
    <w:rsid w:val="00BA45F0"/>
    <w:rsid w:val="00BA560C"/>
    <w:rsid w:val="00BA7405"/>
    <w:rsid w:val="00BA775E"/>
    <w:rsid w:val="00BB06AB"/>
    <w:rsid w:val="00BB6F08"/>
    <w:rsid w:val="00BC1FC7"/>
    <w:rsid w:val="00BC26C5"/>
    <w:rsid w:val="00BC3421"/>
    <w:rsid w:val="00BC5D62"/>
    <w:rsid w:val="00BC7AB8"/>
    <w:rsid w:val="00BD325C"/>
    <w:rsid w:val="00BD432E"/>
    <w:rsid w:val="00BE43FA"/>
    <w:rsid w:val="00BE70FD"/>
    <w:rsid w:val="00BF3648"/>
    <w:rsid w:val="00C0217B"/>
    <w:rsid w:val="00C024E2"/>
    <w:rsid w:val="00C02D8A"/>
    <w:rsid w:val="00C0302B"/>
    <w:rsid w:val="00C07A52"/>
    <w:rsid w:val="00C10CCE"/>
    <w:rsid w:val="00C15B5D"/>
    <w:rsid w:val="00C15F05"/>
    <w:rsid w:val="00C21B23"/>
    <w:rsid w:val="00C23D2D"/>
    <w:rsid w:val="00C31AE3"/>
    <w:rsid w:val="00C4086E"/>
    <w:rsid w:val="00C41E73"/>
    <w:rsid w:val="00C53128"/>
    <w:rsid w:val="00C572BB"/>
    <w:rsid w:val="00C57918"/>
    <w:rsid w:val="00C62FA7"/>
    <w:rsid w:val="00C64A70"/>
    <w:rsid w:val="00C70CA2"/>
    <w:rsid w:val="00C719C8"/>
    <w:rsid w:val="00C72E6E"/>
    <w:rsid w:val="00C75D23"/>
    <w:rsid w:val="00C76B32"/>
    <w:rsid w:val="00C94BB3"/>
    <w:rsid w:val="00CB2162"/>
    <w:rsid w:val="00CC2A9E"/>
    <w:rsid w:val="00CC31E6"/>
    <w:rsid w:val="00CC61C2"/>
    <w:rsid w:val="00CC7BE1"/>
    <w:rsid w:val="00CD1EAD"/>
    <w:rsid w:val="00CD4BBA"/>
    <w:rsid w:val="00CD6E73"/>
    <w:rsid w:val="00CE20D4"/>
    <w:rsid w:val="00CE755B"/>
    <w:rsid w:val="00CF21FA"/>
    <w:rsid w:val="00CF2D9F"/>
    <w:rsid w:val="00CF4387"/>
    <w:rsid w:val="00CF6371"/>
    <w:rsid w:val="00CF6D2A"/>
    <w:rsid w:val="00D01636"/>
    <w:rsid w:val="00D01B26"/>
    <w:rsid w:val="00D01EE8"/>
    <w:rsid w:val="00D044DA"/>
    <w:rsid w:val="00D0491C"/>
    <w:rsid w:val="00D0554E"/>
    <w:rsid w:val="00D12560"/>
    <w:rsid w:val="00D129D9"/>
    <w:rsid w:val="00D12B7C"/>
    <w:rsid w:val="00D15D72"/>
    <w:rsid w:val="00D20781"/>
    <w:rsid w:val="00D21C86"/>
    <w:rsid w:val="00D2300A"/>
    <w:rsid w:val="00D3353D"/>
    <w:rsid w:val="00D33A30"/>
    <w:rsid w:val="00D36047"/>
    <w:rsid w:val="00D4514F"/>
    <w:rsid w:val="00D45F77"/>
    <w:rsid w:val="00D6323E"/>
    <w:rsid w:val="00D63C2E"/>
    <w:rsid w:val="00D65147"/>
    <w:rsid w:val="00D75027"/>
    <w:rsid w:val="00D75930"/>
    <w:rsid w:val="00D80073"/>
    <w:rsid w:val="00D83E87"/>
    <w:rsid w:val="00D84DA4"/>
    <w:rsid w:val="00D9264C"/>
    <w:rsid w:val="00D93CDF"/>
    <w:rsid w:val="00DA3046"/>
    <w:rsid w:val="00DA4DA8"/>
    <w:rsid w:val="00DA6B98"/>
    <w:rsid w:val="00DB16F4"/>
    <w:rsid w:val="00DB2D33"/>
    <w:rsid w:val="00DB4DB0"/>
    <w:rsid w:val="00DB5233"/>
    <w:rsid w:val="00DB7E01"/>
    <w:rsid w:val="00DC0C93"/>
    <w:rsid w:val="00DC1374"/>
    <w:rsid w:val="00DD0E65"/>
    <w:rsid w:val="00DE1FC8"/>
    <w:rsid w:val="00DE5AC6"/>
    <w:rsid w:val="00DE5ED9"/>
    <w:rsid w:val="00DF281D"/>
    <w:rsid w:val="00DF59CA"/>
    <w:rsid w:val="00E03AEB"/>
    <w:rsid w:val="00E04CD9"/>
    <w:rsid w:val="00E05DA0"/>
    <w:rsid w:val="00E076CC"/>
    <w:rsid w:val="00E079F5"/>
    <w:rsid w:val="00E124AA"/>
    <w:rsid w:val="00E124D0"/>
    <w:rsid w:val="00E126E1"/>
    <w:rsid w:val="00E1518F"/>
    <w:rsid w:val="00E173FD"/>
    <w:rsid w:val="00E24AA1"/>
    <w:rsid w:val="00E25B62"/>
    <w:rsid w:val="00E25DA6"/>
    <w:rsid w:val="00E35F99"/>
    <w:rsid w:val="00E372AC"/>
    <w:rsid w:val="00E37FEE"/>
    <w:rsid w:val="00E51DED"/>
    <w:rsid w:val="00E5200C"/>
    <w:rsid w:val="00E56F7F"/>
    <w:rsid w:val="00E5724A"/>
    <w:rsid w:val="00E6103B"/>
    <w:rsid w:val="00E679C4"/>
    <w:rsid w:val="00E735D1"/>
    <w:rsid w:val="00E73986"/>
    <w:rsid w:val="00E74CE0"/>
    <w:rsid w:val="00E8588B"/>
    <w:rsid w:val="00E90156"/>
    <w:rsid w:val="00E90E71"/>
    <w:rsid w:val="00E9415D"/>
    <w:rsid w:val="00E96509"/>
    <w:rsid w:val="00E96B5B"/>
    <w:rsid w:val="00EA22AC"/>
    <w:rsid w:val="00EB26CB"/>
    <w:rsid w:val="00EB7EC9"/>
    <w:rsid w:val="00EC19BC"/>
    <w:rsid w:val="00EC5513"/>
    <w:rsid w:val="00ED1CC2"/>
    <w:rsid w:val="00ED1D2B"/>
    <w:rsid w:val="00ED3139"/>
    <w:rsid w:val="00ED547F"/>
    <w:rsid w:val="00EE7F43"/>
    <w:rsid w:val="00EF4190"/>
    <w:rsid w:val="00EF436D"/>
    <w:rsid w:val="00EF7E88"/>
    <w:rsid w:val="00F05CE6"/>
    <w:rsid w:val="00F07D9C"/>
    <w:rsid w:val="00F109BA"/>
    <w:rsid w:val="00F11224"/>
    <w:rsid w:val="00F135BE"/>
    <w:rsid w:val="00F136C0"/>
    <w:rsid w:val="00F20F6C"/>
    <w:rsid w:val="00F21171"/>
    <w:rsid w:val="00F2186F"/>
    <w:rsid w:val="00F21FF4"/>
    <w:rsid w:val="00F46E29"/>
    <w:rsid w:val="00F47D7F"/>
    <w:rsid w:val="00F55C21"/>
    <w:rsid w:val="00F60AEB"/>
    <w:rsid w:val="00F6736E"/>
    <w:rsid w:val="00F72D0F"/>
    <w:rsid w:val="00F85198"/>
    <w:rsid w:val="00F87661"/>
    <w:rsid w:val="00F96CEF"/>
    <w:rsid w:val="00FA180E"/>
    <w:rsid w:val="00FA7B66"/>
    <w:rsid w:val="00FB0C80"/>
    <w:rsid w:val="00FB3500"/>
    <w:rsid w:val="00FB3F2A"/>
    <w:rsid w:val="00FC0A69"/>
    <w:rsid w:val="00FC2815"/>
    <w:rsid w:val="00FC3B3B"/>
    <w:rsid w:val="00FC4B20"/>
    <w:rsid w:val="00FD2A3A"/>
    <w:rsid w:val="00FE0C36"/>
    <w:rsid w:val="00FE3A0F"/>
    <w:rsid w:val="00FF542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4436DAF8"/>
  <w15:docId w15:val="{6CAF6B18-BE20-4580-9204-593F7D41C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MS Gothic" w:hAnsi="Arial" w:cs="Times New Roman"/>
        <w:lang w:val="en-AU" w:eastAsia="en-AU"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locked="1"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lock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locked="1" w:semiHidden="1" w:unhideWhenUsed="1"/>
    <w:lsdException w:name="HTML Bottom of Form" w:locked="1"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nhideWhenUsed="1"/>
    <w:lsdException w:name="annotation subject"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95DDC"/>
    <w:rPr>
      <w:sz w:val="24"/>
      <w:szCs w:val="24"/>
      <w:lang w:eastAsia="en-US"/>
    </w:rPr>
  </w:style>
  <w:style w:type="paragraph" w:styleId="Heading1">
    <w:name w:val="heading 1"/>
    <w:basedOn w:val="Normal"/>
    <w:next w:val="Normal"/>
    <w:link w:val="Heading1Char"/>
    <w:qFormat/>
    <w:rsid w:val="000C1716"/>
    <w:pPr>
      <w:keepNext/>
      <w:spacing w:before="240" w:after="60"/>
      <w:outlineLvl w:val="0"/>
    </w:pPr>
    <w:rPr>
      <w:rFonts w:ascii="Cambria" w:hAnsi="Cambria"/>
      <w:b/>
      <w:kern w:val="32"/>
      <w:sz w:val="32"/>
      <w:szCs w:val="20"/>
    </w:rPr>
  </w:style>
  <w:style w:type="paragraph" w:styleId="Heading2">
    <w:name w:val="heading 2"/>
    <w:basedOn w:val="Normal"/>
    <w:next w:val="Normal"/>
    <w:link w:val="Heading2Char"/>
    <w:qFormat/>
    <w:rsid w:val="00395DDC"/>
    <w:pPr>
      <w:keepNext/>
      <w:spacing w:before="240" w:after="60"/>
      <w:outlineLvl w:val="1"/>
    </w:pPr>
    <w:rPr>
      <w:rFonts w:ascii="Cambria" w:hAnsi="Cambria"/>
      <w:b/>
      <w:i/>
      <w:sz w:val="28"/>
      <w:szCs w:val="20"/>
    </w:rPr>
  </w:style>
  <w:style w:type="paragraph" w:styleId="Heading3">
    <w:name w:val="heading 3"/>
    <w:basedOn w:val="Normal"/>
    <w:next w:val="Normal"/>
    <w:link w:val="Heading3Char"/>
    <w:qFormat/>
    <w:rsid w:val="00395DDC"/>
    <w:pPr>
      <w:keepNext/>
      <w:spacing w:before="240" w:after="60"/>
      <w:ind w:left="720" w:hanging="720"/>
      <w:outlineLvl w:val="2"/>
    </w:pPr>
    <w:rPr>
      <w:rFonts w:ascii="Cambria" w:hAnsi="Cambria"/>
      <w:b/>
      <w:bCs/>
      <w:sz w:val="26"/>
      <w:szCs w:val="26"/>
    </w:rPr>
  </w:style>
  <w:style w:type="paragraph" w:styleId="Heading4">
    <w:name w:val="heading 4"/>
    <w:basedOn w:val="Normal"/>
    <w:next w:val="Normal"/>
    <w:link w:val="Heading4Char"/>
    <w:qFormat/>
    <w:rsid w:val="00C0217B"/>
    <w:pPr>
      <w:keepNext/>
      <w:spacing w:before="240" w:after="60"/>
      <w:ind w:left="864" w:hanging="864"/>
      <w:outlineLvl w:val="3"/>
    </w:pPr>
    <w:rPr>
      <w:rFonts w:ascii="Calibri" w:eastAsia="MS Mincho" w:hAnsi="Calibri"/>
      <w:b/>
      <w:bCs/>
      <w:sz w:val="28"/>
      <w:szCs w:val="28"/>
    </w:rPr>
  </w:style>
  <w:style w:type="paragraph" w:styleId="Heading5">
    <w:name w:val="heading 5"/>
    <w:basedOn w:val="Normal"/>
    <w:next w:val="Normal"/>
    <w:link w:val="Heading5Char"/>
    <w:qFormat/>
    <w:rsid w:val="00C0217B"/>
    <w:pPr>
      <w:spacing w:before="240" w:after="60"/>
      <w:ind w:left="1008" w:hanging="1008"/>
      <w:outlineLvl w:val="4"/>
    </w:pPr>
    <w:rPr>
      <w:rFonts w:ascii="Calibri" w:eastAsia="MS Mincho" w:hAnsi="Calibri"/>
      <w:b/>
      <w:bCs/>
      <w:i/>
      <w:iCs/>
      <w:sz w:val="26"/>
      <w:szCs w:val="26"/>
    </w:rPr>
  </w:style>
  <w:style w:type="paragraph" w:styleId="Heading6">
    <w:name w:val="heading 6"/>
    <w:basedOn w:val="Normal"/>
    <w:next w:val="Normal"/>
    <w:link w:val="Heading6Char"/>
    <w:qFormat/>
    <w:rsid w:val="00C0217B"/>
    <w:pPr>
      <w:spacing w:before="240" w:after="60"/>
      <w:ind w:left="1152" w:hanging="1152"/>
      <w:outlineLvl w:val="5"/>
    </w:pPr>
    <w:rPr>
      <w:rFonts w:ascii="Calibri" w:eastAsia="MS Mincho" w:hAnsi="Calibri"/>
      <w:b/>
      <w:bCs/>
      <w:sz w:val="22"/>
      <w:szCs w:val="22"/>
    </w:rPr>
  </w:style>
  <w:style w:type="paragraph" w:styleId="Heading7">
    <w:name w:val="heading 7"/>
    <w:basedOn w:val="Normal"/>
    <w:next w:val="Normal"/>
    <w:link w:val="Heading7Char"/>
    <w:qFormat/>
    <w:rsid w:val="00C0217B"/>
    <w:pPr>
      <w:spacing w:before="240" w:after="60"/>
      <w:ind w:left="1296" w:hanging="1296"/>
      <w:outlineLvl w:val="6"/>
    </w:pPr>
    <w:rPr>
      <w:rFonts w:ascii="Calibri" w:eastAsia="MS Mincho" w:hAnsi="Calibri"/>
    </w:rPr>
  </w:style>
  <w:style w:type="paragraph" w:styleId="Heading8">
    <w:name w:val="heading 8"/>
    <w:basedOn w:val="Normal"/>
    <w:next w:val="Normal"/>
    <w:link w:val="Heading8Char"/>
    <w:qFormat/>
    <w:rsid w:val="00C0217B"/>
    <w:pPr>
      <w:spacing w:before="240" w:after="60"/>
      <w:ind w:left="1440" w:hanging="1440"/>
      <w:outlineLvl w:val="7"/>
    </w:pPr>
    <w:rPr>
      <w:rFonts w:ascii="Calibri" w:eastAsia="MS Mincho" w:hAnsi="Calibri"/>
      <w:i/>
      <w:iCs/>
    </w:rPr>
  </w:style>
  <w:style w:type="paragraph" w:styleId="Heading9">
    <w:name w:val="heading 9"/>
    <w:basedOn w:val="Normal"/>
    <w:next w:val="Normal"/>
    <w:link w:val="Heading9Char"/>
    <w:qFormat/>
    <w:rsid w:val="00C0217B"/>
    <w:pPr>
      <w:spacing w:before="240" w:after="60"/>
      <w:ind w:left="1584" w:hanging="1584"/>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Lucida Grande" w:hAnsi="Lucida Grande"/>
      <w:sz w:val="18"/>
      <w:szCs w:val="18"/>
    </w:rPr>
  </w:style>
  <w:style w:type="paragraph" w:styleId="Header">
    <w:name w:val="header"/>
    <w:basedOn w:val="Normal"/>
    <w:semiHidden/>
    <w:rsid w:val="00533865"/>
    <w:pPr>
      <w:tabs>
        <w:tab w:val="center" w:pos="4320"/>
        <w:tab w:val="right" w:pos="8640"/>
      </w:tabs>
    </w:pPr>
    <w:rPr>
      <w:sz w:val="20"/>
    </w:rPr>
  </w:style>
  <w:style w:type="paragraph" w:styleId="Footer">
    <w:name w:val="footer"/>
    <w:aliases w:val="_Footer"/>
    <w:basedOn w:val="Normal"/>
    <w:link w:val="FooterChar"/>
    <w:rsid w:val="00761E51"/>
    <w:pPr>
      <w:tabs>
        <w:tab w:val="center" w:pos="4320"/>
        <w:tab w:val="right" w:pos="8640"/>
      </w:tabs>
    </w:pPr>
    <w:rPr>
      <w:color w:val="FFD400"/>
      <w:szCs w:val="20"/>
    </w:rPr>
  </w:style>
  <w:style w:type="paragraph" w:customStyle="1" w:styleId="Subheading">
    <w:name w:val="Sub heading"/>
    <w:basedOn w:val="TitleHeading"/>
    <w:semiHidden/>
    <w:pPr>
      <w:spacing w:after="240"/>
      <w:ind w:left="-68"/>
    </w:pPr>
    <w:rPr>
      <w:sz w:val="38"/>
    </w:rPr>
  </w:style>
  <w:style w:type="paragraph" w:customStyle="1" w:styleId="TitleHeading">
    <w:name w:val="_TitleHeading"/>
    <w:basedOn w:val="Normal"/>
    <w:rsid w:val="00A47E57"/>
    <w:pPr>
      <w:spacing w:before="600"/>
      <w:ind w:left="425" w:right="5236"/>
    </w:pPr>
    <w:rPr>
      <w:b/>
      <w:color w:val="FFFFFF"/>
      <w:sz w:val="68"/>
    </w:rPr>
  </w:style>
  <w:style w:type="paragraph" w:customStyle="1" w:styleId="BasicParagraph">
    <w:name w:val="[Basic Paragraph]"/>
    <w:basedOn w:val="Normal"/>
    <w:semiHidden/>
    <w:pPr>
      <w:widowControl w:val="0"/>
      <w:autoSpaceDE w:val="0"/>
      <w:autoSpaceDN w:val="0"/>
      <w:adjustRightInd w:val="0"/>
      <w:spacing w:line="288" w:lineRule="auto"/>
      <w:textAlignment w:val="center"/>
    </w:pPr>
    <w:rPr>
      <w:rFonts w:ascii="Times-Roman" w:hAnsi="Times-Roman"/>
      <w:color w:val="000000"/>
      <w:lang w:val="en-US"/>
    </w:rPr>
  </w:style>
  <w:style w:type="table" w:styleId="TableGrid">
    <w:name w:val="Table Grid"/>
    <w:basedOn w:val="TableNormal"/>
    <w:rsid w:val="007132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Bold">
    <w:name w:val="Body Bold"/>
    <w:basedOn w:val="Normal"/>
    <w:semiHidden/>
    <w:rsid w:val="00F20F6C"/>
    <w:pPr>
      <w:widowControl w:val="0"/>
      <w:autoSpaceDE w:val="0"/>
      <w:autoSpaceDN w:val="0"/>
      <w:adjustRightInd w:val="0"/>
      <w:spacing w:after="240"/>
      <w:ind w:left="-70"/>
      <w:textAlignment w:val="center"/>
    </w:pPr>
    <w:rPr>
      <w:b/>
      <w:color w:val="000000"/>
      <w:sz w:val="20"/>
      <w:szCs w:val="9"/>
      <w:lang w:val="en-US"/>
    </w:rPr>
  </w:style>
  <w:style w:type="paragraph" w:customStyle="1" w:styleId="TitleSubHeading">
    <w:name w:val="_Title SubHeading"/>
    <w:basedOn w:val="TitleHeading"/>
    <w:rsid w:val="00BC3421"/>
    <w:pPr>
      <w:spacing w:before="0"/>
      <w:ind w:right="0"/>
    </w:pPr>
    <w:rPr>
      <w:b w:val="0"/>
      <w:sz w:val="21"/>
    </w:rPr>
  </w:style>
  <w:style w:type="paragraph" w:customStyle="1" w:styleId="BodyHeading">
    <w:name w:val="_BodyHeading"/>
    <w:basedOn w:val="Normal"/>
    <w:next w:val="Body"/>
    <w:rsid w:val="00D2300A"/>
    <w:pPr>
      <w:pageBreakBefore/>
      <w:spacing w:before="480" w:after="600"/>
      <w:ind w:left="34"/>
    </w:pPr>
    <w:rPr>
      <w:color w:val="003591"/>
      <w:sz w:val="44"/>
    </w:rPr>
  </w:style>
  <w:style w:type="paragraph" w:customStyle="1" w:styleId="Body">
    <w:name w:val="_Body"/>
    <w:basedOn w:val="Normal"/>
    <w:rsid w:val="00E126E1"/>
    <w:pPr>
      <w:spacing w:before="80" w:after="40"/>
      <w:ind w:left="-126" w:right="-120"/>
    </w:pPr>
    <w:rPr>
      <w:i/>
      <w:color w:val="000000"/>
      <w:sz w:val="17"/>
      <w:szCs w:val="17"/>
    </w:rPr>
  </w:style>
  <w:style w:type="paragraph" w:customStyle="1" w:styleId="Clear">
    <w:name w:val="Clear`"/>
    <w:basedOn w:val="Body"/>
    <w:semiHidden/>
    <w:rsid w:val="00F20F6C"/>
  </w:style>
  <w:style w:type="paragraph" w:customStyle="1" w:styleId="BodyHeading1">
    <w:name w:val="_BodyHeading1"/>
    <w:basedOn w:val="Body"/>
    <w:next w:val="Body"/>
    <w:rsid w:val="00B340A7"/>
    <w:pPr>
      <w:pageBreakBefore/>
      <w:spacing w:after="600"/>
    </w:pPr>
    <w:rPr>
      <w:b/>
      <w:color w:val="003591"/>
      <w:sz w:val="60"/>
    </w:rPr>
  </w:style>
  <w:style w:type="paragraph" w:customStyle="1" w:styleId="Bullet1">
    <w:name w:val="_Bullet 1"/>
    <w:basedOn w:val="Body"/>
    <w:rsid w:val="00DF59CA"/>
    <w:pPr>
      <w:numPr>
        <w:numId w:val="2"/>
      </w:numPr>
      <w:tabs>
        <w:tab w:val="left" w:pos="204"/>
      </w:tabs>
      <w:ind w:left="204" w:hanging="204"/>
    </w:pPr>
  </w:style>
  <w:style w:type="paragraph" w:customStyle="1" w:styleId="Table">
    <w:name w:val="_Table"/>
    <w:basedOn w:val="Normal"/>
    <w:qFormat/>
    <w:rsid w:val="009B6248"/>
    <w:pPr>
      <w:spacing w:before="60" w:after="60"/>
    </w:pPr>
    <w:rPr>
      <w:sz w:val="17"/>
      <w:szCs w:val="17"/>
    </w:rPr>
  </w:style>
  <w:style w:type="paragraph" w:customStyle="1" w:styleId="MediumGrid21">
    <w:name w:val="Medium Grid 21"/>
    <w:qFormat/>
    <w:rsid w:val="0050711B"/>
    <w:rPr>
      <w:sz w:val="2"/>
      <w:szCs w:val="24"/>
      <w:lang w:eastAsia="en-US"/>
    </w:rPr>
  </w:style>
  <w:style w:type="character" w:customStyle="1" w:styleId="Heading1Char">
    <w:name w:val="Heading 1 Char"/>
    <w:link w:val="Heading1"/>
    <w:semiHidden/>
    <w:locked/>
    <w:rsid w:val="00761E51"/>
    <w:rPr>
      <w:rFonts w:ascii="Cambria" w:hAnsi="Cambria"/>
      <w:b/>
      <w:kern w:val="32"/>
      <w:sz w:val="32"/>
      <w:lang w:val="en-AU" w:eastAsia="en-US"/>
    </w:rPr>
  </w:style>
  <w:style w:type="character" w:styleId="Hyperlink">
    <w:name w:val="Hyperlink"/>
    <w:rsid w:val="000C1716"/>
    <w:rPr>
      <w:color w:val="0000FF"/>
      <w:u w:val="single"/>
    </w:rPr>
  </w:style>
  <w:style w:type="paragraph" w:customStyle="1" w:styleId="BodySmall">
    <w:name w:val="_BodySmall"/>
    <w:basedOn w:val="Body"/>
    <w:rsid w:val="0010450B"/>
    <w:pPr>
      <w:spacing w:before="60" w:after="120"/>
    </w:pPr>
    <w:rPr>
      <w:sz w:val="14"/>
    </w:rPr>
  </w:style>
  <w:style w:type="paragraph" w:customStyle="1" w:styleId="Source">
    <w:name w:val="_Source"/>
    <w:basedOn w:val="Body"/>
    <w:rsid w:val="000D3B0E"/>
    <w:pPr>
      <w:spacing w:before="60" w:after="120"/>
      <w:ind w:left="0"/>
    </w:pPr>
    <w:rPr>
      <w:b/>
      <w:i w:val="0"/>
      <w:sz w:val="12"/>
    </w:rPr>
  </w:style>
  <w:style w:type="paragraph" w:customStyle="1" w:styleId="Titleheading2">
    <w:name w:val="_Title heading2"/>
    <w:basedOn w:val="TitleHeading"/>
    <w:rsid w:val="00493951"/>
    <w:pPr>
      <w:spacing w:before="360"/>
      <w:ind w:right="170"/>
      <w:jc w:val="right"/>
    </w:pPr>
    <w:rPr>
      <w:color w:val="A8B9D1"/>
      <w:sz w:val="40"/>
    </w:rPr>
  </w:style>
  <w:style w:type="character" w:customStyle="1" w:styleId="Heading3Char">
    <w:name w:val="Heading 3 Char"/>
    <w:link w:val="Heading3"/>
    <w:locked/>
    <w:rsid w:val="00395DDC"/>
    <w:rPr>
      <w:rFonts w:ascii="Cambria" w:hAnsi="Cambria"/>
      <w:b/>
      <w:bCs/>
      <w:sz w:val="26"/>
      <w:szCs w:val="26"/>
      <w:lang w:eastAsia="en-US"/>
    </w:rPr>
  </w:style>
  <w:style w:type="paragraph" w:styleId="TOC1">
    <w:name w:val="toc 1"/>
    <w:basedOn w:val="Normal"/>
    <w:next w:val="Normal"/>
    <w:autoRedefine/>
    <w:rsid w:val="00533865"/>
    <w:pPr>
      <w:pBdr>
        <w:top w:val="single" w:sz="4" w:space="1" w:color="000000"/>
        <w:bottom w:val="single" w:sz="4" w:space="1" w:color="000000"/>
      </w:pBdr>
      <w:shd w:val="clear" w:color="auto" w:fill="003591"/>
      <w:tabs>
        <w:tab w:val="right" w:pos="5387"/>
      </w:tabs>
      <w:spacing w:before="60" w:after="60"/>
      <w:ind w:right="4536"/>
    </w:pPr>
    <w:rPr>
      <w:color w:val="FFFFFF"/>
      <w:sz w:val="18"/>
    </w:rPr>
  </w:style>
  <w:style w:type="character" w:customStyle="1" w:styleId="Heading2Char">
    <w:name w:val="Heading 2 Char"/>
    <w:link w:val="Heading2"/>
    <w:semiHidden/>
    <w:locked/>
    <w:rsid w:val="00395DDC"/>
    <w:rPr>
      <w:rFonts w:ascii="Cambria" w:hAnsi="Cambria"/>
      <w:b/>
      <w:i/>
      <w:sz w:val="28"/>
      <w:lang w:val="en-AU" w:eastAsia="en-US"/>
    </w:rPr>
  </w:style>
  <w:style w:type="paragraph" w:styleId="TOC2">
    <w:name w:val="toc 2"/>
    <w:basedOn w:val="Normal"/>
    <w:next w:val="Normal"/>
    <w:autoRedefine/>
    <w:rsid w:val="00533865"/>
    <w:pPr>
      <w:pBdr>
        <w:top w:val="single" w:sz="4" w:space="1" w:color="939598"/>
        <w:bottom w:val="single" w:sz="4" w:space="1" w:color="939598"/>
      </w:pBdr>
      <w:shd w:val="clear" w:color="auto" w:fill="B6C5E3"/>
      <w:tabs>
        <w:tab w:val="right" w:pos="5387"/>
      </w:tabs>
      <w:spacing w:before="60" w:after="60"/>
      <w:ind w:right="4536" w:firstLine="142"/>
    </w:pPr>
    <w:rPr>
      <w:b/>
      <w:sz w:val="18"/>
    </w:rPr>
  </w:style>
  <w:style w:type="character" w:customStyle="1" w:styleId="FooterChar">
    <w:name w:val="Footer Char"/>
    <w:aliases w:val="_Footer Char"/>
    <w:link w:val="Footer"/>
    <w:locked/>
    <w:rsid w:val="003E71B4"/>
    <w:rPr>
      <w:color w:val="FFD400"/>
      <w:sz w:val="24"/>
      <w:lang w:val="en-AU" w:eastAsia="en-US"/>
    </w:rPr>
  </w:style>
  <w:style w:type="paragraph" w:customStyle="1" w:styleId="TableBullet">
    <w:name w:val="_Table Bullet"/>
    <w:basedOn w:val="Table"/>
    <w:rsid w:val="007C2D15"/>
    <w:pPr>
      <w:numPr>
        <w:numId w:val="3"/>
      </w:numPr>
      <w:tabs>
        <w:tab w:val="left" w:pos="567"/>
      </w:tabs>
    </w:pPr>
  </w:style>
  <w:style w:type="paragraph" w:customStyle="1" w:styleId="Tableheading">
    <w:name w:val="_Table heading"/>
    <w:basedOn w:val="Table"/>
    <w:rsid w:val="009904B1"/>
    <w:pPr>
      <w:spacing w:before="100" w:after="100"/>
    </w:pPr>
    <w:rPr>
      <w:b/>
    </w:rPr>
  </w:style>
  <w:style w:type="paragraph" w:styleId="TOC3">
    <w:name w:val="toc 3"/>
    <w:basedOn w:val="Normal"/>
    <w:next w:val="Normal"/>
    <w:autoRedefine/>
    <w:rsid w:val="00533865"/>
    <w:pPr>
      <w:tabs>
        <w:tab w:val="left" w:pos="426"/>
        <w:tab w:val="right" w:pos="5387"/>
      </w:tabs>
      <w:spacing w:before="40" w:after="40"/>
      <w:ind w:right="4536" w:firstLine="142"/>
    </w:pPr>
    <w:rPr>
      <w:noProof/>
      <w:sz w:val="18"/>
    </w:rPr>
  </w:style>
  <w:style w:type="paragraph" w:customStyle="1" w:styleId="TableBullet1">
    <w:name w:val="_Table Bullet 1"/>
    <w:basedOn w:val="TableBullet"/>
    <w:rsid w:val="00ED1CC2"/>
    <w:pPr>
      <w:numPr>
        <w:numId w:val="4"/>
      </w:numPr>
      <w:tabs>
        <w:tab w:val="left" w:pos="356"/>
      </w:tabs>
      <w:ind w:left="370" w:hanging="195"/>
    </w:pPr>
  </w:style>
  <w:style w:type="paragraph" w:customStyle="1" w:styleId="BodyHeading2">
    <w:name w:val="_BodyHeading2"/>
    <w:basedOn w:val="BodyHeading1"/>
    <w:rsid w:val="0089437F"/>
    <w:pPr>
      <w:pageBreakBefore w:val="0"/>
      <w:spacing w:before="200" w:after="60"/>
      <w:ind w:left="431" w:hanging="431"/>
    </w:pPr>
    <w:rPr>
      <w:color w:val="000000"/>
      <w:sz w:val="22"/>
    </w:rPr>
  </w:style>
  <w:style w:type="paragraph" w:customStyle="1" w:styleId="BodyHeading3">
    <w:name w:val="_BodyHeading3"/>
    <w:basedOn w:val="BodyHeading2"/>
    <w:next w:val="Body"/>
    <w:rsid w:val="00F72D0F"/>
    <w:pPr>
      <w:numPr>
        <w:ilvl w:val="1"/>
      </w:numPr>
      <w:ind w:left="578" w:hanging="578"/>
    </w:pPr>
    <w:rPr>
      <w:color w:val="003591"/>
      <w:sz w:val="18"/>
    </w:rPr>
  </w:style>
  <w:style w:type="character" w:customStyle="1" w:styleId="Heading4Char">
    <w:name w:val="Heading 4 Char"/>
    <w:link w:val="Heading4"/>
    <w:locked/>
    <w:rsid w:val="00C0217B"/>
    <w:rPr>
      <w:rFonts w:ascii="Calibri" w:eastAsia="MS Mincho" w:hAnsi="Calibri"/>
      <w:b/>
      <w:bCs/>
      <w:sz w:val="28"/>
      <w:szCs w:val="28"/>
      <w:lang w:eastAsia="en-US"/>
    </w:rPr>
  </w:style>
  <w:style w:type="character" w:customStyle="1" w:styleId="Heading5Char">
    <w:name w:val="Heading 5 Char"/>
    <w:link w:val="Heading5"/>
    <w:locked/>
    <w:rsid w:val="00C0217B"/>
    <w:rPr>
      <w:rFonts w:ascii="Calibri" w:eastAsia="MS Mincho" w:hAnsi="Calibri"/>
      <w:b/>
      <w:bCs/>
      <w:i/>
      <w:iCs/>
      <w:sz w:val="26"/>
      <w:szCs w:val="26"/>
      <w:lang w:eastAsia="en-US"/>
    </w:rPr>
  </w:style>
  <w:style w:type="character" w:customStyle="1" w:styleId="Heading6Char">
    <w:name w:val="Heading 6 Char"/>
    <w:link w:val="Heading6"/>
    <w:locked/>
    <w:rsid w:val="00C0217B"/>
    <w:rPr>
      <w:rFonts w:ascii="Calibri" w:eastAsia="MS Mincho" w:hAnsi="Calibri"/>
      <w:b/>
      <w:bCs/>
      <w:sz w:val="22"/>
      <w:szCs w:val="22"/>
      <w:lang w:eastAsia="en-US"/>
    </w:rPr>
  </w:style>
  <w:style w:type="character" w:customStyle="1" w:styleId="Heading7Char">
    <w:name w:val="Heading 7 Char"/>
    <w:link w:val="Heading7"/>
    <w:locked/>
    <w:rsid w:val="00C0217B"/>
    <w:rPr>
      <w:rFonts w:ascii="Calibri" w:eastAsia="MS Mincho" w:hAnsi="Calibri"/>
      <w:sz w:val="24"/>
      <w:szCs w:val="24"/>
      <w:lang w:eastAsia="en-US"/>
    </w:rPr>
  </w:style>
  <w:style w:type="character" w:customStyle="1" w:styleId="Heading8Char">
    <w:name w:val="Heading 8 Char"/>
    <w:link w:val="Heading8"/>
    <w:locked/>
    <w:rsid w:val="00C0217B"/>
    <w:rPr>
      <w:rFonts w:ascii="Calibri" w:eastAsia="MS Mincho" w:hAnsi="Calibri"/>
      <w:i/>
      <w:iCs/>
      <w:sz w:val="24"/>
      <w:szCs w:val="24"/>
      <w:lang w:eastAsia="en-US"/>
    </w:rPr>
  </w:style>
  <w:style w:type="character" w:customStyle="1" w:styleId="Heading9Char">
    <w:name w:val="Heading 9 Char"/>
    <w:link w:val="Heading9"/>
    <w:locked/>
    <w:rsid w:val="00C0217B"/>
    <w:rPr>
      <w:rFonts w:ascii="Cambria" w:hAnsi="Cambria"/>
      <w:sz w:val="22"/>
      <w:szCs w:val="22"/>
      <w:lang w:eastAsia="en-US"/>
    </w:rPr>
  </w:style>
  <w:style w:type="paragraph" w:customStyle="1" w:styleId="BodyHeading4">
    <w:name w:val="_BodyHeading4"/>
    <w:basedOn w:val="BodyHeading3"/>
    <w:rsid w:val="00327BAD"/>
    <w:pPr>
      <w:numPr>
        <w:ilvl w:val="0"/>
      </w:numPr>
      <w:ind w:left="578" w:hanging="578"/>
    </w:pPr>
    <w:rPr>
      <w:lang w:val="en-GB" w:eastAsia="ja-JP"/>
    </w:rPr>
  </w:style>
  <w:style w:type="paragraph" w:customStyle="1" w:styleId="BodyHeading5">
    <w:name w:val="_BodyHeading5"/>
    <w:basedOn w:val="BodyHeading2"/>
    <w:rsid w:val="002A6071"/>
    <w:rPr>
      <w:lang w:val="en-GB" w:eastAsia="ja-JP"/>
    </w:rPr>
  </w:style>
  <w:style w:type="paragraph" w:customStyle="1" w:styleId="Appendix">
    <w:name w:val="_Appendix"/>
    <w:basedOn w:val="BodyHeading1"/>
    <w:rsid w:val="008B77E4"/>
  </w:style>
  <w:style w:type="paragraph" w:customStyle="1" w:styleId="BodyHeadingA">
    <w:name w:val="_BodyHeadingA"/>
    <w:basedOn w:val="BodyHeading"/>
    <w:rsid w:val="00051700"/>
  </w:style>
  <w:style w:type="paragraph" w:customStyle="1" w:styleId="TOCHeading1">
    <w:name w:val="TOC Heading1"/>
    <w:basedOn w:val="Heading1"/>
    <w:next w:val="Normal"/>
    <w:qFormat/>
    <w:rsid w:val="00051700"/>
    <w:pPr>
      <w:keepLines/>
      <w:spacing w:before="480" w:after="0" w:line="276" w:lineRule="auto"/>
      <w:outlineLvl w:val="9"/>
    </w:pPr>
    <w:rPr>
      <w:color w:val="365F91"/>
      <w:kern w:val="0"/>
      <w:sz w:val="28"/>
      <w:szCs w:val="28"/>
      <w:lang w:val="en-US"/>
    </w:rPr>
  </w:style>
  <w:style w:type="paragraph" w:styleId="ListBullet">
    <w:name w:val="List Bullet"/>
    <w:basedOn w:val="Normal"/>
    <w:semiHidden/>
    <w:rsid w:val="00CF4387"/>
    <w:pPr>
      <w:numPr>
        <w:numId w:val="1"/>
      </w:numPr>
      <w:contextualSpacing/>
    </w:pPr>
  </w:style>
  <w:style w:type="paragraph" w:customStyle="1" w:styleId="Bet">
    <w:name w:val="_Bet"/>
    <w:basedOn w:val="Body"/>
    <w:rsid w:val="001D3D54"/>
    <w:rPr>
      <w:sz w:val="5"/>
    </w:rPr>
  </w:style>
  <w:style w:type="paragraph" w:customStyle="1" w:styleId="Tablealphabullet">
    <w:name w:val="_Table alpha bullet"/>
    <w:basedOn w:val="TableBullet"/>
    <w:qFormat/>
    <w:rsid w:val="00E96B5B"/>
    <w:pPr>
      <w:numPr>
        <w:numId w:val="0"/>
      </w:numPr>
      <w:tabs>
        <w:tab w:val="clear" w:pos="567"/>
        <w:tab w:val="num" w:pos="284"/>
        <w:tab w:val="left" w:pos="709"/>
      </w:tabs>
      <w:ind w:left="360" w:hanging="284"/>
    </w:pPr>
  </w:style>
  <w:style w:type="paragraph" w:customStyle="1" w:styleId="ColorfulList-Accent11">
    <w:name w:val="Colorful List - Accent 11"/>
    <w:basedOn w:val="Normal"/>
    <w:qFormat/>
    <w:rsid w:val="00F96CEF"/>
    <w:pPr>
      <w:spacing w:after="200" w:line="276" w:lineRule="auto"/>
      <w:ind w:left="720"/>
      <w:contextualSpacing/>
    </w:pPr>
    <w:rPr>
      <w:rFonts w:ascii="Calibri" w:eastAsia="Times New Roman" w:hAnsi="Calibri"/>
      <w:sz w:val="22"/>
      <w:szCs w:val="22"/>
    </w:rPr>
  </w:style>
  <w:style w:type="character" w:customStyle="1" w:styleId="resizable-content">
    <w:name w:val="resizable-content"/>
    <w:basedOn w:val="DefaultParagraphFont"/>
    <w:rsid w:val="004825BB"/>
  </w:style>
  <w:style w:type="character" w:styleId="CommentReference">
    <w:name w:val="annotation reference"/>
    <w:basedOn w:val="DefaultParagraphFont"/>
    <w:rsid w:val="00EB26CB"/>
    <w:rPr>
      <w:sz w:val="16"/>
      <w:szCs w:val="16"/>
    </w:rPr>
  </w:style>
  <w:style w:type="paragraph" w:styleId="CommentText">
    <w:name w:val="annotation text"/>
    <w:basedOn w:val="Normal"/>
    <w:link w:val="CommentTextChar"/>
    <w:rsid w:val="00EB26CB"/>
    <w:rPr>
      <w:sz w:val="20"/>
      <w:szCs w:val="20"/>
    </w:rPr>
  </w:style>
  <w:style w:type="character" w:customStyle="1" w:styleId="CommentTextChar">
    <w:name w:val="Comment Text Char"/>
    <w:basedOn w:val="DefaultParagraphFont"/>
    <w:link w:val="CommentText"/>
    <w:rsid w:val="00EB26CB"/>
    <w:rPr>
      <w:lang w:eastAsia="en-US"/>
    </w:rPr>
  </w:style>
  <w:style w:type="paragraph" w:styleId="CommentSubject">
    <w:name w:val="annotation subject"/>
    <w:basedOn w:val="CommentText"/>
    <w:next w:val="CommentText"/>
    <w:link w:val="CommentSubjectChar"/>
    <w:rsid w:val="00EB26CB"/>
    <w:rPr>
      <w:b/>
      <w:bCs/>
    </w:rPr>
  </w:style>
  <w:style w:type="character" w:customStyle="1" w:styleId="CommentSubjectChar">
    <w:name w:val="Comment Subject Char"/>
    <w:basedOn w:val="CommentTextChar"/>
    <w:link w:val="CommentSubject"/>
    <w:rsid w:val="00EB26CB"/>
    <w:rPr>
      <w:b/>
      <w:bCs/>
      <w:lang w:eastAsia="en-US"/>
    </w:rPr>
  </w:style>
  <w:style w:type="paragraph" w:styleId="ListParagraph">
    <w:name w:val="List Paragraph"/>
    <w:basedOn w:val="Normal"/>
    <w:uiPriority w:val="34"/>
    <w:qFormat/>
    <w:rsid w:val="004170E9"/>
    <w:pPr>
      <w:spacing w:after="141" w:line="270" w:lineRule="auto"/>
      <w:ind w:left="720" w:hanging="370"/>
      <w:contextualSpacing/>
    </w:pPr>
    <w:rPr>
      <w:rFonts w:ascii="Times New Roman" w:eastAsia="Times New Roman" w:hAnsi="Times New Roman"/>
      <w:color w:val="000000"/>
      <w:szCs w:val="22"/>
      <w:lang w:val="en-US"/>
    </w:rPr>
  </w:style>
  <w:style w:type="character" w:styleId="UnresolvedMention">
    <w:name w:val="Unresolved Mention"/>
    <w:basedOn w:val="DefaultParagraphFont"/>
    <w:uiPriority w:val="99"/>
    <w:semiHidden/>
    <w:unhideWhenUsed/>
    <w:rsid w:val="005524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cpaaustralia.com.au/professional-resources/taxation/division-7a" TargetMode="External"/><Relationship Id="rId18" Type="http://schemas.openxmlformats.org/officeDocument/2006/relationships/hyperlink" Target="https://www.ato.gov.au/business/venture-capital-and-early-stage-venture-capital-limited-partnerships/esvclp-tax-incentives-and-concessions/" TargetMode="Externa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www.cpaaustralia.com.au/professional-resources/taxation/year-end" TargetMode="External"/><Relationship Id="rId17" Type="http://schemas.openxmlformats.org/officeDocument/2006/relationships/hyperlink" Target="https://www.cpaaustralia.com.au/professional-resources/taxation/year-end" TargetMode="External"/><Relationship Id="rId2" Type="http://schemas.openxmlformats.org/officeDocument/2006/relationships/numbering" Target="numbering.xml"/><Relationship Id="rId16" Type="http://schemas.openxmlformats.org/officeDocument/2006/relationships/hyperlink" Target="https://www.ato.gov.au/business/consolidation/in-detail/consolidation-reference-manual/" TargetMode="External"/><Relationship Id="rId20" Type="http://schemas.openxmlformats.org/officeDocument/2006/relationships/hyperlink" Target="https://www.ato.gov.au/Business/Large-business/In-detail/Business-bulletins/Articles/Expansion-of-reportable-tax-position-schedul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cpaaustralia.com.au/professional-resources/taxation/year-end" TargetMode="Externa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https://www.ato.gov.au/Business/Tax-incentives-for-innovation/In-detail/Tax-incentives-for-early-stage-investors/?anchor=Qualifying_for_the_tax_incentive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ato.gov.au/Print-publications/Your-service-entity-arrangements/" TargetMode="External"/><Relationship Id="rId22"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3E5460-3505-4019-8CD5-0C4D5198A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17</Pages>
  <Words>8382</Words>
  <Characters>45526</Characters>
  <Application>Microsoft Office Word</Application>
  <DocSecurity>0</DocSecurity>
  <Lines>379</Lines>
  <Paragraphs>107</Paragraphs>
  <ScaleCrop>false</ScaleCrop>
  <HeadingPairs>
    <vt:vector size="2" baseType="variant">
      <vt:variant>
        <vt:lpstr>Title</vt:lpstr>
      </vt:variant>
      <vt:variant>
        <vt:i4>1</vt:i4>
      </vt:variant>
    </vt:vector>
  </HeadingPairs>
  <TitlesOfParts>
    <vt:vector size="1" baseType="lpstr">
      <vt:lpstr>2018 Company Tax Return Checklist</vt:lpstr>
    </vt:vector>
  </TitlesOfParts>
  <Company>CPA Australia</Company>
  <LinksUpToDate>false</LinksUpToDate>
  <CharactersWithSpaces>53801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 Company Tax Return Checklist</dc:title>
  <dc:creator>Michelle Webb</dc:creator>
  <cp:keywords>tax returns, tax checklists, year end checklists</cp:keywords>
  <cp:lastModifiedBy>Michelle Webb</cp:lastModifiedBy>
  <cp:revision>46</cp:revision>
  <cp:lastPrinted>2018-06-08T01:24:00Z</cp:lastPrinted>
  <dcterms:created xsi:type="dcterms:W3CDTF">2018-06-07T22:39:00Z</dcterms:created>
  <dcterms:modified xsi:type="dcterms:W3CDTF">2018-06-08T02:07:00Z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ject">
    <vt:lpwstr>melbnonibd</vt:lpwstr>
  </property>
</Properties>
</file>