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80EEE" w14:textId="2B2D7957" w:rsidR="003B7348" w:rsidRDefault="00B41956" w:rsidP="00B41956">
      <w:pPr>
        <w:pStyle w:val="Title"/>
        <w:sectPr w:rsidR="003B7348" w:rsidSect="005446A8">
          <w:headerReference w:type="default" r:id="rId11"/>
          <w:pgSz w:w="11906" w:h="16838" w:code="9"/>
          <w:pgMar w:top="1701" w:right="964" w:bottom="1701" w:left="964" w:header="737" w:footer="680" w:gutter="0"/>
          <w:cols w:space="708"/>
          <w:vAlign w:val="center"/>
          <w:docGrid w:linePitch="360"/>
        </w:sectPr>
      </w:pPr>
      <w:r>
        <w:t>FBT Checklist 202</w:t>
      </w:r>
      <w:r w:rsidR="009F5406">
        <w:t>4</w:t>
      </w:r>
    </w:p>
    <w:p w14:paraId="17A7A283" w14:textId="0B8B1BBA" w:rsidR="00B41956" w:rsidRPr="00B41956" w:rsidRDefault="00B41956" w:rsidP="00B41956">
      <w:r w:rsidRPr="00B41956">
        <w:rPr>
          <w:rStyle w:val="Heading1Char"/>
        </w:rPr>
        <w:t>How to use this checklist</w:t>
      </w:r>
      <w:r>
        <w:rPr>
          <w:rStyle w:val="Heading1Char"/>
        </w:rPr>
        <w:br/>
      </w:r>
      <w:r>
        <w:br/>
      </w:r>
      <w:r w:rsidRPr="00296DCF">
        <w:t xml:space="preserve">This checklist is a summary guide to the procedures and mechanics for preparing the </w:t>
      </w:r>
      <w:r>
        <w:t>202</w:t>
      </w:r>
      <w:r w:rsidR="00226FA6">
        <w:t>4</w:t>
      </w:r>
      <w:r w:rsidRPr="00296DCF">
        <w:t xml:space="preserve"> </w:t>
      </w:r>
      <w:r>
        <w:t>Fringe Benefits Tax (</w:t>
      </w:r>
      <w:r w:rsidRPr="00296DCF">
        <w:t>FBT</w:t>
      </w:r>
      <w:r>
        <w:t>)</w:t>
      </w:r>
      <w:r w:rsidRPr="00296DCF">
        <w:t xml:space="preserve"> return. It cannot cover all potential issues and practitioners are recommended to refer to the relevant legislation or seek specialist advice.</w:t>
      </w:r>
    </w:p>
    <w:tbl>
      <w:tblPr>
        <w:tblW w:w="0" w:type="auto"/>
        <w:tblCellMar>
          <w:top w:w="170" w:type="dxa"/>
          <w:left w:w="0" w:type="dxa"/>
          <w:bottom w:w="170" w:type="dxa"/>
          <w:right w:w="0" w:type="dxa"/>
        </w:tblCellMar>
        <w:tblLook w:val="04A0" w:firstRow="1" w:lastRow="0" w:firstColumn="1" w:lastColumn="0" w:noHBand="0" w:noVBand="1"/>
      </w:tblPr>
      <w:tblGrid>
        <w:gridCol w:w="896"/>
        <w:gridCol w:w="9082"/>
      </w:tblGrid>
      <w:tr w:rsidR="00B41956" w:rsidRPr="00296DCF" w14:paraId="03070D00" w14:textId="77777777" w:rsidTr="00D1601A">
        <w:tc>
          <w:tcPr>
            <w:tcW w:w="902" w:type="dxa"/>
          </w:tcPr>
          <w:p w14:paraId="151241BA" w14:textId="77777777" w:rsidR="00B41956" w:rsidRPr="00296DCF" w:rsidRDefault="00B41956" w:rsidP="00B41956">
            <w:pPr>
              <w:rPr>
                <w:b/>
              </w:rPr>
            </w:pPr>
            <w:r w:rsidRPr="00296DCF">
              <w:rPr>
                <w:b/>
              </w:rPr>
              <w:t>Step 1</w:t>
            </w:r>
          </w:p>
        </w:tc>
        <w:tc>
          <w:tcPr>
            <w:tcW w:w="9183" w:type="dxa"/>
          </w:tcPr>
          <w:p w14:paraId="787030A4" w14:textId="72B36989" w:rsidR="00B41956" w:rsidRPr="00296DCF" w:rsidRDefault="00B41956" w:rsidP="00B41956">
            <w:r w:rsidRPr="00296DCF">
              <w:t xml:space="preserve">Identify the potential areas of expenditure or benefits that may be subject to </w:t>
            </w:r>
            <w:r>
              <w:t>FBT</w:t>
            </w:r>
            <w:r w:rsidRPr="00296DCF">
              <w:t>.</w:t>
            </w:r>
            <w:r w:rsidRPr="00296DCF">
              <w:br/>
              <w:t xml:space="preserve">(refer to </w:t>
            </w:r>
            <w:r w:rsidRPr="002B5DA9">
              <w:t>pages 3 to 1</w:t>
            </w:r>
            <w:r w:rsidR="00226FA6">
              <w:t>5</w:t>
            </w:r>
            <w:r w:rsidRPr="00296DCF">
              <w:t xml:space="preserve"> for a checklist of benefits that may give rise to </w:t>
            </w:r>
            <w:r>
              <w:t>FBT</w:t>
            </w:r>
            <w:r w:rsidRPr="00296DCF">
              <w:t>)</w:t>
            </w:r>
          </w:p>
        </w:tc>
      </w:tr>
      <w:tr w:rsidR="00B41956" w:rsidRPr="00296DCF" w14:paraId="406625D3" w14:textId="77777777" w:rsidTr="00D1601A">
        <w:tc>
          <w:tcPr>
            <w:tcW w:w="902" w:type="dxa"/>
          </w:tcPr>
          <w:p w14:paraId="408A7192" w14:textId="77777777" w:rsidR="00B41956" w:rsidRPr="00296DCF" w:rsidRDefault="00B41956" w:rsidP="00B41956">
            <w:pPr>
              <w:rPr>
                <w:b/>
              </w:rPr>
            </w:pPr>
            <w:r w:rsidRPr="00296DCF">
              <w:rPr>
                <w:b/>
              </w:rPr>
              <w:t>Step 2</w:t>
            </w:r>
          </w:p>
        </w:tc>
        <w:tc>
          <w:tcPr>
            <w:tcW w:w="9183" w:type="dxa"/>
          </w:tcPr>
          <w:p w14:paraId="1A33CD34" w14:textId="77777777" w:rsidR="00B41956" w:rsidRPr="00296DCF" w:rsidRDefault="00B41956" w:rsidP="00B41956">
            <w:r w:rsidRPr="00296DCF">
              <w:t xml:space="preserve">Determine what information is required to be extracted from the accounting records.  </w:t>
            </w:r>
            <w:r w:rsidRPr="00296DCF">
              <w:br/>
              <w:t xml:space="preserve">This depends on: </w:t>
            </w:r>
          </w:p>
          <w:p w14:paraId="5054023B" w14:textId="67E4AB19" w:rsidR="00B41956" w:rsidRPr="00296DCF" w:rsidRDefault="00987DE1" w:rsidP="00B41956">
            <w:r>
              <w:t xml:space="preserve">- </w:t>
            </w:r>
            <w:r w:rsidR="00B41956" w:rsidRPr="00296DCF">
              <w:t xml:space="preserve">the category of the benefit (refer to </w:t>
            </w:r>
            <w:r w:rsidR="00B41956" w:rsidRPr="00D63CE4">
              <w:t xml:space="preserve">pages </w:t>
            </w:r>
            <w:r w:rsidR="00B41956" w:rsidRPr="002B5DA9">
              <w:t>3 to 1</w:t>
            </w:r>
            <w:r w:rsidR="00226FA6">
              <w:t>5</w:t>
            </w:r>
            <w:r w:rsidR="00B41956" w:rsidRPr="00296DCF">
              <w:t xml:space="preserve"> for various categories of benefits)</w:t>
            </w:r>
          </w:p>
          <w:p w14:paraId="41E67011" w14:textId="2B0702AE" w:rsidR="00B41956" w:rsidRPr="00296DCF" w:rsidRDefault="00987DE1" w:rsidP="00B41956">
            <w:r>
              <w:t xml:space="preserve">- </w:t>
            </w:r>
            <w:r w:rsidR="00B41956" w:rsidRPr="00296DCF">
              <w:t>the method or formula selected (refer to step 3 below)</w:t>
            </w:r>
            <w:r w:rsidR="00B41956">
              <w:t>.</w:t>
            </w:r>
          </w:p>
        </w:tc>
      </w:tr>
      <w:tr w:rsidR="00B41956" w:rsidRPr="00296DCF" w14:paraId="6690E476" w14:textId="77777777" w:rsidTr="00D1601A">
        <w:tc>
          <w:tcPr>
            <w:tcW w:w="902" w:type="dxa"/>
          </w:tcPr>
          <w:p w14:paraId="29C5EDD7" w14:textId="77777777" w:rsidR="00B41956" w:rsidRPr="00296DCF" w:rsidRDefault="00B41956" w:rsidP="00B41956">
            <w:pPr>
              <w:rPr>
                <w:b/>
              </w:rPr>
            </w:pPr>
            <w:r w:rsidRPr="00296DCF">
              <w:rPr>
                <w:b/>
              </w:rPr>
              <w:t>Step 3</w:t>
            </w:r>
          </w:p>
        </w:tc>
        <w:tc>
          <w:tcPr>
            <w:tcW w:w="9183" w:type="dxa"/>
          </w:tcPr>
          <w:p w14:paraId="294210F2" w14:textId="4C1B232D" w:rsidR="00B41956" w:rsidRPr="00296DCF" w:rsidRDefault="00B41956" w:rsidP="00B41956">
            <w:r w:rsidRPr="00296DCF">
              <w:t>Choose the formula which gives the most tax effective result for the effort expended.</w:t>
            </w:r>
            <w:r w:rsidRPr="00296DCF">
              <w:br/>
              <w:t xml:space="preserve">(refer </w:t>
            </w:r>
            <w:r w:rsidRPr="002B5DA9">
              <w:t>pages 1</w:t>
            </w:r>
            <w:r w:rsidR="00226FA6">
              <w:t>6</w:t>
            </w:r>
            <w:r w:rsidRPr="002B5DA9">
              <w:t xml:space="preserve"> to </w:t>
            </w:r>
            <w:r w:rsidR="00226FA6">
              <w:t>23</w:t>
            </w:r>
            <w:r w:rsidRPr="00296DCF">
              <w:t xml:space="preserve"> for a list of formulae)</w:t>
            </w:r>
          </w:p>
        </w:tc>
      </w:tr>
      <w:tr w:rsidR="00B41956" w:rsidRPr="00296DCF" w14:paraId="79DCCF39" w14:textId="77777777" w:rsidTr="00D1601A">
        <w:tc>
          <w:tcPr>
            <w:tcW w:w="902" w:type="dxa"/>
          </w:tcPr>
          <w:p w14:paraId="5F9966D2" w14:textId="77777777" w:rsidR="00B41956" w:rsidRPr="00296DCF" w:rsidRDefault="00B41956" w:rsidP="00B41956">
            <w:pPr>
              <w:rPr>
                <w:b/>
              </w:rPr>
            </w:pPr>
            <w:r w:rsidRPr="00296DCF">
              <w:rPr>
                <w:b/>
              </w:rPr>
              <w:t>Step 4</w:t>
            </w:r>
          </w:p>
        </w:tc>
        <w:tc>
          <w:tcPr>
            <w:tcW w:w="9183" w:type="dxa"/>
          </w:tcPr>
          <w:p w14:paraId="1B0A6BF8" w14:textId="77777777" w:rsidR="00B41956" w:rsidRPr="00296DCF" w:rsidRDefault="00B41956" w:rsidP="00B41956">
            <w:r w:rsidRPr="00296DCF">
              <w:t>Perform and record calculations.</w:t>
            </w:r>
          </w:p>
        </w:tc>
      </w:tr>
      <w:tr w:rsidR="00B41956" w:rsidRPr="00296DCF" w14:paraId="2461DCD0" w14:textId="77777777" w:rsidTr="00D1601A">
        <w:tc>
          <w:tcPr>
            <w:tcW w:w="902" w:type="dxa"/>
          </w:tcPr>
          <w:p w14:paraId="2706BE83" w14:textId="77777777" w:rsidR="00B41956" w:rsidRPr="00296DCF" w:rsidRDefault="00B41956" w:rsidP="00B41956">
            <w:pPr>
              <w:rPr>
                <w:b/>
              </w:rPr>
            </w:pPr>
            <w:r w:rsidRPr="00296DCF">
              <w:rPr>
                <w:b/>
              </w:rPr>
              <w:t>Step 5</w:t>
            </w:r>
          </w:p>
        </w:tc>
        <w:tc>
          <w:tcPr>
            <w:tcW w:w="9183" w:type="dxa"/>
          </w:tcPr>
          <w:p w14:paraId="48C7645B" w14:textId="48214D2A" w:rsidR="00B41956" w:rsidRPr="00296DCF" w:rsidRDefault="00B41956" w:rsidP="00B41956">
            <w:r w:rsidRPr="00296DCF">
              <w:t xml:space="preserve">Ensure that the necessary documentation is kept to substantiate the taxable value of the fringe benefits. Please note that this should also include calculations and recording of benefits that are either exempt or have a nil value (refer </w:t>
            </w:r>
            <w:r w:rsidRPr="002B5DA9">
              <w:t>page 2</w:t>
            </w:r>
            <w:r w:rsidR="00226FA6">
              <w:t>4</w:t>
            </w:r>
            <w:r w:rsidRPr="00D63CE4">
              <w:t>).</w:t>
            </w:r>
          </w:p>
        </w:tc>
      </w:tr>
      <w:tr w:rsidR="00B41956" w:rsidRPr="00296DCF" w14:paraId="7941D054" w14:textId="77777777" w:rsidTr="00D1601A">
        <w:tc>
          <w:tcPr>
            <w:tcW w:w="902" w:type="dxa"/>
          </w:tcPr>
          <w:p w14:paraId="5960E4AA" w14:textId="77777777" w:rsidR="00B41956" w:rsidRPr="00296DCF" w:rsidRDefault="00B41956" w:rsidP="00B41956">
            <w:pPr>
              <w:rPr>
                <w:b/>
              </w:rPr>
            </w:pPr>
            <w:r w:rsidRPr="00296DCF">
              <w:rPr>
                <w:b/>
              </w:rPr>
              <w:t>Step 6</w:t>
            </w:r>
          </w:p>
        </w:tc>
        <w:tc>
          <w:tcPr>
            <w:tcW w:w="9183" w:type="dxa"/>
          </w:tcPr>
          <w:p w14:paraId="75312413" w14:textId="77777777" w:rsidR="00B41956" w:rsidRPr="00296DCF" w:rsidRDefault="00B41956" w:rsidP="00B41956">
            <w:r w:rsidRPr="00296DCF">
              <w:t>Compilation of the FBT return.</w:t>
            </w:r>
          </w:p>
        </w:tc>
      </w:tr>
      <w:tr w:rsidR="00B41956" w:rsidRPr="00296DCF" w14:paraId="62C5F11A" w14:textId="77777777" w:rsidTr="00D1601A">
        <w:tc>
          <w:tcPr>
            <w:tcW w:w="902" w:type="dxa"/>
          </w:tcPr>
          <w:p w14:paraId="6CE22837" w14:textId="77777777" w:rsidR="00B41956" w:rsidRPr="00296DCF" w:rsidRDefault="00B41956" w:rsidP="00B41956">
            <w:pPr>
              <w:rPr>
                <w:b/>
              </w:rPr>
            </w:pPr>
            <w:r w:rsidRPr="00296DCF">
              <w:rPr>
                <w:b/>
              </w:rPr>
              <w:t>Step 7</w:t>
            </w:r>
          </w:p>
        </w:tc>
        <w:tc>
          <w:tcPr>
            <w:tcW w:w="9183" w:type="dxa"/>
          </w:tcPr>
          <w:p w14:paraId="3B2DB001" w14:textId="356B8E00" w:rsidR="00B41956" w:rsidRPr="00296DCF" w:rsidRDefault="00B41956" w:rsidP="00B41956">
            <w:r w:rsidRPr="00296DCF">
              <w:t>Consider tax planning opportunities for 20</w:t>
            </w:r>
            <w:r>
              <w:t>2</w:t>
            </w:r>
            <w:r w:rsidR="00226FA6">
              <w:t>5</w:t>
            </w:r>
            <w:r w:rsidRPr="00296DCF">
              <w:t xml:space="preserve"> </w:t>
            </w:r>
            <w:r>
              <w:t>FBT</w:t>
            </w:r>
            <w:r w:rsidRPr="00296DCF">
              <w:t xml:space="preserve"> year and salary packaging options. (refer pages </w:t>
            </w:r>
            <w:r w:rsidRPr="002B5DA9">
              <w:t>2</w:t>
            </w:r>
            <w:r w:rsidR="00B518DA">
              <w:t>9</w:t>
            </w:r>
            <w:r w:rsidRPr="002B5DA9">
              <w:t xml:space="preserve"> to </w:t>
            </w:r>
            <w:r w:rsidR="00B518DA">
              <w:t>33</w:t>
            </w:r>
            <w:r w:rsidRPr="00D63CE4">
              <w:t>).</w:t>
            </w:r>
            <w:r w:rsidRPr="00296DCF">
              <w:t xml:space="preserve"> </w:t>
            </w:r>
          </w:p>
        </w:tc>
      </w:tr>
    </w:tbl>
    <w:p w14:paraId="5EBF4B02" w14:textId="1E73C987" w:rsidR="00B41956" w:rsidRPr="00F1737F" w:rsidRDefault="00B41956" w:rsidP="00B41956">
      <w:r w:rsidRPr="00F1737F">
        <w:t xml:space="preserve">This information is based on legislation current as at </w:t>
      </w:r>
      <w:r w:rsidR="00752138">
        <w:t>21</w:t>
      </w:r>
      <w:r w:rsidR="00226FA6">
        <w:t xml:space="preserve"> March 2024.</w:t>
      </w:r>
    </w:p>
    <w:p w14:paraId="33D6D49E" w14:textId="77777777" w:rsidR="00B41956" w:rsidRDefault="00B41956" w:rsidP="00B41956">
      <w:pPr>
        <w:rPr>
          <w:b/>
          <w:bCs/>
          <w:sz w:val="18"/>
          <w:szCs w:val="18"/>
        </w:rPr>
      </w:pPr>
    </w:p>
    <w:p w14:paraId="6101C2E9" w14:textId="77777777" w:rsidR="00B41956" w:rsidRDefault="00B41956" w:rsidP="00B41956">
      <w:pPr>
        <w:rPr>
          <w:b/>
          <w:bCs/>
          <w:sz w:val="18"/>
          <w:szCs w:val="18"/>
        </w:rPr>
      </w:pPr>
    </w:p>
    <w:p w14:paraId="2986B6D4" w14:textId="73C5DCAC" w:rsidR="00B41956" w:rsidRPr="00B41956" w:rsidRDefault="00B41956" w:rsidP="00B41956">
      <w:pPr>
        <w:rPr>
          <w:b/>
          <w:bCs/>
          <w:i/>
          <w:sz w:val="18"/>
          <w:szCs w:val="18"/>
        </w:rPr>
      </w:pPr>
      <w:r w:rsidRPr="00B41956">
        <w:rPr>
          <w:b/>
          <w:bCs/>
          <w:sz w:val="18"/>
          <w:szCs w:val="18"/>
        </w:rPr>
        <w:t>About the author</w:t>
      </w:r>
      <w:r>
        <w:rPr>
          <w:b/>
          <w:bCs/>
          <w:i/>
          <w:sz w:val="18"/>
          <w:szCs w:val="18"/>
        </w:rPr>
        <w:br/>
      </w:r>
      <w:r w:rsidRPr="00B41956">
        <w:rPr>
          <w:sz w:val="18"/>
          <w:szCs w:val="18"/>
        </w:rPr>
        <w:t>This checklist was prepared by Hall Chadwick (NSW) Pty Ltd on behalf of CPA Australia.</w:t>
      </w:r>
    </w:p>
    <w:p w14:paraId="72C351AF" w14:textId="602D7A5F" w:rsidR="00B41956" w:rsidRPr="00B41956" w:rsidRDefault="00B41956" w:rsidP="00B41956">
      <w:pPr>
        <w:rPr>
          <w:b/>
          <w:bCs/>
          <w:sz w:val="18"/>
          <w:szCs w:val="18"/>
        </w:rPr>
      </w:pPr>
      <w:r w:rsidRPr="00B41956">
        <w:rPr>
          <w:b/>
          <w:bCs/>
          <w:sz w:val="18"/>
          <w:szCs w:val="18"/>
        </w:rPr>
        <w:t>Disclaimer</w:t>
      </w:r>
      <w:r>
        <w:rPr>
          <w:b/>
          <w:bCs/>
          <w:sz w:val="18"/>
          <w:szCs w:val="18"/>
        </w:rPr>
        <w:br/>
      </w:r>
      <w:r w:rsidRPr="00B41956">
        <w:rPr>
          <w:sz w:val="18"/>
          <w:szCs w:val="18"/>
        </w:rPr>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 </w:t>
      </w:r>
    </w:p>
    <w:p w14:paraId="2692FB6B" w14:textId="5B8CE332" w:rsidR="007D0908" w:rsidRDefault="00B41956" w:rsidP="00B41956">
      <w:pPr>
        <w:pStyle w:val="Heading1"/>
      </w:pPr>
      <w:r>
        <w:t xml:space="preserve">Checklist of benefits </w:t>
      </w:r>
    </w:p>
    <w:tbl>
      <w:tblPr>
        <w:tblStyle w:val="RACVTable"/>
        <w:tblW w:w="4965" w:type="pct"/>
        <w:tblLook w:val="04A0" w:firstRow="1" w:lastRow="0" w:firstColumn="1" w:lastColumn="0" w:noHBand="0" w:noVBand="1"/>
      </w:tblPr>
      <w:tblGrid>
        <w:gridCol w:w="3320"/>
        <w:gridCol w:w="1193"/>
        <w:gridCol w:w="709"/>
        <w:gridCol w:w="3517"/>
        <w:gridCol w:w="1169"/>
      </w:tblGrid>
      <w:tr w:rsidR="00BE2990" w14:paraId="46104DFD" w14:textId="77777777" w:rsidTr="00927619">
        <w:trPr>
          <w:cnfStyle w:val="100000000000" w:firstRow="1" w:lastRow="0" w:firstColumn="0" w:lastColumn="0" w:oddVBand="0" w:evenVBand="0" w:oddHBand="0" w:evenHBand="0" w:firstRowFirstColumn="0" w:firstRowLastColumn="0" w:lastRowFirstColumn="0" w:lastRowLastColumn="0"/>
          <w:trHeight w:val="1005"/>
        </w:trPr>
        <w:tc>
          <w:tcPr>
            <w:tcW w:w="1675" w:type="pct"/>
          </w:tcPr>
          <w:p w14:paraId="48F5E78C" w14:textId="77777777" w:rsidR="00B41956" w:rsidRPr="0023149C" w:rsidRDefault="00B41956" w:rsidP="00D1601A">
            <w:pPr>
              <w:pStyle w:val="Table"/>
              <w:spacing w:before="100" w:after="100"/>
              <w:rPr>
                <w:b w:val="0"/>
                <w:sz w:val="18"/>
                <w:szCs w:val="18"/>
              </w:rPr>
            </w:pPr>
            <w:bookmarkStart w:id="0" w:name="_Hlk129107061"/>
            <w:r w:rsidRPr="0023149C">
              <w:rPr>
                <w:sz w:val="18"/>
                <w:szCs w:val="18"/>
              </w:rPr>
              <w:t>Expenditure/benefit</w:t>
            </w:r>
          </w:p>
        </w:tc>
        <w:tc>
          <w:tcPr>
            <w:tcW w:w="602" w:type="pct"/>
          </w:tcPr>
          <w:p w14:paraId="1CC0B151" w14:textId="77777777" w:rsidR="00B41956" w:rsidRPr="0023149C" w:rsidRDefault="00B41956" w:rsidP="00D1601A">
            <w:pPr>
              <w:pStyle w:val="Table"/>
              <w:spacing w:before="100" w:after="100"/>
              <w:rPr>
                <w:b w:val="0"/>
                <w:sz w:val="18"/>
                <w:szCs w:val="18"/>
              </w:rPr>
            </w:pPr>
            <w:r w:rsidRPr="0023149C">
              <w:rPr>
                <w:sz w:val="18"/>
                <w:szCs w:val="18"/>
              </w:rPr>
              <w:t>Applicable (Yes/No) Completed date</w:t>
            </w:r>
          </w:p>
        </w:tc>
        <w:tc>
          <w:tcPr>
            <w:tcW w:w="358" w:type="pct"/>
          </w:tcPr>
          <w:p w14:paraId="275F2088" w14:textId="77777777" w:rsidR="00B41956" w:rsidRPr="0023149C" w:rsidRDefault="00B41956" w:rsidP="00D1601A">
            <w:pPr>
              <w:pStyle w:val="Table"/>
              <w:spacing w:before="100" w:after="100"/>
              <w:rPr>
                <w:b w:val="0"/>
                <w:sz w:val="18"/>
                <w:szCs w:val="18"/>
              </w:rPr>
            </w:pPr>
            <w:r w:rsidRPr="0023149C">
              <w:rPr>
                <w:sz w:val="18"/>
                <w:szCs w:val="18"/>
              </w:rPr>
              <w:t>Work page</w:t>
            </w:r>
          </w:p>
        </w:tc>
        <w:tc>
          <w:tcPr>
            <w:tcW w:w="1775" w:type="pct"/>
          </w:tcPr>
          <w:p w14:paraId="076FCC6A" w14:textId="77777777" w:rsidR="00B41956" w:rsidRPr="0023149C" w:rsidRDefault="00B41956" w:rsidP="00D1601A">
            <w:pPr>
              <w:pStyle w:val="Table"/>
              <w:spacing w:before="100" w:after="100"/>
              <w:rPr>
                <w:b w:val="0"/>
                <w:sz w:val="18"/>
                <w:szCs w:val="18"/>
              </w:rPr>
            </w:pPr>
            <w:r w:rsidRPr="0023149C">
              <w:rPr>
                <w:sz w:val="18"/>
                <w:szCs w:val="18"/>
              </w:rPr>
              <w:t>Data required</w:t>
            </w:r>
          </w:p>
        </w:tc>
        <w:tc>
          <w:tcPr>
            <w:tcW w:w="590" w:type="pct"/>
          </w:tcPr>
          <w:p w14:paraId="6701AB2A" w14:textId="77777777" w:rsidR="00B41956" w:rsidRPr="0023149C" w:rsidRDefault="00B41956" w:rsidP="00D1601A">
            <w:pPr>
              <w:pStyle w:val="Table"/>
              <w:spacing w:before="100" w:after="100"/>
              <w:rPr>
                <w:b w:val="0"/>
                <w:sz w:val="18"/>
                <w:szCs w:val="18"/>
              </w:rPr>
            </w:pPr>
            <w:r w:rsidRPr="0023149C">
              <w:rPr>
                <w:sz w:val="18"/>
                <w:szCs w:val="18"/>
              </w:rPr>
              <w:t>Type of benefit</w:t>
            </w:r>
          </w:p>
        </w:tc>
      </w:tr>
      <w:tr w:rsidR="00B41956" w:rsidRPr="00B340A7" w14:paraId="02D61313" w14:textId="77777777" w:rsidTr="00BE2990">
        <w:trPr>
          <w:cnfStyle w:val="000000100000" w:firstRow="0" w:lastRow="0" w:firstColumn="0" w:lastColumn="0" w:oddVBand="0" w:evenVBand="0" w:oddHBand="1" w:evenHBand="0" w:firstRowFirstColumn="0" w:firstRowLastColumn="0" w:lastRowFirstColumn="0" w:lastRowLastColumn="0"/>
          <w:trHeight w:val="378"/>
        </w:trPr>
        <w:tc>
          <w:tcPr>
            <w:tcW w:w="5000" w:type="pct"/>
            <w:gridSpan w:val="5"/>
            <w:shd w:val="clear" w:color="auto" w:fill="0A5CC7" w:themeFill="accent3"/>
          </w:tcPr>
          <w:p w14:paraId="7A8CB3AE" w14:textId="77777777" w:rsidR="00B41956" w:rsidRPr="00BE2990" w:rsidRDefault="00B41956" w:rsidP="00D1601A">
            <w:pPr>
              <w:pStyle w:val="Table"/>
              <w:spacing w:before="100" w:after="100"/>
              <w:rPr>
                <w:b/>
                <w:color w:val="FFFFFF" w:themeColor="background1"/>
              </w:rPr>
            </w:pPr>
            <w:bookmarkStart w:id="1" w:name="_Toc289075430"/>
            <w:bookmarkEnd w:id="0"/>
            <w:r w:rsidRPr="00BE2990">
              <w:rPr>
                <w:b/>
                <w:color w:val="FFFFFF" w:themeColor="background1"/>
                <w:sz w:val="17"/>
                <w:szCs w:val="17"/>
              </w:rPr>
              <w:t>CARS</w:t>
            </w:r>
            <w:bookmarkEnd w:id="1"/>
          </w:p>
        </w:tc>
      </w:tr>
      <w:tr w:rsidR="00BE2990" w14:paraId="4623BE39" w14:textId="77777777" w:rsidTr="00927619">
        <w:trPr>
          <w:trHeight w:val="871"/>
        </w:trPr>
        <w:tc>
          <w:tcPr>
            <w:tcW w:w="1675" w:type="pct"/>
          </w:tcPr>
          <w:p w14:paraId="69A672ED" w14:textId="77777777" w:rsidR="00B41956" w:rsidRPr="00BE2990" w:rsidRDefault="00B41956" w:rsidP="00BE2990">
            <w:pPr>
              <w:rPr>
                <w:i/>
                <w:iCs/>
              </w:rPr>
            </w:pPr>
            <w:r w:rsidRPr="00BE2990">
              <w:rPr>
                <w:i/>
                <w:iCs/>
              </w:rPr>
              <w:t>Benefit arises where:</w:t>
            </w:r>
          </w:p>
          <w:p w14:paraId="3193E2B1" w14:textId="77777777" w:rsidR="00B41956" w:rsidRPr="006821CB" w:rsidRDefault="00B41956" w:rsidP="00BE2990">
            <w:pPr>
              <w:pStyle w:val="ListBullet"/>
            </w:pPr>
            <w:r w:rsidRPr="006821CB">
              <w:t>a car is owned or leased by the employer, associate or third party</w:t>
            </w:r>
          </w:p>
        </w:tc>
        <w:tc>
          <w:tcPr>
            <w:tcW w:w="602" w:type="pct"/>
          </w:tcPr>
          <w:p w14:paraId="116C5CB2" w14:textId="77777777" w:rsidR="00B41956" w:rsidRPr="006821CB" w:rsidRDefault="00B41956" w:rsidP="00D1601A">
            <w:pPr>
              <w:pStyle w:val="Body"/>
              <w:spacing w:before="100" w:after="100"/>
              <w:rPr>
                <w:sz w:val="17"/>
                <w:szCs w:val="17"/>
              </w:rPr>
            </w:pPr>
          </w:p>
        </w:tc>
        <w:tc>
          <w:tcPr>
            <w:tcW w:w="358" w:type="pct"/>
          </w:tcPr>
          <w:p w14:paraId="052CDB94" w14:textId="77777777" w:rsidR="00B41956" w:rsidRPr="006821CB" w:rsidRDefault="00B41956" w:rsidP="00D1601A">
            <w:pPr>
              <w:pStyle w:val="Body"/>
              <w:spacing w:before="100" w:after="100"/>
              <w:rPr>
                <w:sz w:val="17"/>
                <w:szCs w:val="17"/>
              </w:rPr>
            </w:pPr>
          </w:p>
        </w:tc>
        <w:tc>
          <w:tcPr>
            <w:tcW w:w="1775" w:type="pct"/>
            <w:vMerge w:val="restart"/>
            <w:vAlign w:val="top"/>
          </w:tcPr>
          <w:p w14:paraId="24F0781C" w14:textId="77777777" w:rsidR="00B41956" w:rsidRPr="006821CB" w:rsidRDefault="00B41956" w:rsidP="00BE2990">
            <w:r w:rsidRPr="00BE2990">
              <w:rPr>
                <w:b/>
                <w:bCs/>
              </w:rPr>
              <w:t>Operating cost method</w:t>
            </w:r>
            <w:r w:rsidRPr="006821CB">
              <w:br/>
            </w:r>
            <w:r w:rsidRPr="006821CB">
              <w:rPr>
                <w:i/>
              </w:rPr>
              <w:t>(refer formula 1.1)</w:t>
            </w:r>
          </w:p>
          <w:p w14:paraId="383C9E9E" w14:textId="77777777" w:rsidR="00B41956" w:rsidRPr="006821CB" w:rsidRDefault="00B41956" w:rsidP="00BE2990">
            <w:pPr>
              <w:pStyle w:val="ListBullet"/>
            </w:pPr>
            <w:r w:rsidRPr="006821CB">
              <w:t>election to use operating cost method evidenced in working papers</w:t>
            </w:r>
          </w:p>
          <w:p w14:paraId="089DE214" w14:textId="77777777" w:rsidR="00B41956" w:rsidRPr="006821CB" w:rsidRDefault="00B41956" w:rsidP="00BE2990">
            <w:pPr>
              <w:pStyle w:val="ListBullet"/>
            </w:pPr>
            <w:r w:rsidRPr="006821CB">
              <w:t>log book kept over a</w:t>
            </w:r>
            <w:r>
              <w:t xml:space="preserve"> continuous</w:t>
            </w:r>
            <w:r w:rsidRPr="006821CB">
              <w:t xml:space="preserve"> 12</w:t>
            </w:r>
            <w:r>
              <w:t>-</w:t>
            </w:r>
            <w:r w:rsidRPr="006821CB">
              <w:t xml:space="preserve">week period to establish the business </w:t>
            </w:r>
            <w:r>
              <w:t>percentage</w:t>
            </w:r>
            <w:r w:rsidRPr="006821CB">
              <w:t xml:space="preserve"> which can then be applied for up to four subsequent years   </w:t>
            </w:r>
          </w:p>
          <w:p w14:paraId="2BF6C21A" w14:textId="77777777" w:rsidR="00B41956" w:rsidRPr="006821CB" w:rsidRDefault="00B41956" w:rsidP="00BE2990">
            <w:pPr>
              <w:pStyle w:val="ListBullet"/>
            </w:pPr>
            <w:r w:rsidRPr="006821CB">
              <w:t>odometer readings at the beginning and end of the year</w:t>
            </w:r>
          </w:p>
          <w:p w14:paraId="34813910" w14:textId="77777777" w:rsidR="00B41956" w:rsidRPr="006821CB" w:rsidRDefault="00B41956" w:rsidP="00BE2990">
            <w:pPr>
              <w:pStyle w:val="ListBullet"/>
            </w:pPr>
            <w:r w:rsidRPr="006821CB">
              <w:t>car expenses – such as petrol and repairs, registration and insurance</w:t>
            </w:r>
          </w:p>
          <w:p w14:paraId="5C76D794" w14:textId="77777777" w:rsidR="00B41956" w:rsidRPr="006821CB" w:rsidRDefault="00B41956" w:rsidP="00BE2990">
            <w:pPr>
              <w:pStyle w:val="ListBullet"/>
            </w:pPr>
            <w:r w:rsidRPr="006821CB">
              <w:t>depreciation and imputed interest (where the car is owned)</w:t>
            </w:r>
          </w:p>
          <w:p w14:paraId="56392E84" w14:textId="77777777" w:rsidR="00B41956" w:rsidRPr="006821CB" w:rsidRDefault="00B41956" w:rsidP="00BE2990">
            <w:pPr>
              <w:pStyle w:val="ListBullet"/>
            </w:pPr>
            <w:r w:rsidRPr="006821CB">
              <w:t>lease costs (where the car is leased)</w:t>
            </w:r>
          </w:p>
          <w:p w14:paraId="6ABA716A" w14:textId="77777777" w:rsidR="00B41956" w:rsidRDefault="00B41956" w:rsidP="00BE2990">
            <w:pPr>
              <w:pStyle w:val="ListBullet"/>
            </w:pPr>
            <w:r w:rsidRPr="006821CB">
              <w:t>employee contributions (if any).</w:t>
            </w:r>
          </w:p>
          <w:p w14:paraId="7E7AD0DD" w14:textId="77777777" w:rsidR="00B41956" w:rsidRPr="006821CB" w:rsidRDefault="00B41956" w:rsidP="00BE2990">
            <w:r w:rsidRPr="00BE2990">
              <w:rPr>
                <w:b/>
                <w:bCs/>
              </w:rPr>
              <w:t>Statutory formula method</w:t>
            </w:r>
            <w:r w:rsidRPr="006821CB">
              <w:br/>
            </w:r>
            <w:r w:rsidRPr="006821CB">
              <w:rPr>
                <w:i/>
              </w:rPr>
              <w:t>(refer formula 1.2)</w:t>
            </w:r>
          </w:p>
          <w:p w14:paraId="48ABAFE9" w14:textId="77777777" w:rsidR="00B41956" w:rsidRPr="006821CB" w:rsidRDefault="00B41956" w:rsidP="00BE2990">
            <w:pPr>
              <w:pStyle w:val="ListBullet"/>
            </w:pPr>
            <w:r w:rsidRPr="006821CB">
              <w:t>base value (i.e. cost) of motor vehicle</w:t>
            </w:r>
          </w:p>
          <w:p w14:paraId="7D8860C5" w14:textId="77777777" w:rsidR="00B41956" w:rsidRPr="006821CB" w:rsidRDefault="00B41956" w:rsidP="00BE2990">
            <w:pPr>
              <w:pStyle w:val="ListBullet"/>
            </w:pPr>
            <w:r w:rsidRPr="006821CB">
              <w:t>date of purchase</w:t>
            </w:r>
          </w:p>
          <w:p w14:paraId="73F571AE" w14:textId="77777777" w:rsidR="00B41956" w:rsidRPr="006821CB" w:rsidRDefault="00B41956" w:rsidP="00BE2990">
            <w:pPr>
              <w:pStyle w:val="ListBullet"/>
            </w:pPr>
            <w:r w:rsidRPr="006821CB">
              <w:t>days available for private use during year</w:t>
            </w:r>
          </w:p>
          <w:p w14:paraId="2A1713D4" w14:textId="77777777" w:rsidR="00B41956" w:rsidRPr="006821CB" w:rsidRDefault="00B41956" w:rsidP="00BE2990">
            <w:pPr>
              <w:pStyle w:val="ListBullet"/>
            </w:pPr>
            <w:r w:rsidRPr="006821CB">
              <w:t>employee contributions (if any)</w:t>
            </w:r>
          </w:p>
          <w:p w14:paraId="526069FB" w14:textId="77777777" w:rsidR="00B41956" w:rsidRPr="006821CB" w:rsidRDefault="00B41956" w:rsidP="00BE2990">
            <w:pPr>
              <w:pStyle w:val="ListBullet"/>
            </w:pPr>
            <w:r>
              <w:t>information regarding pre-existing</w:t>
            </w:r>
            <w:r w:rsidRPr="006821CB">
              <w:t xml:space="preserve"> commitment </w:t>
            </w:r>
            <w:r>
              <w:t>in relation to</w:t>
            </w:r>
            <w:r w:rsidRPr="006821CB">
              <w:t xml:space="preserve"> motor vehicle</w:t>
            </w:r>
            <w:r>
              <w:t>.</w:t>
            </w:r>
            <w:r w:rsidRPr="006821CB">
              <w:t xml:space="preserve"> (if </w:t>
            </w:r>
            <w:r>
              <w:t>pre 7:30 pm AEST 10 May 2011</w:t>
            </w:r>
            <w:r w:rsidRPr="006821CB">
              <w:t>)</w:t>
            </w:r>
          </w:p>
          <w:p w14:paraId="57CEA457" w14:textId="77777777" w:rsidR="00B41956" w:rsidRPr="005B33EC" w:rsidRDefault="00B41956" w:rsidP="00BE2990">
            <w:r w:rsidRPr="005B33EC">
              <w:rPr>
                <w:b/>
              </w:rPr>
              <w:t>Note:</w:t>
            </w:r>
            <w:r w:rsidRPr="005B33EC">
              <w:t xml:space="preserve"> </w:t>
            </w:r>
            <w:r>
              <w:t>T</w:t>
            </w:r>
            <w:r w:rsidRPr="005B33EC">
              <w:t>he statutory formula will apply if the employer does not elect to apply the operating cost method.</w:t>
            </w:r>
          </w:p>
        </w:tc>
        <w:tc>
          <w:tcPr>
            <w:tcW w:w="590" w:type="pct"/>
            <w:vMerge w:val="restart"/>
            <w:vAlign w:val="top"/>
          </w:tcPr>
          <w:p w14:paraId="2D83757F" w14:textId="77777777" w:rsidR="00B41956" w:rsidRPr="006821CB" w:rsidRDefault="00B41956" w:rsidP="00BE2990">
            <w:r w:rsidRPr="006821CB">
              <w:t>Car fringe benefit</w:t>
            </w:r>
          </w:p>
          <w:p w14:paraId="273F6573" w14:textId="77777777" w:rsidR="00B41956" w:rsidRPr="006821CB" w:rsidRDefault="00B41956" w:rsidP="00D1601A">
            <w:pPr>
              <w:pStyle w:val="Body"/>
              <w:spacing w:before="100" w:after="100"/>
              <w:rPr>
                <w:sz w:val="17"/>
                <w:szCs w:val="17"/>
              </w:rPr>
            </w:pPr>
          </w:p>
        </w:tc>
      </w:tr>
      <w:tr w:rsidR="00BE2990" w14:paraId="55B3BC60" w14:textId="77777777" w:rsidTr="00927619">
        <w:trPr>
          <w:cnfStyle w:val="000000100000" w:firstRow="0" w:lastRow="0" w:firstColumn="0" w:lastColumn="0" w:oddVBand="0" w:evenVBand="0" w:oddHBand="1" w:evenHBand="0" w:firstRowFirstColumn="0" w:firstRowLastColumn="0" w:lastRowFirstColumn="0" w:lastRowLastColumn="0"/>
          <w:trHeight w:val="568"/>
        </w:trPr>
        <w:tc>
          <w:tcPr>
            <w:tcW w:w="1675" w:type="pct"/>
          </w:tcPr>
          <w:p w14:paraId="64457B8E" w14:textId="77777777" w:rsidR="00B41956" w:rsidRPr="006821CB" w:rsidRDefault="00B41956" w:rsidP="00BE2990">
            <w:pPr>
              <w:pStyle w:val="ListBullet"/>
            </w:pPr>
            <w:r w:rsidRPr="006821CB">
              <w:t>is made available to the employee or associate for private purposes</w:t>
            </w:r>
          </w:p>
        </w:tc>
        <w:tc>
          <w:tcPr>
            <w:tcW w:w="602" w:type="pct"/>
          </w:tcPr>
          <w:p w14:paraId="58A1D12C" w14:textId="77777777" w:rsidR="00B41956" w:rsidRPr="006821CB" w:rsidRDefault="00B41956" w:rsidP="00D1601A">
            <w:pPr>
              <w:pStyle w:val="Body"/>
              <w:spacing w:before="100" w:after="100"/>
              <w:rPr>
                <w:sz w:val="17"/>
                <w:szCs w:val="17"/>
              </w:rPr>
            </w:pPr>
          </w:p>
        </w:tc>
        <w:tc>
          <w:tcPr>
            <w:tcW w:w="358" w:type="pct"/>
          </w:tcPr>
          <w:p w14:paraId="52E275FA" w14:textId="77777777" w:rsidR="00B41956" w:rsidRPr="006821CB" w:rsidRDefault="00B41956" w:rsidP="00D1601A">
            <w:pPr>
              <w:pStyle w:val="Body"/>
              <w:spacing w:before="100" w:after="100"/>
              <w:rPr>
                <w:sz w:val="17"/>
                <w:szCs w:val="17"/>
              </w:rPr>
            </w:pPr>
          </w:p>
        </w:tc>
        <w:tc>
          <w:tcPr>
            <w:tcW w:w="1775" w:type="pct"/>
            <w:vMerge/>
          </w:tcPr>
          <w:p w14:paraId="54D4CE5D" w14:textId="77777777" w:rsidR="00B41956" w:rsidRPr="006821CB" w:rsidRDefault="00B41956" w:rsidP="00D1601A">
            <w:pPr>
              <w:pStyle w:val="TableBullet"/>
              <w:spacing w:before="100" w:after="100"/>
              <w:ind w:left="0"/>
              <w:rPr>
                <w:sz w:val="17"/>
                <w:szCs w:val="17"/>
              </w:rPr>
            </w:pPr>
          </w:p>
        </w:tc>
        <w:tc>
          <w:tcPr>
            <w:tcW w:w="590" w:type="pct"/>
            <w:vMerge/>
          </w:tcPr>
          <w:p w14:paraId="02FD97C3" w14:textId="77777777" w:rsidR="00B41956" w:rsidRPr="006821CB" w:rsidRDefault="00B41956" w:rsidP="00D1601A">
            <w:pPr>
              <w:pStyle w:val="Body"/>
              <w:spacing w:before="100" w:after="100"/>
              <w:rPr>
                <w:sz w:val="17"/>
                <w:szCs w:val="17"/>
              </w:rPr>
            </w:pPr>
          </w:p>
        </w:tc>
      </w:tr>
      <w:tr w:rsidR="00BE2990" w14:paraId="7D0D9F4A" w14:textId="77777777" w:rsidTr="00927619">
        <w:trPr>
          <w:trHeight w:val="568"/>
        </w:trPr>
        <w:tc>
          <w:tcPr>
            <w:tcW w:w="1675" w:type="pct"/>
          </w:tcPr>
          <w:p w14:paraId="6B4E92FB" w14:textId="77777777" w:rsidR="00B41956" w:rsidRPr="006821CB" w:rsidRDefault="00B41956" w:rsidP="00BE2990">
            <w:pPr>
              <w:pStyle w:val="ListBullet"/>
            </w:pPr>
            <w:r w:rsidRPr="006821CB">
              <w:t>the car is provided in respect of employment.</w:t>
            </w:r>
          </w:p>
        </w:tc>
        <w:tc>
          <w:tcPr>
            <w:tcW w:w="602" w:type="pct"/>
          </w:tcPr>
          <w:p w14:paraId="40698B70" w14:textId="77777777" w:rsidR="00B41956" w:rsidRPr="006821CB" w:rsidRDefault="00B41956" w:rsidP="00D1601A">
            <w:pPr>
              <w:pStyle w:val="Body"/>
              <w:spacing w:before="100" w:after="100"/>
              <w:rPr>
                <w:sz w:val="17"/>
                <w:szCs w:val="17"/>
              </w:rPr>
            </w:pPr>
          </w:p>
        </w:tc>
        <w:tc>
          <w:tcPr>
            <w:tcW w:w="358" w:type="pct"/>
          </w:tcPr>
          <w:p w14:paraId="2C172307" w14:textId="77777777" w:rsidR="00B41956" w:rsidRPr="006821CB" w:rsidRDefault="00B41956" w:rsidP="00D1601A">
            <w:pPr>
              <w:pStyle w:val="Body"/>
              <w:spacing w:before="100" w:after="100"/>
              <w:rPr>
                <w:sz w:val="17"/>
                <w:szCs w:val="17"/>
              </w:rPr>
            </w:pPr>
          </w:p>
        </w:tc>
        <w:tc>
          <w:tcPr>
            <w:tcW w:w="1775" w:type="pct"/>
            <w:vMerge/>
          </w:tcPr>
          <w:p w14:paraId="0EA78722" w14:textId="77777777" w:rsidR="00B41956" w:rsidRPr="006821CB" w:rsidRDefault="00B41956" w:rsidP="00D1601A">
            <w:pPr>
              <w:pStyle w:val="TableBullet"/>
              <w:spacing w:before="100" w:after="100"/>
              <w:ind w:left="0"/>
              <w:rPr>
                <w:sz w:val="17"/>
                <w:szCs w:val="17"/>
              </w:rPr>
            </w:pPr>
          </w:p>
        </w:tc>
        <w:tc>
          <w:tcPr>
            <w:tcW w:w="590" w:type="pct"/>
            <w:vMerge/>
          </w:tcPr>
          <w:p w14:paraId="4BF7D0AF" w14:textId="77777777" w:rsidR="00B41956" w:rsidRPr="006821CB" w:rsidRDefault="00B41956" w:rsidP="00D1601A">
            <w:pPr>
              <w:pStyle w:val="Body"/>
              <w:spacing w:before="100" w:after="100"/>
              <w:rPr>
                <w:sz w:val="17"/>
                <w:szCs w:val="17"/>
              </w:rPr>
            </w:pPr>
          </w:p>
        </w:tc>
      </w:tr>
      <w:tr w:rsidR="00BE2990" w14:paraId="129DB5C7" w14:textId="77777777" w:rsidTr="00927619">
        <w:trPr>
          <w:cnfStyle w:val="000000100000" w:firstRow="0" w:lastRow="0" w:firstColumn="0" w:lastColumn="0" w:oddVBand="0" w:evenVBand="0" w:oddHBand="1" w:evenHBand="0" w:firstRowFirstColumn="0" w:firstRowLastColumn="0" w:lastRowFirstColumn="0" w:lastRowLastColumn="0"/>
          <w:trHeight w:val="5802"/>
        </w:trPr>
        <w:tc>
          <w:tcPr>
            <w:tcW w:w="1675" w:type="pct"/>
          </w:tcPr>
          <w:p w14:paraId="0EA4D24C" w14:textId="77777777" w:rsidR="00B41956" w:rsidRPr="006821CB" w:rsidRDefault="00B41956" w:rsidP="00BE2990">
            <w:r w:rsidRPr="006821CB">
              <w:t>Exemptions include:</w:t>
            </w:r>
          </w:p>
          <w:p w14:paraId="64245D30" w14:textId="77777777" w:rsidR="00B41956" w:rsidRPr="00806261" w:rsidRDefault="00B41956" w:rsidP="00BE2990">
            <w:pPr>
              <w:rPr>
                <w:b/>
                <w:bCs/>
                <w:iCs/>
              </w:rPr>
            </w:pPr>
            <w:r w:rsidRPr="00806261">
              <w:rPr>
                <w:b/>
                <w:bCs/>
                <w:iCs/>
              </w:rPr>
              <w:t xml:space="preserve">New electric vehicle exemption for cars first held and used after 1 July 2022. </w:t>
            </w:r>
          </w:p>
          <w:p w14:paraId="6217E163" w14:textId="2BF1ECBE" w:rsidR="00B41956" w:rsidRDefault="00B41956" w:rsidP="00BE2990">
            <w:pPr>
              <w:pStyle w:val="ListBullet"/>
            </w:pPr>
            <w:r>
              <w:t>New car price must be below LCT for fuel efficient vehicles ($</w:t>
            </w:r>
            <w:r w:rsidR="00752138">
              <w:t>89,332</w:t>
            </w:r>
            <w:r>
              <w:t xml:space="preserve"> FY2</w:t>
            </w:r>
            <w:r w:rsidR="00752138">
              <w:t>4</w:t>
            </w:r>
            <w:r>
              <w:t xml:space="preserve">), vehicle considered a “car” for FBT (i.e. carrying capacity of &gt;1 tonne or &gt;9 passengers will not be eligible), applies to zero emissions vehicles including battery electric vehicles, hydrogen fuel cell electric vehicles and plug-in hybrid electric vehicles (PLEV). Re PLEV exemption is available to car first committed to and provided as an exempt benefit before 1 April 2025. </w:t>
            </w:r>
          </w:p>
          <w:p w14:paraId="492E82D5" w14:textId="7B13FBE7" w:rsidR="00B41956" w:rsidRDefault="00B41956" w:rsidP="00BE2990">
            <w:pPr>
              <w:pStyle w:val="ListBullet"/>
            </w:pPr>
            <w:r>
              <w:t xml:space="preserve">Where conditions are met, FBT exemption will extend to associated car expenses (rego, insurance, R&amp;M, fuel cost). </w:t>
            </w:r>
            <w:r w:rsidR="009F5406">
              <w:t xml:space="preserve">From 1 April 2022, the home charging rate for users of electronic vehicles is $0.042 per km (refer </w:t>
            </w:r>
            <w:r w:rsidR="00987DE1">
              <w:t>Australian Taxation Office (</w:t>
            </w:r>
            <w:r w:rsidR="009F5406" w:rsidRPr="006654AD">
              <w:rPr>
                <w:b/>
                <w:bCs/>
              </w:rPr>
              <w:t>ATO</w:t>
            </w:r>
            <w:r w:rsidR="00987DE1">
              <w:t>)</w:t>
            </w:r>
            <w:r w:rsidR="009F5406">
              <w:t xml:space="preserve"> PCG 2024/2). </w:t>
            </w:r>
          </w:p>
          <w:p w14:paraId="185E067D" w14:textId="77777777" w:rsidR="00B41956" w:rsidRPr="006821CB" w:rsidRDefault="00B41956" w:rsidP="00BE2990">
            <w:pPr>
              <w:pStyle w:val="ListBullet"/>
            </w:pPr>
            <w:r>
              <w:t>The value of the benefit is included in the employees’ reportable fringe benefit amount (</w:t>
            </w:r>
            <w:r w:rsidRPr="00FC289B">
              <w:rPr>
                <w:b/>
                <w:bCs/>
              </w:rPr>
              <w:t>RFBA</w:t>
            </w:r>
            <w:r>
              <w:t xml:space="preserve">) even though its exempt. </w:t>
            </w:r>
          </w:p>
        </w:tc>
        <w:tc>
          <w:tcPr>
            <w:tcW w:w="602" w:type="pct"/>
          </w:tcPr>
          <w:p w14:paraId="6A2BAC78" w14:textId="77777777" w:rsidR="00B41956" w:rsidRPr="006821CB" w:rsidRDefault="00B41956" w:rsidP="00D1601A">
            <w:pPr>
              <w:pStyle w:val="Body"/>
              <w:spacing w:before="100" w:after="100"/>
              <w:rPr>
                <w:sz w:val="17"/>
                <w:szCs w:val="17"/>
              </w:rPr>
            </w:pPr>
          </w:p>
        </w:tc>
        <w:tc>
          <w:tcPr>
            <w:tcW w:w="358" w:type="pct"/>
          </w:tcPr>
          <w:p w14:paraId="2884673D" w14:textId="77777777" w:rsidR="00B41956" w:rsidRPr="006821CB" w:rsidRDefault="00B41956" w:rsidP="00D1601A">
            <w:pPr>
              <w:pStyle w:val="Body"/>
              <w:spacing w:before="100" w:after="100"/>
              <w:rPr>
                <w:sz w:val="17"/>
                <w:szCs w:val="17"/>
              </w:rPr>
            </w:pPr>
          </w:p>
        </w:tc>
        <w:tc>
          <w:tcPr>
            <w:tcW w:w="1775" w:type="pct"/>
            <w:vMerge/>
          </w:tcPr>
          <w:p w14:paraId="7A795B5C" w14:textId="77777777" w:rsidR="00B41956" w:rsidRPr="006821CB" w:rsidRDefault="00B41956" w:rsidP="00D1601A">
            <w:pPr>
              <w:pStyle w:val="TableBullet"/>
              <w:spacing w:before="100" w:after="100"/>
              <w:ind w:left="0"/>
              <w:rPr>
                <w:sz w:val="17"/>
                <w:szCs w:val="17"/>
              </w:rPr>
            </w:pPr>
          </w:p>
        </w:tc>
        <w:tc>
          <w:tcPr>
            <w:tcW w:w="590" w:type="pct"/>
            <w:vMerge/>
          </w:tcPr>
          <w:p w14:paraId="1CB2CE36" w14:textId="77777777" w:rsidR="00B41956" w:rsidRPr="006821CB" w:rsidRDefault="00B41956" w:rsidP="00D1601A">
            <w:pPr>
              <w:pStyle w:val="Body"/>
              <w:spacing w:before="100" w:after="100"/>
              <w:rPr>
                <w:sz w:val="17"/>
                <w:szCs w:val="17"/>
              </w:rPr>
            </w:pPr>
          </w:p>
        </w:tc>
      </w:tr>
      <w:tr w:rsidR="00BE2990" w14:paraId="567B3B27" w14:textId="77777777" w:rsidTr="00927619">
        <w:trPr>
          <w:trHeight w:val="1156"/>
        </w:trPr>
        <w:tc>
          <w:tcPr>
            <w:tcW w:w="1675" w:type="pct"/>
          </w:tcPr>
          <w:p w14:paraId="475343B2" w14:textId="6D51F5AB" w:rsidR="00B41956" w:rsidRPr="00FC289B" w:rsidRDefault="00B41956" w:rsidP="00BE2990">
            <w:pPr>
              <w:pStyle w:val="ListBullet"/>
            </w:pPr>
            <w:r w:rsidRPr="006821CB">
              <w:t>minor, infrequent and irregular non-work-related use by an employee of certain commercial vehicles such as panel vans, taxis or utilities designed to carry a load of less than one tonne</w:t>
            </w:r>
          </w:p>
        </w:tc>
        <w:tc>
          <w:tcPr>
            <w:tcW w:w="602" w:type="pct"/>
          </w:tcPr>
          <w:p w14:paraId="6058EA8A" w14:textId="77777777" w:rsidR="00B41956" w:rsidRPr="006821CB" w:rsidRDefault="00B41956" w:rsidP="00D1601A">
            <w:pPr>
              <w:pStyle w:val="Body"/>
              <w:spacing w:before="100" w:after="100"/>
              <w:rPr>
                <w:sz w:val="17"/>
                <w:szCs w:val="17"/>
              </w:rPr>
            </w:pPr>
          </w:p>
        </w:tc>
        <w:tc>
          <w:tcPr>
            <w:tcW w:w="358" w:type="pct"/>
          </w:tcPr>
          <w:p w14:paraId="4E2A9908" w14:textId="77777777" w:rsidR="00B41956" w:rsidRPr="006821CB" w:rsidRDefault="00B41956" w:rsidP="00D1601A">
            <w:pPr>
              <w:pStyle w:val="Body"/>
              <w:spacing w:before="100" w:after="100"/>
              <w:rPr>
                <w:sz w:val="17"/>
                <w:szCs w:val="17"/>
              </w:rPr>
            </w:pPr>
          </w:p>
          <w:p w14:paraId="533DAD22" w14:textId="77777777" w:rsidR="00B41956" w:rsidRPr="006821CB" w:rsidRDefault="00B41956" w:rsidP="00D1601A">
            <w:pPr>
              <w:pStyle w:val="Body"/>
              <w:spacing w:before="100" w:after="100"/>
              <w:ind w:left="360"/>
              <w:rPr>
                <w:sz w:val="17"/>
                <w:szCs w:val="17"/>
              </w:rPr>
            </w:pPr>
          </w:p>
        </w:tc>
        <w:tc>
          <w:tcPr>
            <w:tcW w:w="1775" w:type="pct"/>
            <w:vMerge/>
          </w:tcPr>
          <w:p w14:paraId="0027DA68" w14:textId="77777777" w:rsidR="00B41956" w:rsidRPr="006821CB" w:rsidRDefault="00B41956" w:rsidP="00D1601A">
            <w:pPr>
              <w:pStyle w:val="TableBullet"/>
              <w:spacing w:before="100" w:after="100"/>
              <w:ind w:left="0"/>
              <w:rPr>
                <w:sz w:val="17"/>
                <w:szCs w:val="17"/>
              </w:rPr>
            </w:pPr>
          </w:p>
        </w:tc>
        <w:tc>
          <w:tcPr>
            <w:tcW w:w="590" w:type="pct"/>
            <w:vMerge/>
          </w:tcPr>
          <w:p w14:paraId="13F26E39" w14:textId="77777777" w:rsidR="00B41956" w:rsidRPr="006821CB" w:rsidRDefault="00B41956" w:rsidP="00D1601A">
            <w:pPr>
              <w:pStyle w:val="Body"/>
              <w:spacing w:before="100" w:after="100"/>
              <w:rPr>
                <w:sz w:val="17"/>
                <w:szCs w:val="17"/>
              </w:rPr>
            </w:pPr>
          </w:p>
        </w:tc>
      </w:tr>
      <w:tr w:rsidR="00BE2990" w14:paraId="6CEEB6C1" w14:textId="77777777" w:rsidTr="00BE2990">
        <w:trPr>
          <w:cnfStyle w:val="000000100000" w:firstRow="0" w:lastRow="0" w:firstColumn="0" w:lastColumn="0" w:oddVBand="0" w:evenVBand="0" w:oddHBand="1" w:evenHBand="0" w:firstRowFirstColumn="0" w:firstRowLastColumn="0" w:lastRowFirstColumn="0" w:lastRowLastColumn="0"/>
          <w:trHeight w:val="350"/>
        </w:trPr>
        <w:tc>
          <w:tcPr>
            <w:tcW w:w="5000" w:type="pct"/>
            <w:gridSpan w:val="5"/>
            <w:shd w:val="clear" w:color="auto" w:fill="0A5CC7" w:themeFill="accent3"/>
          </w:tcPr>
          <w:p w14:paraId="333E0265" w14:textId="0D5D444D" w:rsidR="00BE2990" w:rsidRPr="00BE2990" w:rsidRDefault="00BE2990" w:rsidP="00BE2990">
            <w:pPr>
              <w:pStyle w:val="Table"/>
              <w:spacing w:before="100" w:after="100"/>
              <w:rPr>
                <w:b/>
                <w:color w:val="FFFFFF" w:themeColor="background1"/>
                <w:sz w:val="17"/>
                <w:szCs w:val="17"/>
              </w:rPr>
            </w:pPr>
            <w:r w:rsidRPr="00BE2990">
              <w:rPr>
                <w:b/>
                <w:color w:val="FFFFFF" w:themeColor="background1"/>
                <w:sz w:val="17"/>
                <w:szCs w:val="17"/>
              </w:rPr>
              <w:t>CARS (CONTINUED)</w:t>
            </w:r>
          </w:p>
        </w:tc>
      </w:tr>
      <w:tr w:rsidR="00BE2990" w14:paraId="50BC1F10" w14:textId="77777777" w:rsidTr="00927619">
        <w:trPr>
          <w:trHeight w:val="757"/>
        </w:trPr>
        <w:tc>
          <w:tcPr>
            <w:tcW w:w="1675" w:type="pct"/>
          </w:tcPr>
          <w:p w14:paraId="3E988611" w14:textId="4F862CED" w:rsidR="00BE2990" w:rsidRPr="006821CB" w:rsidRDefault="00BE2990" w:rsidP="00BE2990">
            <w:pPr>
              <w:pStyle w:val="ListBullet"/>
            </w:pPr>
            <w:r w:rsidRPr="00BE2990">
              <w:t>unregistered vehicles and used principally in connection with employer’s business operations.</w:t>
            </w:r>
          </w:p>
        </w:tc>
        <w:tc>
          <w:tcPr>
            <w:tcW w:w="602" w:type="pct"/>
          </w:tcPr>
          <w:p w14:paraId="7C5C2219" w14:textId="77777777" w:rsidR="00BE2990" w:rsidRPr="006821CB" w:rsidRDefault="00BE2990" w:rsidP="00BE2990">
            <w:pPr>
              <w:pStyle w:val="Body"/>
              <w:spacing w:before="100" w:after="100"/>
              <w:rPr>
                <w:sz w:val="17"/>
                <w:szCs w:val="17"/>
              </w:rPr>
            </w:pPr>
          </w:p>
        </w:tc>
        <w:tc>
          <w:tcPr>
            <w:tcW w:w="358" w:type="pct"/>
          </w:tcPr>
          <w:p w14:paraId="759516CF" w14:textId="77777777" w:rsidR="00BE2990" w:rsidRPr="006821CB" w:rsidRDefault="00BE2990" w:rsidP="00BE2990">
            <w:pPr>
              <w:pStyle w:val="Body"/>
              <w:spacing w:before="100" w:after="100"/>
              <w:rPr>
                <w:sz w:val="17"/>
                <w:szCs w:val="17"/>
              </w:rPr>
            </w:pPr>
          </w:p>
        </w:tc>
        <w:tc>
          <w:tcPr>
            <w:tcW w:w="1775" w:type="pct"/>
          </w:tcPr>
          <w:p w14:paraId="7398FB9B" w14:textId="77777777" w:rsidR="00BE2990" w:rsidRPr="006821CB" w:rsidRDefault="00BE2990" w:rsidP="00BE2990">
            <w:pPr>
              <w:pStyle w:val="TableBullet"/>
              <w:numPr>
                <w:ilvl w:val="0"/>
                <w:numId w:val="0"/>
              </w:numPr>
              <w:spacing w:before="100" w:after="100"/>
              <w:rPr>
                <w:sz w:val="15"/>
                <w:szCs w:val="15"/>
              </w:rPr>
            </w:pPr>
          </w:p>
        </w:tc>
        <w:tc>
          <w:tcPr>
            <w:tcW w:w="590" w:type="pct"/>
          </w:tcPr>
          <w:p w14:paraId="4EF9659D" w14:textId="77777777" w:rsidR="00BE2990" w:rsidRPr="006821CB" w:rsidRDefault="00BE2990" w:rsidP="00BE2990">
            <w:pPr>
              <w:pStyle w:val="Body"/>
              <w:spacing w:before="100" w:after="100"/>
              <w:rPr>
                <w:sz w:val="17"/>
                <w:szCs w:val="17"/>
              </w:rPr>
            </w:pPr>
          </w:p>
        </w:tc>
      </w:tr>
      <w:tr w:rsidR="00BE2990" w14:paraId="4C238DE5" w14:textId="77777777" w:rsidTr="00927619">
        <w:trPr>
          <w:cnfStyle w:val="000000100000" w:firstRow="0" w:lastRow="0" w:firstColumn="0" w:lastColumn="0" w:oddVBand="0" w:evenVBand="0" w:oddHBand="1" w:evenHBand="0" w:firstRowFirstColumn="0" w:firstRowLastColumn="0" w:lastRowFirstColumn="0" w:lastRowLastColumn="0"/>
          <w:trHeight w:val="871"/>
        </w:trPr>
        <w:tc>
          <w:tcPr>
            <w:tcW w:w="1675" w:type="pct"/>
          </w:tcPr>
          <w:p w14:paraId="2DFD2D74" w14:textId="77777777" w:rsidR="00BE2990" w:rsidRPr="00927619" w:rsidRDefault="00BE2990" w:rsidP="00927619">
            <w:pPr>
              <w:rPr>
                <w:i/>
                <w:iCs/>
              </w:rPr>
            </w:pPr>
            <w:r w:rsidRPr="00927619">
              <w:rPr>
                <w:i/>
                <w:iCs/>
              </w:rPr>
              <w:t>Benefit arises where:</w:t>
            </w:r>
          </w:p>
          <w:p w14:paraId="64C58F22" w14:textId="77777777" w:rsidR="00BE2990" w:rsidRPr="006821CB" w:rsidRDefault="00BE2990" w:rsidP="00927619">
            <w:pPr>
              <w:pStyle w:val="ListBullet"/>
            </w:pPr>
            <w:r w:rsidRPr="006821CB">
              <w:t>car expenses are reimbursed by the employer</w:t>
            </w:r>
          </w:p>
        </w:tc>
        <w:tc>
          <w:tcPr>
            <w:tcW w:w="602" w:type="pct"/>
          </w:tcPr>
          <w:p w14:paraId="0A10FCF2" w14:textId="77777777" w:rsidR="00BE2990" w:rsidRPr="006821CB" w:rsidRDefault="00BE2990" w:rsidP="00BE2990">
            <w:pPr>
              <w:pStyle w:val="Body"/>
              <w:spacing w:before="100" w:after="100"/>
              <w:rPr>
                <w:sz w:val="17"/>
                <w:szCs w:val="17"/>
              </w:rPr>
            </w:pPr>
          </w:p>
        </w:tc>
        <w:tc>
          <w:tcPr>
            <w:tcW w:w="358" w:type="pct"/>
          </w:tcPr>
          <w:p w14:paraId="48C4917A" w14:textId="77777777" w:rsidR="00BE2990" w:rsidRPr="006821CB" w:rsidRDefault="00BE2990" w:rsidP="00BE2990">
            <w:pPr>
              <w:pStyle w:val="Body"/>
              <w:spacing w:before="100" w:after="100"/>
              <w:rPr>
                <w:sz w:val="17"/>
                <w:szCs w:val="17"/>
              </w:rPr>
            </w:pPr>
          </w:p>
        </w:tc>
        <w:tc>
          <w:tcPr>
            <w:tcW w:w="1775" w:type="pct"/>
            <w:vMerge w:val="restart"/>
            <w:vAlign w:val="top"/>
          </w:tcPr>
          <w:p w14:paraId="380DCCB0" w14:textId="77777777" w:rsidR="00BE2990" w:rsidRPr="00927619" w:rsidRDefault="00BE2990" w:rsidP="00BE2990">
            <w:pPr>
              <w:pStyle w:val="Body"/>
              <w:spacing w:before="100" w:after="100"/>
              <w:rPr>
                <w:rFonts w:asciiTheme="minorHAnsi" w:eastAsiaTheme="minorHAnsi" w:hAnsiTheme="minorHAnsi"/>
                <w:b/>
                <w:bCs/>
                <w:color w:val="090D46" w:themeColor="text1"/>
                <w:sz w:val="18"/>
                <w:szCs w:val="22"/>
              </w:rPr>
            </w:pPr>
            <w:r w:rsidRPr="00927619">
              <w:rPr>
                <w:rFonts w:asciiTheme="minorHAnsi" w:eastAsiaTheme="minorHAnsi" w:hAnsiTheme="minorHAnsi"/>
                <w:b/>
                <w:bCs/>
                <w:color w:val="090D46" w:themeColor="text1"/>
                <w:sz w:val="18"/>
                <w:szCs w:val="22"/>
              </w:rPr>
              <w:t>Reimbursement of employee’s motor vehicle expenses</w:t>
            </w:r>
          </w:p>
          <w:p w14:paraId="04724DD7" w14:textId="77777777" w:rsidR="00BE2990" w:rsidRPr="006821CB" w:rsidRDefault="00BE2990" w:rsidP="00927619">
            <w:pPr>
              <w:pStyle w:val="ListBullet"/>
            </w:pPr>
            <w:r w:rsidRPr="006821CB">
              <w:t>amount of expense</w:t>
            </w:r>
          </w:p>
          <w:p w14:paraId="3020D2AD" w14:textId="77777777" w:rsidR="00BE2990" w:rsidRPr="006821CB" w:rsidRDefault="00BE2990" w:rsidP="00927619">
            <w:pPr>
              <w:pStyle w:val="ListBullet"/>
            </w:pPr>
            <w:r>
              <w:t>percentage</w:t>
            </w:r>
            <w:r w:rsidRPr="006821CB">
              <w:t xml:space="preserve"> of private use</w:t>
            </w:r>
          </w:p>
          <w:p w14:paraId="763EF8B5" w14:textId="77777777" w:rsidR="00BE2990" w:rsidRDefault="00BE2990" w:rsidP="00927619">
            <w:pPr>
              <w:pStyle w:val="ListBullet"/>
            </w:pPr>
            <w:r w:rsidRPr="006821CB">
              <w:t>employee contributions (if any)</w:t>
            </w:r>
          </w:p>
          <w:p w14:paraId="68D82AFE" w14:textId="77777777" w:rsidR="00BE2990" w:rsidRPr="006821CB" w:rsidRDefault="00BE2990" w:rsidP="00927619">
            <w:pPr>
              <w:pStyle w:val="ListBullet"/>
            </w:pPr>
            <w:r>
              <w:t>declaration regarding no private use, or business use percentage.</w:t>
            </w:r>
          </w:p>
        </w:tc>
        <w:tc>
          <w:tcPr>
            <w:tcW w:w="590" w:type="pct"/>
            <w:vMerge w:val="restart"/>
            <w:vAlign w:val="top"/>
          </w:tcPr>
          <w:p w14:paraId="47F63A33" w14:textId="77777777" w:rsidR="00BE2990" w:rsidRPr="006821CB" w:rsidRDefault="00BE2990" w:rsidP="00927619">
            <w:r w:rsidRPr="006821CB">
              <w:t>Expense payment  fringe benefit</w:t>
            </w:r>
          </w:p>
        </w:tc>
      </w:tr>
      <w:tr w:rsidR="00BE2990" w14:paraId="0BC1BC55" w14:textId="77777777" w:rsidTr="00927619">
        <w:trPr>
          <w:trHeight w:val="568"/>
        </w:trPr>
        <w:tc>
          <w:tcPr>
            <w:tcW w:w="1675" w:type="pct"/>
          </w:tcPr>
          <w:p w14:paraId="0B075C17" w14:textId="77777777" w:rsidR="00BE2990" w:rsidRPr="006821CB" w:rsidRDefault="00BE2990" w:rsidP="00927619">
            <w:pPr>
              <w:pStyle w:val="ListBullet"/>
            </w:pPr>
            <w:r w:rsidRPr="006821CB">
              <w:t>the car is owned/leased by the employee/associate</w:t>
            </w:r>
          </w:p>
        </w:tc>
        <w:tc>
          <w:tcPr>
            <w:tcW w:w="602" w:type="pct"/>
          </w:tcPr>
          <w:p w14:paraId="3464A64A" w14:textId="77777777" w:rsidR="00BE2990" w:rsidRPr="006821CB" w:rsidRDefault="00BE2990" w:rsidP="00BE2990">
            <w:pPr>
              <w:pStyle w:val="Body"/>
              <w:spacing w:before="100" w:after="100"/>
              <w:rPr>
                <w:sz w:val="17"/>
                <w:szCs w:val="17"/>
              </w:rPr>
            </w:pPr>
          </w:p>
        </w:tc>
        <w:tc>
          <w:tcPr>
            <w:tcW w:w="358" w:type="pct"/>
          </w:tcPr>
          <w:p w14:paraId="144C26BF" w14:textId="77777777" w:rsidR="00BE2990" w:rsidRPr="006821CB" w:rsidRDefault="00BE2990" w:rsidP="00BE2990">
            <w:pPr>
              <w:pStyle w:val="Body"/>
              <w:spacing w:before="100" w:after="100"/>
              <w:rPr>
                <w:sz w:val="17"/>
                <w:szCs w:val="17"/>
              </w:rPr>
            </w:pPr>
          </w:p>
        </w:tc>
        <w:tc>
          <w:tcPr>
            <w:tcW w:w="1775" w:type="pct"/>
            <w:vMerge/>
          </w:tcPr>
          <w:p w14:paraId="48773A43" w14:textId="77777777" w:rsidR="00BE2990" w:rsidRPr="006821CB" w:rsidRDefault="00BE2990" w:rsidP="00BE2990">
            <w:pPr>
              <w:pStyle w:val="Body"/>
              <w:spacing w:before="100" w:after="100"/>
              <w:rPr>
                <w:sz w:val="17"/>
                <w:szCs w:val="17"/>
              </w:rPr>
            </w:pPr>
          </w:p>
        </w:tc>
        <w:tc>
          <w:tcPr>
            <w:tcW w:w="590" w:type="pct"/>
            <w:vMerge/>
          </w:tcPr>
          <w:p w14:paraId="2103041E" w14:textId="77777777" w:rsidR="00BE2990" w:rsidRPr="006821CB" w:rsidRDefault="00BE2990" w:rsidP="00BE2990">
            <w:pPr>
              <w:pStyle w:val="Body"/>
              <w:spacing w:before="100" w:after="100"/>
              <w:rPr>
                <w:sz w:val="17"/>
                <w:szCs w:val="17"/>
              </w:rPr>
            </w:pPr>
          </w:p>
        </w:tc>
      </w:tr>
      <w:tr w:rsidR="00BE2990" w14:paraId="778A34E0" w14:textId="77777777" w:rsidTr="00927619">
        <w:trPr>
          <w:cnfStyle w:val="000000100000" w:firstRow="0" w:lastRow="0" w:firstColumn="0" w:lastColumn="0" w:oddVBand="0" w:evenVBand="0" w:oddHBand="1" w:evenHBand="0" w:firstRowFirstColumn="0" w:firstRowLastColumn="0" w:lastRowFirstColumn="0" w:lastRowLastColumn="0"/>
          <w:trHeight w:val="568"/>
        </w:trPr>
        <w:tc>
          <w:tcPr>
            <w:tcW w:w="1675" w:type="pct"/>
          </w:tcPr>
          <w:p w14:paraId="2262BCA8" w14:textId="77777777" w:rsidR="00BE2990" w:rsidRPr="006821CB" w:rsidRDefault="00BE2990" w:rsidP="00927619">
            <w:pPr>
              <w:pStyle w:val="ListBullet"/>
            </w:pPr>
            <w:r w:rsidRPr="006821CB">
              <w:t>the benefit is provided in respect of employment.</w:t>
            </w:r>
          </w:p>
        </w:tc>
        <w:tc>
          <w:tcPr>
            <w:tcW w:w="602" w:type="pct"/>
          </w:tcPr>
          <w:p w14:paraId="40EC4037" w14:textId="77777777" w:rsidR="00BE2990" w:rsidRPr="006821CB" w:rsidRDefault="00BE2990" w:rsidP="00BE2990">
            <w:pPr>
              <w:pStyle w:val="Body"/>
              <w:spacing w:before="100" w:after="100"/>
              <w:rPr>
                <w:sz w:val="17"/>
                <w:szCs w:val="17"/>
              </w:rPr>
            </w:pPr>
          </w:p>
        </w:tc>
        <w:tc>
          <w:tcPr>
            <w:tcW w:w="358" w:type="pct"/>
          </w:tcPr>
          <w:p w14:paraId="426846E3" w14:textId="77777777" w:rsidR="00BE2990" w:rsidRPr="006821CB" w:rsidRDefault="00BE2990" w:rsidP="00BE2990">
            <w:pPr>
              <w:pStyle w:val="Body"/>
              <w:spacing w:before="100" w:after="100"/>
              <w:rPr>
                <w:sz w:val="17"/>
                <w:szCs w:val="17"/>
              </w:rPr>
            </w:pPr>
          </w:p>
        </w:tc>
        <w:tc>
          <w:tcPr>
            <w:tcW w:w="1775" w:type="pct"/>
            <w:vMerge/>
          </w:tcPr>
          <w:p w14:paraId="35744231" w14:textId="77777777" w:rsidR="00BE2990" w:rsidRPr="006821CB" w:rsidRDefault="00BE2990" w:rsidP="00BE2990">
            <w:pPr>
              <w:pStyle w:val="Body"/>
              <w:spacing w:before="100" w:after="100"/>
              <w:rPr>
                <w:sz w:val="17"/>
                <w:szCs w:val="17"/>
              </w:rPr>
            </w:pPr>
          </w:p>
        </w:tc>
        <w:tc>
          <w:tcPr>
            <w:tcW w:w="590" w:type="pct"/>
            <w:vMerge/>
          </w:tcPr>
          <w:p w14:paraId="481C0F77" w14:textId="77777777" w:rsidR="00BE2990" w:rsidRPr="006821CB" w:rsidRDefault="00BE2990" w:rsidP="00BE2990">
            <w:pPr>
              <w:pStyle w:val="Body"/>
              <w:spacing w:before="100" w:after="100"/>
              <w:rPr>
                <w:sz w:val="17"/>
                <w:szCs w:val="17"/>
              </w:rPr>
            </w:pPr>
          </w:p>
        </w:tc>
      </w:tr>
      <w:tr w:rsidR="00BE2990" w14:paraId="0D157128" w14:textId="77777777" w:rsidTr="00927619">
        <w:trPr>
          <w:trHeight w:val="2332"/>
        </w:trPr>
        <w:tc>
          <w:tcPr>
            <w:tcW w:w="1675" w:type="pct"/>
          </w:tcPr>
          <w:p w14:paraId="0C1B5DC1" w14:textId="77777777" w:rsidR="00BE2990" w:rsidRPr="00927619" w:rsidRDefault="00BE2990" w:rsidP="00927619">
            <w:pPr>
              <w:rPr>
                <w:i/>
                <w:iCs/>
              </w:rPr>
            </w:pPr>
            <w:r w:rsidRPr="00927619">
              <w:rPr>
                <w:i/>
                <w:iCs/>
              </w:rPr>
              <w:t>Exemptions include:</w:t>
            </w:r>
          </w:p>
          <w:p w14:paraId="10E869A4" w14:textId="77777777" w:rsidR="00BE2990" w:rsidRPr="006821CB" w:rsidRDefault="00BE2990" w:rsidP="00927619">
            <w:pPr>
              <w:pStyle w:val="ListBullet"/>
            </w:pPr>
            <w:r w:rsidRPr="006821CB">
              <w:t>where the employer compensates the employee on a cents per kilometre basis for estimated travel (i.e. the amount of the allowance is assessable income to the employee)</w:t>
            </w:r>
          </w:p>
          <w:p w14:paraId="3F2978B8" w14:textId="77777777" w:rsidR="00BE2990" w:rsidRPr="000677E6" w:rsidRDefault="00BE2990" w:rsidP="00927619">
            <w:pPr>
              <w:pStyle w:val="ListBullet"/>
            </w:pPr>
            <w:r>
              <w:t xml:space="preserve">car expenses (i.e. </w:t>
            </w:r>
            <w:r w:rsidRPr="006821CB">
              <w:t>running costs</w:t>
            </w:r>
            <w:r>
              <w:t>)</w:t>
            </w:r>
            <w:r w:rsidRPr="006821CB">
              <w:t xml:space="preserve"> incurred in relation to the provision of a car fringe benefit valued under the statutory formula meth</w:t>
            </w:r>
            <w:r>
              <w:t>od.</w:t>
            </w:r>
          </w:p>
        </w:tc>
        <w:tc>
          <w:tcPr>
            <w:tcW w:w="602" w:type="pct"/>
          </w:tcPr>
          <w:p w14:paraId="3508F0E7" w14:textId="77777777" w:rsidR="00BE2990" w:rsidRPr="006821CB" w:rsidRDefault="00BE2990" w:rsidP="00BE2990">
            <w:pPr>
              <w:pStyle w:val="Body"/>
              <w:spacing w:before="100" w:after="100"/>
              <w:rPr>
                <w:sz w:val="17"/>
                <w:szCs w:val="17"/>
              </w:rPr>
            </w:pPr>
          </w:p>
        </w:tc>
        <w:tc>
          <w:tcPr>
            <w:tcW w:w="358" w:type="pct"/>
          </w:tcPr>
          <w:p w14:paraId="330EA164" w14:textId="77777777" w:rsidR="00BE2990" w:rsidRPr="006821CB" w:rsidRDefault="00BE2990" w:rsidP="00BE2990">
            <w:pPr>
              <w:pStyle w:val="Body"/>
              <w:spacing w:before="100" w:after="100"/>
              <w:rPr>
                <w:sz w:val="17"/>
                <w:szCs w:val="17"/>
              </w:rPr>
            </w:pPr>
          </w:p>
        </w:tc>
        <w:tc>
          <w:tcPr>
            <w:tcW w:w="1775" w:type="pct"/>
            <w:vMerge/>
          </w:tcPr>
          <w:p w14:paraId="53523A24" w14:textId="77777777" w:rsidR="00BE2990" w:rsidRPr="006821CB" w:rsidRDefault="00BE2990" w:rsidP="00BE2990">
            <w:pPr>
              <w:pStyle w:val="Body"/>
              <w:spacing w:before="100" w:after="100"/>
              <w:rPr>
                <w:sz w:val="17"/>
                <w:szCs w:val="17"/>
              </w:rPr>
            </w:pPr>
          </w:p>
        </w:tc>
        <w:tc>
          <w:tcPr>
            <w:tcW w:w="590" w:type="pct"/>
            <w:vMerge/>
          </w:tcPr>
          <w:p w14:paraId="148D557E" w14:textId="77777777" w:rsidR="00BE2990" w:rsidRPr="006821CB" w:rsidRDefault="00BE2990" w:rsidP="00BE2990">
            <w:pPr>
              <w:pStyle w:val="Body"/>
              <w:spacing w:before="100" w:after="100"/>
              <w:rPr>
                <w:sz w:val="17"/>
                <w:szCs w:val="17"/>
              </w:rPr>
            </w:pPr>
          </w:p>
        </w:tc>
      </w:tr>
      <w:tr w:rsidR="00BE2990" w14:paraId="6A4D1BC6" w14:textId="77777777" w:rsidTr="00927619">
        <w:trPr>
          <w:cnfStyle w:val="000000100000" w:firstRow="0" w:lastRow="0" w:firstColumn="0" w:lastColumn="0" w:oddVBand="0" w:evenVBand="0" w:oddHBand="1" w:evenHBand="0" w:firstRowFirstColumn="0" w:firstRowLastColumn="0" w:lastRowFirstColumn="0" w:lastRowLastColumn="0"/>
          <w:trHeight w:val="852"/>
        </w:trPr>
        <w:tc>
          <w:tcPr>
            <w:tcW w:w="1675" w:type="pct"/>
          </w:tcPr>
          <w:p w14:paraId="0AA2CFB8" w14:textId="77777777" w:rsidR="00BE2990" w:rsidRPr="00927619" w:rsidRDefault="00BE2990" w:rsidP="00BE2990">
            <w:pPr>
              <w:pStyle w:val="TableBullet"/>
              <w:numPr>
                <w:ilvl w:val="0"/>
                <w:numId w:val="0"/>
              </w:numPr>
              <w:spacing w:before="100" w:after="100"/>
              <w:ind w:left="360" w:hanging="36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Exemptions include:</w:t>
            </w:r>
          </w:p>
          <w:p w14:paraId="23078490" w14:textId="77777777" w:rsidR="00BE2990" w:rsidRPr="006821CB" w:rsidRDefault="00BE2990" w:rsidP="00927619">
            <w:pPr>
              <w:pStyle w:val="ListBullet"/>
              <w:rPr>
                <w:i/>
              </w:rPr>
            </w:pPr>
            <w:r w:rsidRPr="000677E6">
              <w:t>where the car has not been used for private use.</w:t>
            </w:r>
          </w:p>
        </w:tc>
        <w:tc>
          <w:tcPr>
            <w:tcW w:w="602" w:type="pct"/>
          </w:tcPr>
          <w:p w14:paraId="72753D0F" w14:textId="77777777" w:rsidR="00BE2990" w:rsidRPr="006821CB" w:rsidRDefault="00BE2990" w:rsidP="00BE2990">
            <w:pPr>
              <w:pStyle w:val="Body"/>
              <w:spacing w:before="100" w:after="100"/>
              <w:rPr>
                <w:sz w:val="17"/>
                <w:szCs w:val="17"/>
              </w:rPr>
            </w:pPr>
          </w:p>
        </w:tc>
        <w:tc>
          <w:tcPr>
            <w:tcW w:w="358" w:type="pct"/>
          </w:tcPr>
          <w:p w14:paraId="16B463DC" w14:textId="77777777" w:rsidR="00BE2990" w:rsidRPr="006821CB" w:rsidRDefault="00BE2990" w:rsidP="00BE2990">
            <w:pPr>
              <w:pStyle w:val="Body"/>
              <w:spacing w:before="100" w:after="100"/>
              <w:rPr>
                <w:sz w:val="17"/>
                <w:szCs w:val="17"/>
              </w:rPr>
            </w:pPr>
          </w:p>
        </w:tc>
        <w:tc>
          <w:tcPr>
            <w:tcW w:w="1775" w:type="pct"/>
          </w:tcPr>
          <w:p w14:paraId="2167A8B2" w14:textId="77777777" w:rsidR="00BE2990" w:rsidRPr="006821CB" w:rsidRDefault="00BE2990" w:rsidP="00BE2990">
            <w:pPr>
              <w:pStyle w:val="Body"/>
              <w:spacing w:before="100" w:after="100"/>
              <w:rPr>
                <w:sz w:val="17"/>
                <w:szCs w:val="17"/>
              </w:rPr>
            </w:pPr>
          </w:p>
        </w:tc>
        <w:tc>
          <w:tcPr>
            <w:tcW w:w="590" w:type="pct"/>
            <w:vMerge w:val="restart"/>
            <w:vAlign w:val="top"/>
          </w:tcPr>
          <w:p w14:paraId="20BF69DE" w14:textId="77777777" w:rsidR="00BE2990" w:rsidRPr="006821CB" w:rsidRDefault="00BE2990" w:rsidP="00927619">
            <w:r w:rsidRPr="00FD0130">
              <w:t>Expense payment  fringe benefit</w:t>
            </w:r>
          </w:p>
        </w:tc>
      </w:tr>
      <w:tr w:rsidR="00BE2990" w14:paraId="356CB24E" w14:textId="77777777" w:rsidTr="00927619">
        <w:trPr>
          <w:trHeight w:val="1061"/>
        </w:trPr>
        <w:tc>
          <w:tcPr>
            <w:tcW w:w="1675" w:type="pct"/>
          </w:tcPr>
          <w:p w14:paraId="2B2F68A0" w14:textId="77777777" w:rsidR="00BE2990" w:rsidRPr="00927619" w:rsidRDefault="00BE2990" w:rsidP="00927619">
            <w:pPr>
              <w:pStyle w:val="TableBullet"/>
              <w:numPr>
                <w:ilvl w:val="0"/>
                <w:numId w:val="0"/>
              </w:numPr>
              <w:spacing w:before="100" w:after="100"/>
              <w:ind w:left="360" w:hanging="36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Taxable value reduced:</w:t>
            </w:r>
          </w:p>
          <w:p w14:paraId="54CD98F7" w14:textId="77777777" w:rsidR="00BE2990" w:rsidRPr="006821CB" w:rsidRDefault="00BE2990" w:rsidP="00927619">
            <w:pPr>
              <w:pStyle w:val="ListBullet"/>
              <w:rPr>
                <w:i/>
              </w:rPr>
            </w:pPr>
            <w:r>
              <w:t>where the otherwise deductible rule applies (based on car business use declaration).</w:t>
            </w:r>
          </w:p>
        </w:tc>
        <w:tc>
          <w:tcPr>
            <w:tcW w:w="602" w:type="pct"/>
          </w:tcPr>
          <w:p w14:paraId="6E722993" w14:textId="77777777" w:rsidR="00BE2990" w:rsidRPr="006821CB" w:rsidRDefault="00BE2990" w:rsidP="00BE2990">
            <w:pPr>
              <w:pStyle w:val="Body"/>
              <w:spacing w:before="100" w:after="100"/>
              <w:rPr>
                <w:sz w:val="17"/>
                <w:szCs w:val="17"/>
              </w:rPr>
            </w:pPr>
          </w:p>
        </w:tc>
        <w:tc>
          <w:tcPr>
            <w:tcW w:w="358" w:type="pct"/>
          </w:tcPr>
          <w:p w14:paraId="2CB1D12F" w14:textId="77777777" w:rsidR="00BE2990" w:rsidRPr="006821CB" w:rsidRDefault="00BE2990" w:rsidP="00BE2990">
            <w:pPr>
              <w:pStyle w:val="Body"/>
              <w:spacing w:before="100" w:after="100"/>
              <w:rPr>
                <w:sz w:val="17"/>
                <w:szCs w:val="17"/>
              </w:rPr>
            </w:pPr>
          </w:p>
        </w:tc>
        <w:tc>
          <w:tcPr>
            <w:tcW w:w="1775" w:type="pct"/>
          </w:tcPr>
          <w:p w14:paraId="3CB2B764" w14:textId="77777777" w:rsidR="00BE2990" w:rsidRPr="006821CB" w:rsidRDefault="00BE2990" w:rsidP="00BE2990">
            <w:pPr>
              <w:pStyle w:val="Body"/>
              <w:spacing w:before="100" w:after="100"/>
              <w:rPr>
                <w:sz w:val="17"/>
                <w:szCs w:val="17"/>
              </w:rPr>
            </w:pPr>
          </w:p>
        </w:tc>
        <w:tc>
          <w:tcPr>
            <w:tcW w:w="590" w:type="pct"/>
            <w:vMerge/>
          </w:tcPr>
          <w:p w14:paraId="2F323D76" w14:textId="77777777" w:rsidR="00BE2990" w:rsidRPr="006821CB" w:rsidRDefault="00BE2990" w:rsidP="00BE2990">
            <w:pPr>
              <w:pStyle w:val="Body"/>
              <w:spacing w:before="100" w:after="100"/>
              <w:rPr>
                <w:sz w:val="17"/>
                <w:szCs w:val="17"/>
              </w:rPr>
            </w:pPr>
          </w:p>
        </w:tc>
      </w:tr>
    </w:tbl>
    <w:p w14:paraId="0A9E3262" w14:textId="6D257DF9" w:rsidR="00927619" w:rsidRDefault="00927619"/>
    <w:p w14:paraId="525EAFEB" w14:textId="326C74DA" w:rsidR="00927619" w:rsidRDefault="00927619"/>
    <w:p w14:paraId="05CB922F" w14:textId="09BE4DE6" w:rsidR="00927619" w:rsidRDefault="00927619"/>
    <w:p w14:paraId="64BF2A53" w14:textId="77777777" w:rsidR="00927619" w:rsidRDefault="00927619"/>
    <w:tbl>
      <w:tblPr>
        <w:tblStyle w:val="RACVTable"/>
        <w:tblW w:w="4965" w:type="pct"/>
        <w:tblLook w:val="04A0" w:firstRow="1" w:lastRow="0" w:firstColumn="1" w:lastColumn="0" w:noHBand="0" w:noVBand="1"/>
      </w:tblPr>
      <w:tblGrid>
        <w:gridCol w:w="3267"/>
        <w:gridCol w:w="1193"/>
        <w:gridCol w:w="36"/>
        <w:gridCol w:w="701"/>
        <w:gridCol w:w="8"/>
        <w:gridCol w:w="3373"/>
        <w:gridCol w:w="8"/>
        <w:gridCol w:w="111"/>
        <w:gridCol w:w="1211"/>
      </w:tblGrid>
      <w:tr w:rsidR="00BE2990" w14:paraId="772305F8" w14:textId="77777777" w:rsidTr="002A0CC4">
        <w:trPr>
          <w:cnfStyle w:val="100000000000" w:firstRow="1" w:lastRow="0" w:firstColumn="0" w:lastColumn="0" w:oddVBand="0" w:evenVBand="0" w:oddHBand="0" w:evenHBand="0" w:firstRowFirstColumn="0" w:firstRowLastColumn="0" w:lastRowFirstColumn="0" w:lastRowLastColumn="0"/>
          <w:trHeight w:val="1005"/>
        </w:trPr>
        <w:tc>
          <w:tcPr>
            <w:tcW w:w="1649" w:type="pct"/>
          </w:tcPr>
          <w:p w14:paraId="683C8B3F" w14:textId="77777777" w:rsidR="00BE2990" w:rsidRPr="0023149C" w:rsidRDefault="00BE2990" w:rsidP="00BE2990">
            <w:pPr>
              <w:pStyle w:val="Table"/>
              <w:spacing w:before="100" w:after="100"/>
              <w:rPr>
                <w:b w:val="0"/>
                <w:sz w:val="18"/>
                <w:szCs w:val="18"/>
              </w:rPr>
            </w:pPr>
            <w:r w:rsidRPr="0023149C">
              <w:rPr>
                <w:sz w:val="18"/>
                <w:szCs w:val="18"/>
              </w:rPr>
              <w:t>Expenditure/benefit</w:t>
            </w:r>
          </w:p>
        </w:tc>
        <w:tc>
          <w:tcPr>
            <w:tcW w:w="602" w:type="pct"/>
          </w:tcPr>
          <w:p w14:paraId="75B6EEBD" w14:textId="77777777" w:rsidR="00BE2990" w:rsidRPr="0023149C" w:rsidRDefault="00BE2990" w:rsidP="00BE2990">
            <w:pPr>
              <w:pStyle w:val="Table"/>
              <w:spacing w:before="100" w:after="100"/>
              <w:rPr>
                <w:b w:val="0"/>
                <w:sz w:val="18"/>
                <w:szCs w:val="18"/>
              </w:rPr>
            </w:pPr>
            <w:r w:rsidRPr="0023149C">
              <w:rPr>
                <w:sz w:val="18"/>
                <w:szCs w:val="18"/>
              </w:rPr>
              <w:t>Applicable (Yes/No) Completed date</w:t>
            </w:r>
          </w:p>
        </w:tc>
        <w:tc>
          <w:tcPr>
            <w:tcW w:w="372" w:type="pct"/>
            <w:gridSpan w:val="2"/>
          </w:tcPr>
          <w:p w14:paraId="05F1CD5D" w14:textId="77777777" w:rsidR="00BE2990" w:rsidRPr="0023149C" w:rsidRDefault="00BE2990" w:rsidP="00BE2990">
            <w:pPr>
              <w:pStyle w:val="Table"/>
              <w:spacing w:before="100" w:after="100"/>
              <w:rPr>
                <w:b w:val="0"/>
                <w:sz w:val="18"/>
                <w:szCs w:val="18"/>
              </w:rPr>
            </w:pPr>
            <w:r w:rsidRPr="0023149C">
              <w:rPr>
                <w:sz w:val="18"/>
                <w:szCs w:val="18"/>
              </w:rPr>
              <w:t>Work page</w:t>
            </w:r>
          </w:p>
        </w:tc>
        <w:tc>
          <w:tcPr>
            <w:tcW w:w="1766" w:type="pct"/>
            <w:gridSpan w:val="4"/>
          </w:tcPr>
          <w:p w14:paraId="28601046" w14:textId="77777777" w:rsidR="00BE2990" w:rsidRPr="0023149C" w:rsidRDefault="00BE2990" w:rsidP="00BE2990">
            <w:pPr>
              <w:pStyle w:val="Table"/>
              <w:spacing w:before="100" w:after="100"/>
              <w:rPr>
                <w:b w:val="0"/>
                <w:sz w:val="18"/>
                <w:szCs w:val="18"/>
              </w:rPr>
            </w:pPr>
            <w:r w:rsidRPr="0023149C">
              <w:rPr>
                <w:sz w:val="18"/>
                <w:szCs w:val="18"/>
              </w:rPr>
              <w:t>Data required</w:t>
            </w:r>
          </w:p>
        </w:tc>
        <w:tc>
          <w:tcPr>
            <w:tcW w:w="612" w:type="pct"/>
          </w:tcPr>
          <w:p w14:paraId="085D1CB5" w14:textId="77777777" w:rsidR="00BE2990" w:rsidRPr="0023149C" w:rsidRDefault="00BE2990" w:rsidP="00BE2990">
            <w:pPr>
              <w:pStyle w:val="Table"/>
              <w:spacing w:before="100" w:after="100"/>
              <w:rPr>
                <w:b w:val="0"/>
                <w:sz w:val="18"/>
                <w:szCs w:val="18"/>
              </w:rPr>
            </w:pPr>
            <w:r w:rsidRPr="0023149C">
              <w:rPr>
                <w:sz w:val="18"/>
                <w:szCs w:val="18"/>
              </w:rPr>
              <w:t>Type of benefit</w:t>
            </w:r>
          </w:p>
        </w:tc>
      </w:tr>
      <w:tr w:rsidR="00BE2990" w14:paraId="0F83BB5C" w14:textId="77777777" w:rsidTr="00927619">
        <w:trPr>
          <w:cnfStyle w:val="000000100000" w:firstRow="0" w:lastRow="0" w:firstColumn="0" w:lastColumn="0" w:oddVBand="0" w:evenVBand="0" w:oddHBand="1" w:evenHBand="0" w:firstRowFirstColumn="0" w:firstRowLastColumn="0" w:lastRowFirstColumn="0" w:lastRowLastColumn="0"/>
          <w:trHeight w:val="378"/>
        </w:trPr>
        <w:tc>
          <w:tcPr>
            <w:tcW w:w="5000" w:type="pct"/>
            <w:gridSpan w:val="9"/>
            <w:shd w:val="clear" w:color="auto" w:fill="0A5CC7" w:themeFill="accent3"/>
          </w:tcPr>
          <w:p w14:paraId="15A90078" w14:textId="77777777" w:rsidR="00BE2990" w:rsidRPr="00927619" w:rsidRDefault="00BE2990" w:rsidP="00BE2990">
            <w:pPr>
              <w:pStyle w:val="Tableheading"/>
              <w:spacing w:before="100" w:after="100"/>
              <w:rPr>
                <w:color w:val="FFFFFF" w:themeColor="background1"/>
              </w:rPr>
            </w:pPr>
            <w:r w:rsidRPr="00927619">
              <w:rPr>
                <w:color w:val="FFFFFF" w:themeColor="background1"/>
                <w:sz w:val="17"/>
                <w:szCs w:val="17"/>
              </w:rPr>
              <w:t>LOANS</w:t>
            </w:r>
          </w:p>
        </w:tc>
      </w:tr>
      <w:tr w:rsidR="00BE2990" w14:paraId="5C876D17" w14:textId="77777777" w:rsidTr="002A0CC4">
        <w:trPr>
          <w:trHeight w:val="871"/>
        </w:trPr>
        <w:tc>
          <w:tcPr>
            <w:tcW w:w="1649" w:type="pct"/>
            <w:vAlign w:val="top"/>
          </w:tcPr>
          <w:p w14:paraId="4BB78200" w14:textId="77777777" w:rsidR="00BE2990" w:rsidRPr="00927619" w:rsidRDefault="00BE2990" w:rsidP="00BE2990">
            <w:pPr>
              <w:pStyle w:val="Body"/>
              <w:spacing w:before="100" w:after="10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Benefit arises where:</w:t>
            </w:r>
          </w:p>
          <w:p w14:paraId="5A032213" w14:textId="77777777" w:rsidR="00BE2990" w:rsidRPr="006821CB" w:rsidRDefault="00BE2990" w:rsidP="00927619">
            <w:pPr>
              <w:pStyle w:val="ListBullet"/>
            </w:pPr>
            <w:r w:rsidRPr="006821CB">
              <w:t>a loan is provided to an employee or associat</w:t>
            </w:r>
            <w:r>
              <w:t>e</w:t>
            </w:r>
          </w:p>
        </w:tc>
        <w:tc>
          <w:tcPr>
            <w:tcW w:w="602" w:type="pct"/>
            <w:vAlign w:val="top"/>
          </w:tcPr>
          <w:p w14:paraId="453F1835" w14:textId="77777777" w:rsidR="00BE2990" w:rsidRPr="006821CB" w:rsidRDefault="00BE2990" w:rsidP="00BE2990">
            <w:pPr>
              <w:pStyle w:val="Body"/>
              <w:spacing w:before="100" w:after="100"/>
              <w:rPr>
                <w:sz w:val="17"/>
                <w:szCs w:val="17"/>
              </w:rPr>
            </w:pPr>
          </w:p>
        </w:tc>
        <w:tc>
          <w:tcPr>
            <w:tcW w:w="372" w:type="pct"/>
            <w:gridSpan w:val="2"/>
            <w:vAlign w:val="top"/>
          </w:tcPr>
          <w:p w14:paraId="209072E9" w14:textId="77777777" w:rsidR="00BE2990" w:rsidRDefault="00BE2990" w:rsidP="00BE2990">
            <w:pPr>
              <w:pStyle w:val="Body"/>
              <w:spacing w:before="100" w:after="100"/>
            </w:pPr>
          </w:p>
        </w:tc>
        <w:tc>
          <w:tcPr>
            <w:tcW w:w="1766" w:type="pct"/>
            <w:gridSpan w:val="4"/>
            <w:vMerge w:val="restart"/>
            <w:vAlign w:val="top"/>
          </w:tcPr>
          <w:p w14:paraId="60951D53" w14:textId="77777777" w:rsidR="00BE2990" w:rsidRPr="00927619" w:rsidRDefault="00BE2990" w:rsidP="00927619">
            <w:pPr>
              <w:rPr>
                <w:b/>
                <w:bCs/>
              </w:rPr>
            </w:pPr>
            <w:r w:rsidRPr="00927619">
              <w:rPr>
                <w:b/>
                <w:bCs/>
              </w:rPr>
              <w:t>Loan benefit</w:t>
            </w:r>
            <w:r w:rsidRPr="00927619">
              <w:rPr>
                <w:b/>
                <w:bCs/>
              </w:rPr>
              <w:br/>
            </w:r>
            <w:r w:rsidRPr="00927619">
              <w:rPr>
                <w:i/>
              </w:rPr>
              <w:t>(refer formula 2)</w:t>
            </w:r>
          </w:p>
          <w:p w14:paraId="5392DA55" w14:textId="77777777" w:rsidR="00BE2990" w:rsidRPr="006821CB" w:rsidRDefault="00BE2990" w:rsidP="00927619">
            <w:pPr>
              <w:pStyle w:val="ListBullet"/>
            </w:pPr>
            <w:r w:rsidRPr="006821CB">
              <w:t>date the loan commenced</w:t>
            </w:r>
          </w:p>
          <w:p w14:paraId="43CEDF45" w14:textId="77777777" w:rsidR="00BE2990" w:rsidRPr="006821CB" w:rsidRDefault="00BE2990" w:rsidP="00927619">
            <w:pPr>
              <w:pStyle w:val="ListBullet"/>
            </w:pPr>
            <w:r w:rsidRPr="006821CB">
              <w:t>amount of the loan</w:t>
            </w:r>
          </w:p>
          <w:p w14:paraId="72584596" w14:textId="77777777" w:rsidR="00BE2990" w:rsidRPr="006821CB" w:rsidRDefault="00BE2990" w:rsidP="00927619">
            <w:pPr>
              <w:pStyle w:val="ListBullet"/>
            </w:pPr>
            <w:r w:rsidRPr="006821CB">
              <w:t xml:space="preserve">details of interest rate and payment dates over loan term (if any)  </w:t>
            </w:r>
          </w:p>
          <w:p w14:paraId="3F727E6F" w14:textId="77777777" w:rsidR="00BE2990" w:rsidRPr="006821CB" w:rsidRDefault="00BE2990" w:rsidP="00927619">
            <w:pPr>
              <w:pStyle w:val="ListBullet"/>
            </w:pPr>
            <w:r w:rsidRPr="006821CB">
              <w:t xml:space="preserve">purpose of the loan (i.e. if income producing this will reduce the taxable value of the </w:t>
            </w:r>
            <w:r>
              <w:t xml:space="preserve">loan </w:t>
            </w:r>
            <w:r w:rsidRPr="006821CB">
              <w:t>fringe benefit under the otherwise deductible rule)</w:t>
            </w:r>
          </w:p>
          <w:p w14:paraId="26693461" w14:textId="77777777" w:rsidR="00BE2990" w:rsidRPr="006821CB" w:rsidRDefault="00BE2990" w:rsidP="00927619">
            <w:pPr>
              <w:pStyle w:val="ListBullet"/>
            </w:pPr>
            <w:r w:rsidRPr="006821CB">
              <w:t>interest paid by the employee (if any)</w:t>
            </w:r>
          </w:p>
          <w:p w14:paraId="2D0B2EBA" w14:textId="77777777" w:rsidR="00BE2990" w:rsidRPr="006821CB" w:rsidRDefault="00BE2990" w:rsidP="00927619">
            <w:pPr>
              <w:pStyle w:val="ListBullet"/>
            </w:pPr>
            <w:r w:rsidRPr="006821CB">
              <w:t>balance of the loan during the period</w:t>
            </w:r>
          </w:p>
          <w:p w14:paraId="210C65F8" w14:textId="77777777" w:rsidR="00BE2990" w:rsidRPr="006821CB" w:rsidRDefault="00BE2990" w:rsidP="00927619">
            <w:pPr>
              <w:pStyle w:val="ListBullet"/>
            </w:pPr>
            <w:r>
              <w:t xml:space="preserve">loan fringe benefit </w:t>
            </w:r>
            <w:r w:rsidRPr="006821CB">
              <w:t>declaration</w:t>
            </w:r>
            <w:r>
              <w:t xml:space="preserve"> </w:t>
            </w:r>
            <w:r w:rsidRPr="006821CB">
              <w:t>required</w:t>
            </w:r>
            <w:r>
              <w:t xml:space="preserve"> for otherwise deductible rule component and interest rate changed on loan</w:t>
            </w:r>
            <w:r w:rsidRPr="006821CB">
              <w:t>.</w:t>
            </w:r>
          </w:p>
        </w:tc>
        <w:tc>
          <w:tcPr>
            <w:tcW w:w="612" w:type="pct"/>
            <w:vMerge w:val="restart"/>
            <w:vAlign w:val="top"/>
          </w:tcPr>
          <w:p w14:paraId="73B0B11C" w14:textId="77777777" w:rsidR="00BE2990" w:rsidRPr="006821CB" w:rsidRDefault="00BE2990" w:rsidP="00927619">
            <w:r w:rsidRPr="006821CB">
              <w:t>Loan fringe benefit</w:t>
            </w:r>
          </w:p>
        </w:tc>
      </w:tr>
      <w:tr w:rsidR="00844D1F" w14:paraId="720B95E9" w14:textId="77777777" w:rsidTr="002A0CC4">
        <w:trPr>
          <w:cnfStyle w:val="000000100000" w:firstRow="0" w:lastRow="0" w:firstColumn="0" w:lastColumn="0" w:oddVBand="0" w:evenVBand="0" w:oddHBand="1" w:evenHBand="0" w:firstRowFirstColumn="0" w:firstRowLastColumn="0" w:lastRowFirstColumn="0" w:lastRowLastColumn="0"/>
          <w:trHeight w:val="568"/>
        </w:trPr>
        <w:tc>
          <w:tcPr>
            <w:tcW w:w="1649" w:type="pct"/>
            <w:vAlign w:val="top"/>
          </w:tcPr>
          <w:p w14:paraId="5270F72D" w14:textId="77777777" w:rsidR="00BE2990" w:rsidRPr="006821CB" w:rsidRDefault="00BE2990" w:rsidP="00927619">
            <w:pPr>
              <w:pStyle w:val="ListBullet"/>
            </w:pPr>
            <w:r w:rsidRPr="006821CB">
              <w:t>the loan is provided in respect of the employee’s employment.</w:t>
            </w:r>
          </w:p>
        </w:tc>
        <w:tc>
          <w:tcPr>
            <w:tcW w:w="602" w:type="pct"/>
            <w:vAlign w:val="top"/>
          </w:tcPr>
          <w:p w14:paraId="52C761CC" w14:textId="77777777" w:rsidR="00BE2990" w:rsidRPr="006821CB" w:rsidRDefault="00BE2990" w:rsidP="00BE2990">
            <w:pPr>
              <w:pStyle w:val="Body"/>
              <w:spacing w:before="100" w:after="100"/>
              <w:rPr>
                <w:sz w:val="17"/>
                <w:szCs w:val="17"/>
              </w:rPr>
            </w:pPr>
          </w:p>
        </w:tc>
        <w:tc>
          <w:tcPr>
            <w:tcW w:w="372" w:type="pct"/>
            <w:gridSpan w:val="2"/>
            <w:vAlign w:val="top"/>
          </w:tcPr>
          <w:p w14:paraId="45FFB0E4" w14:textId="77777777" w:rsidR="00BE2990" w:rsidRDefault="00BE2990" w:rsidP="00BE2990">
            <w:pPr>
              <w:pStyle w:val="Body"/>
              <w:spacing w:before="100" w:after="100"/>
            </w:pPr>
          </w:p>
        </w:tc>
        <w:tc>
          <w:tcPr>
            <w:tcW w:w="1766" w:type="pct"/>
            <w:gridSpan w:val="4"/>
            <w:vMerge/>
            <w:vAlign w:val="top"/>
          </w:tcPr>
          <w:p w14:paraId="7D31F63D" w14:textId="77777777" w:rsidR="00BE2990" w:rsidRDefault="00BE2990" w:rsidP="00BE2990">
            <w:pPr>
              <w:pStyle w:val="Body"/>
              <w:spacing w:before="100" w:after="100"/>
            </w:pPr>
          </w:p>
        </w:tc>
        <w:tc>
          <w:tcPr>
            <w:tcW w:w="612" w:type="pct"/>
            <w:vMerge/>
            <w:vAlign w:val="top"/>
          </w:tcPr>
          <w:p w14:paraId="00C07315" w14:textId="77777777" w:rsidR="00BE2990" w:rsidRDefault="00BE2990" w:rsidP="00BE2990">
            <w:pPr>
              <w:pStyle w:val="Body"/>
              <w:spacing w:before="100" w:after="100"/>
            </w:pPr>
          </w:p>
        </w:tc>
      </w:tr>
      <w:tr w:rsidR="00BE2990" w14:paraId="58FD06AB" w14:textId="77777777" w:rsidTr="002A0CC4">
        <w:trPr>
          <w:trHeight w:val="1838"/>
        </w:trPr>
        <w:tc>
          <w:tcPr>
            <w:tcW w:w="1649" w:type="pct"/>
            <w:vAlign w:val="top"/>
          </w:tcPr>
          <w:p w14:paraId="41830F12" w14:textId="77777777" w:rsidR="00BE2990" w:rsidRPr="00927619" w:rsidRDefault="00BE2990" w:rsidP="00BE2990">
            <w:pPr>
              <w:pStyle w:val="Body"/>
              <w:spacing w:before="100" w:after="10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Exemptions include:</w:t>
            </w:r>
          </w:p>
          <w:p w14:paraId="5BE5FB7B" w14:textId="77777777" w:rsidR="00BE2990" w:rsidRPr="006821CB" w:rsidRDefault="00BE2990" w:rsidP="00927619">
            <w:pPr>
              <w:pStyle w:val="ListBullet"/>
            </w:pPr>
            <w:r w:rsidRPr="006821CB">
              <w:t>loans given to an employee solely for the purpose of meeting employment-related expenses which must be incurred within six months of such an advance being made. The loan must be either expended on employment-related expenditure or repaid</w:t>
            </w:r>
          </w:p>
        </w:tc>
        <w:tc>
          <w:tcPr>
            <w:tcW w:w="602" w:type="pct"/>
            <w:vAlign w:val="top"/>
          </w:tcPr>
          <w:p w14:paraId="20ED84A3" w14:textId="77777777" w:rsidR="00BE2990" w:rsidRPr="006821CB" w:rsidRDefault="00BE2990" w:rsidP="00BE2990">
            <w:pPr>
              <w:pStyle w:val="Body"/>
              <w:spacing w:before="100" w:after="100"/>
              <w:rPr>
                <w:sz w:val="17"/>
                <w:szCs w:val="17"/>
              </w:rPr>
            </w:pPr>
          </w:p>
        </w:tc>
        <w:tc>
          <w:tcPr>
            <w:tcW w:w="372" w:type="pct"/>
            <w:gridSpan w:val="2"/>
            <w:vAlign w:val="top"/>
          </w:tcPr>
          <w:p w14:paraId="53062AB8" w14:textId="77777777" w:rsidR="00BE2990" w:rsidRDefault="00BE2990" w:rsidP="00BE2990">
            <w:pPr>
              <w:pStyle w:val="Body"/>
              <w:spacing w:before="100" w:after="100"/>
            </w:pPr>
          </w:p>
        </w:tc>
        <w:tc>
          <w:tcPr>
            <w:tcW w:w="1766" w:type="pct"/>
            <w:gridSpan w:val="4"/>
            <w:vMerge/>
            <w:vAlign w:val="top"/>
          </w:tcPr>
          <w:p w14:paraId="2EA1B5F4" w14:textId="77777777" w:rsidR="00BE2990" w:rsidRDefault="00BE2990" w:rsidP="00BE2990">
            <w:pPr>
              <w:pStyle w:val="Body"/>
              <w:spacing w:before="100" w:after="100"/>
            </w:pPr>
          </w:p>
        </w:tc>
        <w:tc>
          <w:tcPr>
            <w:tcW w:w="612" w:type="pct"/>
            <w:vMerge/>
            <w:vAlign w:val="top"/>
          </w:tcPr>
          <w:p w14:paraId="0CCE14B4" w14:textId="77777777" w:rsidR="00BE2990" w:rsidRDefault="00BE2990" w:rsidP="00BE2990">
            <w:pPr>
              <w:pStyle w:val="Body"/>
              <w:spacing w:before="100" w:after="100"/>
            </w:pPr>
          </w:p>
        </w:tc>
      </w:tr>
      <w:tr w:rsidR="00844D1F" w14:paraId="54275AF2" w14:textId="77777777" w:rsidTr="002A0CC4">
        <w:trPr>
          <w:cnfStyle w:val="000000100000" w:firstRow="0" w:lastRow="0" w:firstColumn="0" w:lastColumn="0" w:oddVBand="0" w:evenVBand="0" w:oddHBand="1" w:evenHBand="0" w:firstRowFirstColumn="0" w:firstRowLastColumn="0" w:lastRowFirstColumn="0" w:lastRowLastColumn="0"/>
          <w:trHeight w:val="663"/>
        </w:trPr>
        <w:tc>
          <w:tcPr>
            <w:tcW w:w="1649" w:type="pct"/>
            <w:vAlign w:val="top"/>
          </w:tcPr>
          <w:p w14:paraId="7DF5C0AF" w14:textId="77777777" w:rsidR="00BE2990" w:rsidRPr="006821CB" w:rsidRDefault="00BE2990" w:rsidP="00927619">
            <w:pPr>
              <w:pStyle w:val="ListBullet"/>
            </w:pPr>
            <w:r w:rsidRPr="006821CB">
              <w:t>loans made by a private company to an individual who is both an employee and shareholder (or an associate thereof) which are either Division 7A compliant loans, or loans that will be treated as deemed dividends under Division 7A.</w:t>
            </w:r>
          </w:p>
        </w:tc>
        <w:tc>
          <w:tcPr>
            <w:tcW w:w="602" w:type="pct"/>
            <w:vAlign w:val="top"/>
          </w:tcPr>
          <w:p w14:paraId="57EDEF5C" w14:textId="77777777" w:rsidR="00BE2990" w:rsidRPr="006821CB" w:rsidRDefault="00BE2990" w:rsidP="00BE2990">
            <w:pPr>
              <w:pStyle w:val="Body"/>
              <w:spacing w:before="100" w:after="100"/>
              <w:rPr>
                <w:sz w:val="17"/>
                <w:szCs w:val="17"/>
              </w:rPr>
            </w:pPr>
          </w:p>
        </w:tc>
        <w:tc>
          <w:tcPr>
            <w:tcW w:w="372" w:type="pct"/>
            <w:gridSpan w:val="2"/>
            <w:vAlign w:val="top"/>
          </w:tcPr>
          <w:p w14:paraId="5E048AF1" w14:textId="77777777" w:rsidR="00BE2990" w:rsidRDefault="00BE2990" w:rsidP="00BE2990">
            <w:pPr>
              <w:pStyle w:val="Body"/>
              <w:spacing w:before="100" w:after="100"/>
            </w:pPr>
          </w:p>
        </w:tc>
        <w:tc>
          <w:tcPr>
            <w:tcW w:w="1766" w:type="pct"/>
            <w:gridSpan w:val="4"/>
            <w:vMerge/>
            <w:vAlign w:val="top"/>
          </w:tcPr>
          <w:p w14:paraId="6F531651" w14:textId="77777777" w:rsidR="00BE2990" w:rsidRDefault="00BE2990" w:rsidP="00BE2990">
            <w:pPr>
              <w:pStyle w:val="Body"/>
              <w:spacing w:before="100" w:after="100"/>
            </w:pPr>
          </w:p>
        </w:tc>
        <w:tc>
          <w:tcPr>
            <w:tcW w:w="612" w:type="pct"/>
            <w:vMerge/>
            <w:vAlign w:val="top"/>
          </w:tcPr>
          <w:p w14:paraId="618C084D" w14:textId="77777777" w:rsidR="00BE2990" w:rsidRDefault="00BE2990" w:rsidP="00BE2990">
            <w:pPr>
              <w:pStyle w:val="Body"/>
              <w:spacing w:before="100" w:after="100"/>
            </w:pPr>
          </w:p>
        </w:tc>
      </w:tr>
      <w:tr w:rsidR="00BE2990" w:rsidRPr="00AF24CF" w14:paraId="0F67311B" w14:textId="77777777" w:rsidTr="00927619">
        <w:trPr>
          <w:trHeight w:val="141"/>
        </w:trPr>
        <w:tc>
          <w:tcPr>
            <w:tcW w:w="5000" w:type="pct"/>
            <w:gridSpan w:val="9"/>
            <w:shd w:val="clear" w:color="auto" w:fill="0A5CC7" w:themeFill="accent3"/>
          </w:tcPr>
          <w:p w14:paraId="04D8E21D" w14:textId="77777777" w:rsidR="00BE2990" w:rsidRPr="00927619" w:rsidRDefault="00BE2990" w:rsidP="00BE2990">
            <w:pPr>
              <w:pStyle w:val="Tableheading"/>
              <w:spacing w:before="100" w:after="100"/>
              <w:rPr>
                <w:color w:val="FFFFFF" w:themeColor="background1"/>
              </w:rPr>
            </w:pPr>
            <w:r w:rsidRPr="00927619">
              <w:rPr>
                <w:color w:val="FFFFFF" w:themeColor="background1"/>
                <w:sz w:val="17"/>
                <w:szCs w:val="17"/>
              </w:rPr>
              <w:t>DEBT WAIVER</w:t>
            </w:r>
          </w:p>
        </w:tc>
      </w:tr>
      <w:tr w:rsidR="00844D1F" w14:paraId="777E2FF9" w14:textId="77777777" w:rsidTr="002A0CC4">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04D37FA0" w14:textId="77777777" w:rsidR="00BE2990" w:rsidRPr="00927619" w:rsidRDefault="00BE2990" w:rsidP="00BE2990">
            <w:pPr>
              <w:pStyle w:val="Body"/>
              <w:spacing w:before="100" w:after="10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Benefit arises where:</w:t>
            </w:r>
          </w:p>
          <w:p w14:paraId="40D3D40C" w14:textId="77777777" w:rsidR="00BE2990" w:rsidRPr="006821CB" w:rsidRDefault="00BE2990" w:rsidP="00927619">
            <w:pPr>
              <w:pStyle w:val="ListBullet"/>
            </w:pPr>
            <w:r w:rsidRPr="006821CB">
              <w:t>the employer has released the employee</w:t>
            </w:r>
            <w:r>
              <w:t xml:space="preserve"> or </w:t>
            </w:r>
            <w:r w:rsidRPr="006821CB">
              <w:t>associate from paying an outstanding debt.</w:t>
            </w:r>
          </w:p>
        </w:tc>
        <w:tc>
          <w:tcPr>
            <w:tcW w:w="602" w:type="pct"/>
          </w:tcPr>
          <w:p w14:paraId="197AAFAC" w14:textId="77777777" w:rsidR="00BE2990" w:rsidRPr="006821CB" w:rsidRDefault="00BE2990" w:rsidP="00BE2990">
            <w:pPr>
              <w:pStyle w:val="Body"/>
              <w:spacing w:before="100" w:after="100"/>
              <w:rPr>
                <w:sz w:val="17"/>
                <w:szCs w:val="17"/>
              </w:rPr>
            </w:pPr>
          </w:p>
        </w:tc>
        <w:tc>
          <w:tcPr>
            <w:tcW w:w="372" w:type="pct"/>
            <w:gridSpan w:val="2"/>
          </w:tcPr>
          <w:p w14:paraId="12B20EC3" w14:textId="77777777" w:rsidR="00BE2990" w:rsidRPr="006821CB" w:rsidRDefault="00BE2990" w:rsidP="00BE2990">
            <w:pPr>
              <w:pStyle w:val="Table"/>
              <w:spacing w:before="100" w:after="100"/>
              <w:rPr>
                <w:sz w:val="17"/>
                <w:szCs w:val="17"/>
              </w:rPr>
            </w:pPr>
          </w:p>
        </w:tc>
        <w:tc>
          <w:tcPr>
            <w:tcW w:w="1766" w:type="pct"/>
            <w:gridSpan w:val="4"/>
            <w:vMerge w:val="restart"/>
            <w:vAlign w:val="top"/>
          </w:tcPr>
          <w:p w14:paraId="53ED07EF" w14:textId="77777777" w:rsidR="00BE2990" w:rsidRPr="00927619" w:rsidRDefault="00BE2990" w:rsidP="00BE2990">
            <w:pPr>
              <w:pStyle w:val="Table"/>
              <w:spacing w:before="100" w:after="100"/>
              <w:rPr>
                <w:rFonts w:asciiTheme="minorHAnsi" w:eastAsiaTheme="minorHAnsi" w:hAnsiTheme="minorHAnsi"/>
                <w:b/>
                <w:bCs/>
                <w:color w:val="090D46" w:themeColor="text1"/>
                <w:sz w:val="18"/>
                <w:szCs w:val="22"/>
              </w:rPr>
            </w:pPr>
            <w:r w:rsidRPr="00927619">
              <w:rPr>
                <w:rFonts w:asciiTheme="minorHAnsi" w:eastAsiaTheme="minorHAnsi" w:hAnsiTheme="minorHAnsi"/>
                <w:b/>
                <w:bCs/>
                <w:color w:val="090D46" w:themeColor="text1"/>
                <w:sz w:val="18"/>
                <w:szCs w:val="22"/>
              </w:rPr>
              <w:t>Debt waiver benefit</w:t>
            </w:r>
          </w:p>
          <w:p w14:paraId="47564566" w14:textId="77777777" w:rsidR="00BE2990" w:rsidRPr="00927619" w:rsidRDefault="00BE2990" w:rsidP="00BE2990">
            <w:pPr>
              <w:pStyle w:val="Table"/>
              <w:spacing w:before="100" w:after="100"/>
              <w:rPr>
                <w:rFonts w:asciiTheme="minorHAnsi" w:eastAsiaTheme="minorHAnsi" w:hAnsiTheme="minorHAnsi"/>
                <w:i/>
                <w:color w:val="090D46" w:themeColor="text1"/>
                <w:sz w:val="18"/>
                <w:szCs w:val="22"/>
              </w:rPr>
            </w:pPr>
            <w:r w:rsidRPr="00927619">
              <w:rPr>
                <w:rFonts w:asciiTheme="minorHAnsi" w:eastAsiaTheme="minorHAnsi" w:hAnsiTheme="minorHAnsi"/>
                <w:i/>
                <w:color w:val="090D46" w:themeColor="text1"/>
                <w:sz w:val="18"/>
                <w:szCs w:val="22"/>
              </w:rPr>
              <w:t>(refer formula 3)</w:t>
            </w:r>
          </w:p>
          <w:p w14:paraId="53B13145" w14:textId="77777777" w:rsidR="00BE2990" w:rsidRPr="006821CB" w:rsidRDefault="00BE2990" w:rsidP="00927619">
            <w:pPr>
              <w:pStyle w:val="ListBullet"/>
            </w:pPr>
            <w:r w:rsidRPr="006821CB">
              <w:t>amount of the debt waived, including any interest accrued</w:t>
            </w:r>
          </w:p>
          <w:p w14:paraId="4FBC0E64" w14:textId="77777777" w:rsidR="00BE2990" w:rsidRPr="006821CB" w:rsidRDefault="00BE2990" w:rsidP="00927619">
            <w:pPr>
              <w:pStyle w:val="ListBullet"/>
            </w:pPr>
            <w:r w:rsidRPr="006821CB">
              <w:t>reason for writing off the debt.</w:t>
            </w:r>
          </w:p>
        </w:tc>
        <w:tc>
          <w:tcPr>
            <w:tcW w:w="612" w:type="pct"/>
            <w:vMerge w:val="restart"/>
            <w:vAlign w:val="top"/>
          </w:tcPr>
          <w:p w14:paraId="7C80E27F" w14:textId="77777777" w:rsidR="00BE2990" w:rsidRPr="006821CB" w:rsidRDefault="00BE2990" w:rsidP="00BE2990">
            <w:pPr>
              <w:pStyle w:val="Body"/>
              <w:spacing w:before="100" w:after="100"/>
              <w:rPr>
                <w:sz w:val="17"/>
                <w:szCs w:val="17"/>
              </w:rPr>
            </w:pPr>
            <w:r w:rsidRPr="00927619">
              <w:rPr>
                <w:rFonts w:asciiTheme="minorHAnsi" w:eastAsia="Times New Roman" w:hAnsiTheme="minorHAnsi"/>
                <w:color w:val="090D46" w:themeColor="text1"/>
                <w:sz w:val="18"/>
                <w:szCs w:val="22"/>
                <w:lang w:eastAsia="en-AU"/>
              </w:rPr>
              <w:t>Debt waiver benefit</w:t>
            </w:r>
          </w:p>
        </w:tc>
      </w:tr>
      <w:tr w:rsidR="00BE2990" w14:paraId="12C6916D" w14:textId="77777777" w:rsidTr="002A0CC4">
        <w:trPr>
          <w:trHeight w:val="2313"/>
        </w:trPr>
        <w:tc>
          <w:tcPr>
            <w:tcW w:w="1649" w:type="pct"/>
          </w:tcPr>
          <w:p w14:paraId="3F035DD1" w14:textId="77777777" w:rsidR="00BE2990" w:rsidRPr="00927619" w:rsidRDefault="00BE2990" w:rsidP="00BE2990">
            <w:pPr>
              <w:pStyle w:val="Body"/>
              <w:spacing w:before="100" w:after="10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Exemptions include:</w:t>
            </w:r>
          </w:p>
          <w:p w14:paraId="7F32E63A" w14:textId="77777777" w:rsidR="00BE2990" w:rsidRPr="00DC4963" w:rsidRDefault="00BE2990" w:rsidP="00927619">
            <w:pPr>
              <w:pStyle w:val="ListBullet"/>
            </w:pPr>
            <w:r w:rsidRPr="00FC70D6">
              <w:t>where the debt owed is written off as a genuine bad debt and it is not waived for employment related reasons</w:t>
            </w:r>
          </w:p>
          <w:p w14:paraId="395E5784" w14:textId="77777777" w:rsidR="00BE2990" w:rsidRDefault="00BE2990" w:rsidP="00927619">
            <w:pPr>
              <w:pStyle w:val="ListBullet"/>
            </w:pPr>
            <w:r>
              <w:t>forgiveness of a loan</w:t>
            </w:r>
            <w:r w:rsidRPr="006821CB">
              <w:t xml:space="preserve"> by a private company to an individual who is both an employee and shareholder (or an associate thereof) which will be treated as </w:t>
            </w:r>
            <w:r>
              <w:t>a deemed dividend</w:t>
            </w:r>
            <w:r w:rsidRPr="006821CB">
              <w:t xml:space="preserve"> under Division 7A.</w:t>
            </w:r>
          </w:p>
          <w:p w14:paraId="5EB72DF6" w14:textId="1FAD8C85" w:rsidR="00927619" w:rsidRPr="00FC70D6" w:rsidRDefault="00927619" w:rsidP="00927619">
            <w:pPr>
              <w:pStyle w:val="ListBullet"/>
              <w:numPr>
                <w:ilvl w:val="0"/>
                <w:numId w:val="0"/>
              </w:numPr>
              <w:ind w:left="360"/>
            </w:pPr>
          </w:p>
        </w:tc>
        <w:tc>
          <w:tcPr>
            <w:tcW w:w="602" w:type="pct"/>
          </w:tcPr>
          <w:p w14:paraId="346B2FFA" w14:textId="77777777" w:rsidR="00BE2990" w:rsidRDefault="00BE2990" w:rsidP="00BE2990">
            <w:pPr>
              <w:pStyle w:val="Body"/>
              <w:spacing w:before="100" w:after="100"/>
            </w:pPr>
          </w:p>
        </w:tc>
        <w:tc>
          <w:tcPr>
            <w:tcW w:w="372" w:type="pct"/>
            <w:gridSpan w:val="2"/>
          </w:tcPr>
          <w:p w14:paraId="0F1C5C18" w14:textId="77777777" w:rsidR="00BE2990" w:rsidRDefault="00BE2990" w:rsidP="00BE2990">
            <w:pPr>
              <w:pStyle w:val="Body"/>
              <w:spacing w:before="100" w:after="100"/>
            </w:pPr>
          </w:p>
        </w:tc>
        <w:tc>
          <w:tcPr>
            <w:tcW w:w="1766" w:type="pct"/>
            <w:gridSpan w:val="4"/>
            <w:vMerge/>
          </w:tcPr>
          <w:p w14:paraId="4E05C921" w14:textId="77777777" w:rsidR="00BE2990" w:rsidRDefault="00BE2990" w:rsidP="00BE2990">
            <w:pPr>
              <w:pStyle w:val="Body"/>
              <w:spacing w:before="100" w:after="100"/>
            </w:pPr>
          </w:p>
        </w:tc>
        <w:tc>
          <w:tcPr>
            <w:tcW w:w="612" w:type="pct"/>
            <w:vMerge/>
          </w:tcPr>
          <w:p w14:paraId="4F01CA9C" w14:textId="77777777" w:rsidR="00BE2990" w:rsidRDefault="00BE2990" w:rsidP="00BE2990">
            <w:pPr>
              <w:pStyle w:val="Body"/>
              <w:spacing w:before="100" w:after="100"/>
            </w:pPr>
          </w:p>
        </w:tc>
      </w:tr>
      <w:tr w:rsidR="00BE2990" w:rsidRPr="00AF24CF" w14:paraId="2673AF64" w14:textId="77777777" w:rsidTr="00927619">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9"/>
            <w:shd w:val="clear" w:color="auto" w:fill="0A5CC7" w:themeFill="accent3"/>
          </w:tcPr>
          <w:p w14:paraId="2FECB1F4" w14:textId="77777777" w:rsidR="00BE2990" w:rsidRPr="00927619" w:rsidRDefault="00BE2990" w:rsidP="00BE2990">
            <w:pPr>
              <w:pStyle w:val="Tableheading"/>
              <w:spacing w:before="100" w:after="100"/>
              <w:rPr>
                <w:color w:val="FFFFFF" w:themeColor="background1"/>
              </w:rPr>
            </w:pPr>
            <w:r w:rsidRPr="00927619">
              <w:rPr>
                <w:color w:val="FFFFFF" w:themeColor="background1"/>
                <w:sz w:val="17"/>
                <w:szCs w:val="17"/>
              </w:rPr>
              <w:t xml:space="preserve">HOUSING  </w:t>
            </w:r>
          </w:p>
        </w:tc>
      </w:tr>
      <w:tr w:rsidR="00BE2990" w14:paraId="5AE64F3B" w14:textId="77777777" w:rsidTr="002A0CC4">
        <w:trPr>
          <w:trHeight w:val="141"/>
        </w:trPr>
        <w:tc>
          <w:tcPr>
            <w:tcW w:w="1649" w:type="pct"/>
          </w:tcPr>
          <w:p w14:paraId="3F1C4953" w14:textId="77777777" w:rsidR="00BE2990" w:rsidRPr="00927619" w:rsidRDefault="00BE2990" w:rsidP="00BE2990">
            <w:pPr>
              <w:pStyle w:val="Body"/>
              <w:spacing w:before="100" w:after="10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Benefit arises where:</w:t>
            </w:r>
          </w:p>
          <w:p w14:paraId="3B35BF42" w14:textId="77777777" w:rsidR="00BE2990" w:rsidRPr="00F25BCF" w:rsidRDefault="00BE2990" w:rsidP="00927619">
            <w:pPr>
              <w:pStyle w:val="ListBullet"/>
            </w:pPr>
            <w:r w:rsidRPr="00F25BCF">
              <w:t>an employee or associate is provided with the right to use or occupy a unit of accommodation by lease or licence</w:t>
            </w:r>
          </w:p>
        </w:tc>
        <w:tc>
          <w:tcPr>
            <w:tcW w:w="602" w:type="pct"/>
          </w:tcPr>
          <w:p w14:paraId="17F7131B" w14:textId="77777777" w:rsidR="00BE2990" w:rsidRPr="007320E3" w:rsidRDefault="00BE2990" w:rsidP="00BE2990">
            <w:pPr>
              <w:pStyle w:val="Body"/>
              <w:spacing w:before="100" w:after="100"/>
              <w:rPr>
                <w:sz w:val="17"/>
                <w:szCs w:val="17"/>
              </w:rPr>
            </w:pPr>
          </w:p>
        </w:tc>
        <w:tc>
          <w:tcPr>
            <w:tcW w:w="372" w:type="pct"/>
            <w:gridSpan w:val="2"/>
          </w:tcPr>
          <w:p w14:paraId="7CA4BB43" w14:textId="77777777" w:rsidR="00BE2990" w:rsidRPr="007320E3" w:rsidRDefault="00BE2990" w:rsidP="00BE2990">
            <w:pPr>
              <w:pStyle w:val="Body"/>
              <w:spacing w:before="100" w:after="100"/>
              <w:rPr>
                <w:sz w:val="17"/>
                <w:szCs w:val="17"/>
              </w:rPr>
            </w:pPr>
          </w:p>
        </w:tc>
        <w:tc>
          <w:tcPr>
            <w:tcW w:w="1766" w:type="pct"/>
            <w:gridSpan w:val="4"/>
            <w:vMerge w:val="restart"/>
            <w:vAlign w:val="top"/>
          </w:tcPr>
          <w:p w14:paraId="56B0EBFB" w14:textId="77777777" w:rsidR="00BE2990" w:rsidRPr="00F25BCF" w:rsidRDefault="00BE2990" w:rsidP="00BE2990">
            <w:pPr>
              <w:pStyle w:val="Table"/>
              <w:spacing w:before="100" w:after="100"/>
              <w:rPr>
                <w:sz w:val="17"/>
                <w:szCs w:val="17"/>
              </w:rPr>
            </w:pPr>
            <w:r w:rsidRPr="00927619">
              <w:rPr>
                <w:rFonts w:asciiTheme="minorHAnsi" w:eastAsiaTheme="minorHAnsi" w:hAnsiTheme="minorHAnsi"/>
                <w:b/>
                <w:bCs/>
                <w:color w:val="090D46" w:themeColor="text1"/>
                <w:sz w:val="18"/>
                <w:szCs w:val="22"/>
              </w:rPr>
              <w:t>Housing benefit</w:t>
            </w:r>
            <w:r w:rsidRPr="00F25BCF">
              <w:rPr>
                <w:sz w:val="17"/>
                <w:szCs w:val="17"/>
              </w:rPr>
              <w:br/>
            </w:r>
            <w:r w:rsidRPr="00927619">
              <w:rPr>
                <w:rFonts w:asciiTheme="minorHAnsi" w:eastAsiaTheme="minorHAnsi" w:hAnsiTheme="minorHAnsi"/>
                <w:i/>
                <w:color w:val="090D46" w:themeColor="text1"/>
                <w:sz w:val="18"/>
                <w:szCs w:val="22"/>
              </w:rPr>
              <w:t>(refer formula 4)</w:t>
            </w:r>
          </w:p>
          <w:p w14:paraId="5C59D2B9" w14:textId="77777777" w:rsidR="00BE2990" w:rsidRPr="00F25BCF" w:rsidRDefault="00BE2990" w:rsidP="00927619">
            <w:pPr>
              <w:pStyle w:val="ListBullet"/>
            </w:pPr>
            <w:r w:rsidRPr="00F25BCF">
              <w:t>market value of the right to use the accommodation</w:t>
            </w:r>
          </w:p>
          <w:p w14:paraId="7CF5FB8A" w14:textId="77777777" w:rsidR="00BE2990" w:rsidRPr="00F25BCF" w:rsidRDefault="00BE2990" w:rsidP="00927619">
            <w:pPr>
              <w:pStyle w:val="ListBullet"/>
            </w:pPr>
            <w:r w:rsidRPr="00F25BCF">
              <w:t>days in tenancy period (as right to use or occupy accommodation may not be for a full year)</w:t>
            </w:r>
          </w:p>
          <w:p w14:paraId="03BFD266" w14:textId="77777777" w:rsidR="00BE2990" w:rsidRPr="00F25BCF" w:rsidRDefault="00BE2990" w:rsidP="00927619">
            <w:pPr>
              <w:pStyle w:val="ListBullet"/>
            </w:pPr>
            <w:r w:rsidRPr="00F25BCF">
              <w:t>employee contributions (if any).</w:t>
            </w:r>
          </w:p>
        </w:tc>
        <w:tc>
          <w:tcPr>
            <w:tcW w:w="612" w:type="pct"/>
            <w:vMerge w:val="restart"/>
            <w:vAlign w:val="top"/>
          </w:tcPr>
          <w:p w14:paraId="70F750DE" w14:textId="77777777" w:rsidR="00BE2990" w:rsidRPr="00F25BCF" w:rsidRDefault="00BE2990" w:rsidP="00927619">
            <w:r w:rsidRPr="00F25BCF">
              <w:t>Housing fringe benefit</w:t>
            </w:r>
          </w:p>
        </w:tc>
      </w:tr>
      <w:tr w:rsidR="00844D1F" w14:paraId="6F7025F3" w14:textId="77777777" w:rsidTr="002A0CC4">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507A6A91" w14:textId="77777777" w:rsidR="00BE2990" w:rsidRPr="00F25BCF" w:rsidRDefault="00BE2990" w:rsidP="00927619">
            <w:pPr>
              <w:pStyle w:val="ListBullet"/>
            </w:pPr>
            <w:r w:rsidRPr="00F25BCF">
              <w:t>the accommodation is the usual home of the employee or associate.</w:t>
            </w:r>
          </w:p>
        </w:tc>
        <w:tc>
          <w:tcPr>
            <w:tcW w:w="602" w:type="pct"/>
          </w:tcPr>
          <w:p w14:paraId="0357183E" w14:textId="77777777" w:rsidR="00BE2990" w:rsidRPr="007320E3" w:rsidRDefault="00BE2990" w:rsidP="00BE2990">
            <w:pPr>
              <w:pStyle w:val="Body"/>
              <w:spacing w:before="100" w:after="100"/>
              <w:rPr>
                <w:sz w:val="17"/>
                <w:szCs w:val="17"/>
              </w:rPr>
            </w:pPr>
          </w:p>
        </w:tc>
        <w:tc>
          <w:tcPr>
            <w:tcW w:w="372" w:type="pct"/>
            <w:gridSpan w:val="2"/>
          </w:tcPr>
          <w:p w14:paraId="3F49B4A7" w14:textId="77777777" w:rsidR="00BE2990" w:rsidRPr="007320E3" w:rsidRDefault="00BE2990" w:rsidP="00BE2990">
            <w:pPr>
              <w:pStyle w:val="Body"/>
              <w:spacing w:before="100" w:after="100"/>
              <w:rPr>
                <w:sz w:val="17"/>
                <w:szCs w:val="17"/>
              </w:rPr>
            </w:pPr>
          </w:p>
        </w:tc>
        <w:tc>
          <w:tcPr>
            <w:tcW w:w="1766" w:type="pct"/>
            <w:gridSpan w:val="4"/>
            <w:vMerge/>
          </w:tcPr>
          <w:p w14:paraId="09A43201" w14:textId="77777777" w:rsidR="00BE2990" w:rsidRPr="007320E3" w:rsidRDefault="00BE2990" w:rsidP="00BE2990">
            <w:pPr>
              <w:pStyle w:val="Table"/>
              <w:spacing w:before="100" w:after="100"/>
              <w:rPr>
                <w:b/>
                <w:sz w:val="17"/>
                <w:szCs w:val="17"/>
              </w:rPr>
            </w:pPr>
          </w:p>
        </w:tc>
        <w:tc>
          <w:tcPr>
            <w:tcW w:w="612" w:type="pct"/>
            <w:vMerge/>
          </w:tcPr>
          <w:p w14:paraId="7B1F00D7" w14:textId="77777777" w:rsidR="00BE2990" w:rsidRPr="007320E3" w:rsidRDefault="00BE2990" w:rsidP="00BE2990">
            <w:pPr>
              <w:pStyle w:val="Body"/>
              <w:spacing w:before="100" w:after="100"/>
              <w:rPr>
                <w:sz w:val="17"/>
                <w:szCs w:val="17"/>
              </w:rPr>
            </w:pPr>
          </w:p>
        </w:tc>
      </w:tr>
      <w:tr w:rsidR="00BE2990" w14:paraId="584F1E06" w14:textId="77777777" w:rsidTr="002A0CC4">
        <w:trPr>
          <w:trHeight w:val="141"/>
        </w:trPr>
        <w:tc>
          <w:tcPr>
            <w:tcW w:w="1649" w:type="pct"/>
          </w:tcPr>
          <w:p w14:paraId="3C6CC035" w14:textId="77777777" w:rsidR="00BE2990" w:rsidRPr="00927619" w:rsidRDefault="00BE2990" w:rsidP="00BE2990">
            <w:pPr>
              <w:pStyle w:val="Body"/>
              <w:spacing w:before="100" w:after="10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Exemptions include:</w:t>
            </w:r>
          </w:p>
          <w:p w14:paraId="33167E82" w14:textId="77777777" w:rsidR="00BE2990" w:rsidRPr="00F25BCF" w:rsidRDefault="00BE2990" w:rsidP="00927619">
            <w:pPr>
              <w:pStyle w:val="ListBullet"/>
            </w:pPr>
            <w:r w:rsidRPr="00F25BCF">
              <w:t>remote area housing benefit.</w:t>
            </w:r>
          </w:p>
        </w:tc>
        <w:tc>
          <w:tcPr>
            <w:tcW w:w="602" w:type="pct"/>
          </w:tcPr>
          <w:p w14:paraId="00FFFF1F" w14:textId="77777777" w:rsidR="00BE2990" w:rsidRPr="007320E3" w:rsidRDefault="00BE2990" w:rsidP="00BE2990">
            <w:pPr>
              <w:pStyle w:val="Body"/>
              <w:spacing w:before="100" w:after="100"/>
              <w:rPr>
                <w:sz w:val="17"/>
                <w:szCs w:val="17"/>
              </w:rPr>
            </w:pPr>
          </w:p>
        </w:tc>
        <w:tc>
          <w:tcPr>
            <w:tcW w:w="372" w:type="pct"/>
            <w:gridSpan w:val="2"/>
          </w:tcPr>
          <w:p w14:paraId="77EAFD15" w14:textId="77777777" w:rsidR="00BE2990" w:rsidRPr="007320E3" w:rsidRDefault="00BE2990" w:rsidP="00BE2990">
            <w:pPr>
              <w:pStyle w:val="Body"/>
              <w:spacing w:before="100" w:after="100"/>
              <w:rPr>
                <w:sz w:val="17"/>
                <w:szCs w:val="17"/>
              </w:rPr>
            </w:pPr>
          </w:p>
        </w:tc>
        <w:tc>
          <w:tcPr>
            <w:tcW w:w="1766" w:type="pct"/>
            <w:gridSpan w:val="4"/>
            <w:vMerge/>
          </w:tcPr>
          <w:p w14:paraId="0CFC1102" w14:textId="77777777" w:rsidR="00BE2990" w:rsidRPr="007320E3" w:rsidRDefault="00BE2990" w:rsidP="00BE2990">
            <w:pPr>
              <w:pStyle w:val="Table"/>
              <w:spacing w:before="100" w:after="100"/>
              <w:rPr>
                <w:b/>
                <w:sz w:val="17"/>
                <w:szCs w:val="17"/>
              </w:rPr>
            </w:pPr>
          </w:p>
        </w:tc>
        <w:tc>
          <w:tcPr>
            <w:tcW w:w="612" w:type="pct"/>
            <w:vMerge/>
          </w:tcPr>
          <w:p w14:paraId="3D253AD7" w14:textId="77777777" w:rsidR="00BE2990" w:rsidRPr="007320E3" w:rsidRDefault="00BE2990" w:rsidP="00BE2990">
            <w:pPr>
              <w:pStyle w:val="Body"/>
              <w:spacing w:before="100" w:after="100"/>
              <w:rPr>
                <w:sz w:val="17"/>
                <w:szCs w:val="17"/>
              </w:rPr>
            </w:pPr>
          </w:p>
        </w:tc>
      </w:tr>
      <w:tr w:rsidR="00BE2990" w14:paraId="1D54C286" w14:textId="77777777" w:rsidTr="00927619">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9"/>
            <w:shd w:val="clear" w:color="auto" w:fill="0A5CC7" w:themeFill="accent3"/>
          </w:tcPr>
          <w:p w14:paraId="6E3FB6CD" w14:textId="77777777" w:rsidR="00BE2990" w:rsidRPr="00927619" w:rsidRDefault="00BE2990" w:rsidP="00BE2990">
            <w:pPr>
              <w:pStyle w:val="Tableheading"/>
              <w:spacing w:before="100" w:after="100"/>
              <w:rPr>
                <w:color w:val="FFFFFF" w:themeColor="background1"/>
              </w:rPr>
            </w:pPr>
            <w:r w:rsidRPr="00927619">
              <w:rPr>
                <w:color w:val="FFFFFF" w:themeColor="background1"/>
                <w:sz w:val="17"/>
                <w:szCs w:val="17"/>
              </w:rPr>
              <w:t>LIVING AWAY FROM HOME ALLOWANCE (LAFHA)</w:t>
            </w:r>
          </w:p>
        </w:tc>
      </w:tr>
      <w:tr w:rsidR="00BE2990" w14:paraId="6442DF30" w14:textId="77777777" w:rsidTr="002A0CC4">
        <w:trPr>
          <w:trHeight w:val="141"/>
        </w:trPr>
        <w:tc>
          <w:tcPr>
            <w:tcW w:w="1649" w:type="pct"/>
          </w:tcPr>
          <w:p w14:paraId="57B73F75" w14:textId="77777777" w:rsidR="00BE2990" w:rsidRPr="00927619" w:rsidRDefault="00BE2990" w:rsidP="00BE2990">
            <w:pPr>
              <w:pStyle w:val="Table"/>
              <w:spacing w:before="100" w:after="10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Benefit arises where:</w:t>
            </w:r>
          </w:p>
          <w:p w14:paraId="2C0A4EDC" w14:textId="77777777" w:rsidR="00BE2990" w:rsidRPr="007320E3" w:rsidRDefault="00BE2990" w:rsidP="00927619">
            <w:pPr>
              <w:pStyle w:val="ListBullet"/>
            </w:pPr>
            <w:r w:rsidRPr="007320E3">
              <w:t>a living away from home allowance is paid to compensate an employee for additional estimated non-deductible expenses because the employee is required to live away from his or her normal residence in order to perform employment duties</w:t>
            </w:r>
          </w:p>
          <w:p w14:paraId="22802238" w14:textId="77777777" w:rsidR="00BE2990" w:rsidRPr="007320E3" w:rsidRDefault="00BE2990" w:rsidP="00927619">
            <w:pPr>
              <w:pStyle w:val="ListBullet"/>
            </w:pPr>
            <w:r w:rsidRPr="007320E3">
              <w:t>the allowance is paid in relation to the employment of the employee as a living away from home allowance.</w:t>
            </w:r>
          </w:p>
        </w:tc>
        <w:tc>
          <w:tcPr>
            <w:tcW w:w="602" w:type="pct"/>
          </w:tcPr>
          <w:p w14:paraId="28AD7F15" w14:textId="77777777" w:rsidR="00BE2990" w:rsidRPr="007320E3" w:rsidRDefault="00BE2990" w:rsidP="00BE2990">
            <w:pPr>
              <w:pStyle w:val="Body"/>
              <w:spacing w:before="100" w:after="100"/>
              <w:rPr>
                <w:sz w:val="17"/>
                <w:szCs w:val="17"/>
              </w:rPr>
            </w:pPr>
          </w:p>
        </w:tc>
        <w:tc>
          <w:tcPr>
            <w:tcW w:w="372" w:type="pct"/>
            <w:gridSpan w:val="2"/>
          </w:tcPr>
          <w:p w14:paraId="22F12013" w14:textId="77777777" w:rsidR="00BE2990" w:rsidRPr="007320E3" w:rsidRDefault="00BE2990" w:rsidP="00BE2990">
            <w:pPr>
              <w:pStyle w:val="Body"/>
              <w:spacing w:before="100" w:after="100"/>
              <w:rPr>
                <w:sz w:val="17"/>
                <w:szCs w:val="17"/>
              </w:rPr>
            </w:pPr>
          </w:p>
        </w:tc>
        <w:tc>
          <w:tcPr>
            <w:tcW w:w="1766" w:type="pct"/>
            <w:gridSpan w:val="4"/>
            <w:vMerge w:val="restart"/>
            <w:vAlign w:val="top"/>
          </w:tcPr>
          <w:p w14:paraId="17682B68" w14:textId="77777777" w:rsidR="00BE2990" w:rsidRPr="007320E3" w:rsidRDefault="00BE2990" w:rsidP="00BE2990">
            <w:pPr>
              <w:pStyle w:val="Table"/>
              <w:spacing w:before="100" w:after="100"/>
              <w:rPr>
                <w:sz w:val="17"/>
                <w:szCs w:val="17"/>
              </w:rPr>
            </w:pPr>
            <w:r w:rsidRPr="00927619">
              <w:rPr>
                <w:rFonts w:asciiTheme="minorHAnsi" w:eastAsiaTheme="minorHAnsi" w:hAnsiTheme="minorHAnsi"/>
                <w:b/>
                <w:bCs/>
                <w:color w:val="090D46" w:themeColor="text1"/>
                <w:sz w:val="18"/>
                <w:szCs w:val="22"/>
              </w:rPr>
              <w:t>Living away from home allowance (LAFHA) benefit</w:t>
            </w:r>
            <w:r w:rsidRPr="007320E3">
              <w:rPr>
                <w:b/>
                <w:sz w:val="17"/>
                <w:szCs w:val="17"/>
              </w:rPr>
              <w:t xml:space="preserve"> </w:t>
            </w:r>
            <w:r w:rsidRPr="00927619">
              <w:rPr>
                <w:rFonts w:asciiTheme="minorHAnsi" w:eastAsiaTheme="minorHAnsi" w:hAnsiTheme="minorHAnsi"/>
                <w:i/>
                <w:color w:val="090D46" w:themeColor="text1"/>
                <w:sz w:val="18"/>
                <w:szCs w:val="22"/>
              </w:rPr>
              <w:t>(refer formula 5)</w:t>
            </w:r>
          </w:p>
          <w:p w14:paraId="1255F898" w14:textId="77777777" w:rsidR="00BE2990" w:rsidRPr="007320E3" w:rsidRDefault="00BE2990" w:rsidP="00927619">
            <w:pPr>
              <w:pStyle w:val="ListBullet"/>
            </w:pPr>
            <w:r w:rsidRPr="007320E3">
              <w:t>employment contract</w:t>
            </w:r>
          </w:p>
          <w:p w14:paraId="072EA176" w14:textId="77777777" w:rsidR="00BE2990" w:rsidRPr="007320E3" w:rsidRDefault="00BE2990" w:rsidP="00927619">
            <w:pPr>
              <w:pStyle w:val="ListBullet"/>
            </w:pPr>
            <w:r w:rsidRPr="007320E3">
              <w:t xml:space="preserve">amount of the allowance paid detailing the following components: </w:t>
            </w:r>
          </w:p>
          <w:p w14:paraId="22F4CEDC" w14:textId="77777777" w:rsidR="00BE2990" w:rsidRPr="007320E3" w:rsidRDefault="00BE2990" w:rsidP="00927619">
            <w:pPr>
              <w:pStyle w:val="ListBullet2"/>
            </w:pPr>
            <w:r w:rsidRPr="007320E3">
              <w:t>accommodation</w:t>
            </w:r>
          </w:p>
          <w:p w14:paraId="24B0A118" w14:textId="77777777" w:rsidR="00BE2990" w:rsidRPr="007320E3" w:rsidRDefault="00BE2990" w:rsidP="00927619">
            <w:pPr>
              <w:pStyle w:val="ListBullet2"/>
            </w:pPr>
            <w:r w:rsidRPr="007320E3">
              <w:t xml:space="preserve">additional food </w:t>
            </w:r>
          </w:p>
          <w:p w14:paraId="2720E106" w14:textId="77777777" w:rsidR="00BE2990" w:rsidRPr="007320E3" w:rsidRDefault="00BE2990" w:rsidP="00927619">
            <w:pPr>
              <w:pStyle w:val="ListBullet2"/>
            </w:pPr>
            <w:r w:rsidRPr="007320E3">
              <w:t>other incidentals</w:t>
            </w:r>
          </w:p>
          <w:p w14:paraId="33656BB6" w14:textId="77777777" w:rsidR="00BE2990" w:rsidRPr="007320E3" w:rsidRDefault="00BE2990" w:rsidP="00927619">
            <w:pPr>
              <w:pStyle w:val="ListBullet"/>
            </w:pPr>
            <w:r w:rsidRPr="007320E3">
              <w:t>declarations required on usual place of residence, the requirement to maintain that home and actual address where employee resided (if not a fly-in fly-out or drive-in drive-out employee)</w:t>
            </w:r>
          </w:p>
          <w:p w14:paraId="54E1F85D" w14:textId="77777777" w:rsidR="00BE2990" w:rsidRPr="007320E3" w:rsidRDefault="00BE2990" w:rsidP="00927619">
            <w:pPr>
              <w:pStyle w:val="ListBullet"/>
            </w:pPr>
            <w:r w:rsidRPr="007320E3">
              <w:t>other declarations required on exempt food component and fly-in fly-out or drive-in drive-out employees.</w:t>
            </w:r>
          </w:p>
          <w:p w14:paraId="7C01DA0E" w14:textId="77777777" w:rsidR="00BE2990" w:rsidRPr="007320E3" w:rsidRDefault="00BE2990" w:rsidP="00BE2990">
            <w:pPr>
              <w:pStyle w:val="TableBullet"/>
              <w:numPr>
                <w:ilvl w:val="0"/>
                <w:numId w:val="0"/>
              </w:numPr>
              <w:spacing w:before="100" w:after="100"/>
              <w:ind w:left="1440"/>
              <w:rPr>
                <w:sz w:val="17"/>
                <w:szCs w:val="17"/>
              </w:rPr>
            </w:pPr>
          </w:p>
        </w:tc>
        <w:tc>
          <w:tcPr>
            <w:tcW w:w="612" w:type="pct"/>
            <w:vMerge w:val="restart"/>
            <w:vAlign w:val="top"/>
          </w:tcPr>
          <w:p w14:paraId="6E1735DB" w14:textId="77777777" w:rsidR="00BE2990" w:rsidRPr="00927619" w:rsidRDefault="00BE2990" w:rsidP="00BE2990">
            <w:pPr>
              <w:pStyle w:val="Body"/>
              <w:spacing w:before="100" w:after="100"/>
              <w:rPr>
                <w:rFonts w:asciiTheme="minorHAnsi" w:eastAsia="Times New Roman" w:hAnsiTheme="minorHAnsi"/>
                <w:color w:val="090D46" w:themeColor="text1"/>
                <w:sz w:val="18"/>
                <w:szCs w:val="22"/>
                <w:lang w:eastAsia="en-AU"/>
              </w:rPr>
            </w:pPr>
            <w:r w:rsidRPr="00927619">
              <w:rPr>
                <w:rFonts w:asciiTheme="minorHAnsi" w:eastAsia="Times New Roman" w:hAnsiTheme="minorHAnsi"/>
                <w:color w:val="090D46" w:themeColor="text1"/>
                <w:sz w:val="18"/>
                <w:szCs w:val="22"/>
                <w:lang w:eastAsia="en-AU"/>
              </w:rPr>
              <w:t>LAFHA benefit</w:t>
            </w:r>
          </w:p>
          <w:p w14:paraId="0B7A0C9F" w14:textId="77777777" w:rsidR="00BE2990" w:rsidRPr="007320E3" w:rsidRDefault="00BE2990" w:rsidP="00BE2990">
            <w:pPr>
              <w:pStyle w:val="Body"/>
              <w:spacing w:before="100" w:after="100"/>
              <w:rPr>
                <w:sz w:val="17"/>
                <w:szCs w:val="17"/>
              </w:rPr>
            </w:pPr>
          </w:p>
        </w:tc>
      </w:tr>
      <w:tr w:rsidR="00844D1F" w14:paraId="324AEC0C" w14:textId="77777777" w:rsidTr="002A0CC4">
        <w:trPr>
          <w:cnfStyle w:val="000000100000" w:firstRow="0" w:lastRow="0" w:firstColumn="0" w:lastColumn="0" w:oddVBand="0" w:evenVBand="0" w:oddHBand="1" w:evenHBand="0" w:firstRowFirstColumn="0" w:firstRowLastColumn="0" w:lastRowFirstColumn="0" w:lastRowLastColumn="0"/>
          <w:trHeight w:val="360"/>
        </w:trPr>
        <w:tc>
          <w:tcPr>
            <w:tcW w:w="1649" w:type="pct"/>
          </w:tcPr>
          <w:p w14:paraId="747933D0" w14:textId="77777777" w:rsidR="00BE2990" w:rsidRPr="00927619" w:rsidRDefault="00BE2990" w:rsidP="00BE2990">
            <w:pPr>
              <w:pStyle w:val="Table"/>
              <w:spacing w:before="100" w:after="10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Exemptions include:</w:t>
            </w:r>
          </w:p>
          <w:p w14:paraId="68C5AAAC" w14:textId="77777777" w:rsidR="00BE2990" w:rsidRPr="007320E3" w:rsidRDefault="00BE2990" w:rsidP="00927619">
            <w:pPr>
              <w:pStyle w:val="ListBullet"/>
            </w:pPr>
            <w:r w:rsidRPr="007320E3">
              <w:t>amount of the allowance which is regarded as constituting reasonable compensation for the accommodation component</w:t>
            </w:r>
          </w:p>
          <w:p w14:paraId="023168EC" w14:textId="77777777" w:rsidR="00BE2990" w:rsidRPr="007320E3" w:rsidRDefault="00BE2990" w:rsidP="00927619">
            <w:pPr>
              <w:pStyle w:val="ListBullet"/>
            </w:pPr>
            <w:r w:rsidRPr="007320E3">
              <w:t xml:space="preserve">amount of the allowance in relation to the reasonable food component. </w:t>
            </w:r>
          </w:p>
        </w:tc>
        <w:tc>
          <w:tcPr>
            <w:tcW w:w="602" w:type="pct"/>
          </w:tcPr>
          <w:p w14:paraId="3C92D072" w14:textId="77777777" w:rsidR="00BE2990" w:rsidRPr="007320E3" w:rsidRDefault="00BE2990" w:rsidP="00BE2990">
            <w:pPr>
              <w:pStyle w:val="Body"/>
              <w:spacing w:before="100" w:after="100"/>
              <w:rPr>
                <w:sz w:val="17"/>
                <w:szCs w:val="17"/>
              </w:rPr>
            </w:pPr>
          </w:p>
        </w:tc>
        <w:tc>
          <w:tcPr>
            <w:tcW w:w="372" w:type="pct"/>
            <w:gridSpan w:val="2"/>
          </w:tcPr>
          <w:p w14:paraId="67536D6C" w14:textId="77777777" w:rsidR="00BE2990" w:rsidRPr="007320E3" w:rsidRDefault="00BE2990" w:rsidP="00BE2990">
            <w:pPr>
              <w:pStyle w:val="Body"/>
              <w:spacing w:before="100" w:after="100"/>
              <w:rPr>
                <w:sz w:val="17"/>
                <w:szCs w:val="17"/>
              </w:rPr>
            </w:pPr>
          </w:p>
        </w:tc>
        <w:tc>
          <w:tcPr>
            <w:tcW w:w="1766" w:type="pct"/>
            <w:gridSpan w:val="4"/>
            <w:vMerge/>
          </w:tcPr>
          <w:p w14:paraId="0699A812" w14:textId="77777777" w:rsidR="00BE2990" w:rsidRPr="007320E3" w:rsidRDefault="00BE2990" w:rsidP="00BE2990">
            <w:pPr>
              <w:pStyle w:val="TableBullet"/>
              <w:spacing w:before="100" w:after="100"/>
              <w:ind w:left="1440"/>
              <w:rPr>
                <w:sz w:val="17"/>
                <w:szCs w:val="17"/>
              </w:rPr>
            </w:pPr>
          </w:p>
        </w:tc>
        <w:tc>
          <w:tcPr>
            <w:tcW w:w="612" w:type="pct"/>
            <w:vMerge/>
          </w:tcPr>
          <w:p w14:paraId="4FD17A3A" w14:textId="77777777" w:rsidR="00BE2990" w:rsidRPr="007320E3" w:rsidRDefault="00BE2990" w:rsidP="00BE2990">
            <w:pPr>
              <w:pStyle w:val="Body"/>
              <w:spacing w:before="100" w:after="100"/>
              <w:rPr>
                <w:sz w:val="17"/>
                <w:szCs w:val="17"/>
              </w:rPr>
            </w:pPr>
          </w:p>
        </w:tc>
      </w:tr>
      <w:tr w:rsidR="00BE2990" w14:paraId="531C85F2" w14:textId="77777777" w:rsidTr="002A0CC4">
        <w:trPr>
          <w:trHeight w:val="141"/>
        </w:trPr>
        <w:tc>
          <w:tcPr>
            <w:tcW w:w="1649" w:type="pct"/>
          </w:tcPr>
          <w:p w14:paraId="7F4E4E30" w14:textId="77777777" w:rsidR="00BE2990" w:rsidRPr="00927619" w:rsidRDefault="00BE2990" w:rsidP="00BE2990">
            <w:pPr>
              <w:pStyle w:val="Table"/>
              <w:spacing w:before="100" w:after="100"/>
              <w:rPr>
                <w:rFonts w:asciiTheme="minorHAnsi" w:eastAsia="Times New Roman" w:hAnsiTheme="minorHAnsi"/>
                <w:color w:val="090D46" w:themeColor="text1"/>
                <w:sz w:val="18"/>
                <w:szCs w:val="22"/>
                <w:lang w:eastAsia="en-AU"/>
              </w:rPr>
            </w:pPr>
            <w:r w:rsidRPr="00927619">
              <w:rPr>
                <w:rFonts w:asciiTheme="minorHAnsi" w:eastAsia="Times New Roman" w:hAnsiTheme="minorHAnsi"/>
                <w:color w:val="090D46" w:themeColor="text1"/>
                <w:sz w:val="18"/>
                <w:szCs w:val="22"/>
                <w:lang w:eastAsia="en-AU"/>
              </w:rPr>
              <w:t>From 1 October 2012 LAFHA benefits can only generally be reduced where:</w:t>
            </w:r>
          </w:p>
          <w:p w14:paraId="72E13867" w14:textId="7C9E8996" w:rsidR="00BE2990" w:rsidRPr="00395BDF" w:rsidRDefault="00BE2990" w:rsidP="00395BDF">
            <w:pPr>
              <w:pStyle w:val="ListBullet"/>
            </w:pPr>
            <w:r w:rsidRPr="007320E3">
              <w:t>the employee maintains a home in Australia at which they usually reside for their use at all times (unless the employee is a fly-in fly-out or drive-in drive-out employee)</w:t>
            </w:r>
          </w:p>
        </w:tc>
        <w:tc>
          <w:tcPr>
            <w:tcW w:w="602" w:type="pct"/>
          </w:tcPr>
          <w:p w14:paraId="453DA993" w14:textId="77777777" w:rsidR="00BE2990" w:rsidRPr="007320E3" w:rsidRDefault="00BE2990" w:rsidP="00BE2990">
            <w:pPr>
              <w:pStyle w:val="Body"/>
              <w:spacing w:before="100" w:after="100"/>
              <w:rPr>
                <w:sz w:val="17"/>
                <w:szCs w:val="17"/>
              </w:rPr>
            </w:pPr>
          </w:p>
        </w:tc>
        <w:tc>
          <w:tcPr>
            <w:tcW w:w="372" w:type="pct"/>
            <w:gridSpan w:val="2"/>
          </w:tcPr>
          <w:p w14:paraId="699F4471" w14:textId="77777777" w:rsidR="00BE2990" w:rsidRPr="007320E3" w:rsidRDefault="00BE2990" w:rsidP="00BE2990">
            <w:pPr>
              <w:pStyle w:val="Body"/>
              <w:spacing w:before="100" w:after="100"/>
              <w:rPr>
                <w:sz w:val="17"/>
                <w:szCs w:val="17"/>
              </w:rPr>
            </w:pPr>
          </w:p>
        </w:tc>
        <w:tc>
          <w:tcPr>
            <w:tcW w:w="1766" w:type="pct"/>
            <w:gridSpan w:val="4"/>
            <w:vMerge/>
          </w:tcPr>
          <w:p w14:paraId="1E118D4D" w14:textId="77777777" w:rsidR="00BE2990" w:rsidRPr="007320E3" w:rsidRDefault="00BE2990" w:rsidP="00BE2990">
            <w:pPr>
              <w:pStyle w:val="TableBullet"/>
              <w:numPr>
                <w:ilvl w:val="0"/>
                <w:numId w:val="0"/>
              </w:numPr>
              <w:spacing w:before="100" w:after="100"/>
              <w:ind w:left="1440"/>
              <w:rPr>
                <w:sz w:val="17"/>
                <w:szCs w:val="17"/>
              </w:rPr>
            </w:pPr>
          </w:p>
        </w:tc>
        <w:tc>
          <w:tcPr>
            <w:tcW w:w="612" w:type="pct"/>
            <w:vMerge/>
          </w:tcPr>
          <w:p w14:paraId="22668C2E" w14:textId="77777777" w:rsidR="00BE2990" w:rsidRPr="007320E3" w:rsidRDefault="00BE2990" w:rsidP="00BE2990">
            <w:pPr>
              <w:pStyle w:val="Body"/>
              <w:spacing w:before="100" w:after="100"/>
              <w:rPr>
                <w:sz w:val="17"/>
                <w:szCs w:val="17"/>
              </w:rPr>
            </w:pPr>
          </w:p>
        </w:tc>
      </w:tr>
      <w:tr w:rsidR="00395BDF" w14:paraId="00D4ABC0" w14:textId="77777777" w:rsidTr="00395BDF">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9"/>
            <w:shd w:val="clear" w:color="auto" w:fill="0A5CC7" w:themeFill="accent3"/>
          </w:tcPr>
          <w:p w14:paraId="22DC8485" w14:textId="0085AA2C" w:rsidR="00395BDF" w:rsidRPr="00395BDF" w:rsidRDefault="00395BDF" w:rsidP="00395BDF">
            <w:pPr>
              <w:pStyle w:val="Body"/>
              <w:spacing w:before="100" w:after="100"/>
              <w:rPr>
                <w:b/>
                <w:bCs/>
                <w:color w:val="FFFFFF" w:themeColor="background1"/>
                <w:sz w:val="17"/>
                <w:szCs w:val="17"/>
              </w:rPr>
            </w:pPr>
            <w:r w:rsidRPr="00395BDF">
              <w:rPr>
                <w:b/>
                <w:bCs/>
                <w:color w:val="FFFFFF" w:themeColor="background1"/>
                <w:sz w:val="17"/>
                <w:szCs w:val="17"/>
              </w:rPr>
              <w:t>LIVING AWAY FROM HOME ALLOWANCE (LAFHA) (CONTINUED</w:t>
            </w:r>
            <w:r>
              <w:rPr>
                <w:b/>
                <w:bCs/>
                <w:color w:val="FFFFFF" w:themeColor="background1"/>
                <w:sz w:val="17"/>
                <w:szCs w:val="17"/>
              </w:rPr>
              <w:t>)</w:t>
            </w:r>
          </w:p>
        </w:tc>
      </w:tr>
      <w:tr w:rsidR="00395BDF" w14:paraId="60DF26EB" w14:textId="77777777" w:rsidTr="002A0CC4">
        <w:trPr>
          <w:trHeight w:val="141"/>
        </w:trPr>
        <w:tc>
          <w:tcPr>
            <w:tcW w:w="1649" w:type="pct"/>
          </w:tcPr>
          <w:p w14:paraId="409E4CBF" w14:textId="77777777" w:rsidR="00395BDF" w:rsidRPr="007320E3" w:rsidRDefault="00395BDF" w:rsidP="00395BDF">
            <w:pPr>
              <w:pStyle w:val="ListBullet"/>
            </w:pPr>
            <w:r w:rsidRPr="007320E3">
              <w:t>the employee substantiates the accommodation and meal expenses</w:t>
            </w:r>
          </w:p>
          <w:p w14:paraId="079B6BA4" w14:textId="13F3032C" w:rsidR="00395BDF" w:rsidRPr="007320E3" w:rsidRDefault="00395BDF" w:rsidP="00395BDF">
            <w:pPr>
              <w:pStyle w:val="ListBullet"/>
              <w:rPr>
                <w:b/>
                <w:sz w:val="15"/>
                <w:szCs w:val="15"/>
              </w:rPr>
            </w:pPr>
            <w:r w:rsidRPr="007320E3">
              <w:rPr>
                <w:sz w:val="17"/>
                <w:szCs w:val="17"/>
              </w:rPr>
              <w:t>the LAFHA is not paid for a period greater than 12 months (unless the employee is a fly-in fly-out or drive-in drive-out employee).</w:t>
            </w:r>
          </w:p>
        </w:tc>
        <w:tc>
          <w:tcPr>
            <w:tcW w:w="602" w:type="pct"/>
          </w:tcPr>
          <w:p w14:paraId="707D2766" w14:textId="77777777" w:rsidR="00395BDF" w:rsidRPr="007320E3" w:rsidRDefault="00395BDF" w:rsidP="00395BDF">
            <w:pPr>
              <w:pStyle w:val="Body"/>
              <w:spacing w:before="100" w:after="100"/>
              <w:rPr>
                <w:sz w:val="17"/>
                <w:szCs w:val="17"/>
              </w:rPr>
            </w:pPr>
          </w:p>
        </w:tc>
        <w:tc>
          <w:tcPr>
            <w:tcW w:w="372" w:type="pct"/>
            <w:gridSpan w:val="2"/>
          </w:tcPr>
          <w:p w14:paraId="0C5D766F" w14:textId="77777777" w:rsidR="00395BDF" w:rsidRPr="007320E3" w:rsidRDefault="00395BDF" w:rsidP="00395BDF">
            <w:pPr>
              <w:pStyle w:val="Body"/>
              <w:spacing w:before="100" w:after="100"/>
              <w:rPr>
                <w:sz w:val="17"/>
                <w:szCs w:val="17"/>
              </w:rPr>
            </w:pPr>
          </w:p>
        </w:tc>
        <w:tc>
          <w:tcPr>
            <w:tcW w:w="1766" w:type="pct"/>
            <w:gridSpan w:val="4"/>
          </w:tcPr>
          <w:p w14:paraId="789535E5" w14:textId="77777777" w:rsidR="00395BDF" w:rsidRPr="007320E3" w:rsidRDefault="00395BDF" w:rsidP="00395BDF">
            <w:pPr>
              <w:pStyle w:val="Table"/>
              <w:spacing w:before="100" w:after="100"/>
              <w:rPr>
                <w:b/>
                <w:sz w:val="17"/>
                <w:szCs w:val="17"/>
              </w:rPr>
            </w:pPr>
          </w:p>
        </w:tc>
        <w:tc>
          <w:tcPr>
            <w:tcW w:w="612" w:type="pct"/>
          </w:tcPr>
          <w:p w14:paraId="0F418D87" w14:textId="77777777" w:rsidR="00395BDF" w:rsidRPr="007320E3" w:rsidRDefault="00395BDF" w:rsidP="00395BDF">
            <w:pPr>
              <w:pStyle w:val="Body"/>
              <w:spacing w:before="100" w:after="100"/>
              <w:rPr>
                <w:sz w:val="17"/>
                <w:szCs w:val="17"/>
              </w:rPr>
            </w:pPr>
          </w:p>
        </w:tc>
      </w:tr>
      <w:tr w:rsidR="00844D1F" w14:paraId="77A914C5" w14:textId="77777777" w:rsidTr="002A0CC4">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084B6876" w14:textId="77777777" w:rsidR="00395BDF" w:rsidRPr="007320E3" w:rsidRDefault="00395BDF" w:rsidP="00395BDF">
            <w:r w:rsidRPr="00395BDF">
              <w:rPr>
                <w:b/>
                <w:sz w:val="16"/>
                <w:szCs w:val="20"/>
              </w:rPr>
              <w:t>Note</w:t>
            </w:r>
            <w:r w:rsidRPr="00395BDF">
              <w:rPr>
                <w:sz w:val="16"/>
                <w:szCs w:val="20"/>
              </w:rPr>
              <w:t>: Where an allowance (other than a LAFHA) is paid to an employee, rather than the employer paying or reimbursing the expense directly, there will be no fringe benefit. The employee is required to include the allowance as assessable income in their personal tax return.</w:t>
            </w:r>
          </w:p>
        </w:tc>
        <w:tc>
          <w:tcPr>
            <w:tcW w:w="602" w:type="pct"/>
          </w:tcPr>
          <w:p w14:paraId="4FF33EA6" w14:textId="77777777" w:rsidR="00395BDF" w:rsidRPr="007320E3" w:rsidRDefault="00395BDF" w:rsidP="00395BDF">
            <w:pPr>
              <w:pStyle w:val="Body"/>
              <w:spacing w:before="100" w:after="100"/>
              <w:rPr>
                <w:sz w:val="17"/>
                <w:szCs w:val="17"/>
              </w:rPr>
            </w:pPr>
          </w:p>
          <w:p w14:paraId="41B74098" w14:textId="77777777" w:rsidR="00395BDF" w:rsidRPr="007320E3" w:rsidRDefault="00395BDF" w:rsidP="00395BDF">
            <w:pPr>
              <w:pStyle w:val="Body"/>
              <w:spacing w:before="100" w:after="100"/>
              <w:rPr>
                <w:sz w:val="17"/>
                <w:szCs w:val="17"/>
              </w:rPr>
            </w:pPr>
          </w:p>
        </w:tc>
        <w:tc>
          <w:tcPr>
            <w:tcW w:w="372" w:type="pct"/>
            <w:gridSpan w:val="2"/>
          </w:tcPr>
          <w:p w14:paraId="2E35DC57" w14:textId="77777777" w:rsidR="00395BDF" w:rsidRPr="007320E3" w:rsidRDefault="00395BDF" w:rsidP="00395BDF">
            <w:pPr>
              <w:pStyle w:val="Body"/>
              <w:spacing w:before="100" w:after="100"/>
              <w:rPr>
                <w:sz w:val="17"/>
                <w:szCs w:val="17"/>
              </w:rPr>
            </w:pPr>
          </w:p>
        </w:tc>
        <w:tc>
          <w:tcPr>
            <w:tcW w:w="1766" w:type="pct"/>
            <w:gridSpan w:val="4"/>
            <w:vAlign w:val="top"/>
          </w:tcPr>
          <w:p w14:paraId="6352B644" w14:textId="77777777" w:rsidR="00395BDF" w:rsidRPr="00395BDF" w:rsidRDefault="00395BDF" w:rsidP="00395BDF">
            <w:pPr>
              <w:pStyle w:val="Table"/>
              <w:spacing w:before="100" w:after="100"/>
              <w:rPr>
                <w:rFonts w:asciiTheme="minorHAnsi" w:eastAsiaTheme="minorHAnsi" w:hAnsiTheme="minorHAnsi"/>
                <w:b/>
                <w:bCs/>
                <w:color w:val="090D46" w:themeColor="text1"/>
                <w:sz w:val="18"/>
                <w:szCs w:val="22"/>
              </w:rPr>
            </w:pPr>
            <w:r w:rsidRPr="00395BDF">
              <w:rPr>
                <w:rFonts w:asciiTheme="minorHAnsi" w:eastAsiaTheme="minorHAnsi" w:hAnsiTheme="minorHAnsi"/>
                <w:b/>
                <w:bCs/>
                <w:color w:val="090D46" w:themeColor="text1"/>
                <w:sz w:val="18"/>
                <w:szCs w:val="22"/>
              </w:rPr>
              <w:t>Other allowances</w:t>
            </w:r>
          </w:p>
          <w:p w14:paraId="77274589" w14:textId="77777777" w:rsidR="00395BDF" w:rsidRPr="00395BDF" w:rsidRDefault="00395BDF" w:rsidP="00395BDF">
            <w:pPr>
              <w:pStyle w:val="ListBullet"/>
              <w:rPr>
                <w:rFonts w:eastAsiaTheme="minorHAnsi"/>
              </w:rPr>
            </w:pPr>
            <w:r w:rsidRPr="00395BDF">
              <w:rPr>
                <w:rFonts w:eastAsiaTheme="minorHAnsi"/>
              </w:rPr>
              <w:t>no information is required to be kept for FBT purposes.</w:t>
            </w:r>
          </w:p>
        </w:tc>
        <w:tc>
          <w:tcPr>
            <w:tcW w:w="612" w:type="pct"/>
            <w:vAlign w:val="top"/>
          </w:tcPr>
          <w:p w14:paraId="38A39C1F" w14:textId="77777777" w:rsidR="00395BDF" w:rsidRPr="007320E3" w:rsidRDefault="00395BDF" w:rsidP="00395BDF">
            <w:pPr>
              <w:pStyle w:val="Body"/>
              <w:spacing w:before="100" w:after="100"/>
              <w:rPr>
                <w:sz w:val="17"/>
                <w:szCs w:val="17"/>
              </w:rPr>
            </w:pPr>
            <w:r w:rsidRPr="00395BDF">
              <w:rPr>
                <w:rFonts w:asciiTheme="minorHAnsi" w:eastAsia="Times New Roman" w:hAnsiTheme="minorHAnsi"/>
                <w:color w:val="090D46" w:themeColor="text1"/>
                <w:sz w:val="18"/>
                <w:szCs w:val="22"/>
                <w:lang w:eastAsia="en-AU"/>
              </w:rPr>
              <w:t>No fringe benefit arises</w:t>
            </w:r>
          </w:p>
        </w:tc>
      </w:tr>
      <w:tr w:rsidR="00395BDF" w:rsidRPr="00AF24CF" w14:paraId="6B2E403C" w14:textId="77777777" w:rsidTr="00395BDF">
        <w:trPr>
          <w:trHeight w:val="141"/>
        </w:trPr>
        <w:tc>
          <w:tcPr>
            <w:tcW w:w="5000" w:type="pct"/>
            <w:gridSpan w:val="9"/>
            <w:shd w:val="clear" w:color="auto" w:fill="0A5CC7" w:themeFill="accent3"/>
          </w:tcPr>
          <w:p w14:paraId="2801E155" w14:textId="77777777" w:rsidR="00395BDF" w:rsidRPr="00395BDF" w:rsidRDefault="00395BDF" w:rsidP="00395BDF">
            <w:pPr>
              <w:pStyle w:val="Tableheading"/>
              <w:spacing w:before="100" w:after="100"/>
              <w:rPr>
                <w:color w:val="FFFFFF" w:themeColor="background1"/>
              </w:rPr>
            </w:pPr>
            <w:r w:rsidRPr="00395BDF">
              <w:rPr>
                <w:color w:val="FFFFFF" w:themeColor="background1"/>
                <w:sz w:val="17"/>
                <w:szCs w:val="17"/>
              </w:rPr>
              <w:t xml:space="preserve">TRAVELLING EXPENSES  </w:t>
            </w:r>
          </w:p>
        </w:tc>
      </w:tr>
      <w:tr w:rsidR="00844D1F" w14:paraId="0B60B7D1" w14:textId="77777777" w:rsidTr="002A0CC4">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68632D23" w14:textId="77777777" w:rsidR="00395BDF" w:rsidRPr="00395BDF" w:rsidRDefault="00395BDF" w:rsidP="00395BDF">
            <w:pPr>
              <w:pStyle w:val="Body"/>
              <w:spacing w:before="100" w:after="100"/>
              <w:rPr>
                <w:rFonts w:asciiTheme="minorHAnsi" w:eastAsiaTheme="minorHAnsi" w:hAnsiTheme="minorHAnsi"/>
                <w:i/>
                <w:iCs/>
                <w:color w:val="090D46" w:themeColor="text1"/>
                <w:sz w:val="18"/>
                <w:szCs w:val="22"/>
              </w:rPr>
            </w:pPr>
            <w:r w:rsidRPr="00395BDF">
              <w:rPr>
                <w:rFonts w:asciiTheme="minorHAnsi" w:eastAsiaTheme="minorHAnsi" w:hAnsiTheme="minorHAnsi"/>
                <w:i/>
                <w:iCs/>
                <w:color w:val="090D46" w:themeColor="text1"/>
                <w:sz w:val="18"/>
                <w:szCs w:val="22"/>
              </w:rPr>
              <w:t>Benefit arises where:</w:t>
            </w:r>
          </w:p>
          <w:p w14:paraId="3FC794EC" w14:textId="77777777" w:rsidR="00395BDF" w:rsidRPr="007320E3" w:rsidRDefault="00395BDF" w:rsidP="00395BDF">
            <w:pPr>
              <w:pStyle w:val="ListBullet"/>
            </w:pPr>
            <w:r w:rsidRPr="007320E3">
              <w:t>expenses of an employee or associate are paid or reimbursed by the employer</w:t>
            </w:r>
            <w:r>
              <w:t xml:space="preserve"> and are not solely in respect of business travel</w:t>
            </w:r>
          </w:p>
        </w:tc>
        <w:tc>
          <w:tcPr>
            <w:tcW w:w="602" w:type="pct"/>
          </w:tcPr>
          <w:p w14:paraId="66A8E937" w14:textId="77777777" w:rsidR="00395BDF" w:rsidRPr="007320E3" w:rsidRDefault="00395BDF" w:rsidP="00395BDF">
            <w:pPr>
              <w:pStyle w:val="Body"/>
              <w:spacing w:before="100" w:after="100"/>
              <w:rPr>
                <w:sz w:val="17"/>
                <w:szCs w:val="17"/>
              </w:rPr>
            </w:pPr>
          </w:p>
        </w:tc>
        <w:tc>
          <w:tcPr>
            <w:tcW w:w="372" w:type="pct"/>
            <w:gridSpan w:val="2"/>
          </w:tcPr>
          <w:p w14:paraId="7907C7C2" w14:textId="77777777" w:rsidR="00395BDF" w:rsidRPr="007320E3" w:rsidRDefault="00395BDF" w:rsidP="00395BDF">
            <w:pPr>
              <w:pStyle w:val="Body"/>
              <w:spacing w:before="100" w:after="100"/>
              <w:rPr>
                <w:sz w:val="17"/>
                <w:szCs w:val="17"/>
              </w:rPr>
            </w:pPr>
          </w:p>
        </w:tc>
        <w:tc>
          <w:tcPr>
            <w:tcW w:w="1766" w:type="pct"/>
            <w:gridSpan w:val="4"/>
            <w:vMerge w:val="restart"/>
            <w:vAlign w:val="top"/>
          </w:tcPr>
          <w:p w14:paraId="3A874314" w14:textId="77777777" w:rsidR="00395BDF" w:rsidRPr="00395BDF" w:rsidRDefault="00395BDF" w:rsidP="009C39D4">
            <w:pPr>
              <w:rPr>
                <w:b/>
                <w:bCs/>
              </w:rPr>
            </w:pPr>
            <w:r w:rsidRPr="00395BDF">
              <w:rPr>
                <w:b/>
                <w:bCs/>
              </w:rPr>
              <w:t>Extended travel</w:t>
            </w:r>
          </w:p>
          <w:p w14:paraId="72253BCA" w14:textId="77777777" w:rsidR="00395BDF" w:rsidRPr="00395BDF" w:rsidRDefault="00395BDF" w:rsidP="00395BDF">
            <w:pPr>
              <w:pStyle w:val="Table"/>
              <w:spacing w:before="100" w:after="100"/>
              <w:rPr>
                <w:rFonts w:asciiTheme="minorHAnsi" w:eastAsiaTheme="minorHAnsi" w:hAnsiTheme="minorHAnsi"/>
                <w:i/>
                <w:color w:val="090D46" w:themeColor="text1"/>
                <w:sz w:val="18"/>
                <w:szCs w:val="22"/>
              </w:rPr>
            </w:pPr>
            <w:r w:rsidRPr="00395BDF">
              <w:rPr>
                <w:rFonts w:asciiTheme="minorHAnsi" w:eastAsiaTheme="minorHAnsi" w:hAnsiTheme="minorHAnsi"/>
                <w:i/>
                <w:color w:val="090D46" w:themeColor="text1"/>
                <w:sz w:val="18"/>
                <w:szCs w:val="22"/>
              </w:rPr>
              <w:t>(refer formula 6)</w:t>
            </w:r>
          </w:p>
          <w:p w14:paraId="1973B94F" w14:textId="77777777" w:rsidR="00395BDF" w:rsidRPr="007320E3" w:rsidRDefault="00395BDF" w:rsidP="00395BDF">
            <w:pPr>
              <w:pStyle w:val="ListBullet"/>
            </w:pPr>
            <w:r w:rsidRPr="007320E3">
              <w:t xml:space="preserve">travel diary is required where the travel is either within or outside of Australia for a duration of </w:t>
            </w:r>
            <w:r>
              <w:t>six or more</w:t>
            </w:r>
            <w:r w:rsidRPr="007320E3">
              <w:t xml:space="preserve"> nights (this is to substantiate the business portion)</w:t>
            </w:r>
          </w:p>
          <w:p w14:paraId="0798C82C" w14:textId="33D9BB22" w:rsidR="00395BDF" w:rsidRPr="007320E3" w:rsidRDefault="00395BDF" w:rsidP="00395BDF">
            <w:pPr>
              <w:pStyle w:val="ListBullet"/>
            </w:pPr>
            <w:r w:rsidRPr="007320E3">
              <w:t xml:space="preserve">receipts for all expenses, except if the amount spent on food, drink and other incidentals is considered reasonable by the </w:t>
            </w:r>
            <w:r w:rsidR="00987DE1">
              <w:t>ATO</w:t>
            </w:r>
            <w:r w:rsidRPr="007320E3">
              <w:t>, in which case only documentation in relation to accommodation and airfares is required</w:t>
            </w:r>
          </w:p>
          <w:p w14:paraId="0B43E381" w14:textId="77777777" w:rsidR="00395BDF" w:rsidRPr="007320E3" w:rsidRDefault="00395BDF" w:rsidP="00395BDF">
            <w:pPr>
              <w:pStyle w:val="ListBullet"/>
            </w:pPr>
            <w:r w:rsidRPr="007320E3">
              <w:t>declaration may be required.</w:t>
            </w:r>
          </w:p>
        </w:tc>
        <w:tc>
          <w:tcPr>
            <w:tcW w:w="612" w:type="pct"/>
            <w:vMerge w:val="restart"/>
            <w:vAlign w:val="top"/>
          </w:tcPr>
          <w:p w14:paraId="467B8316" w14:textId="77777777" w:rsidR="00395BDF" w:rsidRPr="007320E3" w:rsidRDefault="00395BDF" w:rsidP="00395BDF">
            <w:pPr>
              <w:pStyle w:val="Body"/>
              <w:spacing w:before="100" w:after="100"/>
              <w:rPr>
                <w:sz w:val="17"/>
                <w:szCs w:val="17"/>
              </w:rPr>
            </w:pPr>
            <w:r w:rsidRPr="00395BDF">
              <w:rPr>
                <w:rFonts w:asciiTheme="minorHAnsi" w:eastAsia="Times New Roman" w:hAnsiTheme="minorHAnsi"/>
                <w:color w:val="090D46" w:themeColor="text1"/>
                <w:sz w:val="18"/>
                <w:szCs w:val="22"/>
                <w:lang w:eastAsia="en-AU"/>
              </w:rPr>
              <w:t>Expense payment fringe benefit</w:t>
            </w:r>
          </w:p>
        </w:tc>
      </w:tr>
      <w:tr w:rsidR="00395BDF" w14:paraId="01ED3EB4" w14:textId="77777777" w:rsidTr="002A0CC4">
        <w:trPr>
          <w:trHeight w:val="141"/>
        </w:trPr>
        <w:tc>
          <w:tcPr>
            <w:tcW w:w="1649" w:type="pct"/>
          </w:tcPr>
          <w:p w14:paraId="187871B8" w14:textId="77777777" w:rsidR="00395BDF" w:rsidRPr="007320E3" w:rsidRDefault="00395BDF" w:rsidP="00395BDF">
            <w:pPr>
              <w:pStyle w:val="ListBullet"/>
            </w:pPr>
            <w:r w:rsidRPr="007320E3">
              <w:t>the benefit is provided in respect of employment.</w:t>
            </w:r>
          </w:p>
        </w:tc>
        <w:tc>
          <w:tcPr>
            <w:tcW w:w="602" w:type="pct"/>
          </w:tcPr>
          <w:p w14:paraId="5FAF5A70" w14:textId="77777777" w:rsidR="00395BDF" w:rsidRPr="007320E3" w:rsidRDefault="00395BDF" w:rsidP="00395BDF">
            <w:pPr>
              <w:pStyle w:val="Body"/>
              <w:spacing w:before="100" w:after="100"/>
              <w:rPr>
                <w:sz w:val="17"/>
                <w:szCs w:val="17"/>
              </w:rPr>
            </w:pPr>
          </w:p>
        </w:tc>
        <w:tc>
          <w:tcPr>
            <w:tcW w:w="372" w:type="pct"/>
            <w:gridSpan w:val="2"/>
          </w:tcPr>
          <w:p w14:paraId="652D562C" w14:textId="77777777" w:rsidR="00395BDF" w:rsidRPr="007320E3" w:rsidRDefault="00395BDF" w:rsidP="00395BDF">
            <w:pPr>
              <w:pStyle w:val="Body"/>
              <w:spacing w:before="100" w:after="100"/>
              <w:rPr>
                <w:sz w:val="17"/>
                <w:szCs w:val="17"/>
              </w:rPr>
            </w:pPr>
          </w:p>
        </w:tc>
        <w:tc>
          <w:tcPr>
            <w:tcW w:w="1766" w:type="pct"/>
            <w:gridSpan w:val="4"/>
            <w:vMerge/>
            <w:vAlign w:val="top"/>
          </w:tcPr>
          <w:p w14:paraId="174FCDDF" w14:textId="77777777" w:rsidR="00395BDF" w:rsidRPr="007320E3" w:rsidRDefault="00395BDF" w:rsidP="00395BDF">
            <w:pPr>
              <w:pStyle w:val="Table"/>
              <w:spacing w:before="100" w:after="100"/>
              <w:rPr>
                <w:sz w:val="17"/>
                <w:szCs w:val="17"/>
              </w:rPr>
            </w:pPr>
          </w:p>
        </w:tc>
        <w:tc>
          <w:tcPr>
            <w:tcW w:w="612" w:type="pct"/>
            <w:vMerge/>
            <w:vAlign w:val="top"/>
          </w:tcPr>
          <w:p w14:paraId="6B99AF76" w14:textId="77777777" w:rsidR="00395BDF" w:rsidRPr="007320E3" w:rsidRDefault="00395BDF" w:rsidP="00395BDF">
            <w:pPr>
              <w:pStyle w:val="Body"/>
              <w:spacing w:before="100" w:after="100"/>
              <w:rPr>
                <w:sz w:val="17"/>
                <w:szCs w:val="17"/>
              </w:rPr>
            </w:pPr>
          </w:p>
        </w:tc>
      </w:tr>
      <w:tr w:rsidR="00844D1F" w14:paraId="16E89FFB" w14:textId="77777777" w:rsidTr="002A0CC4">
        <w:trPr>
          <w:cnfStyle w:val="000000100000" w:firstRow="0" w:lastRow="0" w:firstColumn="0" w:lastColumn="0" w:oddVBand="0" w:evenVBand="0" w:oddHBand="1" w:evenHBand="0" w:firstRowFirstColumn="0" w:firstRowLastColumn="0" w:lastRowFirstColumn="0" w:lastRowLastColumn="0"/>
          <w:trHeight w:val="973"/>
        </w:trPr>
        <w:tc>
          <w:tcPr>
            <w:tcW w:w="1649" w:type="pct"/>
          </w:tcPr>
          <w:p w14:paraId="058B242F" w14:textId="77777777" w:rsidR="00395BDF" w:rsidRPr="00395BDF" w:rsidRDefault="00395BDF" w:rsidP="00395BDF">
            <w:pPr>
              <w:pStyle w:val="Body"/>
              <w:spacing w:before="100" w:after="100"/>
              <w:rPr>
                <w:rFonts w:asciiTheme="minorHAnsi" w:eastAsiaTheme="minorHAnsi" w:hAnsiTheme="minorHAnsi"/>
                <w:i/>
                <w:iCs/>
                <w:color w:val="090D46" w:themeColor="text1"/>
                <w:sz w:val="18"/>
                <w:szCs w:val="22"/>
              </w:rPr>
            </w:pPr>
            <w:r w:rsidRPr="00395BDF">
              <w:rPr>
                <w:rFonts w:asciiTheme="minorHAnsi" w:eastAsiaTheme="minorHAnsi" w:hAnsiTheme="minorHAnsi"/>
                <w:i/>
                <w:iCs/>
                <w:color w:val="090D46" w:themeColor="text1"/>
                <w:sz w:val="18"/>
                <w:szCs w:val="22"/>
              </w:rPr>
              <w:t>Exemptions include:</w:t>
            </w:r>
          </w:p>
          <w:p w14:paraId="45F7D9AC" w14:textId="77777777" w:rsidR="00395BDF" w:rsidRPr="007320E3" w:rsidRDefault="00395BDF" w:rsidP="00395BDF">
            <w:pPr>
              <w:pStyle w:val="ListBullet"/>
            </w:pPr>
            <w:r w:rsidRPr="007320E3">
              <w:t>compassionate travel</w:t>
            </w:r>
          </w:p>
          <w:p w14:paraId="5066679A" w14:textId="77777777" w:rsidR="00395BDF" w:rsidRDefault="00395BDF" w:rsidP="00395BDF">
            <w:pPr>
              <w:pStyle w:val="ListBullet"/>
            </w:pPr>
            <w:r w:rsidRPr="007320E3">
              <w:t>certain relocation transport.</w:t>
            </w:r>
          </w:p>
          <w:p w14:paraId="03A15E7C" w14:textId="77777777" w:rsidR="00395BDF" w:rsidRPr="007320E3" w:rsidRDefault="00395BDF" w:rsidP="00395BDF">
            <w:pPr>
              <w:pStyle w:val="ListBullet"/>
            </w:pPr>
            <w:r>
              <w:t>COVID-19 related emergency transport</w:t>
            </w:r>
          </w:p>
        </w:tc>
        <w:tc>
          <w:tcPr>
            <w:tcW w:w="602" w:type="pct"/>
          </w:tcPr>
          <w:p w14:paraId="60B25EDC" w14:textId="77777777" w:rsidR="00395BDF" w:rsidRPr="007320E3" w:rsidRDefault="00395BDF" w:rsidP="00395BDF">
            <w:pPr>
              <w:pStyle w:val="Body"/>
              <w:spacing w:before="100" w:after="100"/>
              <w:rPr>
                <w:sz w:val="17"/>
                <w:szCs w:val="17"/>
              </w:rPr>
            </w:pPr>
          </w:p>
        </w:tc>
        <w:tc>
          <w:tcPr>
            <w:tcW w:w="372" w:type="pct"/>
            <w:gridSpan w:val="2"/>
          </w:tcPr>
          <w:p w14:paraId="35EE1762" w14:textId="77777777" w:rsidR="00395BDF" w:rsidRPr="007320E3" w:rsidRDefault="00395BDF" w:rsidP="00395BDF">
            <w:pPr>
              <w:pStyle w:val="Body"/>
              <w:spacing w:before="100" w:after="100"/>
              <w:rPr>
                <w:sz w:val="17"/>
                <w:szCs w:val="17"/>
              </w:rPr>
            </w:pPr>
          </w:p>
        </w:tc>
        <w:tc>
          <w:tcPr>
            <w:tcW w:w="1766" w:type="pct"/>
            <w:gridSpan w:val="4"/>
            <w:vMerge/>
            <w:vAlign w:val="top"/>
          </w:tcPr>
          <w:p w14:paraId="0A03CEF1" w14:textId="77777777" w:rsidR="00395BDF" w:rsidRPr="007320E3" w:rsidRDefault="00395BDF" w:rsidP="00395BDF">
            <w:pPr>
              <w:pStyle w:val="Table"/>
              <w:spacing w:before="100" w:after="100"/>
              <w:rPr>
                <w:sz w:val="17"/>
                <w:szCs w:val="17"/>
              </w:rPr>
            </w:pPr>
          </w:p>
        </w:tc>
        <w:tc>
          <w:tcPr>
            <w:tcW w:w="612" w:type="pct"/>
            <w:vMerge/>
            <w:vAlign w:val="top"/>
          </w:tcPr>
          <w:p w14:paraId="4F2699D7" w14:textId="77777777" w:rsidR="00395BDF" w:rsidRPr="007320E3" w:rsidRDefault="00395BDF" w:rsidP="00395BDF">
            <w:pPr>
              <w:pStyle w:val="Body"/>
              <w:spacing w:before="100" w:after="100"/>
              <w:rPr>
                <w:sz w:val="17"/>
                <w:szCs w:val="17"/>
              </w:rPr>
            </w:pPr>
          </w:p>
        </w:tc>
      </w:tr>
      <w:tr w:rsidR="00395BDF" w14:paraId="2962D39B" w14:textId="77777777" w:rsidTr="002A0CC4">
        <w:trPr>
          <w:trHeight w:val="141"/>
        </w:trPr>
        <w:tc>
          <w:tcPr>
            <w:tcW w:w="1649" w:type="pct"/>
          </w:tcPr>
          <w:p w14:paraId="754E0F9C" w14:textId="77777777" w:rsidR="00395BDF" w:rsidRPr="007320E3" w:rsidRDefault="00395BDF" w:rsidP="00395BDF">
            <w:pPr>
              <w:pStyle w:val="Body"/>
              <w:spacing w:before="100" w:after="100"/>
              <w:rPr>
                <w:i/>
                <w:sz w:val="17"/>
                <w:szCs w:val="17"/>
              </w:rPr>
            </w:pPr>
            <w:r w:rsidRPr="00844D1F">
              <w:rPr>
                <w:rFonts w:asciiTheme="minorHAnsi" w:eastAsiaTheme="minorHAnsi" w:hAnsiTheme="minorHAnsi"/>
                <w:i/>
                <w:iCs/>
                <w:color w:val="090D46" w:themeColor="text1"/>
                <w:sz w:val="18"/>
                <w:szCs w:val="22"/>
              </w:rPr>
              <w:t>Benefit arises where:</w:t>
            </w:r>
          </w:p>
          <w:p w14:paraId="4EB9D30D" w14:textId="77777777" w:rsidR="00395BDF" w:rsidRPr="007320E3" w:rsidRDefault="00395BDF" w:rsidP="00844D1F">
            <w:pPr>
              <w:pStyle w:val="ListBullet"/>
            </w:pPr>
            <w:r w:rsidRPr="007320E3">
              <w:t>taxi fare is paid or reimbursed by the employer</w:t>
            </w:r>
            <w:r>
              <w:t>; and not solely in respect of business travel</w:t>
            </w:r>
          </w:p>
        </w:tc>
        <w:tc>
          <w:tcPr>
            <w:tcW w:w="602" w:type="pct"/>
          </w:tcPr>
          <w:p w14:paraId="49E26B78" w14:textId="77777777" w:rsidR="00395BDF" w:rsidRPr="007320E3" w:rsidRDefault="00395BDF" w:rsidP="00395BDF">
            <w:pPr>
              <w:pStyle w:val="Body"/>
              <w:spacing w:before="100" w:after="100"/>
              <w:rPr>
                <w:sz w:val="17"/>
                <w:szCs w:val="17"/>
              </w:rPr>
            </w:pPr>
          </w:p>
        </w:tc>
        <w:tc>
          <w:tcPr>
            <w:tcW w:w="372" w:type="pct"/>
            <w:gridSpan w:val="2"/>
          </w:tcPr>
          <w:p w14:paraId="0E41BAF4" w14:textId="77777777" w:rsidR="00395BDF" w:rsidRPr="007320E3" w:rsidRDefault="00395BDF" w:rsidP="00395BDF">
            <w:pPr>
              <w:pStyle w:val="Body"/>
              <w:spacing w:before="100" w:after="100"/>
              <w:rPr>
                <w:sz w:val="17"/>
                <w:szCs w:val="17"/>
              </w:rPr>
            </w:pPr>
          </w:p>
        </w:tc>
        <w:tc>
          <w:tcPr>
            <w:tcW w:w="1766" w:type="pct"/>
            <w:gridSpan w:val="4"/>
            <w:vMerge w:val="restart"/>
            <w:vAlign w:val="top"/>
          </w:tcPr>
          <w:p w14:paraId="0AADECC0" w14:textId="77777777" w:rsidR="00395BDF" w:rsidRPr="009C39D4" w:rsidRDefault="00395BDF" w:rsidP="009C39D4">
            <w:pPr>
              <w:rPr>
                <w:b/>
                <w:bCs/>
              </w:rPr>
            </w:pPr>
            <w:r w:rsidRPr="009C39D4">
              <w:rPr>
                <w:b/>
                <w:bCs/>
              </w:rPr>
              <w:t>Taxis</w:t>
            </w:r>
          </w:p>
          <w:p w14:paraId="4D602783" w14:textId="77777777" w:rsidR="00395BDF" w:rsidRPr="007320E3" w:rsidRDefault="00395BDF" w:rsidP="00ED31EB">
            <w:pPr>
              <w:pStyle w:val="ListBullet"/>
            </w:pPr>
            <w:r w:rsidRPr="007320E3">
              <w:t>amount of expense</w:t>
            </w:r>
          </w:p>
          <w:p w14:paraId="7CD8BB68" w14:textId="77777777" w:rsidR="00395BDF" w:rsidRDefault="00395BDF" w:rsidP="00ED31EB">
            <w:pPr>
              <w:pStyle w:val="ListBullet"/>
            </w:pPr>
            <w:r w:rsidRPr="007320E3">
              <w:t>employee contributions (if any).</w:t>
            </w:r>
          </w:p>
          <w:p w14:paraId="219A776C" w14:textId="77777777" w:rsidR="00395BDF" w:rsidRDefault="00395BDF" w:rsidP="00395BDF">
            <w:pPr>
              <w:pStyle w:val="TableBullet"/>
              <w:numPr>
                <w:ilvl w:val="0"/>
                <w:numId w:val="0"/>
              </w:numPr>
              <w:spacing w:before="100" w:after="100"/>
              <w:ind w:left="360" w:hanging="360"/>
              <w:rPr>
                <w:sz w:val="17"/>
                <w:szCs w:val="17"/>
              </w:rPr>
            </w:pPr>
          </w:p>
          <w:p w14:paraId="3DE440C7" w14:textId="77777777" w:rsidR="00395BDF" w:rsidRPr="005B33EC" w:rsidRDefault="00395BDF" w:rsidP="00ED31EB">
            <w:r w:rsidRPr="00ED31EB">
              <w:rPr>
                <w:b/>
                <w:sz w:val="16"/>
                <w:szCs w:val="20"/>
              </w:rPr>
              <w:t xml:space="preserve">Note: </w:t>
            </w:r>
            <w:r w:rsidRPr="00ED31EB">
              <w:rPr>
                <w:sz w:val="16"/>
                <w:szCs w:val="20"/>
              </w:rPr>
              <w:t>From 1 April 2019, the</w:t>
            </w:r>
            <w:r w:rsidRPr="00ED31EB">
              <w:rPr>
                <w:b/>
                <w:sz w:val="16"/>
                <w:szCs w:val="20"/>
              </w:rPr>
              <w:t xml:space="preserve"> </w:t>
            </w:r>
            <w:r w:rsidRPr="00ED31EB">
              <w:rPr>
                <w:sz w:val="16"/>
                <w:szCs w:val="20"/>
              </w:rPr>
              <w:t xml:space="preserve">exemptions available for taxi travel also apply equally for transport for a fare, including travel in a ride-sourcing service, also known as a ride-sharing service. </w:t>
            </w:r>
          </w:p>
        </w:tc>
        <w:tc>
          <w:tcPr>
            <w:tcW w:w="612" w:type="pct"/>
            <w:vMerge w:val="restart"/>
            <w:vAlign w:val="top"/>
          </w:tcPr>
          <w:p w14:paraId="7895E443" w14:textId="77777777" w:rsidR="00395BDF" w:rsidRPr="007320E3" w:rsidRDefault="00395BDF" w:rsidP="00ED31EB">
            <w:r w:rsidRPr="007320E3">
              <w:t>Expense payment fringe benefit</w:t>
            </w:r>
          </w:p>
        </w:tc>
      </w:tr>
      <w:tr w:rsidR="00844D1F" w14:paraId="0413602E" w14:textId="77777777" w:rsidTr="002A0CC4">
        <w:trPr>
          <w:cnfStyle w:val="000000100000" w:firstRow="0" w:lastRow="0" w:firstColumn="0" w:lastColumn="0" w:oddVBand="0" w:evenVBand="0" w:oddHBand="1" w:evenHBand="0" w:firstRowFirstColumn="0" w:firstRowLastColumn="0" w:lastRowFirstColumn="0" w:lastRowLastColumn="0"/>
          <w:trHeight w:val="549"/>
        </w:trPr>
        <w:tc>
          <w:tcPr>
            <w:tcW w:w="1649" w:type="pct"/>
          </w:tcPr>
          <w:p w14:paraId="4F5C9F20" w14:textId="77777777" w:rsidR="00395BDF" w:rsidRPr="007320E3" w:rsidRDefault="00395BDF" w:rsidP="00844D1F">
            <w:pPr>
              <w:pStyle w:val="ListBullet"/>
            </w:pPr>
            <w:r w:rsidRPr="007320E3">
              <w:t>the benefit is provided in respect of employment</w:t>
            </w:r>
            <w:r>
              <w:t>.</w:t>
            </w:r>
          </w:p>
        </w:tc>
        <w:tc>
          <w:tcPr>
            <w:tcW w:w="602" w:type="pct"/>
          </w:tcPr>
          <w:p w14:paraId="2F5162D9" w14:textId="77777777" w:rsidR="00395BDF" w:rsidRPr="007320E3" w:rsidRDefault="00395BDF" w:rsidP="00395BDF">
            <w:pPr>
              <w:pStyle w:val="Body"/>
              <w:spacing w:before="100" w:after="100"/>
              <w:rPr>
                <w:sz w:val="17"/>
                <w:szCs w:val="17"/>
              </w:rPr>
            </w:pPr>
          </w:p>
        </w:tc>
        <w:tc>
          <w:tcPr>
            <w:tcW w:w="372" w:type="pct"/>
            <w:gridSpan w:val="2"/>
          </w:tcPr>
          <w:p w14:paraId="6049D89A" w14:textId="77777777" w:rsidR="00395BDF" w:rsidRPr="007320E3" w:rsidRDefault="00395BDF" w:rsidP="00395BDF">
            <w:pPr>
              <w:pStyle w:val="Body"/>
              <w:spacing w:before="100" w:after="100"/>
              <w:rPr>
                <w:sz w:val="17"/>
                <w:szCs w:val="17"/>
              </w:rPr>
            </w:pPr>
          </w:p>
        </w:tc>
        <w:tc>
          <w:tcPr>
            <w:tcW w:w="1766" w:type="pct"/>
            <w:gridSpan w:val="4"/>
            <w:vMerge/>
          </w:tcPr>
          <w:p w14:paraId="0C076783" w14:textId="77777777" w:rsidR="00395BDF" w:rsidRPr="007320E3" w:rsidRDefault="00395BDF" w:rsidP="00395BDF">
            <w:pPr>
              <w:pStyle w:val="Table"/>
              <w:spacing w:before="100" w:after="100"/>
              <w:rPr>
                <w:sz w:val="17"/>
                <w:szCs w:val="17"/>
              </w:rPr>
            </w:pPr>
          </w:p>
        </w:tc>
        <w:tc>
          <w:tcPr>
            <w:tcW w:w="612" w:type="pct"/>
            <w:vMerge/>
          </w:tcPr>
          <w:p w14:paraId="131ABEB8" w14:textId="77777777" w:rsidR="00395BDF" w:rsidRPr="007320E3" w:rsidRDefault="00395BDF" w:rsidP="00395BDF">
            <w:pPr>
              <w:pStyle w:val="Body"/>
              <w:spacing w:before="100" w:after="100"/>
              <w:rPr>
                <w:sz w:val="17"/>
                <w:szCs w:val="17"/>
              </w:rPr>
            </w:pPr>
          </w:p>
        </w:tc>
      </w:tr>
      <w:tr w:rsidR="00395BDF" w14:paraId="32E07D70" w14:textId="77777777" w:rsidTr="002A0CC4">
        <w:trPr>
          <w:trHeight w:val="1061"/>
        </w:trPr>
        <w:tc>
          <w:tcPr>
            <w:tcW w:w="1649" w:type="pct"/>
          </w:tcPr>
          <w:p w14:paraId="765D7530" w14:textId="77777777" w:rsidR="00395BDF" w:rsidRPr="007320E3" w:rsidRDefault="00395BDF" w:rsidP="00395BDF">
            <w:pPr>
              <w:pStyle w:val="Body"/>
              <w:spacing w:before="100" w:after="100"/>
              <w:rPr>
                <w:i/>
                <w:sz w:val="17"/>
                <w:szCs w:val="17"/>
              </w:rPr>
            </w:pPr>
            <w:r w:rsidRPr="00844D1F">
              <w:rPr>
                <w:rFonts w:asciiTheme="minorHAnsi" w:eastAsiaTheme="minorHAnsi" w:hAnsiTheme="minorHAnsi"/>
                <w:i/>
                <w:iCs/>
                <w:color w:val="090D46" w:themeColor="text1"/>
                <w:sz w:val="18"/>
                <w:szCs w:val="22"/>
              </w:rPr>
              <w:t>Exemptions include:</w:t>
            </w:r>
          </w:p>
          <w:p w14:paraId="7A65A047" w14:textId="77777777" w:rsidR="00395BDF" w:rsidRPr="007320E3" w:rsidRDefault="00395BDF" w:rsidP="00844D1F">
            <w:pPr>
              <w:pStyle w:val="ListBullet"/>
            </w:pPr>
            <w:r w:rsidRPr="007320E3">
              <w:t>taxi travel beginning or ending at an employee’s place of work is exempt so long as it is a single trip</w:t>
            </w:r>
          </w:p>
        </w:tc>
        <w:tc>
          <w:tcPr>
            <w:tcW w:w="602" w:type="pct"/>
          </w:tcPr>
          <w:p w14:paraId="27C2CF16" w14:textId="77777777" w:rsidR="00395BDF" w:rsidRPr="007320E3" w:rsidRDefault="00395BDF" w:rsidP="00395BDF">
            <w:pPr>
              <w:pStyle w:val="Body"/>
              <w:spacing w:before="100" w:after="100"/>
              <w:rPr>
                <w:sz w:val="17"/>
                <w:szCs w:val="17"/>
              </w:rPr>
            </w:pPr>
          </w:p>
        </w:tc>
        <w:tc>
          <w:tcPr>
            <w:tcW w:w="372" w:type="pct"/>
            <w:gridSpan w:val="2"/>
          </w:tcPr>
          <w:p w14:paraId="778F4C3D" w14:textId="77777777" w:rsidR="00395BDF" w:rsidRPr="007320E3" w:rsidRDefault="00395BDF" w:rsidP="00395BDF">
            <w:pPr>
              <w:pStyle w:val="Body"/>
              <w:spacing w:before="100" w:after="100"/>
              <w:rPr>
                <w:sz w:val="17"/>
                <w:szCs w:val="17"/>
              </w:rPr>
            </w:pPr>
          </w:p>
        </w:tc>
        <w:tc>
          <w:tcPr>
            <w:tcW w:w="1766" w:type="pct"/>
            <w:gridSpan w:val="4"/>
            <w:vMerge/>
          </w:tcPr>
          <w:p w14:paraId="4F6CCAC7" w14:textId="77777777" w:rsidR="00395BDF" w:rsidRPr="007320E3" w:rsidRDefault="00395BDF" w:rsidP="00395BDF">
            <w:pPr>
              <w:pStyle w:val="Table"/>
              <w:spacing w:before="100" w:after="100"/>
              <w:rPr>
                <w:sz w:val="17"/>
                <w:szCs w:val="17"/>
              </w:rPr>
            </w:pPr>
          </w:p>
        </w:tc>
        <w:tc>
          <w:tcPr>
            <w:tcW w:w="612" w:type="pct"/>
            <w:vMerge/>
          </w:tcPr>
          <w:p w14:paraId="1BAC0FA2" w14:textId="77777777" w:rsidR="00395BDF" w:rsidRPr="007320E3" w:rsidRDefault="00395BDF" w:rsidP="00395BDF">
            <w:pPr>
              <w:pStyle w:val="Body"/>
              <w:spacing w:before="100" w:after="100"/>
              <w:rPr>
                <w:sz w:val="17"/>
                <w:szCs w:val="17"/>
              </w:rPr>
            </w:pPr>
          </w:p>
        </w:tc>
      </w:tr>
      <w:tr w:rsidR="00844D1F" w14:paraId="4F98F80B" w14:textId="77777777" w:rsidTr="00844D1F">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9"/>
            <w:shd w:val="clear" w:color="auto" w:fill="0A5CC7" w:themeFill="accent3"/>
          </w:tcPr>
          <w:p w14:paraId="34417E59" w14:textId="6729338D" w:rsidR="00844D1F" w:rsidRPr="00844D1F" w:rsidRDefault="00844D1F" w:rsidP="00844D1F">
            <w:pPr>
              <w:pStyle w:val="Body"/>
              <w:spacing w:before="100" w:after="100"/>
              <w:rPr>
                <w:b/>
                <w:bCs/>
                <w:color w:val="FFFFFF" w:themeColor="background1"/>
                <w:sz w:val="17"/>
                <w:szCs w:val="17"/>
              </w:rPr>
            </w:pPr>
            <w:r w:rsidRPr="00844D1F">
              <w:rPr>
                <w:b/>
                <w:bCs/>
                <w:color w:val="FFFFFF" w:themeColor="background1"/>
                <w:sz w:val="17"/>
                <w:szCs w:val="17"/>
              </w:rPr>
              <w:t>TRAVELLING EXPENSES</w:t>
            </w:r>
            <w:r>
              <w:rPr>
                <w:b/>
                <w:bCs/>
                <w:color w:val="FFFFFF" w:themeColor="background1"/>
                <w:sz w:val="17"/>
                <w:szCs w:val="17"/>
              </w:rPr>
              <w:t xml:space="preserve"> </w:t>
            </w:r>
            <w:r w:rsidRPr="00395BDF">
              <w:rPr>
                <w:b/>
                <w:bCs/>
                <w:color w:val="FFFFFF" w:themeColor="background1"/>
                <w:sz w:val="17"/>
                <w:szCs w:val="17"/>
              </w:rPr>
              <w:t>(CONTINUED</w:t>
            </w:r>
            <w:r>
              <w:rPr>
                <w:b/>
                <w:bCs/>
                <w:color w:val="FFFFFF" w:themeColor="background1"/>
                <w:sz w:val="17"/>
                <w:szCs w:val="17"/>
              </w:rPr>
              <w:t>)</w:t>
            </w:r>
            <w:r w:rsidRPr="00844D1F">
              <w:rPr>
                <w:b/>
                <w:bCs/>
                <w:color w:val="FFFFFF" w:themeColor="background1"/>
                <w:sz w:val="17"/>
                <w:szCs w:val="17"/>
              </w:rPr>
              <w:t xml:space="preserve">  </w:t>
            </w:r>
          </w:p>
        </w:tc>
      </w:tr>
      <w:tr w:rsidR="00844D1F" w14:paraId="5C7A5C3D" w14:textId="77777777" w:rsidTr="002A0CC4">
        <w:trPr>
          <w:trHeight w:val="141"/>
        </w:trPr>
        <w:tc>
          <w:tcPr>
            <w:tcW w:w="1649" w:type="pct"/>
          </w:tcPr>
          <w:p w14:paraId="060A7948" w14:textId="7A620FB1" w:rsidR="00844D1F" w:rsidRPr="007320E3" w:rsidRDefault="00844D1F" w:rsidP="00844D1F">
            <w:pPr>
              <w:pStyle w:val="ListBullet"/>
              <w:rPr>
                <w:i/>
              </w:rPr>
            </w:pPr>
            <w:r w:rsidRPr="007320E3">
              <w:t>the travel is in relation to a sick employee</w:t>
            </w:r>
          </w:p>
        </w:tc>
        <w:tc>
          <w:tcPr>
            <w:tcW w:w="602" w:type="pct"/>
          </w:tcPr>
          <w:p w14:paraId="5ADB7554" w14:textId="77777777" w:rsidR="00844D1F" w:rsidRPr="007320E3" w:rsidRDefault="00844D1F" w:rsidP="00844D1F">
            <w:pPr>
              <w:pStyle w:val="Body"/>
              <w:spacing w:before="100" w:after="100"/>
              <w:rPr>
                <w:sz w:val="17"/>
                <w:szCs w:val="17"/>
              </w:rPr>
            </w:pPr>
          </w:p>
        </w:tc>
        <w:tc>
          <w:tcPr>
            <w:tcW w:w="372" w:type="pct"/>
            <w:gridSpan w:val="2"/>
          </w:tcPr>
          <w:p w14:paraId="3030FDDE" w14:textId="77777777" w:rsidR="00844D1F" w:rsidRPr="007320E3" w:rsidRDefault="00844D1F" w:rsidP="00844D1F">
            <w:pPr>
              <w:pStyle w:val="Body"/>
              <w:spacing w:before="100" w:after="100"/>
              <w:rPr>
                <w:sz w:val="17"/>
                <w:szCs w:val="17"/>
              </w:rPr>
            </w:pPr>
          </w:p>
        </w:tc>
        <w:tc>
          <w:tcPr>
            <w:tcW w:w="1766" w:type="pct"/>
            <w:gridSpan w:val="4"/>
            <w:vMerge w:val="restart"/>
          </w:tcPr>
          <w:p w14:paraId="62880C22" w14:textId="77777777" w:rsidR="00844D1F" w:rsidRPr="007320E3" w:rsidRDefault="00844D1F" w:rsidP="00844D1F">
            <w:pPr>
              <w:pStyle w:val="Table"/>
              <w:spacing w:before="100" w:after="100"/>
              <w:rPr>
                <w:b/>
                <w:sz w:val="17"/>
                <w:szCs w:val="17"/>
              </w:rPr>
            </w:pPr>
          </w:p>
        </w:tc>
        <w:tc>
          <w:tcPr>
            <w:tcW w:w="612" w:type="pct"/>
            <w:vMerge w:val="restart"/>
          </w:tcPr>
          <w:p w14:paraId="18465011" w14:textId="77777777" w:rsidR="00844D1F" w:rsidRPr="007320E3" w:rsidRDefault="00844D1F" w:rsidP="00844D1F">
            <w:pPr>
              <w:pStyle w:val="Body"/>
              <w:spacing w:before="100" w:after="100"/>
              <w:rPr>
                <w:sz w:val="17"/>
                <w:szCs w:val="17"/>
              </w:rPr>
            </w:pPr>
          </w:p>
        </w:tc>
      </w:tr>
      <w:tr w:rsidR="00844D1F" w14:paraId="68B24428" w14:textId="77777777" w:rsidTr="002A0CC4">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7A4619E1" w14:textId="1F00E3C7" w:rsidR="00844D1F" w:rsidRPr="007320E3" w:rsidRDefault="00844D1F" w:rsidP="00844D1F">
            <w:pPr>
              <w:pStyle w:val="ListBullet"/>
              <w:rPr>
                <w:i/>
              </w:rPr>
            </w:pPr>
            <w:r w:rsidRPr="007320E3">
              <w:t>minor benefit less than $300 (incl</w:t>
            </w:r>
            <w:r>
              <w:t>uding</w:t>
            </w:r>
            <w:r w:rsidRPr="007320E3">
              <w:t xml:space="preserve"> GST).</w:t>
            </w:r>
          </w:p>
        </w:tc>
        <w:tc>
          <w:tcPr>
            <w:tcW w:w="602" w:type="pct"/>
          </w:tcPr>
          <w:p w14:paraId="6E5BB4BC" w14:textId="77777777" w:rsidR="00844D1F" w:rsidRPr="007320E3" w:rsidRDefault="00844D1F" w:rsidP="00844D1F">
            <w:pPr>
              <w:pStyle w:val="Body"/>
              <w:spacing w:before="100" w:after="100"/>
              <w:rPr>
                <w:sz w:val="17"/>
                <w:szCs w:val="17"/>
              </w:rPr>
            </w:pPr>
          </w:p>
        </w:tc>
        <w:tc>
          <w:tcPr>
            <w:tcW w:w="372" w:type="pct"/>
            <w:gridSpan w:val="2"/>
          </w:tcPr>
          <w:p w14:paraId="4F3194FF" w14:textId="77777777" w:rsidR="00844D1F" w:rsidRPr="007320E3" w:rsidRDefault="00844D1F" w:rsidP="00844D1F">
            <w:pPr>
              <w:pStyle w:val="Body"/>
              <w:spacing w:before="100" w:after="100"/>
              <w:rPr>
                <w:sz w:val="17"/>
                <w:szCs w:val="17"/>
              </w:rPr>
            </w:pPr>
          </w:p>
        </w:tc>
        <w:tc>
          <w:tcPr>
            <w:tcW w:w="1766" w:type="pct"/>
            <w:gridSpan w:val="4"/>
            <w:vMerge/>
          </w:tcPr>
          <w:p w14:paraId="3C2DC87D" w14:textId="77777777" w:rsidR="00844D1F" w:rsidRPr="007320E3" w:rsidRDefault="00844D1F" w:rsidP="00844D1F">
            <w:pPr>
              <w:pStyle w:val="Table"/>
              <w:spacing w:before="100" w:after="100"/>
              <w:rPr>
                <w:b/>
                <w:sz w:val="17"/>
                <w:szCs w:val="17"/>
              </w:rPr>
            </w:pPr>
          </w:p>
        </w:tc>
        <w:tc>
          <w:tcPr>
            <w:tcW w:w="612" w:type="pct"/>
            <w:vMerge/>
          </w:tcPr>
          <w:p w14:paraId="437132AF" w14:textId="77777777" w:rsidR="00844D1F" w:rsidRPr="007320E3" w:rsidRDefault="00844D1F" w:rsidP="00844D1F">
            <w:pPr>
              <w:pStyle w:val="Body"/>
              <w:spacing w:before="100" w:after="100"/>
              <w:rPr>
                <w:sz w:val="17"/>
                <w:szCs w:val="17"/>
              </w:rPr>
            </w:pPr>
          </w:p>
        </w:tc>
      </w:tr>
      <w:tr w:rsidR="00844D1F" w14:paraId="40ED027E" w14:textId="77777777" w:rsidTr="002A0CC4">
        <w:trPr>
          <w:trHeight w:val="141"/>
        </w:trPr>
        <w:tc>
          <w:tcPr>
            <w:tcW w:w="1649" w:type="pct"/>
          </w:tcPr>
          <w:p w14:paraId="45651C1B" w14:textId="77777777" w:rsidR="00844D1F" w:rsidRPr="00ED31EB" w:rsidRDefault="00844D1F" w:rsidP="00844D1F">
            <w:pPr>
              <w:pStyle w:val="Body"/>
              <w:spacing w:before="100" w:after="100"/>
              <w:rPr>
                <w:rFonts w:asciiTheme="minorHAnsi" w:eastAsiaTheme="minorHAnsi" w:hAnsiTheme="minorHAnsi"/>
                <w:i/>
                <w:iCs/>
                <w:color w:val="090D46" w:themeColor="text1"/>
                <w:sz w:val="18"/>
                <w:szCs w:val="22"/>
              </w:rPr>
            </w:pPr>
            <w:r w:rsidRPr="00ED31EB">
              <w:rPr>
                <w:rFonts w:asciiTheme="minorHAnsi" w:eastAsiaTheme="minorHAnsi" w:hAnsiTheme="minorHAnsi"/>
                <w:i/>
                <w:iCs/>
                <w:color w:val="090D46" w:themeColor="text1"/>
                <w:sz w:val="18"/>
                <w:szCs w:val="22"/>
              </w:rPr>
              <w:t>Benefit arises where:</w:t>
            </w:r>
          </w:p>
          <w:p w14:paraId="52F419E4" w14:textId="77777777" w:rsidR="00844D1F" w:rsidRPr="007320E3" w:rsidRDefault="00844D1F" w:rsidP="00ED31EB">
            <w:pPr>
              <w:pStyle w:val="ListBullet"/>
            </w:pPr>
            <w:r w:rsidRPr="007320E3">
              <w:t>an employee of the travel industry is provided with free or discounted travel on a stand-by basis.</w:t>
            </w:r>
          </w:p>
        </w:tc>
        <w:tc>
          <w:tcPr>
            <w:tcW w:w="602" w:type="pct"/>
          </w:tcPr>
          <w:p w14:paraId="799210BF" w14:textId="77777777" w:rsidR="00844D1F" w:rsidRPr="007320E3" w:rsidRDefault="00844D1F" w:rsidP="00844D1F">
            <w:pPr>
              <w:pStyle w:val="Body"/>
              <w:spacing w:before="100" w:after="100"/>
              <w:rPr>
                <w:sz w:val="17"/>
                <w:szCs w:val="17"/>
              </w:rPr>
            </w:pPr>
          </w:p>
        </w:tc>
        <w:tc>
          <w:tcPr>
            <w:tcW w:w="372" w:type="pct"/>
            <w:gridSpan w:val="2"/>
          </w:tcPr>
          <w:p w14:paraId="7399762E" w14:textId="77777777" w:rsidR="00844D1F" w:rsidRPr="007320E3" w:rsidRDefault="00844D1F" w:rsidP="00844D1F">
            <w:pPr>
              <w:pStyle w:val="Body"/>
              <w:spacing w:before="100" w:after="100"/>
              <w:rPr>
                <w:sz w:val="17"/>
                <w:szCs w:val="17"/>
              </w:rPr>
            </w:pPr>
          </w:p>
        </w:tc>
        <w:tc>
          <w:tcPr>
            <w:tcW w:w="1766" w:type="pct"/>
            <w:gridSpan w:val="4"/>
            <w:vMerge w:val="restart"/>
            <w:vAlign w:val="top"/>
          </w:tcPr>
          <w:p w14:paraId="6157BA38" w14:textId="77777777" w:rsidR="00844D1F" w:rsidRPr="007320E3" w:rsidRDefault="00844D1F" w:rsidP="00844D1F">
            <w:pPr>
              <w:pStyle w:val="Table"/>
              <w:spacing w:before="100" w:after="100"/>
              <w:rPr>
                <w:sz w:val="17"/>
                <w:szCs w:val="17"/>
              </w:rPr>
            </w:pPr>
            <w:r w:rsidRPr="00ED31EB">
              <w:rPr>
                <w:rFonts w:asciiTheme="minorHAnsi" w:eastAsiaTheme="minorHAnsi" w:hAnsiTheme="minorHAnsi"/>
                <w:b/>
                <w:bCs/>
                <w:color w:val="090D46" w:themeColor="text1"/>
                <w:sz w:val="18"/>
                <w:szCs w:val="22"/>
              </w:rPr>
              <w:t>In-House fringe benefit</w:t>
            </w:r>
            <w:r w:rsidRPr="007320E3">
              <w:rPr>
                <w:b/>
                <w:sz w:val="17"/>
                <w:szCs w:val="17"/>
              </w:rPr>
              <w:t xml:space="preserve"> </w:t>
            </w:r>
            <w:r w:rsidRPr="007320E3">
              <w:rPr>
                <w:sz w:val="17"/>
                <w:szCs w:val="17"/>
              </w:rPr>
              <w:br/>
            </w:r>
            <w:r w:rsidRPr="00ED31EB">
              <w:rPr>
                <w:rFonts w:asciiTheme="minorHAnsi" w:eastAsiaTheme="minorHAnsi" w:hAnsiTheme="minorHAnsi"/>
                <w:i/>
                <w:color w:val="090D46" w:themeColor="text1"/>
                <w:sz w:val="18"/>
                <w:szCs w:val="22"/>
              </w:rPr>
              <w:t>(refer formula 7)</w:t>
            </w:r>
          </w:p>
          <w:p w14:paraId="7D8FEBC1" w14:textId="77777777" w:rsidR="00844D1F" w:rsidRPr="007320E3" w:rsidRDefault="00844D1F" w:rsidP="00ED31EB">
            <w:pPr>
              <w:pStyle w:val="ListBullet"/>
            </w:pPr>
            <w:r w:rsidRPr="007320E3">
              <w:t>purpose of the trip</w:t>
            </w:r>
          </w:p>
          <w:p w14:paraId="15543D28" w14:textId="77777777" w:rsidR="00844D1F" w:rsidRPr="007320E3" w:rsidRDefault="00844D1F" w:rsidP="00ED31EB">
            <w:pPr>
              <w:pStyle w:val="ListBullet"/>
            </w:pPr>
            <w:r w:rsidRPr="007320E3">
              <w:t>if domestic travel – the lowest standard single economy fare published by the airline</w:t>
            </w:r>
          </w:p>
          <w:p w14:paraId="5BBAECB0" w14:textId="77777777" w:rsidR="00844D1F" w:rsidRPr="007320E3" w:rsidRDefault="00844D1F" w:rsidP="00ED31EB">
            <w:pPr>
              <w:pStyle w:val="ListBullet"/>
            </w:pPr>
            <w:r w:rsidRPr="007320E3">
              <w:t>if international travel – the lowest standard single economy fare published by any carrier in Australia</w:t>
            </w:r>
          </w:p>
          <w:p w14:paraId="2D170EE1" w14:textId="77777777" w:rsidR="00844D1F" w:rsidRPr="007320E3" w:rsidRDefault="00844D1F" w:rsidP="00ED31EB">
            <w:pPr>
              <w:pStyle w:val="ListBullet"/>
            </w:pPr>
            <w:r w:rsidRPr="007320E3">
              <w:t>employee contributions (if any).</w:t>
            </w:r>
          </w:p>
        </w:tc>
        <w:tc>
          <w:tcPr>
            <w:tcW w:w="612" w:type="pct"/>
            <w:vMerge w:val="restart"/>
            <w:vAlign w:val="top"/>
          </w:tcPr>
          <w:p w14:paraId="68A299A3" w14:textId="77777777" w:rsidR="00844D1F" w:rsidRPr="007320E3" w:rsidRDefault="00844D1F" w:rsidP="00ED31EB">
            <w:r w:rsidRPr="007320E3">
              <w:t xml:space="preserve">In-house property fringe benefit OR in-house residual fringe benefit </w:t>
            </w:r>
          </w:p>
        </w:tc>
      </w:tr>
      <w:tr w:rsidR="00844D1F" w14:paraId="21B37784" w14:textId="77777777" w:rsidTr="002A0CC4">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5F857469" w14:textId="77777777" w:rsidR="00844D1F" w:rsidRPr="00ED31EB" w:rsidRDefault="00844D1F" w:rsidP="00844D1F">
            <w:pPr>
              <w:pStyle w:val="Body"/>
              <w:spacing w:before="100" w:after="100"/>
              <w:rPr>
                <w:rFonts w:asciiTheme="minorHAnsi" w:eastAsiaTheme="minorHAnsi" w:hAnsiTheme="minorHAnsi"/>
                <w:i/>
                <w:iCs/>
                <w:color w:val="090D46" w:themeColor="text1"/>
                <w:sz w:val="18"/>
                <w:szCs w:val="22"/>
              </w:rPr>
            </w:pPr>
            <w:r w:rsidRPr="00ED31EB">
              <w:rPr>
                <w:rFonts w:asciiTheme="minorHAnsi" w:eastAsiaTheme="minorHAnsi" w:hAnsiTheme="minorHAnsi"/>
                <w:i/>
                <w:iCs/>
                <w:color w:val="090D46" w:themeColor="text1"/>
                <w:sz w:val="18"/>
                <w:szCs w:val="22"/>
              </w:rPr>
              <w:t>Exemptions include:</w:t>
            </w:r>
          </w:p>
          <w:p w14:paraId="1DCFDBC7" w14:textId="77777777" w:rsidR="00844D1F" w:rsidRPr="007320E3" w:rsidRDefault="00844D1F" w:rsidP="00ED31EB">
            <w:pPr>
              <w:pStyle w:val="ListBullet"/>
            </w:pPr>
            <w:r w:rsidRPr="007320E3">
              <w:t>$1,000 exemption applies in respect of the taxable value of in-house benefits provided to each recipient.</w:t>
            </w:r>
          </w:p>
          <w:p w14:paraId="4A2F2FE4" w14:textId="77777777" w:rsidR="00844D1F" w:rsidRPr="007320E3" w:rsidRDefault="00844D1F" w:rsidP="00ED31EB">
            <w:r w:rsidRPr="00ED31EB">
              <w:rPr>
                <w:b/>
                <w:sz w:val="16"/>
                <w:szCs w:val="20"/>
              </w:rPr>
              <w:t>Note:</w:t>
            </w:r>
            <w:r w:rsidRPr="00ED31EB">
              <w:rPr>
                <w:sz w:val="16"/>
                <w:szCs w:val="20"/>
              </w:rPr>
              <w:t xml:space="preserve"> This exemption does not apply where the in-house fringe benefit is provided under a salary packaging arrangement. </w:t>
            </w:r>
          </w:p>
        </w:tc>
        <w:tc>
          <w:tcPr>
            <w:tcW w:w="602" w:type="pct"/>
          </w:tcPr>
          <w:p w14:paraId="0F4D2C6D" w14:textId="77777777" w:rsidR="00844D1F" w:rsidRDefault="00844D1F" w:rsidP="00844D1F">
            <w:pPr>
              <w:pStyle w:val="Body"/>
              <w:spacing w:before="100" w:after="100"/>
            </w:pPr>
          </w:p>
        </w:tc>
        <w:tc>
          <w:tcPr>
            <w:tcW w:w="372" w:type="pct"/>
            <w:gridSpan w:val="2"/>
          </w:tcPr>
          <w:p w14:paraId="1EAE08F9" w14:textId="77777777" w:rsidR="00844D1F" w:rsidRDefault="00844D1F" w:rsidP="00844D1F">
            <w:pPr>
              <w:pStyle w:val="Body"/>
              <w:spacing w:before="100" w:after="100"/>
            </w:pPr>
          </w:p>
        </w:tc>
        <w:tc>
          <w:tcPr>
            <w:tcW w:w="1766" w:type="pct"/>
            <w:gridSpan w:val="4"/>
            <w:vMerge/>
          </w:tcPr>
          <w:p w14:paraId="159AF4DA" w14:textId="77777777" w:rsidR="00844D1F" w:rsidRDefault="00844D1F" w:rsidP="00844D1F">
            <w:pPr>
              <w:pStyle w:val="Table"/>
              <w:spacing w:before="100" w:after="100"/>
            </w:pPr>
          </w:p>
        </w:tc>
        <w:tc>
          <w:tcPr>
            <w:tcW w:w="612" w:type="pct"/>
            <w:vMerge/>
          </w:tcPr>
          <w:p w14:paraId="74B0121A" w14:textId="77777777" w:rsidR="00844D1F" w:rsidRDefault="00844D1F" w:rsidP="00844D1F">
            <w:pPr>
              <w:pStyle w:val="Body"/>
              <w:spacing w:before="100" w:after="100"/>
            </w:pPr>
          </w:p>
        </w:tc>
      </w:tr>
      <w:tr w:rsidR="00844D1F" w:rsidRPr="00AF24CF" w14:paraId="0DF53386" w14:textId="77777777" w:rsidTr="00844D1F">
        <w:trPr>
          <w:trHeight w:val="141"/>
        </w:trPr>
        <w:tc>
          <w:tcPr>
            <w:tcW w:w="5000" w:type="pct"/>
            <w:gridSpan w:val="9"/>
            <w:shd w:val="clear" w:color="auto" w:fill="0A5CC7" w:themeFill="accent3"/>
          </w:tcPr>
          <w:p w14:paraId="7D99BD04" w14:textId="77777777" w:rsidR="00844D1F" w:rsidRPr="00844D1F" w:rsidRDefault="00844D1F" w:rsidP="00844D1F">
            <w:pPr>
              <w:pStyle w:val="Tableheading"/>
              <w:spacing w:before="100" w:after="100"/>
              <w:rPr>
                <w:color w:val="FFFFFF" w:themeColor="background1"/>
              </w:rPr>
            </w:pPr>
            <w:r w:rsidRPr="00844D1F">
              <w:rPr>
                <w:color w:val="FFFFFF" w:themeColor="background1"/>
                <w:sz w:val="17"/>
                <w:szCs w:val="17"/>
              </w:rPr>
              <w:t xml:space="preserve">ENTERTAINMENT EXPENSES - MEAL  </w:t>
            </w:r>
          </w:p>
        </w:tc>
      </w:tr>
      <w:tr w:rsidR="00844D1F" w14:paraId="6EF810D7" w14:textId="77777777" w:rsidTr="00C11090">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12C652E8" w14:textId="77777777" w:rsidR="00844D1F" w:rsidRPr="00ED31EB" w:rsidRDefault="00844D1F" w:rsidP="00844D1F">
            <w:pPr>
              <w:pStyle w:val="Body"/>
              <w:spacing w:before="100" w:after="100"/>
              <w:rPr>
                <w:rFonts w:asciiTheme="minorHAnsi" w:eastAsiaTheme="minorHAnsi" w:hAnsiTheme="minorHAnsi"/>
                <w:i/>
                <w:iCs/>
                <w:color w:val="090D46" w:themeColor="text1"/>
                <w:sz w:val="18"/>
                <w:szCs w:val="22"/>
              </w:rPr>
            </w:pPr>
            <w:r w:rsidRPr="00ED31EB">
              <w:rPr>
                <w:rFonts w:asciiTheme="minorHAnsi" w:eastAsiaTheme="minorHAnsi" w:hAnsiTheme="minorHAnsi"/>
                <w:i/>
                <w:iCs/>
                <w:color w:val="090D46" w:themeColor="text1"/>
                <w:sz w:val="18"/>
                <w:szCs w:val="22"/>
              </w:rPr>
              <w:t>Benefit arises where there is:</w:t>
            </w:r>
          </w:p>
          <w:p w14:paraId="5D673CBC" w14:textId="77777777" w:rsidR="00844D1F" w:rsidRPr="007320E3" w:rsidRDefault="00844D1F" w:rsidP="00ED31EB">
            <w:pPr>
              <w:pStyle w:val="ListBullet"/>
            </w:pPr>
            <w:r w:rsidRPr="007320E3">
              <w:t>entertainment of an employee or an associate by way of food or drin</w:t>
            </w:r>
            <w:r>
              <w:t>k or</w:t>
            </w:r>
          </w:p>
        </w:tc>
        <w:tc>
          <w:tcPr>
            <w:tcW w:w="620" w:type="pct"/>
            <w:gridSpan w:val="2"/>
          </w:tcPr>
          <w:p w14:paraId="5C91E9D0" w14:textId="77777777" w:rsidR="00844D1F" w:rsidRPr="007320E3" w:rsidRDefault="00844D1F" w:rsidP="00844D1F">
            <w:pPr>
              <w:pStyle w:val="Body"/>
              <w:spacing w:before="100" w:after="100"/>
              <w:rPr>
                <w:sz w:val="17"/>
                <w:szCs w:val="17"/>
              </w:rPr>
            </w:pPr>
          </w:p>
        </w:tc>
        <w:tc>
          <w:tcPr>
            <w:tcW w:w="358" w:type="pct"/>
            <w:gridSpan w:val="2"/>
          </w:tcPr>
          <w:p w14:paraId="64C3B185" w14:textId="77777777" w:rsidR="00844D1F" w:rsidRPr="007320E3" w:rsidRDefault="00844D1F" w:rsidP="00844D1F">
            <w:pPr>
              <w:pStyle w:val="Body"/>
              <w:spacing w:before="100" w:after="100"/>
              <w:rPr>
                <w:sz w:val="17"/>
                <w:szCs w:val="17"/>
              </w:rPr>
            </w:pPr>
          </w:p>
        </w:tc>
        <w:tc>
          <w:tcPr>
            <w:tcW w:w="1702" w:type="pct"/>
            <w:vMerge w:val="restart"/>
            <w:vAlign w:val="top"/>
          </w:tcPr>
          <w:p w14:paraId="427E16CE" w14:textId="77777777" w:rsidR="00844D1F" w:rsidRPr="007320E3" w:rsidRDefault="00844D1F" w:rsidP="00844D1F">
            <w:pPr>
              <w:pStyle w:val="Table"/>
              <w:spacing w:before="100" w:after="100"/>
              <w:rPr>
                <w:sz w:val="17"/>
                <w:szCs w:val="17"/>
              </w:rPr>
            </w:pPr>
            <w:r w:rsidRPr="00C774E3">
              <w:rPr>
                <w:rFonts w:asciiTheme="minorHAnsi" w:eastAsiaTheme="minorHAnsi" w:hAnsiTheme="minorHAnsi"/>
                <w:b/>
                <w:bCs/>
                <w:color w:val="090D46" w:themeColor="text1"/>
                <w:sz w:val="18"/>
                <w:szCs w:val="22"/>
              </w:rPr>
              <w:t>50/50 split method</w:t>
            </w:r>
            <w:r w:rsidRPr="007320E3">
              <w:rPr>
                <w:sz w:val="17"/>
                <w:szCs w:val="17"/>
              </w:rPr>
              <w:br/>
            </w:r>
            <w:r w:rsidRPr="00C774E3">
              <w:rPr>
                <w:rFonts w:asciiTheme="minorHAnsi" w:eastAsiaTheme="minorHAnsi" w:hAnsiTheme="minorHAnsi"/>
                <w:i/>
                <w:color w:val="090D46" w:themeColor="text1"/>
                <w:sz w:val="18"/>
                <w:szCs w:val="22"/>
              </w:rPr>
              <w:t>(refer formula 8.1)</w:t>
            </w:r>
          </w:p>
          <w:p w14:paraId="7A3DAE5B" w14:textId="77777777" w:rsidR="00844D1F" w:rsidRPr="007320E3" w:rsidRDefault="00844D1F" w:rsidP="00C774E3">
            <w:pPr>
              <w:pStyle w:val="ListBullet"/>
            </w:pPr>
            <w:r w:rsidRPr="007320E3">
              <w:t>amount of total meal entertainment for all persons (i.e. employees, associates and clients)</w:t>
            </w:r>
          </w:p>
          <w:p w14:paraId="2B56CAE0" w14:textId="77777777" w:rsidR="00844D1F" w:rsidRPr="007320E3" w:rsidRDefault="00844D1F" w:rsidP="00C774E3">
            <w:pPr>
              <w:pStyle w:val="ListBullet"/>
            </w:pPr>
            <w:r w:rsidRPr="007320E3">
              <w:t>document election.</w:t>
            </w:r>
          </w:p>
          <w:p w14:paraId="3BB1C9EB" w14:textId="77777777" w:rsidR="00844D1F" w:rsidRPr="007320E3" w:rsidRDefault="00844D1F" w:rsidP="00844D1F">
            <w:pPr>
              <w:pStyle w:val="Table"/>
              <w:spacing w:before="100" w:after="100"/>
              <w:rPr>
                <w:sz w:val="17"/>
                <w:szCs w:val="17"/>
              </w:rPr>
            </w:pPr>
            <w:r w:rsidRPr="00C774E3">
              <w:rPr>
                <w:rFonts w:asciiTheme="minorHAnsi" w:eastAsiaTheme="minorHAnsi" w:hAnsiTheme="minorHAnsi"/>
                <w:b/>
                <w:bCs/>
                <w:color w:val="090D46" w:themeColor="text1"/>
                <w:sz w:val="18"/>
                <w:szCs w:val="22"/>
              </w:rPr>
              <w:t>12-week register method</w:t>
            </w:r>
            <w:r w:rsidRPr="007320E3">
              <w:rPr>
                <w:sz w:val="17"/>
                <w:szCs w:val="17"/>
              </w:rPr>
              <w:br/>
            </w:r>
            <w:r w:rsidRPr="00C774E3">
              <w:rPr>
                <w:rFonts w:asciiTheme="minorHAnsi" w:eastAsiaTheme="minorHAnsi" w:hAnsiTheme="minorHAnsi"/>
                <w:i/>
                <w:color w:val="090D46" w:themeColor="text1"/>
                <w:sz w:val="18"/>
                <w:szCs w:val="22"/>
              </w:rPr>
              <w:t>(refer formula 8.3)</w:t>
            </w:r>
          </w:p>
          <w:p w14:paraId="2E9C0E58" w14:textId="77777777" w:rsidR="00844D1F" w:rsidRPr="007320E3" w:rsidRDefault="00844D1F" w:rsidP="00C774E3">
            <w:pPr>
              <w:pStyle w:val="ListBullet"/>
            </w:pPr>
            <w:r w:rsidRPr="007320E3">
              <w:t>12</w:t>
            </w:r>
            <w:r>
              <w:t>-</w:t>
            </w:r>
            <w:r w:rsidRPr="007320E3">
              <w:t>week register which details:</w:t>
            </w:r>
          </w:p>
          <w:p w14:paraId="33DF14DF" w14:textId="77777777" w:rsidR="00844D1F" w:rsidRPr="007320E3" w:rsidRDefault="00844D1F" w:rsidP="00C774E3">
            <w:pPr>
              <w:pStyle w:val="ListBullet2"/>
            </w:pPr>
            <w:r w:rsidRPr="007320E3">
              <w:t>the date, cost and place of the meal entertainment</w:t>
            </w:r>
          </w:p>
          <w:p w14:paraId="10306CC2" w14:textId="77777777" w:rsidR="00844D1F" w:rsidRPr="007320E3" w:rsidRDefault="00844D1F" w:rsidP="00C774E3">
            <w:pPr>
              <w:pStyle w:val="ListBullet2"/>
            </w:pPr>
            <w:r w:rsidRPr="007320E3">
              <w:t>whether the meal is provided to an employee or associate (per head allocation)</w:t>
            </w:r>
          </w:p>
          <w:p w14:paraId="2CC8F55E" w14:textId="77777777" w:rsidR="00844D1F" w:rsidRPr="007320E3" w:rsidRDefault="00844D1F" w:rsidP="00C774E3">
            <w:pPr>
              <w:pStyle w:val="ListBullet"/>
            </w:pPr>
            <w:r w:rsidRPr="007320E3">
              <w:t>document election.</w:t>
            </w:r>
          </w:p>
          <w:p w14:paraId="3479D50A" w14:textId="77777777" w:rsidR="00844D1F" w:rsidRPr="00C774E3" w:rsidRDefault="00844D1F" w:rsidP="00844D1F">
            <w:pPr>
              <w:pStyle w:val="Table"/>
              <w:spacing w:before="100" w:after="100"/>
              <w:rPr>
                <w:rFonts w:asciiTheme="minorHAnsi" w:eastAsiaTheme="minorHAnsi" w:hAnsiTheme="minorHAnsi"/>
                <w:i/>
                <w:color w:val="090D46" w:themeColor="text1"/>
                <w:sz w:val="18"/>
                <w:szCs w:val="22"/>
              </w:rPr>
            </w:pPr>
            <w:r w:rsidRPr="00C774E3">
              <w:rPr>
                <w:rFonts w:asciiTheme="minorHAnsi" w:eastAsiaTheme="minorHAnsi" w:hAnsiTheme="minorHAnsi"/>
                <w:b/>
                <w:bCs/>
                <w:color w:val="090D46" w:themeColor="text1"/>
                <w:sz w:val="18"/>
                <w:szCs w:val="22"/>
              </w:rPr>
              <w:t>Actual expenditure method</w:t>
            </w:r>
            <w:r>
              <w:rPr>
                <w:b/>
                <w:sz w:val="17"/>
                <w:szCs w:val="17"/>
              </w:rPr>
              <w:t xml:space="preserve">               </w:t>
            </w:r>
            <w:r w:rsidRPr="00C774E3">
              <w:rPr>
                <w:rFonts w:asciiTheme="minorHAnsi" w:eastAsiaTheme="minorHAnsi" w:hAnsiTheme="minorHAnsi"/>
                <w:i/>
                <w:color w:val="090D46" w:themeColor="text1"/>
                <w:sz w:val="18"/>
                <w:szCs w:val="22"/>
              </w:rPr>
              <w:t>(refer commentary section 8.2)</w:t>
            </w:r>
          </w:p>
          <w:p w14:paraId="40EEBBD2" w14:textId="77777777" w:rsidR="00844D1F" w:rsidRPr="007320E3" w:rsidRDefault="00844D1F" w:rsidP="00C774E3">
            <w:pPr>
              <w:pStyle w:val="ListBullet"/>
            </w:pPr>
            <w:r w:rsidRPr="007320E3">
              <w:t>amount of expense</w:t>
            </w:r>
          </w:p>
          <w:p w14:paraId="359E0B9D" w14:textId="021C7BA7" w:rsidR="00844D1F" w:rsidRPr="009C39D4" w:rsidRDefault="00844D1F" w:rsidP="009C39D4">
            <w:pPr>
              <w:pStyle w:val="ListBullet"/>
            </w:pPr>
            <w:r w:rsidRPr="007320E3">
              <w:t>employee contributions (if any)</w:t>
            </w:r>
          </w:p>
        </w:tc>
        <w:tc>
          <w:tcPr>
            <w:tcW w:w="672" w:type="pct"/>
            <w:gridSpan w:val="3"/>
            <w:vMerge w:val="restart"/>
            <w:vAlign w:val="top"/>
          </w:tcPr>
          <w:p w14:paraId="0B305F21" w14:textId="77777777" w:rsidR="00844D1F" w:rsidRPr="007320E3" w:rsidRDefault="00844D1F" w:rsidP="00844D1F">
            <w:pPr>
              <w:pStyle w:val="Body"/>
              <w:spacing w:before="100" w:after="100"/>
              <w:rPr>
                <w:sz w:val="17"/>
                <w:szCs w:val="17"/>
              </w:rPr>
            </w:pPr>
            <w:r w:rsidRPr="007320E3">
              <w:rPr>
                <w:sz w:val="17"/>
                <w:szCs w:val="17"/>
              </w:rPr>
              <w:t>Meal entertainment fringe benefit</w:t>
            </w:r>
          </w:p>
          <w:p w14:paraId="59BE2757" w14:textId="77777777" w:rsidR="00844D1F" w:rsidRPr="007320E3" w:rsidRDefault="00844D1F" w:rsidP="00844D1F">
            <w:pPr>
              <w:pStyle w:val="Body"/>
              <w:spacing w:before="100" w:after="100"/>
              <w:rPr>
                <w:sz w:val="17"/>
                <w:szCs w:val="17"/>
              </w:rPr>
            </w:pPr>
          </w:p>
        </w:tc>
      </w:tr>
      <w:tr w:rsidR="00844D1F" w14:paraId="56DFA501" w14:textId="77777777" w:rsidTr="00C11090">
        <w:trPr>
          <w:trHeight w:val="141"/>
        </w:trPr>
        <w:tc>
          <w:tcPr>
            <w:tcW w:w="1649" w:type="pct"/>
          </w:tcPr>
          <w:p w14:paraId="3DAAF8F3" w14:textId="77777777" w:rsidR="00844D1F" w:rsidRPr="007320E3" w:rsidRDefault="00844D1F" w:rsidP="00ED31EB">
            <w:pPr>
              <w:pStyle w:val="ListBullet"/>
            </w:pPr>
            <w:r w:rsidRPr="007320E3">
              <w:t>accommodation or travel in connection with the provision of entertainment by way of food or drink</w:t>
            </w:r>
            <w:r>
              <w:t xml:space="preserve"> and</w:t>
            </w:r>
          </w:p>
        </w:tc>
        <w:tc>
          <w:tcPr>
            <w:tcW w:w="620" w:type="pct"/>
            <w:gridSpan w:val="2"/>
          </w:tcPr>
          <w:p w14:paraId="631D4B08" w14:textId="77777777" w:rsidR="00844D1F" w:rsidRPr="007320E3" w:rsidRDefault="00844D1F" w:rsidP="00844D1F">
            <w:pPr>
              <w:pStyle w:val="Body"/>
              <w:spacing w:before="100" w:after="100"/>
              <w:rPr>
                <w:sz w:val="17"/>
                <w:szCs w:val="17"/>
              </w:rPr>
            </w:pPr>
          </w:p>
        </w:tc>
        <w:tc>
          <w:tcPr>
            <w:tcW w:w="358" w:type="pct"/>
            <w:gridSpan w:val="2"/>
          </w:tcPr>
          <w:p w14:paraId="75D45A0E" w14:textId="77777777" w:rsidR="00844D1F" w:rsidRPr="007320E3" w:rsidRDefault="00844D1F" w:rsidP="00844D1F">
            <w:pPr>
              <w:pStyle w:val="Body"/>
              <w:spacing w:before="100" w:after="100"/>
              <w:rPr>
                <w:sz w:val="17"/>
                <w:szCs w:val="17"/>
              </w:rPr>
            </w:pPr>
          </w:p>
        </w:tc>
        <w:tc>
          <w:tcPr>
            <w:tcW w:w="1702" w:type="pct"/>
            <w:vMerge/>
          </w:tcPr>
          <w:p w14:paraId="6E8FB75B" w14:textId="77777777" w:rsidR="00844D1F" w:rsidRPr="007320E3" w:rsidRDefault="00844D1F" w:rsidP="00844D1F">
            <w:pPr>
              <w:pStyle w:val="Source"/>
              <w:tabs>
                <w:tab w:val="left" w:pos="328"/>
              </w:tabs>
              <w:spacing w:before="100" w:after="100"/>
              <w:ind w:left="0"/>
              <w:rPr>
                <w:sz w:val="17"/>
                <w:szCs w:val="17"/>
              </w:rPr>
            </w:pPr>
          </w:p>
        </w:tc>
        <w:tc>
          <w:tcPr>
            <w:tcW w:w="672" w:type="pct"/>
            <w:gridSpan w:val="3"/>
            <w:vMerge/>
          </w:tcPr>
          <w:p w14:paraId="1A7A0A08" w14:textId="77777777" w:rsidR="00844D1F" w:rsidRPr="007320E3" w:rsidRDefault="00844D1F" w:rsidP="00844D1F">
            <w:pPr>
              <w:pStyle w:val="Body"/>
              <w:spacing w:before="100" w:after="100"/>
              <w:rPr>
                <w:sz w:val="17"/>
                <w:szCs w:val="17"/>
              </w:rPr>
            </w:pPr>
          </w:p>
        </w:tc>
      </w:tr>
      <w:tr w:rsidR="00844D1F" w14:paraId="4E6320D4" w14:textId="77777777" w:rsidTr="00C11090">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5CC9F7DF" w14:textId="77777777" w:rsidR="00844D1F" w:rsidRPr="007320E3" w:rsidRDefault="00844D1F" w:rsidP="00ED31EB">
            <w:pPr>
              <w:pStyle w:val="ListBullet"/>
            </w:pPr>
            <w:r w:rsidRPr="007320E3">
              <w:t xml:space="preserve">the benefit </w:t>
            </w:r>
            <w:r>
              <w:t>is</w:t>
            </w:r>
            <w:r w:rsidRPr="007320E3">
              <w:t xml:space="preserve"> provided in respect of employment.</w:t>
            </w:r>
          </w:p>
          <w:p w14:paraId="4B36FE0D" w14:textId="77777777" w:rsidR="00844D1F" w:rsidRPr="00ED31EB" w:rsidRDefault="00844D1F" w:rsidP="00844D1F">
            <w:pPr>
              <w:pStyle w:val="Table"/>
              <w:spacing w:before="100" w:after="100"/>
              <w:rPr>
                <w:rFonts w:asciiTheme="minorHAnsi" w:eastAsiaTheme="minorHAnsi" w:hAnsiTheme="minorHAnsi"/>
                <w:i/>
                <w:iCs/>
                <w:color w:val="090D46" w:themeColor="text1"/>
                <w:sz w:val="18"/>
                <w:szCs w:val="22"/>
              </w:rPr>
            </w:pPr>
            <w:r w:rsidRPr="00ED31EB">
              <w:rPr>
                <w:rFonts w:asciiTheme="minorHAnsi" w:eastAsiaTheme="minorHAnsi" w:hAnsiTheme="minorHAnsi"/>
                <w:i/>
                <w:iCs/>
                <w:color w:val="090D46" w:themeColor="text1"/>
                <w:sz w:val="18"/>
                <w:szCs w:val="22"/>
              </w:rPr>
              <w:t>Exemptions for ‘actual expenditure’ incurred in respect of an employee (or associate) include:</w:t>
            </w:r>
          </w:p>
          <w:p w14:paraId="17BD22F9" w14:textId="77777777" w:rsidR="00844D1F" w:rsidRPr="007320E3" w:rsidRDefault="00844D1F" w:rsidP="00ED31EB">
            <w:pPr>
              <w:pStyle w:val="ListBullet"/>
            </w:pPr>
            <w:r w:rsidRPr="007320E3">
              <w:t>meals at in-house dining facility to employees who provide services at that facility</w:t>
            </w:r>
          </w:p>
        </w:tc>
        <w:tc>
          <w:tcPr>
            <w:tcW w:w="620" w:type="pct"/>
            <w:gridSpan w:val="2"/>
          </w:tcPr>
          <w:p w14:paraId="4DF373A9" w14:textId="77777777" w:rsidR="00844D1F" w:rsidRPr="007320E3" w:rsidRDefault="00844D1F" w:rsidP="00844D1F">
            <w:pPr>
              <w:pStyle w:val="Body"/>
              <w:spacing w:before="100" w:after="100"/>
              <w:rPr>
                <w:sz w:val="17"/>
                <w:szCs w:val="17"/>
              </w:rPr>
            </w:pPr>
          </w:p>
        </w:tc>
        <w:tc>
          <w:tcPr>
            <w:tcW w:w="358" w:type="pct"/>
            <w:gridSpan w:val="2"/>
          </w:tcPr>
          <w:p w14:paraId="0FA905FF" w14:textId="77777777" w:rsidR="00844D1F" w:rsidRPr="007320E3" w:rsidRDefault="00844D1F" w:rsidP="00844D1F">
            <w:pPr>
              <w:pStyle w:val="Body"/>
              <w:spacing w:before="100" w:after="100"/>
              <w:rPr>
                <w:sz w:val="17"/>
                <w:szCs w:val="17"/>
              </w:rPr>
            </w:pPr>
          </w:p>
        </w:tc>
        <w:tc>
          <w:tcPr>
            <w:tcW w:w="1702" w:type="pct"/>
            <w:vMerge/>
          </w:tcPr>
          <w:p w14:paraId="6257B4D1" w14:textId="77777777" w:rsidR="00844D1F" w:rsidRPr="007320E3" w:rsidRDefault="00844D1F" w:rsidP="00844D1F">
            <w:pPr>
              <w:pStyle w:val="Source"/>
              <w:tabs>
                <w:tab w:val="left" w:pos="328"/>
              </w:tabs>
              <w:spacing w:before="100" w:after="100"/>
              <w:ind w:left="0"/>
              <w:rPr>
                <w:sz w:val="17"/>
                <w:szCs w:val="17"/>
              </w:rPr>
            </w:pPr>
          </w:p>
        </w:tc>
        <w:tc>
          <w:tcPr>
            <w:tcW w:w="672" w:type="pct"/>
            <w:gridSpan w:val="3"/>
            <w:vMerge/>
          </w:tcPr>
          <w:p w14:paraId="59C0A412" w14:textId="77777777" w:rsidR="00844D1F" w:rsidRPr="007320E3" w:rsidRDefault="00844D1F" w:rsidP="00844D1F">
            <w:pPr>
              <w:pStyle w:val="Body"/>
              <w:spacing w:before="100" w:after="100"/>
              <w:rPr>
                <w:sz w:val="17"/>
                <w:szCs w:val="17"/>
              </w:rPr>
            </w:pPr>
          </w:p>
        </w:tc>
      </w:tr>
      <w:tr w:rsidR="00844D1F" w14:paraId="5EB182A5" w14:textId="77777777" w:rsidTr="00C11090">
        <w:trPr>
          <w:trHeight w:val="141"/>
        </w:trPr>
        <w:tc>
          <w:tcPr>
            <w:tcW w:w="1649" w:type="pct"/>
          </w:tcPr>
          <w:p w14:paraId="2060ACB5" w14:textId="77777777" w:rsidR="00844D1F" w:rsidRDefault="00844D1F" w:rsidP="00ED31EB">
            <w:pPr>
              <w:pStyle w:val="ListBullet"/>
            </w:pPr>
            <w:r w:rsidRPr="007320E3">
              <w:t>morning and afternoon teas and light lunche</w:t>
            </w:r>
            <w:r w:rsidR="009C39D4">
              <w:t>s</w:t>
            </w:r>
          </w:p>
          <w:p w14:paraId="4BEF3A22" w14:textId="4718E046" w:rsidR="009C39D4" w:rsidRPr="007320E3" w:rsidRDefault="009C39D4" w:rsidP="009C39D4">
            <w:pPr>
              <w:pStyle w:val="ListBullet"/>
              <w:numPr>
                <w:ilvl w:val="0"/>
                <w:numId w:val="0"/>
              </w:numPr>
              <w:ind w:left="360"/>
            </w:pPr>
          </w:p>
        </w:tc>
        <w:tc>
          <w:tcPr>
            <w:tcW w:w="620" w:type="pct"/>
            <w:gridSpan w:val="2"/>
          </w:tcPr>
          <w:p w14:paraId="33961161" w14:textId="77777777" w:rsidR="00844D1F" w:rsidRPr="007320E3" w:rsidRDefault="00844D1F" w:rsidP="00844D1F">
            <w:pPr>
              <w:pStyle w:val="Body"/>
              <w:spacing w:before="100" w:after="100"/>
              <w:rPr>
                <w:sz w:val="17"/>
                <w:szCs w:val="17"/>
              </w:rPr>
            </w:pPr>
          </w:p>
        </w:tc>
        <w:tc>
          <w:tcPr>
            <w:tcW w:w="358" w:type="pct"/>
            <w:gridSpan w:val="2"/>
          </w:tcPr>
          <w:p w14:paraId="1F2586B7" w14:textId="77777777" w:rsidR="00844D1F" w:rsidRPr="007320E3" w:rsidRDefault="00844D1F" w:rsidP="00844D1F">
            <w:pPr>
              <w:pStyle w:val="Body"/>
              <w:spacing w:before="100" w:after="100"/>
              <w:rPr>
                <w:sz w:val="17"/>
                <w:szCs w:val="17"/>
              </w:rPr>
            </w:pPr>
          </w:p>
        </w:tc>
        <w:tc>
          <w:tcPr>
            <w:tcW w:w="1702" w:type="pct"/>
            <w:vMerge/>
          </w:tcPr>
          <w:p w14:paraId="7DADD11A" w14:textId="77777777" w:rsidR="00844D1F" w:rsidRPr="007320E3" w:rsidRDefault="00844D1F" w:rsidP="00844D1F">
            <w:pPr>
              <w:pStyle w:val="Source"/>
              <w:tabs>
                <w:tab w:val="left" w:pos="328"/>
              </w:tabs>
              <w:spacing w:before="100" w:after="100"/>
              <w:ind w:left="0"/>
              <w:rPr>
                <w:sz w:val="17"/>
                <w:szCs w:val="17"/>
              </w:rPr>
            </w:pPr>
          </w:p>
        </w:tc>
        <w:tc>
          <w:tcPr>
            <w:tcW w:w="672" w:type="pct"/>
            <w:gridSpan w:val="3"/>
            <w:vMerge/>
          </w:tcPr>
          <w:p w14:paraId="103BBC3F" w14:textId="77777777" w:rsidR="00844D1F" w:rsidRPr="007320E3" w:rsidRDefault="00844D1F" w:rsidP="00844D1F">
            <w:pPr>
              <w:pStyle w:val="Body"/>
              <w:spacing w:before="100" w:after="100"/>
              <w:rPr>
                <w:sz w:val="17"/>
                <w:szCs w:val="17"/>
              </w:rPr>
            </w:pPr>
          </w:p>
        </w:tc>
      </w:tr>
      <w:tr w:rsidR="00ED47B8" w14:paraId="4688B3A5" w14:textId="77777777" w:rsidTr="00ED47B8">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9"/>
            <w:shd w:val="clear" w:color="auto" w:fill="0A5CC7" w:themeFill="accent3"/>
          </w:tcPr>
          <w:p w14:paraId="6F2A5841" w14:textId="322264D2" w:rsidR="00ED47B8" w:rsidRPr="00ED47B8" w:rsidRDefault="00ED47B8" w:rsidP="00ED47B8">
            <w:pPr>
              <w:pStyle w:val="Body"/>
              <w:spacing w:before="100" w:after="100"/>
              <w:rPr>
                <w:b/>
                <w:bCs/>
                <w:sz w:val="17"/>
                <w:szCs w:val="17"/>
              </w:rPr>
            </w:pPr>
            <w:r w:rsidRPr="00ED47B8">
              <w:rPr>
                <w:b/>
                <w:bCs/>
                <w:color w:val="FFFFFF" w:themeColor="background1"/>
                <w:sz w:val="17"/>
                <w:szCs w:val="17"/>
              </w:rPr>
              <w:t xml:space="preserve">ENTERTAINMENT EXPENSES - MEAL </w:t>
            </w:r>
            <w:r>
              <w:rPr>
                <w:b/>
                <w:bCs/>
                <w:color w:val="FFFFFF" w:themeColor="background1"/>
                <w:sz w:val="17"/>
                <w:szCs w:val="17"/>
              </w:rPr>
              <w:t xml:space="preserve">(CONTINUED) </w:t>
            </w:r>
          </w:p>
        </w:tc>
      </w:tr>
      <w:tr w:rsidR="00C11090" w14:paraId="541EC6EE" w14:textId="77777777" w:rsidTr="00C11090">
        <w:trPr>
          <w:trHeight w:val="141"/>
        </w:trPr>
        <w:tc>
          <w:tcPr>
            <w:tcW w:w="1649" w:type="pct"/>
          </w:tcPr>
          <w:p w14:paraId="4ECABDE3" w14:textId="4CFA37B1" w:rsidR="00ED47B8" w:rsidRPr="007320E3" w:rsidRDefault="009C39D4" w:rsidP="009C39D4">
            <w:pPr>
              <w:pStyle w:val="ListBullet"/>
            </w:pPr>
            <w:r w:rsidRPr="007320E3">
              <w:t xml:space="preserve">meals that are reasonably incidental to the employee attending a seminar of at least four hours duration which is not a business meeting, promotional event or entertainment (e.g. a </w:t>
            </w:r>
            <w:r w:rsidR="00ED47B8" w:rsidRPr="007320E3">
              <w:t>continuing professional development seminar)</w:t>
            </w:r>
          </w:p>
        </w:tc>
        <w:tc>
          <w:tcPr>
            <w:tcW w:w="620" w:type="pct"/>
            <w:gridSpan w:val="2"/>
          </w:tcPr>
          <w:p w14:paraId="52E394A4" w14:textId="77777777" w:rsidR="00ED47B8" w:rsidRPr="007320E3" w:rsidRDefault="00ED47B8" w:rsidP="00ED47B8">
            <w:pPr>
              <w:pStyle w:val="Body"/>
              <w:spacing w:before="100" w:after="100"/>
              <w:rPr>
                <w:sz w:val="17"/>
                <w:szCs w:val="17"/>
              </w:rPr>
            </w:pPr>
          </w:p>
        </w:tc>
        <w:tc>
          <w:tcPr>
            <w:tcW w:w="358" w:type="pct"/>
            <w:gridSpan w:val="2"/>
          </w:tcPr>
          <w:p w14:paraId="7FCA35FC" w14:textId="77777777" w:rsidR="00ED47B8" w:rsidRPr="007320E3" w:rsidRDefault="00ED47B8" w:rsidP="00ED47B8">
            <w:pPr>
              <w:pStyle w:val="Body"/>
              <w:spacing w:before="100" w:after="100"/>
              <w:rPr>
                <w:sz w:val="17"/>
                <w:szCs w:val="17"/>
              </w:rPr>
            </w:pPr>
          </w:p>
        </w:tc>
        <w:tc>
          <w:tcPr>
            <w:tcW w:w="1702" w:type="pct"/>
            <w:vMerge w:val="restart"/>
            <w:vAlign w:val="top"/>
          </w:tcPr>
          <w:p w14:paraId="1F164F5F" w14:textId="77777777" w:rsidR="009C39D4" w:rsidRPr="007320E3" w:rsidRDefault="009C39D4" w:rsidP="009C39D4">
            <w:pPr>
              <w:pStyle w:val="ListBullet"/>
            </w:pPr>
            <w:r w:rsidRPr="007320E3">
              <w:t>per head allocation.</w:t>
            </w:r>
          </w:p>
          <w:p w14:paraId="0B85FFA8" w14:textId="2E7B6AEE" w:rsidR="00ED47B8" w:rsidRPr="00ED31EB" w:rsidRDefault="009C39D4" w:rsidP="00ED31EB">
            <w:pPr>
              <w:rPr>
                <w:sz w:val="16"/>
                <w:szCs w:val="20"/>
              </w:rPr>
            </w:pPr>
            <w:r w:rsidRPr="00C774E3">
              <w:rPr>
                <w:b/>
                <w:bCs/>
                <w:sz w:val="16"/>
                <w:szCs w:val="20"/>
              </w:rPr>
              <w:t>Note:</w:t>
            </w:r>
            <w:r w:rsidRPr="00C774E3">
              <w:rPr>
                <w:sz w:val="16"/>
                <w:szCs w:val="20"/>
              </w:rPr>
              <w:t xml:space="preserve"> An election must be made stating which of the above methods has been adopted in respect of meal entertainment. If no election is made the value of the benefit must be determined under the actual expenditure method. The election</w:t>
            </w:r>
            <w:r>
              <w:rPr>
                <w:sz w:val="16"/>
                <w:szCs w:val="20"/>
              </w:rPr>
              <w:t xml:space="preserve"> </w:t>
            </w:r>
            <w:r w:rsidR="00ED47B8" w:rsidRPr="00ED31EB">
              <w:rPr>
                <w:sz w:val="16"/>
                <w:szCs w:val="20"/>
              </w:rPr>
              <w:t xml:space="preserve">should be made by the time the employer’s FBT return is due to be lodged. From 1 April 2016, the 50/50 split and the 12-week register methods are not available for any benefit provided under a salary packaging arrangement.   </w:t>
            </w:r>
          </w:p>
        </w:tc>
        <w:tc>
          <w:tcPr>
            <w:tcW w:w="672" w:type="pct"/>
            <w:gridSpan w:val="3"/>
            <w:vMerge w:val="restart"/>
            <w:vAlign w:val="top"/>
          </w:tcPr>
          <w:p w14:paraId="2EAD944B" w14:textId="77777777" w:rsidR="00ED47B8" w:rsidRPr="007320E3" w:rsidRDefault="00ED47B8" w:rsidP="00ED47B8">
            <w:pPr>
              <w:pStyle w:val="Body"/>
              <w:spacing w:before="100" w:after="100"/>
              <w:rPr>
                <w:sz w:val="17"/>
                <w:szCs w:val="17"/>
              </w:rPr>
            </w:pPr>
          </w:p>
        </w:tc>
      </w:tr>
      <w:tr w:rsidR="00ED47B8" w14:paraId="0E2F5DF7" w14:textId="77777777" w:rsidTr="00C11090">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5119EC04" w14:textId="1A45A25A" w:rsidR="00ED47B8" w:rsidRPr="007320E3" w:rsidRDefault="00ED47B8" w:rsidP="00ED31EB">
            <w:pPr>
              <w:pStyle w:val="ListBullet"/>
            </w:pPr>
            <w:r w:rsidRPr="007320E3">
              <w:t xml:space="preserve">meals entertainment provided to client. Although there is no FBT payable on meal entertainment provided to clients, an income tax deduction is not allowed to the employer for such costs </w:t>
            </w:r>
          </w:p>
        </w:tc>
        <w:tc>
          <w:tcPr>
            <w:tcW w:w="620" w:type="pct"/>
            <w:gridSpan w:val="2"/>
          </w:tcPr>
          <w:p w14:paraId="6A804193" w14:textId="77777777" w:rsidR="00ED47B8" w:rsidRPr="007320E3" w:rsidRDefault="00ED47B8" w:rsidP="00ED47B8">
            <w:pPr>
              <w:pStyle w:val="Body"/>
              <w:spacing w:before="100" w:after="100"/>
              <w:rPr>
                <w:sz w:val="17"/>
                <w:szCs w:val="17"/>
              </w:rPr>
            </w:pPr>
          </w:p>
        </w:tc>
        <w:tc>
          <w:tcPr>
            <w:tcW w:w="358" w:type="pct"/>
            <w:gridSpan w:val="2"/>
          </w:tcPr>
          <w:p w14:paraId="5560825D" w14:textId="77777777" w:rsidR="00ED47B8" w:rsidRPr="007320E3" w:rsidRDefault="00ED47B8" w:rsidP="00ED47B8">
            <w:pPr>
              <w:pStyle w:val="Body"/>
              <w:spacing w:before="100" w:after="100"/>
              <w:rPr>
                <w:sz w:val="17"/>
                <w:szCs w:val="17"/>
              </w:rPr>
            </w:pPr>
          </w:p>
        </w:tc>
        <w:tc>
          <w:tcPr>
            <w:tcW w:w="1702" w:type="pct"/>
            <w:vMerge/>
          </w:tcPr>
          <w:p w14:paraId="7275FB14" w14:textId="77777777" w:rsidR="00ED47B8" w:rsidRPr="007320E3" w:rsidRDefault="00ED47B8" w:rsidP="00ED47B8">
            <w:pPr>
              <w:pStyle w:val="Source"/>
              <w:tabs>
                <w:tab w:val="left" w:pos="328"/>
              </w:tabs>
              <w:spacing w:before="100" w:after="100"/>
              <w:ind w:left="0" w:firstLine="0"/>
              <w:rPr>
                <w:sz w:val="15"/>
                <w:szCs w:val="15"/>
              </w:rPr>
            </w:pPr>
          </w:p>
        </w:tc>
        <w:tc>
          <w:tcPr>
            <w:tcW w:w="672" w:type="pct"/>
            <w:gridSpan w:val="3"/>
            <w:vMerge/>
          </w:tcPr>
          <w:p w14:paraId="332E318B" w14:textId="77777777" w:rsidR="00ED47B8" w:rsidRPr="007320E3" w:rsidRDefault="00ED47B8" w:rsidP="00ED47B8">
            <w:pPr>
              <w:pStyle w:val="Body"/>
              <w:spacing w:before="100" w:after="100"/>
              <w:rPr>
                <w:sz w:val="17"/>
                <w:szCs w:val="17"/>
              </w:rPr>
            </w:pPr>
          </w:p>
        </w:tc>
      </w:tr>
      <w:tr w:rsidR="00C11090" w14:paraId="0706DA67" w14:textId="77777777" w:rsidTr="00C11090">
        <w:trPr>
          <w:trHeight w:val="141"/>
        </w:trPr>
        <w:tc>
          <w:tcPr>
            <w:tcW w:w="1649" w:type="pct"/>
          </w:tcPr>
          <w:p w14:paraId="74CBAA37" w14:textId="7C72157B" w:rsidR="00ED47B8" w:rsidRPr="007320E3" w:rsidRDefault="00ED47B8" w:rsidP="00ED31EB">
            <w:pPr>
              <w:pStyle w:val="ListBullet"/>
            </w:pPr>
            <w:r w:rsidRPr="007320E3">
              <w:t>meals provided to promote or advertise goods or services which are open to the public</w:t>
            </w:r>
          </w:p>
        </w:tc>
        <w:tc>
          <w:tcPr>
            <w:tcW w:w="620" w:type="pct"/>
            <w:gridSpan w:val="2"/>
          </w:tcPr>
          <w:p w14:paraId="444DF53E" w14:textId="77777777" w:rsidR="00ED47B8" w:rsidRPr="007320E3" w:rsidRDefault="00ED47B8" w:rsidP="00ED47B8">
            <w:pPr>
              <w:pStyle w:val="Body"/>
              <w:spacing w:before="100" w:after="100"/>
              <w:rPr>
                <w:sz w:val="17"/>
                <w:szCs w:val="17"/>
              </w:rPr>
            </w:pPr>
          </w:p>
        </w:tc>
        <w:tc>
          <w:tcPr>
            <w:tcW w:w="358" w:type="pct"/>
            <w:gridSpan w:val="2"/>
          </w:tcPr>
          <w:p w14:paraId="7DC62FB3" w14:textId="77777777" w:rsidR="00ED47B8" w:rsidRPr="007320E3" w:rsidRDefault="00ED47B8" w:rsidP="00ED47B8">
            <w:pPr>
              <w:pStyle w:val="Body"/>
              <w:spacing w:before="100" w:after="100"/>
              <w:rPr>
                <w:sz w:val="17"/>
                <w:szCs w:val="17"/>
              </w:rPr>
            </w:pPr>
          </w:p>
        </w:tc>
        <w:tc>
          <w:tcPr>
            <w:tcW w:w="1702" w:type="pct"/>
            <w:vMerge/>
          </w:tcPr>
          <w:p w14:paraId="3720E09C" w14:textId="77777777" w:rsidR="00ED47B8" w:rsidRPr="007320E3" w:rsidRDefault="00ED47B8" w:rsidP="00ED47B8">
            <w:pPr>
              <w:pStyle w:val="Source"/>
              <w:tabs>
                <w:tab w:val="left" w:pos="328"/>
              </w:tabs>
              <w:spacing w:before="100" w:after="100"/>
              <w:ind w:left="0" w:firstLine="0"/>
              <w:rPr>
                <w:sz w:val="15"/>
                <w:szCs w:val="15"/>
              </w:rPr>
            </w:pPr>
          </w:p>
        </w:tc>
        <w:tc>
          <w:tcPr>
            <w:tcW w:w="672" w:type="pct"/>
            <w:gridSpan w:val="3"/>
            <w:vMerge/>
          </w:tcPr>
          <w:p w14:paraId="0355A0CF" w14:textId="77777777" w:rsidR="00ED47B8" w:rsidRPr="007320E3" w:rsidRDefault="00ED47B8" w:rsidP="00ED47B8">
            <w:pPr>
              <w:pStyle w:val="Body"/>
              <w:spacing w:before="100" w:after="100"/>
              <w:rPr>
                <w:sz w:val="17"/>
                <w:szCs w:val="17"/>
              </w:rPr>
            </w:pPr>
          </w:p>
        </w:tc>
      </w:tr>
      <w:tr w:rsidR="00ED47B8" w14:paraId="684904B1" w14:textId="77777777" w:rsidTr="00C11090">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2CF5538C" w14:textId="3FAF1821" w:rsidR="00ED47B8" w:rsidRPr="007320E3" w:rsidRDefault="00ED47B8" w:rsidP="00ED31EB">
            <w:pPr>
              <w:pStyle w:val="ListBullet"/>
            </w:pPr>
            <w:r w:rsidRPr="007320E3">
              <w:t>minor entertainment less than $300 (incl</w:t>
            </w:r>
            <w:r>
              <w:t>uding</w:t>
            </w:r>
            <w:r w:rsidRPr="007320E3">
              <w:t xml:space="preserve"> GST)</w:t>
            </w:r>
            <w:r>
              <w:t xml:space="preserve"> per head</w:t>
            </w:r>
            <w:r w:rsidRPr="007320E3">
              <w:t>.</w:t>
            </w:r>
          </w:p>
        </w:tc>
        <w:tc>
          <w:tcPr>
            <w:tcW w:w="620" w:type="pct"/>
            <w:gridSpan w:val="2"/>
          </w:tcPr>
          <w:p w14:paraId="5A92E931" w14:textId="77777777" w:rsidR="00ED47B8" w:rsidRPr="007320E3" w:rsidRDefault="00ED47B8" w:rsidP="00ED47B8">
            <w:pPr>
              <w:pStyle w:val="Body"/>
              <w:spacing w:before="100" w:after="100"/>
              <w:rPr>
                <w:sz w:val="17"/>
                <w:szCs w:val="17"/>
              </w:rPr>
            </w:pPr>
          </w:p>
        </w:tc>
        <w:tc>
          <w:tcPr>
            <w:tcW w:w="358" w:type="pct"/>
            <w:gridSpan w:val="2"/>
          </w:tcPr>
          <w:p w14:paraId="5108D3A4" w14:textId="77777777" w:rsidR="00ED47B8" w:rsidRPr="007320E3" w:rsidRDefault="00ED47B8" w:rsidP="00ED47B8">
            <w:pPr>
              <w:pStyle w:val="Body"/>
              <w:spacing w:before="100" w:after="100"/>
              <w:rPr>
                <w:sz w:val="17"/>
                <w:szCs w:val="17"/>
              </w:rPr>
            </w:pPr>
          </w:p>
        </w:tc>
        <w:tc>
          <w:tcPr>
            <w:tcW w:w="1702" w:type="pct"/>
            <w:vMerge/>
          </w:tcPr>
          <w:p w14:paraId="5AAC286C" w14:textId="77777777" w:rsidR="00ED47B8" w:rsidRPr="007320E3" w:rsidRDefault="00ED47B8" w:rsidP="00ED47B8">
            <w:pPr>
              <w:pStyle w:val="Source"/>
              <w:tabs>
                <w:tab w:val="left" w:pos="328"/>
              </w:tabs>
              <w:spacing w:before="100" w:after="100"/>
              <w:ind w:left="0" w:firstLine="0"/>
              <w:rPr>
                <w:sz w:val="15"/>
                <w:szCs w:val="15"/>
              </w:rPr>
            </w:pPr>
          </w:p>
        </w:tc>
        <w:tc>
          <w:tcPr>
            <w:tcW w:w="672" w:type="pct"/>
            <w:gridSpan w:val="3"/>
            <w:vMerge/>
          </w:tcPr>
          <w:p w14:paraId="19979C04" w14:textId="77777777" w:rsidR="00ED47B8" w:rsidRPr="007320E3" w:rsidRDefault="00ED47B8" w:rsidP="00ED47B8">
            <w:pPr>
              <w:pStyle w:val="Body"/>
              <w:spacing w:before="100" w:after="100"/>
              <w:rPr>
                <w:sz w:val="17"/>
                <w:szCs w:val="17"/>
              </w:rPr>
            </w:pPr>
          </w:p>
        </w:tc>
      </w:tr>
      <w:tr w:rsidR="00ED47B8" w14:paraId="107FCA37" w14:textId="77777777" w:rsidTr="00844D1F">
        <w:trPr>
          <w:trHeight w:val="141"/>
        </w:trPr>
        <w:tc>
          <w:tcPr>
            <w:tcW w:w="5000" w:type="pct"/>
            <w:gridSpan w:val="9"/>
            <w:shd w:val="clear" w:color="auto" w:fill="0A5CC7" w:themeFill="accent3"/>
          </w:tcPr>
          <w:p w14:paraId="597FA23C" w14:textId="77777777" w:rsidR="00ED47B8" w:rsidRPr="00844D1F" w:rsidRDefault="00ED47B8" w:rsidP="00ED47B8">
            <w:pPr>
              <w:pStyle w:val="Tableheading"/>
              <w:spacing w:before="100" w:after="100"/>
              <w:rPr>
                <w:color w:val="FFFFFF" w:themeColor="background1"/>
                <w:sz w:val="17"/>
                <w:szCs w:val="17"/>
              </w:rPr>
            </w:pPr>
            <w:r w:rsidRPr="00844D1F">
              <w:rPr>
                <w:color w:val="FFFFFF" w:themeColor="background1"/>
                <w:sz w:val="17"/>
                <w:szCs w:val="17"/>
              </w:rPr>
              <w:t>ENTERTAINMENT EXPENSES - OTHER </w:t>
            </w:r>
          </w:p>
        </w:tc>
      </w:tr>
      <w:tr w:rsidR="009C39D4" w14:paraId="0E32E9B6" w14:textId="77777777" w:rsidTr="00C11090">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117D6179" w14:textId="77777777" w:rsidR="00ED47B8" w:rsidRPr="009C39D4" w:rsidRDefault="00ED47B8" w:rsidP="00ED47B8">
            <w:pPr>
              <w:pStyle w:val="TableBullet"/>
              <w:numPr>
                <w:ilvl w:val="0"/>
                <w:numId w:val="0"/>
              </w:numPr>
              <w:spacing w:before="100" w:after="100"/>
              <w:ind w:left="360" w:hanging="360"/>
              <w:rPr>
                <w:rFonts w:asciiTheme="minorHAnsi" w:eastAsiaTheme="minorHAnsi" w:hAnsiTheme="minorHAnsi"/>
                <w:i/>
                <w:iCs/>
                <w:color w:val="090D46" w:themeColor="text1"/>
                <w:sz w:val="18"/>
                <w:szCs w:val="22"/>
              </w:rPr>
            </w:pPr>
            <w:r w:rsidRPr="009C39D4">
              <w:rPr>
                <w:rFonts w:asciiTheme="minorHAnsi" w:eastAsiaTheme="minorHAnsi" w:hAnsiTheme="minorHAnsi"/>
                <w:i/>
                <w:iCs/>
                <w:color w:val="090D46" w:themeColor="text1"/>
                <w:sz w:val="18"/>
                <w:szCs w:val="22"/>
              </w:rPr>
              <w:t>Benefit arises where there is:</w:t>
            </w:r>
          </w:p>
          <w:p w14:paraId="121108FF" w14:textId="77777777" w:rsidR="00ED47B8" w:rsidRDefault="00ED47B8" w:rsidP="009C39D4">
            <w:pPr>
              <w:pStyle w:val="ListBullet"/>
            </w:pPr>
            <w:r w:rsidRPr="006344C4">
              <w:t xml:space="preserve">entertainment </w:t>
            </w:r>
            <w:r>
              <w:t xml:space="preserve">provided by way of </w:t>
            </w:r>
            <w:r w:rsidRPr="00E250D9">
              <w:t>food or drink</w:t>
            </w:r>
          </w:p>
          <w:p w14:paraId="3292CE4B" w14:textId="77777777" w:rsidR="00ED47B8" w:rsidRPr="00E250D9" w:rsidRDefault="00ED47B8" w:rsidP="009C39D4">
            <w:pPr>
              <w:pStyle w:val="ListBullet"/>
            </w:pPr>
            <w:r>
              <w:t>expenditure is reimbursed by the employer.</w:t>
            </w:r>
          </w:p>
        </w:tc>
        <w:tc>
          <w:tcPr>
            <w:tcW w:w="620" w:type="pct"/>
            <w:gridSpan w:val="2"/>
          </w:tcPr>
          <w:p w14:paraId="4500DACD" w14:textId="77777777" w:rsidR="00ED47B8" w:rsidRPr="00E250D9" w:rsidRDefault="00ED47B8" w:rsidP="00ED47B8">
            <w:pPr>
              <w:pStyle w:val="Body"/>
              <w:spacing w:before="100" w:after="100"/>
              <w:rPr>
                <w:sz w:val="17"/>
                <w:szCs w:val="17"/>
              </w:rPr>
            </w:pPr>
          </w:p>
        </w:tc>
        <w:tc>
          <w:tcPr>
            <w:tcW w:w="358" w:type="pct"/>
            <w:gridSpan w:val="2"/>
          </w:tcPr>
          <w:p w14:paraId="4CD6D638" w14:textId="77777777" w:rsidR="00ED47B8" w:rsidRPr="00E250D9" w:rsidRDefault="00ED47B8" w:rsidP="00ED47B8">
            <w:pPr>
              <w:pStyle w:val="Body"/>
              <w:spacing w:before="100" w:after="100"/>
              <w:rPr>
                <w:sz w:val="17"/>
                <w:szCs w:val="17"/>
              </w:rPr>
            </w:pPr>
          </w:p>
        </w:tc>
        <w:tc>
          <w:tcPr>
            <w:tcW w:w="1702" w:type="pct"/>
            <w:vAlign w:val="top"/>
          </w:tcPr>
          <w:p w14:paraId="68E503D3" w14:textId="77777777" w:rsidR="00ED47B8" w:rsidRPr="009C39D4" w:rsidRDefault="00ED47B8" w:rsidP="009C39D4">
            <w:pPr>
              <w:rPr>
                <w:b/>
                <w:bCs/>
              </w:rPr>
            </w:pPr>
            <w:r w:rsidRPr="009C39D4">
              <w:rPr>
                <w:b/>
                <w:bCs/>
              </w:rPr>
              <w:t>Reimbursement of entertainment expense</w:t>
            </w:r>
          </w:p>
          <w:p w14:paraId="34D09B8E" w14:textId="77777777" w:rsidR="00ED47B8" w:rsidRPr="00E250D9" w:rsidRDefault="00ED47B8" w:rsidP="009C39D4">
            <w:pPr>
              <w:pStyle w:val="ListBullet"/>
            </w:pPr>
            <w:r w:rsidRPr="00E250D9">
              <w:t>amount of expense</w:t>
            </w:r>
          </w:p>
          <w:p w14:paraId="41EC71A0" w14:textId="77777777" w:rsidR="00ED47B8" w:rsidRPr="00E250D9" w:rsidRDefault="00ED47B8" w:rsidP="009C39D4">
            <w:pPr>
              <w:pStyle w:val="ListBullet"/>
            </w:pPr>
            <w:r w:rsidRPr="00E250D9">
              <w:t>employee contributions (if any).</w:t>
            </w:r>
          </w:p>
        </w:tc>
        <w:tc>
          <w:tcPr>
            <w:tcW w:w="672" w:type="pct"/>
            <w:gridSpan w:val="3"/>
            <w:vAlign w:val="top"/>
          </w:tcPr>
          <w:p w14:paraId="26CFD534" w14:textId="77777777" w:rsidR="00ED47B8" w:rsidRPr="00E250D9" w:rsidRDefault="00ED47B8" w:rsidP="009C39D4">
            <w:r w:rsidRPr="00E250D9">
              <w:t>Expense payment fringe benefit</w:t>
            </w:r>
          </w:p>
        </w:tc>
      </w:tr>
      <w:tr w:rsidR="00C11090" w14:paraId="01841D62" w14:textId="77777777" w:rsidTr="00C11090">
        <w:trPr>
          <w:trHeight w:val="141"/>
        </w:trPr>
        <w:tc>
          <w:tcPr>
            <w:tcW w:w="1649" w:type="pct"/>
          </w:tcPr>
          <w:p w14:paraId="523C98F9" w14:textId="77777777" w:rsidR="00ED47B8" w:rsidRPr="009C39D4" w:rsidRDefault="00ED47B8" w:rsidP="00ED47B8">
            <w:pPr>
              <w:pStyle w:val="Body"/>
              <w:spacing w:before="100" w:after="100"/>
              <w:rPr>
                <w:rFonts w:asciiTheme="minorHAnsi" w:eastAsiaTheme="minorHAnsi" w:hAnsiTheme="minorHAnsi"/>
                <w:i/>
                <w:iCs/>
                <w:color w:val="090D46" w:themeColor="text1"/>
                <w:sz w:val="18"/>
                <w:szCs w:val="22"/>
              </w:rPr>
            </w:pPr>
            <w:r w:rsidRPr="009C39D4">
              <w:rPr>
                <w:rFonts w:asciiTheme="minorHAnsi" w:eastAsiaTheme="minorHAnsi" w:hAnsiTheme="minorHAnsi"/>
                <w:i/>
                <w:iCs/>
                <w:color w:val="090D46" w:themeColor="text1"/>
                <w:sz w:val="18"/>
                <w:szCs w:val="22"/>
              </w:rPr>
              <w:t>Exemptions include:</w:t>
            </w:r>
          </w:p>
          <w:p w14:paraId="79C56896" w14:textId="77777777" w:rsidR="00ED47B8" w:rsidRPr="00E250D9" w:rsidRDefault="00ED47B8" w:rsidP="009C39D4">
            <w:pPr>
              <w:pStyle w:val="ListBullet"/>
            </w:pPr>
            <w:r w:rsidRPr="00E250D9">
              <w:t>entertainment provided to clients</w:t>
            </w:r>
          </w:p>
          <w:p w14:paraId="254A446B" w14:textId="77777777" w:rsidR="00ED47B8" w:rsidRPr="00E250D9" w:rsidRDefault="00ED47B8" w:rsidP="009C39D4">
            <w:pPr>
              <w:pStyle w:val="ListBullet"/>
            </w:pPr>
            <w:r w:rsidRPr="00E250D9">
              <w:t>minor ent</w:t>
            </w:r>
            <w:r>
              <w:t>ertainment less than $300 (including</w:t>
            </w:r>
            <w:r w:rsidRPr="00E250D9">
              <w:t xml:space="preserve"> GST) per employee.</w:t>
            </w:r>
          </w:p>
        </w:tc>
        <w:tc>
          <w:tcPr>
            <w:tcW w:w="620" w:type="pct"/>
            <w:gridSpan w:val="2"/>
          </w:tcPr>
          <w:p w14:paraId="2D2F9583" w14:textId="77777777" w:rsidR="00ED47B8" w:rsidRPr="007320E3" w:rsidRDefault="00ED47B8" w:rsidP="00ED47B8">
            <w:pPr>
              <w:pStyle w:val="Body"/>
              <w:spacing w:before="100" w:after="100"/>
              <w:rPr>
                <w:sz w:val="17"/>
                <w:szCs w:val="17"/>
              </w:rPr>
            </w:pPr>
          </w:p>
        </w:tc>
        <w:tc>
          <w:tcPr>
            <w:tcW w:w="358" w:type="pct"/>
            <w:gridSpan w:val="2"/>
          </w:tcPr>
          <w:p w14:paraId="158797DC" w14:textId="77777777" w:rsidR="00ED47B8" w:rsidRPr="007320E3" w:rsidRDefault="00ED47B8" w:rsidP="00ED47B8">
            <w:pPr>
              <w:pStyle w:val="Body"/>
              <w:spacing w:before="100" w:after="100"/>
              <w:rPr>
                <w:sz w:val="17"/>
                <w:szCs w:val="17"/>
              </w:rPr>
            </w:pPr>
          </w:p>
        </w:tc>
        <w:tc>
          <w:tcPr>
            <w:tcW w:w="1702" w:type="pct"/>
          </w:tcPr>
          <w:p w14:paraId="0DD9A186" w14:textId="77777777" w:rsidR="00ED47B8" w:rsidRPr="007320E3" w:rsidRDefault="00ED47B8" w:rsidP="00ED47B8">
            <w:pPr>
              <w:pStyle w:val="Source"/>
              <w:tabs>
                <w:tab w:val="left" w:pos="328"/>
              </w:tabs>
              <w:spacing w:before="100" w:after="100"/>
              <w:ind w:left="0" w:firstLine="0"/>
              <w:rPr>
                <w:sz w:val="15"/>
                <w:szCs w:val="15"/>
              </w:rPr>
            </w:pPr>
          </w:p>
        </w:tc>
        <w:tc>
          <w:tcPr>
            <w:tcW w:w="672" w:type="pct"/>
            <w:gridSpan w:val="3"/>
          </w:tcPr>
          <w:p w14:paraId="711659E8" w14:textId="77777777" w:rsidR="00ED47B8" w:rsidRPr="007320E3" w:rsidRDefault="00ED47B8" w:rsidP="00ED47B8">
            <w:pPr>
              <w:pStyle w:val="Body"/>
              <w:spacing w:before="100" w:after="100"/>
              <w:rPr>
                <w:sz w:val="17"/>
                <w:szCs w:val="17"/>
              </w:rPr>
            </w:pPr>
          </w:p>
        </w:tc>
      </w:tr>
      <w:tr w:rsidR="009C39D4" w14:paraId="4ADEF5B9" w14:textId="77777777" w:rsidTr="00C11090">
        <w:trPr>
          <w:cnfStyle w:val="000000100000" w:firstRow="0" w:lastRow="0" w:firstColumn="0" w:lastColumn="0" w:oddVBand="0" w:evenVBand="0" w:oddHBand="1" w:evenHBand="0" w:firstRowFirstColumn="0" w:firstRowLastColumn="0" w:lastRowFirstColumn="0" w:lastRowLastColumn="0"/>
          <w:trHeight w:val="700"/>
        </w:trPr>
        <w:tc>
          <w:tcPr>
            <w:tcW w:w="1649" w:type="pct"/>
            <w:vAlign w:val="top"/>
          </w:tcPr>
          <w:p w14:paraId="1383D033" w14:textId="77777777" w:rsidR="00ED47B8" w:rsidRPr="009C39D4" w:rsidRDefault="00ED47B8" w:rsidP="009C39D4">
            <w:pPr>
              <w:pStyle w:val="TableBullet"/>
              <w:numPr>
                <w:ilvl w:val="0"/>
                <w:numId w:val="0"/>
              </w:numPr>
              <w:spacing w:before="100" w:after="100"/>
              <w:rPr>
                <w:rFonts w:asciiTheme="minorHAnsi" w:eastAsiaTheme="minorHAnsi" w:hAnsiTheme="minorHAnsi"/>
                <w:i/>
                <w:iCs/>
                <w:color w:val="090D46" w:themeColor="text1"/>
                <w:sz w:val="18"/>
                <w:szCs w:val="22"/>
              </w:rPr>
            </w:pPr>
            <w:r w:rsidRPr="009C39D4">
              <w:rPr>
                <w:rFonts w:asciiTheme="minorHAnsi" w:eastAsiaTheme="minorHAnsi" w:hAnsiTheme="minorHAnsi"/>
                <w:i/>
                <w:iCs/>
                <w:color w:val="090D46" w:themeColor="text1"/>
                <w:sz w:val="18"/>
                <w:szCs w:val="22"/>
              </w:rPr>
              <w:t>Benefit arises where there is:</w:t>
            </w:r>
          </w:p>
          <w:p w14:paraId="42D6F63D" w14:textId="77777777" w:rsidR="00ED47B8" w:rsidRPr="00E250D9" w:rsidRDefault="00ED47B8" w:rsidP="009C39D4">
            <w:pPr>
              <w:pStyle w:val="ListBullet"/>
            </w:pPr>
            <w:r>
              <w:t xml:space="preserve">the provision of </w:t>
            </w:r>
            <w:r w:rsidRPr="00E250D9">
              <w:t>recreation, accommodation or travel</w:t>
            </w:r>
            <w:r>
              <w:t>.</w:t>
            </w:r>
          </w:p>
          <w:p w14:paraId="4BB16776" w14:textId="77777777" w:rsidR="00ED47B8" w:rsidRPr="00E250D9" w:rsidRDefault="00ED47B8" w:rsidP="00ED47B8">
            <w:pPr>
              <w:pStyle w:val="Source"/>
              <w:spacing w:before="100" w:after="100"/>
              <w:ind w:left="0" w:firstLine="0"/>
              <w:rPr>
                <w:sz w:val="15"/>
                <w:szCs w:val="15"/>
              </w:rPr>
            </w:pPr>
            <w:r w:rsidRPr="009C39D4">
              <w:rPr>
                <w:rFonts w:asciiTheme="minorHAnsi" w:eastAsiaTheme="minorHAnsi" w:hAnsiTheme="minorHAnsi"/>
                <w:b/>
                <w:bCs/>
                <w:color w:val="090D46" w:themeColor="text1"/>
                <w:sz w:val="16"/>
                <w:szCs w:val="20"/>
              </w:rPr>
              <w:t xml:space="preserve">Note: </w:t>
            </w:r>
            <w:r w:rsidRPr="009C39D4">
              <w:rPr>
                <w:rFonts w:asciiTheme="minorHAnsi" w:eastAsiaTheme="minorHAnsi" w:hAnsiTheme="minorHAnsi"/>
                <w:color w:val="090D46" w:themeColor="text1"/>
                <w:sz w:val="16"/>
                <w:szCs w:val="20"/>
              </w:rPr>
              <w:t>The benefit must be provided in respect of employment</w:t>
            </w:r>
            <w:r w:rsidRPr="009C39D4">
              <w:rPr>
                <w:sz w:val="15"/>
                <w:szCs w:val="15"/>
              </w:rPr>
              <w:t>.</w:t>
            </w:r>
          </w:p>
        </w:tc>
        <w:tc>
          <w:tcPr>
            <w:tcW w:w="620" w:type="pct"/>
            <w:gridSpan w:val="2"/>
          </w:tcPr>
          <w:p w14:paraId="6FDB09E2" w14:textId="77777777" w:rsidR="00ED47B8" w:rsidRPr="00E250D9" w:rsidRDefault="00ED47B8" w:rsidP="00ED47B8">
            <w:pPr>
              <w:pStyle w:val="Body"/>
              <w:spacing w:before="100" w:after="100"/>
              <w:rPr>
                <w:sz w:val="17"/>
                <w:szCs w:val="17"/>
              </w:rPr>
            </w:pPr>
          </w:p>
        </w:tc>
        <w:tc>
          <w:tcPr>
            <w:tcW w:w="358" w:type="pct"/>
            <w:gridSpan w:val="2"/>
          </w:tcPr>
          <w:p w14:paraId="41171225" w14:textId="77777777" w:rsidR="00ED47B8" w:rsidRPr="00E250D9" w:rsidRDefault="00ED47B8" w:rsidP="00ED47B8">
            <w:pPr>
              <w:pStyle w:val="Body"/>
              <w:spacing w:before="100" w:after="100"/>
              <w:rPr>
                <w:sz w:val="17"/>
                <w:szCs w:val="17"/>
              </w:rPr>
            </w:pPr>
          </w:p>
        </w:tc>
        <w:tc>
          <w:tcPr>
            <w:tcW w:w="1702" w:type="pct"/>
          </w:tcPr>
          <w:p w14:paraId="2D1FF6C6" w14:textId="77777777" w:rsidR="00ED47B8" w:rsidRPr="009C39D4" w:rsidRDefault="00ED47B8" w:rsidP="00ED47B8">
            <w:pPr>
              <w:pStyle w:val="Table"/>
              <w:spacing w:before="100" w:after="100"/>
              <w:rPr>
                <w:rFonts w:asciiTheme="minorHAnsi" w:eastAsiaTheme="minorHAnsi" w:hAnsiTheme="minorHAnsi"/>
                <w:b/>
                <w:bCs/>
                <w:color w:val="090D46" w:themeColor="text1"/>
                <w:sz w:val="18"/>
                <w:szCs w:val="22"/>
              </w:rPr>
            </w:pPr>
            <w:r w:rsidRPr="009C39D4">
              <w:rPr>
                <w:rFonts w:asciiTheme="minorHAnsi" w:eastAsiaTheme="minorHAnsi" w:hAnsiTheme="minorHAnsi"/>
                <w:b/>
                <w:bCs/>
                <w:color w:val="090D46" w:themeColor="text1"/>
                <w:sz w:val="18"/>
                <w:szCs w:val="22"/>
              </w:rPr>
              <w:t>Tickets to sporting and theatrical events</w:t>
            </w:r>
          </w:p>
          <w:p w14:paraId="3E4AE1E5" w14:textId="77777777" w:rsidR="00ED47B8" w:rsidRPr="00E250D9" w:rsidRDefault="00ED47B8" w:rsidP="009C39D4">
            <w:pPr>
              <w:pStyle w:val="ListBullet"/>
            </w:pPr>
            <w:r w:rsidRPr="00E250D9">
              <w:t>cost of the tickets</w:t>
            </w:r>
          </w:p>
          <w:p w14:paraId="59C8F178" w14:textId="23F3F193" w:rsidR="00ED47B8" w:rsidRDefault="00ED47B8" w:rsidP="009C39D4">
            <w:pPr>
              <w:pStyle w:val="ListBullet"/>
            </w:pPr>
            <w:r w:rsidRPr="00E250D9">
              <w:t>employee contributions (if any).</w:t>
            </w:r>
            <w:r w:rsidR="009C39D4">
              <w:br/>
            </w:r>
          </w:p>
          <w:p w14:paraId="3480C161" w14:textId="77777777" w:rsidR="00ED47B8" w:rsidRPr="00E250D9" w:rsidRDefault="00ED47B8" w:rsidP="006654AD">
            <w:pPr>
              <w:rPr>
                <w:sz w:val="17"/>
                <w:szCs w:val="17"/>
              </w:rPr>
            </w:pPr>
          </w:p>
        </w:tc>
        <w:tc>
          <w:tcPr>
            <w:tcW w:w="672" w:type="pct"/>
            <w:gridSpan w:val="3"/>
            <w:vAlign w:val="top"/>
          </w:tcPr>
          <w:p w14:paraId="715327D9" w14:textId="77777777" w:rsidR="00ED47B8" w:rsidRDefault="00ED47B8" w:rsidP="009C39D4">
            <w:r w:rsidRPr="00E250D9">
              <w:t>Property, expense payment or residual fringe benefit</w:t>
            </w:r>
          </w:p>
          <w:p w14:paraId="1EB6D4A8" w14:textId="77777777" w:rsidR="009C39D4" w:rsidRDefault="009C39D4" w:rsidP="009C39D4"/>
          <w:p w14:paraId="4A877D4E" w14:textId="31E7A522" w:rsidR="009C39D4" w:rsidRPr="00E250D9" w:rsidRDefault="009C39D4" w:rsidP="009C39D4"/>
        </w:tc>
      </w:tr>
      <w:tr w:rsidR="009C39D4" w14:paraId="18D532DF" w14:textId="77777777" w:rsidTr="009C39D4">
        <w:trPr>
          <w:trHeight w:val="505"/>
        </w:trPr>
        <w:tc>
          <w:tcPr>
            <w:tcW w:w="5000" w:type="pct"/>
            <w:gridSpan w:val="9"/>
            <w:shd w:val="clear" w:color="auto" w:fill="0A5CC7" w:themeFill="accent3"/>
          </w:tcPr>
          <w:p w14:paraId="584CE40A" w14:textId="7E6991EE" w:rsidR="009C39D4" w:rsidRPr="009C39D4" w:rsidRDefault="009C39D4" w:rsidP="009C39D4">
            <w:pPr>
              <w:pStyle w:val="Tableheading"/>
              <w:spacing w:before="100" w:after="100"/>
              <w:rPr>
                <w:b w:val="0"/>
                <w:bCs/>
              </w:rPr>
            </w:pPr>
            <w:r w:rsidRPr="009C39D4">
              <w:rPr>
                <w:color w:val="FFFFFF" w:themeColor="background1"/>
                <w:sz w:val="17"/>
                <w:szCs w:val="17"/>
              </w:rPr>
              <w:t>ENTERTAINMENT EXPENSES - OTHER (CONTINUED)</w:t>
            </w:r>
          </w:p>
        </w:tc>
      </w:tr>
      <w:tr w:rsidR="009C39D4" w14:paraId="5EB7810D" w14:textId="77777777" w:rsidTr="00C11090">
        <w:trPr>
          <w:cnfStyle w:val="000000100000" w:firstRow="0" w:lastRow="0" w:firstColumn="0" w:lastColumn="0" w:oddVBand="0" w:evenVBand="0" w:oddHBand="1" w:evenHBand="0" w:firstRowFirstColumn="0" w:firstRowLastColumn="0" w:lastRowFirstColumn="0" w:lastRowLastColumn="0"/>
          <w:trHeight w:val="1167"/>
        </w:trPr>
        <w:tc>
          <w:tcPr>
            <w:tcW w:w="1649" w:type="pct"/>
          </w:tcPr>
          <w:p w14:paraId="6685929F" w14:textId="77777777" w:rsidR="009C39D4" w:rsidRPr="009C39D4" w:rsidRDefault="009C39D4" w:rsidP="009C39D4">
            <w:pPr>
              <w:pStyle w:val="Body"/>
              <w:spacing w:before="100" w:after="100"/>
              <w:rPr>
                <w:rFonts w:asciiTheme="minorHAnsi" w:eastAsiaTheme="minorHAnsi" w:hAnsiTheme="minorHAnsi"/>
                <w:i/>
                <w:iCs/>
                <w:color w:val="090D46" w:themeColor="text1"/>
                <w:sz w:val="18"/>
                <w:szCs w:val="22"/>
              </w:rPr>
            </w:pPr>
            <w:r w:rsidRPr="009C39D4">
              <w:rPr>
                <w:rFonts w:asciiTheme="minorHAnsi" w:eastAsiaTheme="minorHAnsi" w:hAnsiTheme="minorHAnsi"/>
                <w:i/>
                <w:iCs/>
                <w:color w:val="090D46" w:themeColor="text1"/>
                <w:sz w:val="18"/>
                <w:szCs w:val="22"/>
              </w:rPr>
              <w:t>Exemptions include:</w:t>
            </w:r>
          </w:p>
          <w:p w14:paraId="2D56C47D" w14:textId="77777777" w:rsidR="009C39D4" w:rsidRPr="00E250D9" w:rsidRDefault="009C39D4" w:rsidP="009C39D4">
            <w:pPr>
              <w:pStyle w:val="ListBullet"/>
            </w:pPr>
            <w:r w:rsidRPr="00E250D9">
              <w:t>entertainment provided to clients</w:t>
            </w:r>
          </w:p>
          <w:p w14:paraId="74BCCA5F" w14:textId="77777777" w:rsidR="009C39D4" w:rsidRPr="00E250D9" w:rsidRDefault="009C39D4" w:rsidP="009C39D4">
            <w:pPr>
              <w:pStyle w:val="ListBullet"/>
            </w:pPr>
            <w:r w:rsidRPr="00E250D9">
              <w:t>minor entertainment less than $300 (incl</w:t>
            </w:r>
            <w:r>
              <w:t>uding</w:t>
            </w:r>
            <w:r w:rsidRPr="00E250D9">
              <w:t xml:space="preserve"> GST) per employee.</w:t>
            </w:r>
          </w:p>
        </w:tc>
        <w:tc>
          <w:tcPr>
            <w:tcW w:w="620" w:type="pct"/>
            <w:gridSpan w:val="2"/>
          </w:tcPr>
          <w:p w14:paraId="09AC8BFC" w14:textId="77777777" w:rsidR="009C39D4" w:rsidRDefault="009C39D4" w:rsidP="009C39D4">
            <w:pPr>
              <w:pStyle w:val="Body"/>
              <w:spacing w:before="100" w:after="100"/>
            </w:pPr>
          </w:p>
        </w:tc>
        <w:tc>
          <w:tcPr>
            <w:tcW w:w="358" w:type="pct"/>
            <w:gridSpan w:val="2"/>
          </w:tcPr>
          <w:p w14:paraId="3B83048F" w14:textId="77777777" w:rsidR="009C39D4" w:rsidRDefault="009C39D4" w:rsidP="009C39D4">
            <w:pPr>
              <w:pStyle w:val="Body"/>
              <w:spacing w:before="100" w:after="100"/>
            </w:pPr>
          </w:p>
        </w:tc>
        <w:tc>
          <w:tcPr>
            <w:tcW w:w="1702" w:type="pct"/>
          </w:tcPr>
          <w:p w14:paraId="2C52BCC4" w14:textId="77777777" w:rsidR="009C39D4" w:rsidRDefault="009C39D4" w:rsidP="009C39D4">
            <w:pPr>
              <w:pStyle w:val="TableBullet"/>
              <w:numPr>
                <w:ilvl w:val="0"/>
                <w:numId w:val="0"/>
              </w:numPr>
              <w:spacing w:before="100" w:after="100"/>
              <w:ind w:left="360"/>
            </w:pPr>
          </w:p>
        </w:tc>
        <w:tc>
          <w:tcPr>
            <w:tcW w:w="672" w:type="pct"/>
            <w:gridSpan w:val="3"/>
          </w:tcPr>
          <w:p w14:paraId="7D20645F" w14:textId="77777777" w:rsidR="009C39D4" w:rsidRDefault="009C39D4" w:rsidP="009C39D4">
            <w:pPr>
              <w:pStyle w:val="Body"/>
              <w:spacing w:before="100" w:after="100"/>
            </w:pPr>
          </w:p>
        </w:tc>
      </w:tr>
      <w:tr w:rsidR="009C39D4" w:rsidRPr="00AF24CF" w14:paraId="3DDE9427" w14:textId="77777777" w:rsidTr="00844D1F">
        <w:trPr>
          <w:trHeight w:val="141"/>
        </w:trPr>
        <w:tc>
          <w:tcPr>
            <w:tcW w:w="5000" w:type="pct"/>
            <w:gridSpan w:val="9"/>
            <w:shd w:val="clear" w:color="auto" w:fill="0A5CC7" w:themeFill="accent3"/>
          </w:tcPr>
          <w:p w14:paraId="40DEC955" w14:textId="77777777" w:rsidR="009C39D4" w:rsidRPr="00844D1F" w:rsidRDefault="009C39D4" w:rsidP="009C39D4">
            <w:pPr>
              <w:pStyle w:val="Tableheading"/>
              <w:spacing w:before="100" w:after="100"/>
              <w:rPr>
                <w:color w:val="FFFFFF" w:themeColor="background1"/>
                <w:sz w:val="17"/>
                <w:szCs w:val="17"/>
              </w:rPr>
            </w:pPr>
            <w:r w:rsidRPr="00844D1F">
              <w:rPr>
                <w:color w:val="FFFFFF" w:themeColor="background1"/>
                <w:sz w:val="17"/>
                <w:szCs w:val="17"/>
              </w:rPr>
              <w:t>ENTERTAINMENT FACILITY LEASING EXPENSES </w:t>
            </w:r>
          </w:p>
        </w:tc>
      </w:tr>
      <w:tr w:rsidR="009C39D4" w14:paraId="390EF045" w14:textId="77777777" w:rsidTr="00C11090">
        <w:trPr>
          <w:cnfStyle w:val="000000100000" w:firstRow="0" w:lastRow="0" w:firstColumn="0" w:lastColumn="0" w:oddVBand="0" w:evenVBand="0" w:oddHBand="1" w:evenHBand="0" w:firstRowFirstColumn="0" w:firstRowLastColumn="0" w:lastRowFirstColumn="0" w:lastRowLastColumn="0"/>
          <w:trHeight w:val="1535"/>
        </w:trPr>
        <w:tc>
          <w:tcPr>
            <w:tcW w:w="1649" w:type="pct"/>
          </w:tcPr>
          <w:p w14:paraId="1EE66094" w14:textId="77777777" w:rsidR="009C39D4" w:rsidRPr="00C11090" w:rsidRDefault="009C39D4" w:rsidP="009C39D4">
            <w:pPr>
              <w:pStyle w:val="Table"/>
              <w:spacing w:before="100" w:after="100"/>
              <w:rPr>
                <w:rFonts w:asciiTheme="minorHAnsi" w:eastAsiaTheme="minorHAnsi" w:hAnsiTheme="minorHAnsi"/>
                <w:i/>
                <w:iCs/>
                <w:color w:val="090D46" w:themeColor="text1"/>
                <w:sz w:val="18"/>
                <w:szCs w:val="22"/>
              </w:rPr>
            </w:pPr>
            <w:r w:rsidRPr="00C11090">
              <w:rPr>
                <w:rFonts w:asciiTheme="minorHAnsi" w:eastAsiaTheme="minorHAnsi" w:hAnsiTheme="minorHAnsi"/>
                <w:i/>
                <w:iCs/>
                <w:color w:val="090D46" w:themeColor="text1"/>
                <w:sz w:val="18"/>
                <w:szCs w:val="22"/>
              </w:rPr>
              <w:t>Benefit arises where the employer hires or leases:</w:t>
            </w:r>
          </w:p>
          <w:p w14:paraId="0713E164" w14:textId="77777777" w:rsidR="009C39D4" w:rsidRPr="00F25BCF" w:rsidRDefault="009C39D4" w:rsidP="00C11090">
            <w:pPr>
              <w:pStyle w:val="ListBullet"/>
            </w:pPr>
            <w:r w:rsidRPr="00F25BCF">
              <w:t xml:space="preserve">a corporate box or </w:t>
            </w:r>
          </w:p>
          <w:p w14:paraId="20BA61B7" w14:textId="77777777" w:rsidR="009C39D4" w:rsidRPr="00F25BCF" w:rsidRDefault="009C39D4" w:rsidP="00C11090">
            <w:pPr>
              <w:pStyle w:val="ListBullet"/>
            </w:pPr>
            <w:r w:rsidRPr="00F25BCF">
              <w:t xml:space="preserve">a boat, plane for the purpose of providing entertainment or </w:t>
            </w:r>
          </w:p>
          <w:p w14:paraId="29437FA6" w14:textId="77777777" w:rsidR="009C39D4" w:rsidRPr="00F25BCF" w:rsidRDefault="009C39D4" w:rsidP="00C11090">
            <w:pPr>
              <w:pStyle w:val="ListBullet"/>
            </w:pPr>
            <w:r w:rsidRPr="00F25BCF">
              <w:t>another premises or facility, e.g. function room, hotel/motel room, tennis court, golf course for the purpose of providing entertainment.</w:t>
            </w:r>
          </w:p>
          <w:p w14:paraId="1D84D8CD" w14:textId="77777777" w:rsidR="009C39D4" w:rsidRPr="00C11090" w:rsidRDefault="009C39D4" w:rsidP="00C11090">
            <w:pPr>
              <w:rPr>
                <w:i/>
                <w:iCs/>
                <w:sz w:val="16"/>
                <w:szCs w:val="16"/>
              </w:rPr>
            </w:pPr>
            <w:r w:rsidRPr="00C11090">
              <w:rPr>
                <w:b/>
                <w:bCs/>
                <w:sz w:val="16"/>
                <w:szCs w:val="20"/>
              </w:rPr>
              <w:t>Note</w:t>
            </w:r>
            <w:r w:rsidRPr="00C11090">
              <w:rPr>
                <w:sz w:val="16"/>
                <w:szCs w:val="20"/>
              </w:rPr>
              <w:t>: The benefit excludes food and drink provided.</w:t>
            </w:r>
            <w:r w:rsidRPr="00C11090">
              <w:rPr>
                <w:i/>
                <w:iCs/>
                <w:sz w:val="16"/>
                <w:szCs w:val="16"/>
              </w:rPr>
              <w:t xml:space="preserve"> </w:t>
            </w:r>
          </w:p>
          <w:p w14:paraId="0C7DED9E" w14:textId="77777777" w:rsidR="009C39D4" w:rsidRPr="00C11090" w:rsidRDefault="009C39D4" w:rsidP="009C39D4">
            <w:pPr>
              <w:pStyle w:val="Table"/>
              <w:spacing w:before="100" w:after="100"/>
              <w:rPr>
                <w:rFonts w:asciiTheme="minorHAnsi" w:eastAsiaTheme="minorHAnsi" w:hAnsiTheme="minorHAnsi"/>
                <w:i/>
                <w:iCs/>
                <w:color w:val="090D46" w:themeColor="text1"/>
                <w:sz w:val="18"/>
                <w:szCs w:val="22"/>
              </w:rPr>
            </w:pPr>
            <w:r w:rsidRPr="00C11090">
              <w:rPr>
                <w:rFonts w:asciiTheme="minorHAnsi" w:eastAsiaTheme="minorHAnsi" w:hAnsiTheme="minorHAnsi"/>
                <w:i/>
                <w:iCs/>
                <w:color w:val="090D46" w:themeColor="text1"/>
                <w:sz w:val="18"/>
                <w:szCs w:val="22"/>
              </w:rPr>
              <w:t>Reductions available:</w:t>
            </w:r>
          </w:p>
          <w:p w14:paraId="56118244" w14:textId="77777777" w:rsidR="009C39D4" w:rsidRPr="00F25BCF" w:rsidRDefault="009C39D4" w:rsidP="00C11090">
            <w:pPr>
              <w:pStyle w:val="ListBullet"/>
            </w:pPr>
            <w:r w:rsidRPr="00F25BCF">
              <w:t>5% of a corporate box can be deducted as advertising with remaining 95% regarding as EFLE. Taxpayers can claim a higher deduction where substantiated (TD 92/162).</w:t>
            </w:r>
          </w:p>
        </w:tc>
        <w:tc>
          <w:tcPr>
            <w:tcW w:w="620" w:type="pct"/>
            <w:gridSpan w:val="2"/>
          </w:tcPr>
          <w:p w14:paraId="78BF498F" w14:textId="77777777" w:rsidR="009C39D4" w:rsidRPr="00E250D9" w:rsidRDefault="009C39D4" w:rsidP="009C39D4">
            <w:pPr>
              <w:pStyle w:val="Body"/>
              <w:spacing w:before="100" w:after="100"/>
              <w:rPr>
                <w:sz w:val="17"/>
                <w:szCs w:val="17"/>
              </w:rPr>
            </w:pPr>
          </w:p>
        </w:tc>
        <w:tc>
          <w:tcPr>
            <w:tcW w:w="358" w:type="pct"/>
            <w:gridSpan w:val="2"/>
          </w:tcPr>
          <w:p w14:paraId="5D75F180" w14:textId="77777777" w:rsidR="009C39D4" w:rsidRPr="00E250D9" w:rsidRDefault="009C39D4" w:rsidP="009C39D4">
            <w:pPr>
              <w:pStyle w:val="Body"/>
              <w:spacing w:before="100" w:after="100"/>
              <w:rPr>
                <w:sz w:val="17"/>
                <w:szCs w:val="17"/>
              </w:rPr>
            </w:pPr>
          </w:p>
        </w:tc>
        <w:tc>
          <w:tcPr>
            <w:tcW w:w="1702" w:type="pct"/>
            <w:vAlign w:val="top"/>
          </w:tcPr>
          <w:p w14:paraId="10BEB3C3" w14:textId="77777777" w:rsidR="009C39D4" w:rsidRDefault="009C39D4" w:rsidP="009C39D4">
            <w:pPr>
              <w:pStyle w:val="Table"/>
              <w:spacing w:before="100" w:after="100"/>
              <w:rPr>
                <w:sz w:val="17"/>
                <w:szCs w:val="17"/>
              </w:rPr>
            </w:pPr>
            <w:r w:rsidRPr="00C11090">
              <w:rPr>
                <w:rFonts w:asciiTheme="minorHAnsi" w:eastAsiaTheme="minorHAnsi" w:hAnsiTheme="minorHAnsi"/>
                <w:b/>
                <w:bCs/>
                <w:color w:val="090D46" w:themeColor="text1"/>
                <w:sz w:val="18"/>
                <w:szCs w:val="22"/>
              </w:rPr>
              <w:t>50/50 split method</w:t>
            </w:r>
            <w:r>
              <w:rPr>
                <w:sz w:val="17"/>
                <w:szCs w:val="17"/>
              </w:rPr>
              <w:br/>
            </w:r>
            <w:r w:rsidRPr="00C11090">
              <w:rPr>
                <w:rFonts w:asciiTheme="minorHAnsi" w:eastAsiaTheme="minorHAnsi" w:hAnsiTheme="minorHAnsi"/>
                <w:i/>
                <w:color w:val="090D46" w:themeColor="text1"/>
                <w:sz w:val="18"/>
                <w:szCs w:val="22"/>
              </w:rPr>
              <w:t>(refer formula 8.4)</w:t>
            </w:r>
          </w:p>
          <w:p w14:paraId="7F0307C4" w14:textId="77777777" w:rsidR="009C39D4" w:rsidRDefault="009C39D4" w:rsidP="00C11090">
            <w:pPr>
              <w:pStyle w:val="ListBullet"/>
            </w:pPr>
            <w:r>
              <w:t>amount of total meal entertainment for all persons (i.e. employees, associates and clients)</w:t>
            </w:r>
          </w:p>
          <w:p w14:paraId="324DF8CB" w14:textId="77777777" w:rsidR="009C39D4" w:rsidRDefault="009C39D4" w:rsidP="00C11090">
            <w:pPr>
              <w:pStyle w:val="ListBullet"/>
            </w:pPr>
            <w:r>
              <w:t>document election.</w:t>
            </w:r>
            <w:r>
              <w:rPr>
                <w:b/>
                <w:bCs/>
              </w:rPr>
              <w:t xml:space="preserve"> </w:t>
            </w:r>
          </w:p>
          <w:p w14:paraId="744E50B2" w14:textId="77777777" w:rsidR="009C39D4" w:rsidRPr="00C11090" w:rsidRDefault="009C39D4" w:rsidP="00C11090">
            <w:pPr>
              <w:rPr>
                <w:sz w:val="14"/>
                <w:szCs w:val="14"/>
              </w:rPr>
            </w:pPr>
            <w:r w:rsidRPr="00C11090">
              <w:rPr>
                <w:b/>
                <w:bCs/>
                <w:sz w:val="16"/>
                <w:szCs w:val="20"/>
              </w:rPr>
              <w:t>Note</w:t>
            </w:r>
            <w:r w:rsidRPr="00C11090">
              <w:rPr>
                <w:sz w:val="16"/>
                <w:szCs w:val="20"/>
              </w:rPr>
              <w:t>: 50/50 split method cannot be used where EFLE is provided under a salary packaging arrangement or where facility is hired or leased by employee and reimbursed by employer.</w:t>
            </w:r>
          </w:p>
          <w:p w14:paraId="7B7AAB68" w14:textId="77777777" w:rsidR="009C39D4" w:rsidRDefault="009C39D4" w:rsidP="009C39D4">
            <w:pPr>
              <w:pStyle w:val="Table"/>
              <w:spacing w:before="100" w:after="100"/>
              <w:rPr>
                <w:i/>
                <w:iCs/>
                <w:sz w:val="17"/>
                <w:szCs w:val="17"/>
              </w:rPr>
            </w:pPr>
            <w:r w:rsidRPr="00C11090">
              <w:rPr>
                <w:rFonts w:asciiTheme="minorHAnsi" w:eastAsiaTheme="minorHAnsi" w:hAnsiTheme="minorHAnsi"/>
                <w:b/>
                <w:bCs/>
                <w:color w:val="090D46" w:themeColor="text1"/>
                <w:sz w:val="18"/>
                <w:szCs w:val="22"/>
              </w:rPr>
              <w:t>Actual expenditure method</w:t>
            </w:r>
            <w:r>
              <w:rPr>
                <w:b/>
                <w:bCs/>
                <w:sz w:val="17"/>
                <w:szCs w:val="17"/>
              </w:rPr>
              <w:t xml:space="preserve">               </w:t>
            </w:r>
            <w:r w:rsidRPr="00C11090">
              <w:rPr>
                <w:rFonts w:asciiTheme="minorHAnsi" w:eastAsiaTheme="minorHAnsi" w:hAnsiTheme="minorHAnsi"/>
                <w:i/>
                <w:color w:val="090D46" w:themeColor="text1"/>
                <w:sz w:val="18"/>
                <w:szCs w:val="22"/>
              </w:rPr>
              <w:t>(refer formula 8.4)</w:t>
            </w:r>
          </w:p>
          <w:p w14:paraId="2C0EA09B" w14:textId="77777777" w:rsidR="009C39D4" w:rsidRDefault="009C39D4" w:rsidP="00C11090">
            <w:pPr>
              <w:pStyle w:val="ListBullet"/>
            </w:pPr>
            <w:r>
              <w:t>amount of expense</w:t>
            </w:r>
          </w:p>
          <w:p w14:paraId="48341C78" w14:textId="77777777" w:rsidR="009C39D4" w:rsidRDefault="009C39D4" w:rsidP="00C11090">
            <w:pPr>
              <w:pStyle w:val="ListBullet"/>
            </w:pPr>
            <w:r>
              <w:t>employee contributions (if any)</w:t>
            </w:r>
          </w:p>
          <w:p w14:paraId="12351059" w14:textId="77777777" w:rsidR="009C39D4" w:rsidRPr="00E250D9" w:rsidRDefault="009C39D4" w:rsidP="00C11090">
            <w:pPr>
              <w:pStyle w:val="ListBullet"/>
            </w:pPr>
            <w:r>
              <w:t>per head allocation.</w:t>
            </w:r>
          </w:p>
        </w:tc>
        <w:tc>
          <w:tcPr>
            <w:tcW w:w="672" w:type="pct"/>
            <w:gridSpan w:val="3"/>
            <w:vAlign w:val="top"/>
          </w:tcPr>
          <w:p w14:paraId="18C0D743" w14:textId="77777777" w:rsidR="009C39D4" w:rsidRPr="00FC70D6" w:rsidRDefault="009C39D4" w:rsidP="00C11090">
            <w:r w:rsidRPr="00FC70D6">
              <w:t>Expense payment fringe benefit or property fringe benefit or residual fringe benefit</w:t>
            </w:r>
          </w:p>
        </w:tc>
      </w:tr>
      <w:tr w:rsidR="009C39D4" w14:paraId="44BAE27B" w14:textId="77777777" w:rsidTr="00C11090">
        <w:trPr>
          <w:trHeight w:val="141"/>
        </w:trPr>
        <w:tc>
          <w:tcPr>
            <w:tcW w:w="1649" w:type="pct"/>
          </w:tcPr>
          <w:p w14:paraId="0D24531F" w14:textId="77777777" w:rsidR="009C39D4" w:rsidRPr="00C11090" w:rsidRDefault="009C39D4" w:rsidP="009C39D4">
            <w:pPr>
              <w:pStyle w:val="Table"/>
              <w:spacing w:before="100" w:after="100"/>
              <w:rPr>
                <w:rFonts w:asciiTheme="minorHAnsi" w:eastAsiaTheme="minorHAnsi" w:hAnsiTheme="minorHAnsi"/>
                <w:i/>
                <w:iCs/>
                <w:color w:val="090D46" w:themeColor="text1"/>
                <w:sz w:val="18"/>
                <w:szCs w:val="22"/>
              </w:rPr>
            </w:pPr>
            <w:r w:rsidRPr="00C11090">
              <w:rPr>
                <w:rFonts w:asciiTheme="minorHAnsi" w:eastAsiaTheme="minorHAnsi" w:hAnsiTheme="minorHAnsi"/>
                <w:i/>
                <w:iCs/>
                <w:color w:val="090D46" w:themeColor="text1"/>
                <w:sz w:val="18"/>
                <w:szCs w:val="22"/>
              </w:rPr>
              <w:t>Exemptions include:</w:t>
            </w:r>
          </w:p>
          <w:p w14:paraId="45958DC0" w14:textId="77777777" w:rsidR="009C39D4" w:rsidRPr="00F25BCF" w:rsidRDefault="009C39D4" w:rsidP="00C11090">
            <w:pPr>
              <w:pStyle w:val="ListBullet"/>
            </w:pPr>
            <w:r w:rsidRPr="00F25BCF">
              <w:t>minor entertainment less than $300 (incl</w:t>
            </w:r>
            <w:r>
              <w:t>uding</w:t>
            </w:r>
            <w:r w:rsidRPr="00F25BCF">
              <w:t xml:space="preserve"> GST) per head.</w:t>
            </w:r>
          </w:p>
        </w:tc>
        <w:tc>
          <w:tcPr>
            <w:tcW w:w="620" w:type="pct"/>
            <w:gridSpan w:val="2"/>
          </w:tcPr>
          <w:p w14:paraId="156BCF27" w14:textId="77777777" w:rsidR="009C39D4" w:rsidRPr="00E250D9" w:rsidRDefault="009C39D4" w:rsidP="009C39D4">
            <w:pPr>
              <w:pStyle w:val="Body"/>
              <w:spacing w:before="100" w:after="100"/>
              <w:rPr>
                <w:sz w:val="17"/>
                <w:szCs w:val="17"/>
              </w:rPr>
            </w:pPr>
          </w:p>
        </w:tc>
        <w:tc>
          <w:tcPr>
            <w:tcW w:w="358" w:type="pct"/>
            <w:gridSpan w:val="2"/>
          </w:tcPr>
          <w:p w14:paraId="63F6BAD2" w14:textId="77777777" w:rsidR="009C39D4" w:rsidRPr="00E250D9" w:rsidRDefault="009C39D4" w:rsidP="009C39D4">
            <w:pPr>
              <w:pStyle w:val="Body"/>
              <w:spacing w:before="100" w:after="100"/>
              <w:rPr>
                <w:sz w:val="17"/>
                <w:szCs w:val="17"/>
              </w:rPr>
            </w:pPr>
          </w:p>
        </w:tc>
        <w:tc>
          <w:tcPr>
            <w:tcW w:w="1702" w:type="pct"/>
          </w:tcPr>
          <w:p w14:paraId="0B69F836" w14:textId="77777777" w:rsidR="009C39D4" w:rsidRPr="00E250D9" w:rsidRDefault="009C39D4" w:rsidP="009C39D4">
            <w:pPr>
              <w:pStyle w:val="TableBullet"/>
              <w:numPr>
                <w:ilvl w:val="0"/>
                <w:numId w:val="0"/>
              </w:numPr>
              <w:spacing w:before="100" w:after="100"/>
              <w:ind w:left="360"/>
              <w:rPr>
                <w:sz w:val="17"/>
                <w:szCs w:val="17"/>
              </w:rPr>
            </w:pPr>
          </w:p>
        </w:tc>
        <w:tc>
          <w:tcPr>
            <w:tcW w:w="672" w:type="pct"/>
            <w:gridSpan w:val="3"/>
          </w:tcPr>
          <w:p w14:paraId="7B63F4FF" w14:textId="77777777" w:rsidR="009C39D4" w:rsidRPr="00C148FA" w:rsidRDefault="009C39D4" w:rsidP="009C39D4">
            <w:pPr>
              <w:pStyle w:val="Body"/>
              <w:spacing w:before="100" w:after="100"/>
              <w:rPr>
                <w:sz w:val="17"/>
                <w:szCs w:val="17"/>
              </w:rPr>
            </w:pPr>
          </w:p>
        </w:tc>
      </w:tr>
      <w:tr w:rsidR="009C39D4" w:rsidRPr="00AF24CF" w14:paraId="29952B67" w14:textId="77777777" w:rsidTr="00844D1F">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9"/>
            <w:shd w:val="clear" w:color="auto" w:fill="0A5CC7" w:themeFill="accent3"/>
          </w:tcPr>
          <w:p w14:paraId="508F6EA9" w14:textId="77777777" w:rsidR="009C39D4" w:rsidRPr="00844D1F" w:rsidRDefault="009C39D4" w:rsidP="009C39D4">
            <w:pPr>
              <w:pStyle w:val="Tableheading"/>
              <w:spacing w:before="100" w:after="100"/>
              <w:rPr>
                <w:color w:val="FFFFFF" w:themeColor="background1"/>
              </w:rPr>
            </w:pPr>
            <w:r w:rsidRPr="00844D1F">
              <w:rPr>
                <w:color w:val="FFFFFF" w:themeColor="background1"/>
                <w:sz w:val="17"/>
                <w:szCs w:val="17"/>
              </w:rPr>
              <w:t>ENTERTAINMENT PROVIDED BY A TAX-EXEMPT BODY</w:t>
            </w:r>
          </w:p>
        </w:tc>
      </w:tr>
      <w:tr w:rsidR="009C39D4" w14:paraId="41496698" w14:textId="77777777" w:rsidTr="00C11090">
        <w:trPr>
          <w:trHeight w:val="141"/>
        </w:trPr>
        <w:tc>
          <w:tcPr>
            <w:tcW w:w="1649" w:type="pct"/>
          </w:tcPr>
          <w:p w14:paraId="5AAED85F" w14:textId="77777777" w:rsidR="009C39D4" w:rsidRPr="00C11090" w:rsidRDefault="009C39D4" w:rsidP="00C11090">
            <w:pPr>
              <w:rPr>
                <w:i/>
                <w:iCs/>
              </w:rPr>
            </w:pPr>
            <w:r w:rsidRPr="00C11090">
              <w:rPr>
                <w:i/>
                <w:iCs/>
              </w:rPr>
              <w:t>Benefit arises where:</w:t>
            </w:r>
          </w:p>
          <w:p w14:paraId="00AF9912" w14:textId="77777777" w:rsidR="009C39D4" w:rsidRPr="00E250D9" w:rsidRDefault="009C39D4" w:rsidP="00C11090">
            <w:pPr>
              <w:pStyle w:val="ListBullet"/>
            </w:pPr>
            <w:r w:rsidRPr="00E250D9">
              <w:t>the employer is wholly or partially exempt from income tax or does not derive assessable income from the activities to which the entertainment relates.</w:t>
            </w:r>
          </w:p>
          <w:p w14:paraId="75948A15" w14:textId="174D3AB8" w:rsidR="009C39D4" w:rsidRDefault="009C39D4" w:rsidP="00C11090">
            <w:pPr>
              <w:rPr>
                <w:sz w:val="16"/>
                <w:szCs w:val="20"/>
              </w:rPr>
            </w:pPr>
            <w:r w:rsidRPr="00C11090">
              <w:rPr>
                <w:b/>
                <w:sz w:val="16"/>
                <w:szCs w:val="20"/>
              </w:rPr>
              <w:t>Note</w:t>
            </w:r>
            <w:r w:rsidRPr="00C11090">
              <w:rPr>
                <w:sz w:val="16"/>
                <w:szCs w:val="20"/>
              </w:rPr>
              <w:t xml:space="preserve">: If the entity is a charity, it must be endorsed by the </w:t>
            </w:r>
            <w:r w:rsidR="00987DE1">
              <w:rPr>
                <w:sz w:val="16"/>
                <w:szCs w:val="20"/>
              </w:rPr>
              <w:t>ATO</w:t>
            </w:r>
            <w:r w:rsidRPr="00C11090">
              <w:rPr>
                <w:sz w:val="16"/>
                <w:szCs w:val="20"/>
              </w:rPr>
              <w:t xml:space="preserve"> as tax exempt. The benefit must be provided in respect of employment. </w:t>
            </w:r>
          </w:p>
          <w:p w14:paraId="6B8FF1DF" w14:textId="753B0DFD" w:rsidR="00C11090" w:rsidRPr="00E250D9" w:rsidRDefault="00C11090" w:rsidP="00C11090"/>
        </w:tc>
        <w:tc>
          <w:tcPr>
            <w:tcW w:w="620" w:type="pct"/>
            <w:gridSpan w:val="2"/>
          </w:tcPr>
          <w:p w14:paraId="0C3EE9E8" w14:textId="77777777" w:rsidR="009C39D4" w:rsidRPr="00E250D9" w:rsidRDefault="009C39D4" w:rsidP="009C39D4">
            <w:pPr>
              <w:pStyle w:val="Body"/>
              <w:spacing w:before="100" w:after="100"/>
              <w:rPr>
                <w:sz w:val="17"/>
                <w:szCs w:val="17"/>
              </w:rPr>
            </w:pPr>
          </w:p>
        </w:tc>
        <w:tc>
          <w:tcPr>
            <w:tcW w:w="358" w:type="pct"/>
            <w:gridSpan w:val="2"/>
          </w:tcPr>
          <w:p w14:paraId="64A02BE4" w14:textId="77777777" w:rsidR="009C39D4" w:rsidRPr="00E250D9" w:rsidRDefault="009C39D4" w:rsidP="009C39D4">
            <w:pPr>
              <w:pStyle w:val="Body"/>
              <w:spacing w:before="100" w:after="100"/>
              <w:rPr>
                <w:sz w:val="17"/>
                <w:szCs w:val="17"/>
              </w:rPr>
            </w:pPr>
          </w:p>
        </w:tc>
        <w:tc>
          <w:tcPr>
            <w:tcW w:w="1702" w:type="pct"/>
            <w:vAlign w:val="top"/>
          </w:tcPr>
          <w:p w14:paraId="6FC0B606" w14:textId="77777777" w:rsidR="009C39D4" w:rsidRPr="00C11090" w:rsidRDefault="009C39D4" w:rsidP="00C11090">
            <w:pPr>
              <w:rPr>
                <w:b/>
                <w:bCs/>
              </w:rPr>
            </w:pPr>
            <w:r w:rsidRPr="00C11090">
              <w:rPr>
                <w:b/>
                <w:bCs/>
              </w:rPr>
              <w:t>Entertainment benefit</w:t>
            </w:r>
          </w:p>
          <w:p w14:paraId="4F13E91C" w14:textId="77777777" w:rsidR="009C39D4" w:rsidRPr="00E250D9" w:rsidRDefault="009C39D4" w:rsidP="00C11090">
            <w:pPr>
              <w:pStyle w:val="ListBullet"/>
            </w:pPr>
            <w:r w:rsidRPr="00E250D9">
              <w:t>amount of expense</w:t>
            </w:r>
          </w:p>
          <w:p w14:paraId="49E2A46C" w14:textId="77777777" w:rsidR="009C39D4" w:rsidRPr="00E250D9" w:rsidRDefault="009C39D4" w:rsidP="00C11090">
            <w:pPr>
              <w:pStyle w:val="ListBullet"/>
            </w:pPr>
            <w:r w:rsidRPr="00E250D9">
              <w:t>employee contributions (if any)</w:t>
            </w:r>
          </w:p>
          <w:p w14:paraId="16CAA77E" w14:textId="77777777" w:rsidR="009C39D4" w:rsidRPr="00E250D9" w:rsidRDefault="009C39D4" w:rsidP="00C11090">
            <w:pPr>
              <w:pStyle w:val="ListBullet"/>
            </w:pPr>
            <w:r w:rsidRPr="00E250D9">
              <w:t>per head allocation.</w:t>
            </w:r>
          </w:p>
        </w:tc>
        <w:tc>
          <w:tcPr>
            <w:tcW w:w="672" w:type="pct"/>
            <w:gridSpan w:val="3"/>
            <w:vAlign w:val="top"/>
          </w:tcPr>
          <w:p w14:paraId="77884198" w14:textId="77777777" w:rsidR="009C39D4" w:rsidRPr="00E250D9" w:rsidRDefault="009C39D4" w:rsidP="00C11090">
            <w:r w:rsidRPr="00E250D9">
              <w:t>Tax exempt body entertainment fringe benefit</w:t>
            </w:r>
          </w:p>
        </w:tc>
      </w:tr>
      <w:tr w:rsidR="00C11090" w14:paraId="15E367AE" w14:textId="77777777" w:rsidTr="00C11090">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9"/>
            <w:shd w:val="clear" w:color="auto" w:fill="0A5CC7" w:themeFill="accent3"/>
          </w:tcPr>
          <w:p w14:paraId="1FC9A59E" w14:textId="5608C95B" w:rsidR="00C11090" w:rsidRPr="00C11090" w:rsidRDefault="00C11090" w:rsidP="00C11090">
            <w:pPr>
              <w:pStyle w:val="Body"/>
              <w:spacing w:before="100" w:after="100"/>
              <w:rPr>
                <w:b/>
                <w:bCs/>
                <w:sz w:val="17"/>
                <w:szCs w:val="17"/>
              </w:rPr>
            </w:pPr>
            <w:r w:rsidRPr="00C11090">
              <w:rPr>
                <w:b/>
                <w:bCs/>
                <w:color w:val="FFFFFF" w:themeColor="background1"/>
                <w:sz w:val="17"/>
                <w:szCs w:val="17"/>
              </w:rPr>
              <w:t>ENTERTAINMENT PROVIDED BY A TAX-EXEMPT BODY (CONTINUED)</w:t>
            </w:r>
          </w:p>
        </w:tc>
      </w:tr>
      <w:tr w:rsidR="00C11090" w14:paraId="2A00147C" w14:textId="77777777" w:rsidTr="00C11090">
        <w:trPr>
          <w:trHeight w:val="141"/>
        </w:trPr>
        <w:tc>
          <w:tcPr>
            <w:tcW w:w="1649" w:type="pct"/>
            <w:vAlign w:val="top"/>
          </w:tcPr>
          <w:p w14:paraId="37F1B128" w14:textId="77777777" w:rsidR="00C11090" w:rsidRPr="00C11090" w:rsidRDefault="00C11090" w:rsidP="00C11090">
            <w:pPr>
              <w:rPr>
                <w:i/>
                <w:iCs/>
              </w:rPr>
            </w:pPr>
            <w:r w:rsidRPr="00C11090">
              <w:rPr>
                <w:i/>
                <w:iCs/>
              </w:rPr>
              <w:t>Exemptions include:</w:t>
            </w:r>
          </w:p>
          <w:p w14:paraId="4E262080" w14:textId="77777777" w:rsidR="00C11090" w:rsidRPr="00FC70D6" w:rsidRDefault="00C11090" w:rsidP="00C11090">
            <w:pPr>
              <w:pStyle w:val="ListBullet"/>
              <w:rPr>
                <w:i/>
              </w:rPr>
            </w:pPr>
            <w:r>
              <w:t>the entertainment provided to employees or associates is incidental to that provided to non-employees</w:t>
            </w:r>
          </w:p>
          <w:p w14:paraId="27B9A797" w14:textId="77777777" w:rsidR="00C11090" w:rsidRPr="00E250D9" w:rsidRDefault="00C11090" w:rsidP="00C11090">
            <w:pPr>
              <w:pStyle w:val="ListBullet"/>
              <w:rPr>
                <w:i/>
              </w:rPr>
            </w:pPr>
            <w:r>
              <w:t>function held on employer’s premises for the purpose of recognising employee achievements.</w:t>
            </w:r>
          </w:p>
        </w:tc>
        <w:tc>
          <w:tcPr>
            <w:tcW w:w="620" w:type="pct"/>
            <w:gridSpan w:val="2"/>
            <w:vAlign w:val="top"/>
          </w:tcPr>
          <w:p w14:paraId="185F2493" w14:textId="77777777" w:rsidR="00C11090" w:rsidRPr="00E250D9" w:rsidRDefault="00C11090" w:rsidP="00C11090">
            <w:pPr>
              <w:pStyle w:val="Body"/>
              <w:spacing w:before="100" w:after="100"/>
              <w:rPr>
                <w:sz w:val="17"/>
                <w:szCs w:val="17"/>
              </w:rPr>
            </w:pPr>
          </w:p>
        </w:tc>
        <w:tc>
          <w:tcPr>
            <w:tcW w:w="358" w:type="pct"/>
            <w:gridSpan w:val="2"/>
            <w:vAlign w:val="top"/>
          </w:tcPr>
          <w:p w14:paraId="150AD147" w14:textId="77777777" w:rsidR="00C11090" w:rsidRPr="00E250D9" w:rsidRDefault="00C11090" w:rsidP="00C11090">
            <w:pPr>
              <w:pStyle w:val="Body"/>
              <w:spacing w:before="100" w:after="100"/>
              <w:rPr>
                <w:sz w:val="17"/>
                <w:szCs w:val="17"/>
              </w:rPr>
            </w:pPr>
          </w:p>
        </w:tc>
        <w:tc>
          <w:tcPr>
            <w:tcW w:w="1702" w:type="pct"/>
            <w:vAlign w:val="top"/>
          </w:tcPr>
          <w:p w14:paraId="5B0B5B45" w14:textId="64BD7E15" w:rsidR="00C11090" w:rsidRPr="005A6058" w:rsidRDefault="00C11090" w:rsidP="00C11090"/>
        </w:tc>
        <w:tc>
          <w:tcPr>
            <w:tcW w:w="672" w:type="pct"/>
            <w:gridSpan w:val="3"/>
          </w:tcPr>
          <w:p w14:paraId="5DB95509" w14:textId="77777777" w:rsidR="00C11090" w:rsidRPr="00E250D9" w:rsidRDefault="00C11090" w:rsidP="00C11090">
            <w:pPr>
              <w:pStyle w:val="Body"/>
              <w:spacing w:before="100" w:after="100"/>
              <w:rPr>
                <w:sz w:val="17"/>
                <w:szCs w:val="17"/>
              </w:rPr>
            </w:pPr>
          </w:p>
        </w:tc>
      </w:tr>
      <w:tr w:rsidR="00C11090" w:rsidRPr="00AF24CF" w14:paraId="44A146C4" w14:textId="77777777" w:rsidTr="00844D1F">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9"/>
            <w:shd w:val="clear" w:color="auto" w:fill="0A5CC7" w:themeFill="accent3"/>
          </w:tcPr>
          <w:p w14:paraId="5374D878" w14:textId="77777777" w:rsidR="00C11090" w:rsidRPr="00844D1F" w:rsidRDefault="00C11090" w:rsidP="00C11090">
            <w:pPr>
              <w:pStyle w:val="Tableheading"/>
              <w:spacing w:before="100" w:after="100"/>
              <w:rPr>
                <w:color w:val="FFFFFF" w:themeColor="background1"/>
              </w:rPr>
            </w:pPr>
            <w:r w:rsidRPr="00844D1F">
              <w:rPr>
                <w:color w:val="FFFFFF" w:themeColor="background1"/>
                <w:sz w:val="17"/>
                <w:szCs w:val="17"/>
              </w:rPr>
              <w:t>OTHER EXPENSES PAID ON BEHALF OF THE EMPLOYEE OR ASSOCIATE</w:t>
            </w:r>
          </w:p>
        </w:tc>
      </w:tr>
      <w:tr w:rsidR="00C11090" w14:paraId="021ED9BD" w14:textId="77777777" w:rsidTr="00C11090">
        <w:trPr>
          <w:trHeight w:val="141"/>
        </w:trPr>
        <w:tc>
          <w:tcPr>
            <w:tcW w:w="1649" w:type="pct"/>
          </w:tcPr>
          <w:p w14:paraId="7A24A6E4" w14:textId="77777777" w:rsidR="00C11090" w:rsidRPr="00C11090" w:rsidRDefault="00C11090" w:rsidP="00C11090">
            <w:pPr>
              <w:pStyle w:val="Body"/>
              <w:spacing w:before="100" w:after="100"/>
              <w:rPr>
                <w:rFonts w:asciiTheme="minorHAnsi" w:eastAsiaTheme="minorHAnsi" w:hAnsiTheme="minorHAnsi"/>
                <w:i/>
                <w:iCs/>
                <w:color w:val="090D46" w:themeColor="text1"/>
                <w:sz w:val="18"/>
                <w:szCs w:val="22"/>
              </w:rPr>
            </w:pPr>
            <w:r w:rsidRPr="00C11090">
              <w:rPr>
                <w:rFonts w:asciiTheme="minorHAnsi" w:eastAsiaTheme="minorHAnsi" w:hAnsiTheme="minorHAnsi"/>
                <w:i/>
                <w:iCs/>
                <w:color w:val="090D46" w:themeColor="text1"/>
                <w:sz w:val="18"/>
                <w:szCs w:val="22"/>
              </w:rPr>
              <w:t>Benefit arises where:</w:t>
            </w:r>
          </w:p>
          <w:p w14:paraId="6B2362ED" w14:textId="77777777" w:rsidR="00C11090" w:rsidRPr="00E250D9" w:rsidRDefault="00C11090" w:rsidP="00C11090">
            <w:pPr>
              <w:pStyle w:val="ListBullet"/>
            </w:pPr>
            <w:r w:rsidRPr="00E250D9">
              <w:t>expenses are paid or reimbursed by the employe</w:t>
            </w:r>
            <w:r>
              <w:t>r</w:t>
            </w:r>
          </w:p>
        </w:tc>
        <w:tc>
          <w:tcPr>
            <w:tcW w:w="620" w:type="pct"/>
            <w:gridSpan w:val="2"/>
          </w:tcPr>
          <w:p w14:paraId="4796FFBB" w14:textId="77777777" w:rsidR="00C11090" w:rsidRPr="0070060E" w:rsidRDefault="00C11090" w:rsidP="00C11090">
            <w:pPr>
              <w:pStyle w:val="Body"/>
              <w:spacing w:before="100" w:after="100"/>
              <w:rPr>
                <w:sz w:val="17"/>
                <w:szCs w:val="17"/>
              </w:rPr>
            </w:pPr>
          </w:p>
        </w:tc>
        <w:tc>
          <w:tcPr>
            <w:tcW w:w="358" w:type="pct"/>
            <w:gridSpan w:val="2"/>
          </w:tcPr>
          <w:p w14:paraId="06DD767D" w14:textId="77777777" w:rsidR="00C11090" w:rsidRPr="0070060E" w:rsidRDefault="00C11090" w:rsidP="00C11090">
            <w:pPr>
              <w:pStyle w:val="Body"/>
              <w:spacing w:before="100" w:after="100"/>
              <w:rPr>
                <w:sz w:val="17"/>
                <w:szCs w:val="17"/>
              </w:rPr>
            </w:pPr>
          </w:p>
        </w:tc>
        <w:tc>
          <w:tcPr>
            <w:tcW w:w="1706" w:type="pct"/>
            <w:gridSpan w:val="2"/>
            <w:vMerge w:val="restart"/>
            <w:vAlign w:val="top"/>
          </w:tcPr>
          <w:p w14:paraId="79174CCF" w14:textId="77777777" w:rsidR="00C11090" w:rsidRPr="00C11090" w:rsidRDefault="00C11090" w:rsidP="00C11090">
            <w:pPr>
              <w:rPr>
                <w:b/>
                <w:bCs/>
              </w:rPr>
            </w:pPr>
            <w:r w:rsidRPr="00C11090">
              <w:rPr>
                <w:b/>
                <w:bCs/>
              </w:rPr>
              <w:t>Expense benefit</w:t>
            </w:r>
          </w:p>
          <w:p w14:paraId="0DEA9245" w14:textId="77777777" w:rsidR="00C11090" w:rsidRPr="00E250D9" w:rsidRDefault="00C11090" w:rsidP="00C11090">
            <w:pPr>
              <w:pStyle w:val="ListBullet"/>
            </w:pPr>
            <w:r w:rsidRPr="00E250D9">
              <w:t>amount of expense</w:t>
            </w:r>
          </w:p>
          <w:p w14:paraId="7AFA1849" w14:textId="77777777" w:rsidR="00C11090" w:rsidRPr="00E250D9" w:rsidRDefault="00C11090" w:rsidP="00C11090">
            <w:pPr>
              <w:pStyle w:val="ListBullet"/>
            </w:pPr>
            <w:r>
              <w:t>percentage</w:t>
            </w:r>
            <w:r w:rsidRPr="00E250D9">
              <w:t xml:space="preserve"> of private use</w:t>
            </w:r>
          </w:p>
          <w:p w14:paraId="6782A3B3" w14:textId="77777777" w:rsidR="00C11090" w:rsidRPr="00E250D9" w:rsidRDefault="00C11090" w:rsidP="00C11090">
            <w:pPr>
              <w:pStyle w:val="ListBullet"/>
            </w:pPr>
            <w:r w:rsidRPr="00E250D9">
              <w:t>employee contributions (if any)</w:t>
            </w:r>
          </w:p>
          <w:p w14:paraId="19CEFB8C" w14:textId="77777777" w:rsidR="00C11090" w:rsidRDefault="00C11090" w:rsidP="00C11090">
            <w:pPr>
              <w:pStyle w:val="ListBullet"/>
            </w:pPr>
            <w:r w:rsidRPr="00E250D9">
              <w:t>declaration may be required.</w:t>
            </w:r>
          </w:p>
          <w:p w14:paraId="5934818B" w14:textId="77777777" w:rsidR="00C11090" w:rsidRPr="00F25BCF" w:rsidRDefault="00C11090" w:rsidP="003E3DA0">
            <w:pPr>
              <w:pStyle w:val="TableBullet"/>
              <w:numPr>
                <w:ilvl w:val="0"/>
                <w:numId w:val="0"/>
              </w:numPr>
              <w:spacing w:before="100" w:after="100"/>
              <w:rPr>
                <w:i/>
                <w:sz w:val="17"/>
                <w:szCs w:val="17"/>
              </w:rPr>
            </w:pPr>
          </w:p>
        </w:tc>
        <w:tc>
          <w:tcPr>
            <w:tcW w:w="668" w:type="pct"/>
            <w:gridSpan w:val="2"/>
            <w:vMerge w:val="restart"/>
            <w:vAlign w:val="top"/>
          </w:tcPr>
          <w:p w14:paraId="4E5A87F6" w14:textId="77777777" w:rsidR="00C11090" w:rsidRPr="00E250D9" w:rsidRDefault="00C11090" w:rsidP="00C11090">
            <w:r w:rsidRPr="00E250D9">
              <w:t>Expense payment fringe benefit</w:t>
            </w:r>
          </w:p>
        </w:tc>
      </w:tr>
      <w:tr w:rsidR="00C11090" w14:paraId="6C20052C" w14:textId="77777777" w:rsidTr="00C11090">
        <w:trPr>
          <w:cnfStyle w:val="000000100000" w:firstRow="0" w:lastRow="0" w:firstColumn="0" w:lastColumn="0" w:oddVBand="0" w:evenVBand="0" w:oddHBand="1" w:evenHBand="0" w:firstRowFirstColumn="0" w:firstRowLastColumn="0" w:lastRowFirstColumn="0" w:lastRowLastColumn="0"/>
          <w:trHeight w:val="568"/>
        </w:trPr>
        <w:tc>
          <w:tcPr>
            <w:tcW w:w="1649" w:type="pct"/>
          </w:tcPr>
          <w:p w14:paraId="7493D451" w14:textId="77777777" w:rsidR="00C11090" w:rsidRPr="00E250D9" w:rsidRDefault="00C11090" w:rsidP="00C11090">
            <w:pPr>
              <w:pStyle w:val="ListBullet"/>
            </w:pPr>
            <w:r w:rsidRPr="00E250D9">
              <w:t>the benefit is provided in respect of employment.</w:t>
            </w:r>
          </w:p>
        </w:tc>
        <w:tc>
          <w:tcPr>
            <w:tcW w:w="620" w:type="pct"/>
            <w:gridSpan w:val="2"/>
          </w:tcPr>
          <w:p w14:paraId="66450B28" w14:textId="77777777" w:rsidR="00C11090" w:rsidRPr="0070060E" w:rsidRDefault="00C11090" w:rsidP="00C11090">
            <w:pPr>
              <w:pStyle w:val="Body"/>
              <w:spacing w:before="100" w:after="100"/>
              <w:rPr>
                <w:sz w:val="17"/>
                <w:szCs w:val="17"/>
              </w:rPr>
            </w:pPr>
          </w:p>
        </w:tc>
        <w:tc>
          <w:tcPr>
            <w:tcW w:w="358" w:type="pct"/>
            <w:gridSpan w:val="2"/>
          </w:tcPr>
          <w:p w14:paraId="01C9E550" w14:textId="77777777" w:rsidR="00C11090" w:rsidRPr="0070060E" w:rsidRDefault="00C11090" w:rsidP="00C11090">
            <w:pPr>
              <w:pStyle w:val="Body"/>
              <w:spacing w:before="100" w:after="100"/>
              <w:rPr>
                <w:sz w:val="17"/>
                <w:szCs w:val="17"/>
              </w:rPr>
            </w:pPr>
          </w:p>
        </w:tc>
        <w:tc>
          <w:tcPr>
            <w:tcW w:w="1706" w:type="pct"/>
            <w:gridSpan w:val="2"/>
            <w:vMerge/>
          </w:tcPr>
          <w:p w14:paraId="396ED121" w14:textId="77777777" w:rsidR="00C11090" w:rsidRPr="0070060E" w:rsidRDefault="00C11090" w:rsidP="00C11090">
            <w:pPr>
              <w:pStyle w:val="Table"/>
              <w:spacing w:before="100" w:after="100"/>
              <w:rPr>
                <w:b/>
                <w:sz w:val="17"/>
                <w:szCs w:val="17"/>
              </w:rPr>
            </w:pPr>
          </w:p>
        </w:tc>
        <w:tc>
          <w:tcPr>
            <w:tcW w:w="668" w:type="pct"/>
            <w:gridSpan w:val="2"/>
            <w:vMerge/>
          </w:tcPr>
          <w:p w14:paraId="6B59B921" w14:textId="77777777" w:rsidR="00C11090" w:rsidRPr="0070060E" w:rsidRDefault="00C11090" w:rsidP="00C11090">
            <w:pPr>
              <w:pStyle w:val="Body"/>
              <w:spacing w:before="100" w:after="100"/>
              <w:rPr>
                <w:sz w:val="17"/>
                <w:szCs w:val="17"/>
              </w:rPr>
            </w:pPr>
          </w:p>
        </w:tc>
      </w:tr>
      <w:tr w:rsidR="00C11090" w14:paraId="32AD615E" w14:textId="77777777" w:rsidTr="00C11090">
        <w:trPr>
          <w:trHeight w:val="3811"/>
        </w:trPr>
        <w:tc>
          <w:tcPr>
            <w:tcW w:w="1649" w:type="pct"/>
          </w:tcPr>
          <w:p w14:paraId="23734F43" w14:textId="77777777" w:rsidR="00C11090" w:rsidRPr="00C11090" w:rsidRDefault="00C11090" w:rsidP="00C11090">
            <w:pPr>
              <w:pStyle w:val="Body"/>
              <w:spacing w:before="100" w:after="100"/>
              <w:rPr>
                <w:rFonts w:asciiTheme="minorHAnsi" w:eastAsiaTheme="minorHAnsi" w:hAnsiTheme="minorHAnsi"/>
                <w:i/>
                <w:iCs/>
                <w:color w:val="090D46" w:themeColor="text1"/>
                <w:sz w:val="18"/>
                <w:szCs w:val="22"/>
              </w:rPr>
            </w:pPr>
            <w:r w:rsidRPr="00C11090">
              <w:rPr>
                <w:rFonts w:asciiTheme="minorHAnsi" w:eastAsiaTheme="minorHAnsi" w:hAnsiTheme="minorHAnsi"/>
                <w:i/>
                <w:iCs/>
                <w:color w:val="090D46" w:themeColor="text1"/>
                <w:sz w:val="18"/>
                <w:szCs w:val="22"/>
              </w:rPr>
              <w:t>Exemptions include:</w:t>
            </w:r>
          </w:p>
          <w:p w14:paraId="19B494EF" w14:textId="77777777" w:rsidR="00C11090" w:rsidRPr="00E250D9" w:rsidRDefault="00C11090" w:rsidP="00C11090">
            <w:pPr>
              <w:pStyle w:val="ListBullet"/>
            </w:pPr>
            <w:r w:rsidRPr="00E250D9">
              <w:t>the first $1,000 of any in-house benefits</w:t>
            </w:r>
          </w:p>
          <w:p w14:paraId="3FC25543" w14:textId="77777777" w:rsidR="00C11090" w:rsidRPr="00C11090" w:rsidRDefault="00C11090" w:rsidP="00C11090">
            <w:pPr>
              <w:rPr>
                <w:sz w:val="16"/>
                <w:szCs w:val="16"/>
              </w:rPr>
            </w:pPr>
            <w:r w:rsidRPr="00C11090">
              <w:rPr>
                <w:b/>
                <w:sz w:val="16"/>
                <w:szCs w:val="20"/>
              </w:rPr>
              <w:t>Note:</w:t>
            </w:r>
            <w:r w:rsidRPr="00C11090">
              <w:rPr>
                <w:sz w:val="16"/>
                <w:szCs w:val="20"/>
              </w:rPr>
              <w:t xml:space="preserve"> This exemption does not apply where the in-house fringe benefit is provided under a salary packaging arrangement.</w:t>
            </w:r>
            <w:r w:rsidRPr="00C11090">
              <w:rPr>
                <w:sz w:val="16"/>
                <w:szCs w:val="16"/>
              </w:rPr>
              <w:t xml:space="preserve"> </w:t>
            </w:r>
          </w:p>
          <w:p w14:paraId="1D4DCD46" w14:textId="77777777" w:rsidR="00C11090" w:rsidRPr="00F25BCF" w:rsidRDefault="00C11090" w:rsidP="00C11090">
            <w:pPr>
              <w:pStyle w:val="ListBullet"/>
              <w:rPr>
                <w:sz w:val="15"/>
                <w:szCs w:val="15"/>
              </w:rPr>
            </w:pPr>
            <w:r w:rsidRPr="00E250D9">
              <w:t>laptop computers, tablets and portable printers</w:t>
            </w:r>
            <w:r>
              <w:t xml:space="preserve"> </w:t>
            </w:r>
          </w:p>
          <w:p w14:paraId="4CC8B96A" w14:textId="77777777" w:rsidR="00C11090" w:rsidRPr="00F25BCF" w:rsidRDefault="00C11090" w:rsidP="00C11090">
            <w:pPr>
              <w:pStyle w:val="ListBullet"/>
              <w:rPr>
                <w:sz w:val="15"/>
                <w:szCs w:val="15"/>
              </w:rPr>
            </w:pPr>
            <w:r>
              <w:t xml:space="preserve">smart watches, </w:t>
            </w:r>
            <w:r w:rsidRPr="00E250D9">
              <w:t>mobile phones</w:t>
            </w:r>
            <w:r>
              <w:t xml:space="preserve"> and other portable electronic devices</w:t>
            </w:r>
          </w:p>
          <w:p w14:paraId="4B7E002F" w14:textId="77777777" w:rsidR="00C11090" w:rsidRPr="00F25BCF" w:rsidRDefault="00C11090" w:rsidP="00C11090">
            <w:pPr>
              <w:pStyle w:val="ListBullet"/>
              <w:rPr>
                <w:sz w:val="15"/>
                <w:szCs w:val="15"/>
              </w:rPr>
            </w:pPr>
            <w:r w:rsidRPr="00E250D9">
              <w:t>certain relocation benefits</w:t>
            </w:r>
          </w:p>
          <w:p w14:paraId="3BD9DB66" w14:textId="77777777" w:rsidR="00C11090" w:rsidRPr="00F25BCF" w:rsidRDefault="00C11090" w:rsidP="00C11090">
            <w:pPr>
              <w:pStyle w:val="ListBullet"/>
              <w:rPr>
                <w:sz w:val="15"/>
                <w:szCs w:val="15"/>
              </w:rPr>
            </w:pPr>
            <w:r w:rsidRPr="00E250D9">
              <w:t>tools of trade</w:t>
            </w:r>
          </w:p>
          <w:p w14:paraId="2FC2A71B" w14:textId="77777777" w:rsidR="00C11090" w:rsidRPr="00F25BCF" w:rsidRDefault="00C11090" w:rsidP="00C11090">
            <w:pPr>
              <w:pStyle w:val="ListBullet"/>
              <w:rPr>
                <w:sz w:val="15"/>
                <w:szCs w:val="15"/>
              </w:rPr>
            </w:pPr>
            <w:r w:rsidRPr="00E250D9">
              <w:t>certain ‘remote area’ expenses</w:t>
            </w:r>
          </w:p>
          <w:p w14:paraId="5991827C" w14:textId="77777777" w:rsidR="00C11090" w:rsidRPr="00E250D9" w:rsidRDefault="00C11090" w:rsidP="00C11090">
            <w:pPr>
              <w:pStyle w:val="ListBullet"/>
              <w:rPr>
                <w:sz w:val="15"/>
                <w:szCs w:val="15"/>
              </w:rPr>
            </w:pPr>
            <w:r w:rsidRPr="00E250D9">
              <w:t>minor benefit less than $300 (incl</w:t>
            </w:r>
            <w:r>
              <w:t>uding</w:t>
            </w:r>
            <w:r w:rsidRPr="00E250D9">
              <w:t xml:space="preserve"> GST).</w:t>
            </w:r>
          </w:p>
        </w:tc>
        <w:tc>
          <w:tcPr>
            <w:tcW w:w="620" w:type="pct"/>
            <w:gridSpan w:val="2"/>
          </w:tcPr>
          <w:p w14:paraId="3E47BA6B" w14:textId="77777777" w:rsidR="00C11090" w:rsidRPr="0070060E" w:rsidRDefault="00C11090" w:rsidP="00C11090">
            <w:pPr>
              <w:pStyle w:val="Body"/>
              <w:spacing w:before="100" w:after="100"/>
              <w:rPr>
                <w:sz w:val="17"/>
                <w:szCs w:val="17"/>
              </w:rPr>
            </w:pPr>
          </w:p>
        </w:tc>
        <w:tc>
          <w:tcPr>
            <w:tcW w:w="358" w:type="pct"/>
            <w:gridSpan w:val="2"/>
          </w:tcPr>
          <w:p w14:paraId="60C77FDF" w14:textId="77777777" w:rsidR="00C11090" w:rsidRPr="0070060E" w:rsidRDefault="00C11090" w:rsidP="00C11090">
            <w:pPr>
              <w:pStyle w:val="Body"/>
              <w:spacing w:before="100" w:after="100"/>
              <w:rPr>
                <w:sz w:val="17"/>
                <w:szCs w:val="17"/>
              </w:rPr>
            </w:pPr>
          </w:p>
        </w:tc>
        <w:tc>
          <w:tcPr>
            <w:tcW w:w="1706" w:type="pct"/>
            <w:gridSpan w:val="2"/>
            <w:vMerge/>
          </w:tcPr>
          <w:p w14:paraId="60818885" w14:textId="77777777" w:rsidR="00C11090" w:rsidRPr="0070060E" w:rsidRDefault="00C11090" w:rsidP="00C11090">
            <w:pPr>
              <w:pStyle w:val="Table"/>
              <w:spacing w:before="100" w:after="100"/>
              <w:rPr>
                <w:b/>
                <w:sz w:val="17"/>
                <w:szCs w:val="17"/>
              </w:rPr>
            </w:pPr>
          </w:p>
        </w:tc>
        <w:tc>
          <w:tcPr>
            <w:tcW w:w="668" w:type="pct"/>
            <w:gridSpan w:val="2"/>
            <w:vMerge/>
          </w:tcPr>
          <w:p w14:paraId="645F2F7B" w14:textId="77777777" w:rsidR="00C11090" w:rsidRPr="0070060E" w:rsidRDefault="00C11090" w:rsidP="00C11090">
            <w:pPr>
              <w:pStyle w:val="Body"/>
              <w:spacing w:before="100" w:after="100"/>
              <w:rPr>
                <w:sz w:val="17"/>
                <w:szCs w:val="17"/>
              </w:rPr>
            </w:pPr>
          </w:p>
        </w:tc>
      </w:tr>
    </w:tbl>
    <w:p w14:paraId="1B02A343" w14:textId="622C8AE1" w:rsidR="002A0CC4" w:rsidRDefault="002A0CC4"/>
    <w:p w14:paraId="61D8C9D4" w14:textId="5DECAAAB" w:rsidR="002A0CC4" w:rsidRDefault="002A0CC4"/>
    <w:p w14:paraId="5B5C48FF" w14:textId="033500B0" w:rsidR="002A0CC4" w:rsidRDefault="002A0CC4"/>
    <w:p w14:paraId="2368040E" w14:textId="77777777" w:rsidR="002A0CC4" w:rsidRDefault="002A0CC4"/>
    <w:tbl>
      <w:tblPr>
        <w:tblStyle w:val="RACVTable"/>
        <w:tblW w:w="4965" w:type="pct"/>
        <w:tblLook w:val="04A0" w:firstRow="1" w:lastRow="0" w:firstColumn="1" w:lastColumn="0" w:noHBand="0" w:noVBand="1"/>
      </w:tblPr>
      <w:tblGrid>
        <w:gridCol w:w="3267"/>
        <w:gridCol w:w="44"/>
        <w:gridCol w:w="1185"/>
        <w:gridCol w:w="8"/>
        <w:gridCol w:w="701"/>
        <w:gridCol w:w="8"/>
        <w:gridCol w:w="3373"/>
        <w:gridCol w:w="36"/>
        <w:gridCol w:w="109"/>
        <w:gridCol w:w="1177"/>
      </w:tblGrid>
      <w:tr w:rsidR="002A0CC4" w:rsidRPr="0023149C" w14:paraId="4054D245" w14:textId="77777777" w:rsidTr="00D73BD3">
        <w:trPr>
          <w:cnfStyle w:val="100000000000" w:firstRow="1" w:lastRow="0" w:firstColumn="0" w:lastColumn="0" w:oddVBand="0" w:evenVBand="0" w:oddHBand="0" w:evenHBand="0" w:firstRowFirstColumn="0" w:firstRowLastColumn="0" w:lastRowFirstColumn="0" w:lastRowLastColumn="0"/>
          <w:trHeight w:val="1005"/>
        </w:trPr>
        <w:tc>
          <w:tcPr>
            <w:tcW w:w="1671" w:type="pct"/>
            <w:gridSpan w:val="2"/>
          </w:tcPr>
          <w:p w14:paraId="19A6627F" w14:textId="77777777" w:rsidR="002A0CC4" w:rsidRPr="0023149C" w:rsidRDefault="002A0CC4" w:rsidP="00D1601A">
            <w:pPr>
              <w:pStyle w:val="Table"/>
              <w:spacing w:before="100" w:after="100"/>
              <w:rPr>
                <w:b w:val="0"/>
                <w:sz w:val="18"/>
                <w:szCs w:val="18"/>
              </w:rPr>
            </w:pPr>
            <w:r w:rsidRPr="0023149C">
              <w:rPr>
                <w:sz w:val="18"/>
                <w:szCs w:val="18"/>
              </w:rPr>
              <w:t>Expenditure/benefit</w:t>
            </w:r>
          </w:p>
        </w:tc>
        <w:tc>
          <w:tcPr>
            <w:tcW w:w="602" w:type="pct"/>
            <w:gridSpan w:val="2"/>
          </w:tcPr>
          <w:p w14:paraId="1F1D748F" w14:textId="77777777" w:rsidR="002A0CC4" w:rsidRPr="0023149C" w:rsidRDefault="002A0CC4" w:rsidP="00D1601A">
            <w:pPr>
              <w:pStyle w:val="Table"/>
              <w:spacing w:before="100" w:after="100"/>
              <w:rPr>
                <w:b w:val="0"/>
                <w:sz w:val="18"/>
                <w:szCs w:val="18"/>
              </w:rPr>
            </w:pPr>
            <w:r w:rsidRPr="0023149C">
              <w:rPr>
                <w:sz w:val="18"/>
                <w:szCs w:val="18"/>
              </w:rPr>
              <w:t>Applicable (Yes/No) Completed date</w:t>
            </w:r>
          </w:p>
        </w:tc>
        <w:tc>
          <w:tcPr>
            <w:tcW w:w="358" w:type="pct"/>
            <w:gridSpan w:val="2"/>
          </w:tcPr>
          <w:p w14:paraId="480D644C" w14:textId="77777777" w:rsidR="002A0CC4" w:rsidRPr="0023149C" w:rsidRDefault="002A0CC4" w:rsidP="00D1601A">
            <w:pPr>
              <w:pStyle w:val="Table"/>
              <w:spacing w:before="100" w:after="100"/>
              <w:rPr>
                <w:b w:val="0"/>
                <w:sz w:val="18"/>
                <w:szCs w:val="18"/>
              </w:rPr>
            </w:pPr>
            <w:r w:rsidRPr="0023149C">
              <w:rPr>
                <w:sz w:val="18"/>
                <w:szCs w:val="18"/>
              </w:rPr>
              <w:t>Work page</w:t>
            </w:r>
          </w:p>
        </w:tc>
        <w:tc>
          <w:tcPr>
            <w:tcW w:w="1775" w:type="pct"/>
            <w:gridSpan w:val="3"/>
          </w:tcPr>
          <w:p w14:paraId="44CD82FD" w14:textId="77777777" w:rsidR="002A0CC4" w:rsidRPr="0023149C" w:rsidRDefault="002A0CC4" w:rsidP="00D1601A">
            <w:pPr>
              <w:pStyle w:val="Table"/>
              <w:spacing w:before="100" w:after="100"/>
              <w:rPr>
                <w:b w:val="0"/>
                <w:sz w:val="18"/>
                <w:szCs w:val="18"/>
              </w:rPr>
            </w:pPr>
            <w:r w:rsidRPr="0023149C">
              <w:rPr>
                <w:sz w:val="18"/>
                <w:szCs w:val="18"/>
              </w:rPr>
              <w:t>Data required</w:t>
            </w:r>
          </w:p>
        </w:tc>
        <w:tc>
          <w:tcPr>
            <w:tcW w:w="594" w:type="pct"/>
          </w:tcPr>
          <w:p w14:paraId="1B26F369" w14:textId="77777777" w:rsidR="002A0CC4" w:rsidRPr="0023149C" w:rsidRDefault="002A0CC4" w:rsidP="00D1601A">
            <w:pPr>
              <w:pStyle w:val="Table"/>
              <w:spacing w:before="100" w:after="100"/>
              <w:rPr>
                <w:b w:val="0"/>
                <w:sz w:val="18"/>
                <w:szCs w:val="18"/>
              </w:rPr>
            </w:pPr>
            <w:r w:rsidRPr="0023149C">
              <w:rPr>
                <w:sz w:val="18"/>
                <w:szCs w:val="18"/>
              </w:rPr>
              <w:t>Type of benefit</w:t>
            </w:r>
          </w:p>
        </w:tc>
      </w:tr>
      <w:tr w:rsidR="00C11090" w14:paraId="1CF19A8F" w14:textId="77777777" w:rsidTr="00844D1F">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10"/>
            <w:shd w:val="clear" w:color="auto" w:fill="0A5CC7" w:themeFill="accent3"/>
          </w:tcPr>
          <w:p w14:paraId="407D2B44" w14:textId="77777777" w:rsidR="00C11090" w:rsidRPr="00844D1F" w:rsidRDefault="00C11090" w:rsidP="00C11090">
            <w:pPr>
              <w:pStyle w:val="Tableheading"/>
              <w:spacing w:before="100" w:after="100"/>
              <w:rPr>
                <w:color w:val="FFFFFF" w:themeColor="background1"/>
              </w:rPr>
            </w:pPr>
            <w:r w:rsidRPr="00844D1F">
              <w:rPr>
                <w:color w:val="FFFFFF" w:themeColor="background1"/>
                <w:sz w:val="17"/>
                <w:szCs w:val="17"/>
              </w:rPr>
              <w:t>CAR PARKING EXPENSES</w:t>
            </w:r>
          </w:p>
        </w:tc>
      </w:tr>
      <w:tr w:rsidR="00C11090" w14:paraId="11FC5C61" w14:textId="77777777" w:rsidTr="002A0CC4">
        <w:trPr>
          <w:trHeight w:val="141"/>
        </w:trPr>
        <w:tc>
          <w:tcPr>
            <w:tcW w:w="1649" w:type="pct"/>
          </w:tcPr>
          <w:p w14:paraId="7BC32508" w14:textId="77777777" w:rsidR="00C11090" w:rsidRPr="00C11090" w:rsidRDefault="00C11090" w:rsidP="00C11090">
            <w:pPr>
              <w:pStyle w:val="Body"/>
              <w:spacing w:before="100" w:after="100"/>
              <w:rPr>
                <w:rFonts w:asciiTheme="minorHAnsi" w:eastAsiaTheme="minorHAnsi" w:hAnsiTheme="minorHAnsi"/>
                <w:i/>
                <w:iCs/>
                <w:color w:val="090D46" w:themeColor="text1"/>
                <w:sz w:val="18"/>
                <w:szCs w:val="22"/>
              </w:rPr>
            </w:pPr>
            <w:r w:rsidRPr="00C11090">
              <w:rPr>
                <w:rFonts w:asciiTheme="minorHAnsi" w:eastAsiaTheme="minorHAnsi" w:hAnsiTheme="minorHAnsi"/>
                <w:i/>
                <w:iCs/>
                <w:color w:val="090D46" w:themeColor="text1"/>
                <w:sz w:val="18"/>
                <w:szCs w:val="22"/>
              </w:rPr>
              <w:t>Benefit arises where:</w:t>
            </w:r>
          </w:p>
          <w:p w14:paraId="08708FE2" w14:textId="1A29B095" w:rsidR="00C11090" w:rsidRDefault="00C11090" w:rsidP="002A0CC4">
            <w:pPr>
              <w:pStyle w:val="ListBullet"/>
            </w:pPr>
            <w:r w:rsidRPr="0070060E">
              <w:t>there is a commercial all</w:t>
            </w:r>
            <w:r>
              <w:t>-</w:t>
            </w:r>
            <w:r w:rsidRPr="0070060E">
              <w:t xml:space="preserve">day car park within a one kilometre radius of the business premises (measured by the shortest practicable direct route) that charges more than </w:t>
            </w:r>
            <w:r w:rsidR="003E3DA0">
              <w:t>$10</w:t>
            </w:r>
            <w:r w:rsidR="00B96478">
              <w:t>.</w:t>
            </w:r>
            <w:r w:rsidR="003E3DA0">
              <w:t xml:space="preserve">40 </w:t>
            </w:r>
            <w:r w:rsidRPr="0070060E">
              <w:t xml:space="preserve">a day at the beginning of the </w:t>
            </w:r>
            <w:r>
              <w:t>202</w:t>
            </w:r>
            <w:r w:rsidR="003E3DA0">
              <w:t>4</w:t>
            </w:r>
            <w:r w:rsidRPr="0070060E">
              <w:t xml:space="preserve"> FBT year</w:t>
            </w:r>
          </w:p>
          <w:p w14:paraId="614C7AD6" w14:textId="4C6806E4" w:rsidR="00C11090" w:rsidRDefault="00C11090" w:rsidP="002A0CC4">
            <w:pPr>
              <w:rPr>
                <w:szCs w:val="16"/>
              </w:rPr>
            </w:pPr>
            <w:r w:rsidRPr="002A0CC4">
              <w:rPr>
                <w:b/>
                <w:sz w:val="16"/>
                <w:szCs w:val="16"/>
              </w:rPr>
              <w:t>Note</w:t>
            </w:r>
            <w:r w:rsidRPr="002A0CC4">
              <w:rPr>
                <w:sz w:val="16"/>
                <w:szCs w:val="16"/>
              </w:rPr>
              <w:t xml:space="preserve">: </w:t>
            </w:r>
            <w:hyperlink r:id="rId12" w:tgtFrame="_blank" w:tooltip="TR 2021/2 FBT: car parking benefits" w:history="1">
              <w:r w:rsidRPr="002A0CC4">
                <w:rPr>
                  <w:i/>
                  <w:iCs/>
                  <w:sz w:val="16"/>
                  <w:szCs w:val="16"/>
                </w:rPr>
                <w:t>Taxation Ruling</w:t>
              </w:r>
              <w:r w:rsidRPr="002A0CC4">
                <w:rPr>
                  <w:sz w:val="16"/>
                  <w:szCs w:val="16"/>
                </w:rPr>
                <w:t> TR 2021/2</w:t>
              </w:r>
            </w:hyperlink>
            <w:r w:rsidRPr="002A0CC4">
              <w:rPr>
                <w:sz w:val="16"/>
                <w:szCs w:val="16"/>
              </w:rPr>
              <w:t> </w:t>
            </w:r>
            <w:r w:rsidRPr="002A0CC4">
              <w:rPr>
                <w:i/>
                <w:iCs/>
                <w:sz w:val="16"/>
                <w:szCs w:val="16"/>
              </w:rPr>
              <w:t>Fringe benefits tax: car parking benefits</w:t>
            </w:r>
            <w:r w:rsidRPr="002A0CC4">
              <w:rPr>
                <w:sz w:val="16"/>
                <w:szCs w:val="16"/>
              </w:rPr>
              <w:t> was updated to provide that from 1 April 2022</w:t>
            </w:r>
            <w:r w:rsidR="003E3DA0">
              <w:rPr>
                <w:sz w:val="16"/>
                <w:szCs w:val="16"/>
              </w:rPr>
              <w:t>,</w:t>
            </w:r>
            <w:r w:rsidRPr="002A0CC4">
              <w:rPr>
                <w:sz w:val="16"/>
                <w:szCs w:val="16"/>
              </w:rPr>
              <w:t xml:space="preserve"> car parking facilities that charge penalty rates higher than commercial rates are now considered to be commercial parking stations for FBT purposes.</w:t>
            </w:r>
            <w:r w:rsidRPr="009960E8">
              <w:rPr>
                <w:szCs w:val="16"/>
              </w:rPr>
              <w:t xml:space="preserve"> </w:t>
            </w:r>
          </w:p>
          <w:p w14:paraId="4E114440" w14:textId="77777777" w:rsidR="00C11090" w:rsidRPr="0070060E" w:rsidRDefault="00C11090" w:rsidP="002A0CC4">
            <w:pPr>
              <w:rPr>
                <w:sz w:val="17"/>
                <w:szCs w:val="17"/>
              </w:rPr>
            </w:pPr>
            <w:r w:rsidRPr="009960E8">
              <w:rPr>
                <w:szCs w:val="16"/>
              </w:rPr>
              <w:t xml:space="preserve">This impacts car parks previously excluded that have a free period followed by penalty rates to discourage all day parking such as shopping centres which are now included. </w:t>
            </w:r>
          </w:p>
        </w:tc>
        <w:tc>
          <w:tcPr>
            <w:tcW w:w="620" w:type="pct"/>
            <w:gridSpan w:val="2"/>
          </w:tcPr>
          <w:p w14:paraId="0774234B" w14:textId="77777777" w:rsidR="00C11090" w:rsidRPr="0070060E" w:rsidRDefault="00C11090" w:rsidP="00C11090">
            <w:pPr>
              <w:pStyle w:val="Body"/>
              <w:spacing w:before="100" w:after="100"/>
              <w:rPr>
                <w:sz w:val="17"/>
                <w:szCs w:val="17"/>
              </w:rPr>
            </w:pPr>
          </w:p>
        </w:tc>
        <w:tc>
          <w:tcPr>
            <w:tcW w:w="358" w:type="pct"/>
            <w:gridSpan w:val="2"/>
          </w:tcPr>
          <w:p w14:paraId="0D7AB822" w14:textId="77777777" w:rsidR="00C11090" w:rsidRPr="0070060E" w:rsidRDefault="00C11090" w:rsidP="00C11090">
            <w:pPr>
              <w:pStyle w:val="Body"/>
              <w:spacing w:before="100" w:after="100"/>
              <w:rPr>
                <w:sz w:val="17"/>
                <w:szCs w:val="17"/>
              </w:rPr>
            </w:pPr>
          </w:p>
        </w:tc>
        <w:tc>
          <w:tcPr>
            <w:tcW w:w="1706" w:type="pct"/>
            <w:gridSpan w:val="2"/>
            <w:vMerge w:val="restart"/>
            <w:vAlign w:val="top"/>
          </w:tcPr>
          <w:p w14:paraId="37F6B98F" w14:textId="77777777" w:rsidR="00C11090" w:rsidRPr="002A0CC4" w:rsidRDefault="00C11090" w:rsidP="00C11090">
            <w:pPr>
              <w:pStyle w:val="Table"/>
              <w:spacing w:before="100" w:after="100"/>
              <w:rPr>
                <w:rFonts w:asciiTheme="minorHAnsi" w:eastAsiaTheme="minorHAnsi" w:hAnsiTheme="minorHAnsi"/>
                <w:b/>
                <w:bCs/>
                <w:color w:val="090D46" w:themeColor="text1"/>
                <w:sz w:val="18"/>
                <w:szCs w:val="22"/>
              </w:rPr>
            </w:pPr>
            <w:r w:rsidRPr="002A0CC4">
              <w:rPr>
                <w:rFonts w:asciiTheme="minorHAnsi" w:eastAsiaTheme="minorHAnsi" w:hAnsiTheme="minorHAnsi"/>
                <w:b/>
                <w:bCs/>
                <w:color w:val="090D46" w:themeColor="text1"/>
                <w:sz w:val="18"/>
                <w:szCs w:val="22"/>
              </w:rPr>
              <w:t>Actual benefits provided method</w:t>
            </w:r>
          </w:p>
          <w:p w14:paraId="0F396830" w14:textId="77777777" w:rsidR="00C11090" w:rsidRPr="0070060E" w:rsidRDefault="00C11090" w:rsidP="002A0CC4">
            <w:pPr>
              <w:pStyle w:val="ListBullet"/>
            </w:pPr>
            <w:r w:rsidRPr="0070060E">
              <w:t>number of car parking spaces provided to employees</w:t>
            </w:r>
          </w:p>
          <w:p w14:paraId="285EA69F" w14:textId="77777777" w:rsidR="00C11090" w:rsidRPr="0070060E" w:rsidRDefault="00C11090" w:rsidP="002A0CC4">
            <w:pPr>
              <w:pStyle w:val="ListBullet"/>
            </w:pPr>
            <w:r>
              <w:t xml:space="preserve">daily </w:t>
            </w:r>
            <w:r w:rsidRPr="0070060E">
              <w:t>value of the spaces</w:t>
            </w:r>
          </w:p>
          <w:p w14:paraId="522AE98B" w14:textId="77777777" w:rsidR="00C11090" w:rsidRPr="0070060E" w:rsidRDefault="00C11090" w:rsidP="002A0CC4">
            <w:pPr>
              <w:pStyle w:val="ListBullet"/>
            </w:pPr>
            <w:r w:rsidRPr="0070060E">
              <w:t>number of business days during the year</w:t>
            </w:r>
          </w:p>
          <w:p w14:paraId="534E53C9" w14:textId="77777777" w:rsidR="00C11090" w:rsidRPr="0070060E" w:rsidRDefault="00C11090" w:rsidP="002A0CC4">
            <w:pPr>
              <w:pStyle w:val="ListBullet"/>
            </w:pPr>
            <w:r w:rsidRPr="0070060E">
              <w:t>method of valuation used</w:t>
            </w:r>
          </w:p>
          <w:p w14:paraId="7EF11B22" w14:textId="77777777" w:rsidR="00C11090" w:rsidRPr="0070060E" w:rsidRDefault="00C11090" w:rsidP="002A0CC4">
            <w:pPr>
              <w:pStyle w:val="ListBullet"/>
            </w:pPr>
            <w:r w:rsidRPr="0070060E">
              <w:t>employee contributions (if any)</w:t>
            </w:r>
          </w:p>
          <w:p w14:paraId="02AAF4BF" w14:textId="77777777" w:rsidR="00C11090" w:rsidRDefault="00C11090" w:rsidP="002A0CC4">
            <w:pPr>
              <w:pStyle w:val="ListBullet"/>
            </w:pPr>
            <w:r w:rsidRPr="0070060E">
              <w:t>consideration of annual leave and/or sick leave taken (i.e. car parking benefit not actually provided).</w:t>
            </w:r>
          </w:p>
          <w:p w14:paraId="737BED92" w14:textId="77777777" w:rsidR="00C11090" w:rsidRPr="002A0CC4" w:rsidRDefault="00C11090" w:rsidP="00C11090">
            <w:pPr>
              <w:pStyle w:val="Table"/>
              <w:spacing w:before="100" w:after="100"/>
              <w:rPr>
                <w:rFonts w:asciiTheme="minorHAnsi" w:eastAsiaTheme="minorHAnsi" w:hAnsiTheme="minorHAnsi"/>
                <w:b/>
                <w:bCs/>
                <w:color w:val="090D46" w:themeColor="text1"/>
                <w:sz w:val="18"/>
                <w:szCs w:val="22"/>
              </w:rPr>
            </w:pPr>
            <w:r w:rsidRPr="002A0CC4">
              <w:rPr>
                <w:rFonts w:asciiTheme="minorHAnsi" w:eastAsiaTheme="minorHAnsi" w:hAnsiTheme="minorHAnsi"/>
                <w:b/>
                <w:bCs/>
                <w:color w:val="090D46" w:themeColor="text1"/>
                <w:sz w:val="18"/>
                <w:szCs w:val="22"/>
              </w:rPr>
              <w:t xml:space="preserve">Statutory formula method </w:t>
            </w:r>
          </w:p>
          <w:p w14:paraId="7455DDFE" w14:textId="77777777" w:rsidR="00C11090" w:rsidRPr="002A0CC4" w:rsidRDefault="00C11090" w:rsidP="00C11090">
            <w:pPr>
              <w:pStyle w:val="Table"/>
              <w:spacing w:before="100" w:after="100"/>
              <w:rPr>
                <w:rFonts w:asciiTheme="minorHAnsi" w:eastAsiaTheme="minorHAnsi" w:hAnsiTheme="minorHAnsi"/>
                <w:i/>
                <w:color w:val="090D46" w:themeColor="text1"/>
                <w:sz w:val="18"/>
                <w:szCs w:val="22"/>
              </w:rPr>
            </w:pPr>
            <w:r w:rsidRPr="002A0CC4">
              <w:rPr>
                <w:rFonts w:asciiTheme="minorHAnsi" w:eastAsiaTheme="minorHAnsi" w:hAnsiTheme="minorHAnsi"/>
                <w:i/>
                <w:color w:val="090D46" w:themeColor="text1"/>
                <w:sz w:val="18"/>
                <w:szCs w:val="22"/>
              </w:rPr>
              <w:t>(refer formula 9.1)</w:t>
            </w:r>
          </w:p>
          <w:p w14:paraId="1D325608" w14:textId="77777777" w:rsidR="00C11090" w:rsidRPr="0070060E" w:rsidRDefault="00C11090" w:rsidP="002A0CC4">
            <w:pPr>
              <w:pStyle w:val="ListBullet"/>
            </w:pPr>
            <w:r w:rsidRPr="0070060E">
              <w:t>number of spaces</w:t>
            </w:r>
          </w:p>
          <w:p w14:paraId="2F1B3504" w14:textId="77777777" w:rsidR="00C11090" w:rsidRPr="0070060E" w:rsidRDefault="00C11090" w:rsidP="002A0CC4">
            <w:pPr>
              <w:pStyle w:val="ListBullet"/>
            </w:pPr>
            <w:r>
              <w:t xml:space="preserve">daily </w:t>
            </w:r>
            <w:r w:rsidRPr="0070060E">
              <w:t>value of the spaces</w:t>
            </w:r>
          </w:p>
          <w:p w14:paraId="41CDB890" w14:textId="77777777" w:rsidR="00C11090" w:rsidRPr="0070060E" w:rsidRDefault="00C11090" w:rsidP="002A0CC4">
            <w:pPr>
              <w:pStyle w:val="ListBullet"/>
            </w:pPr>
            <w:r w:rsidRPr="0070060E">
              <w:t>method of valuation used</w:t>
            </w:r>
          </w:p>
          <w:p w14:paraId="0C2E4B8D" w14:textId="77777777" w:rsidR="00C11090" w:rsidRDefault="00C11090" w:rsidP="002A0CC4">
            <w:pPr>
              <w:pStyle w:val="ListBullet"/>
            </w:pPr>
            <w:r w:rsidRPr="0070060E">
              <w:t>employee contributions (if any).</w:t>
            </w:r>
            <w:r>
              <w:t xml:space="preserve"> </w:t>
            </w:r>
          </w:p>
          <w:p w14:paraId="67150E87" w14:textId="3904C645" w:rsidR="00C11090" w:rsidRPr="002A0CC4" w:rsidRDefault="00C11090" w:rsidP="002A0CC4">
            <w:pPr>
              <w:rPr>
                <w:sz w:val="16"/>
                <w:szCs w:val="20"/>
              </w:rPr>
            </w:pPr>
          </w:p>
          <w:p w14:paraId="2DDB34A0" w14:textId="77777777" w:rsidR="00C11090" w:rsidRPr="00F25BCF" w:rsidRDefault="00C11090" w:rsidP="00C11090">
            <w:pPr>
              <w:rPr>
                <w:sz w:val="15"/>
                <w:szCs w:val="15"/>
              </w:rPr>
            </w:pPr>
          </w:p>
        </w:tc>
        <w:tc>
          <w:tcPr>
            <w:tcW w:w="667" w:type="pct"/>
            <w:gridSpan w:val="3"/>
            <w:vMerge w:val="restart"/>
            <w:vAlign w:val="top"/>
          </w:tcPr>
          <w:p w14:paraId="4D7EA0F6" w14:textId="77777777" w:rsidR="00C11090" w:rsidRPr="0070060E" w:rsidRDefault="00C11090" w:rsidP="002A0CC4">
            <w:r w:rsidRPr="0070060E">
              <w:t>Car parking fringe benefit</w:t>
            </w:r>
          </w:p>
          <w:p w14:paraId="0DF1D81C" w14:textId="77777777" w:rsidR="00C11090" w:rsidRPr="0070060E" w:rsidRDefault="00C11090" w:rsidP="00C11090">
            <w:pPr>
              <w:pStyle w:val="Body"/>
              <w:spacing w:before="100" w:after="100"/>
              <w:rPr>
                <w:sz w:val="17"/>
                <w:szCs w:val="17"/>
              </w:rPr>
            </w:pPr>
          </w:p>
        </w:tc>
      </w:tr>
      <w:tr w:rsidR="00C11090" w14:paraId="3C6C4AD5" w14:textId="77777777" w:rsidTr="002A0CC4">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19709D2E" w14:textId="77777777" w:rsidR="00C11090" w:rsidRPr="0070060E" w:rsidRDefault="00C11090" w:rsidP="002A0CC4">
            <w:pPr>
              <w:pStyle w:val="ListBullet"/>
            </w:pPr>
            <w:r w:rsidRPr="0070060E">
              <w:t>the car is parked for a period of more than four hours between 7.00am and 7.00pm</w:t>
            </w:r>
          </w:p>
        </w:tc>
        <w:tc>
          <w:tcPr>
            <w:tcW w:w="620" w:type="pct"/>
            <w:gridSpan w:val="2"/>
          </w:tcPr>
          <w:p w14:paraId="104A9A12" w14:textId="77777777" w:rsidR="00C11090" w:rsidRPr="0070060E" w:rsidRDefault="00C11090" w:rsidP="00C11090">
            <w:pPr>
              <w:pStyle w:val="Body"/>
              <w:spacing w:before="100" w:after="100"/>
              <w:rPr>
                <w:sz w:val="17"/>
                <w:szCs w:val="17"/>
              </w:rPr>
            </w:pPr>
          </w:p>
        </w:tc>
        <w:tc>
          <w:tcPr>
            <w:tcW w:w="358" w:type="pct"/>
            <w:gridSpan w:val="2"/>
          </w:tcPr>
          <w:p w14:paraId="19056C66" w14:textId="77777777" w:rsidR="00C11090" w:rsidRPr="0070060E" w:rsidRDefault="00C11090" w:rsidP="00C11090">
            <w:pPr>
              <w:pStyle w:val="Body"/>
              <w:spacing w:before="100" w:after="100"/>
              <w:rPr>
                <w:sz w:val="17"/>
                <w:szCs w:val="17"/>
              </w:rPr>
            </w:pPr>
          </w:p>
        </w:tc>
        <w:tc>
          <w:tcPr>
            <w:tcW w:w="1706" w:type="pct"/>
            <w:gridSpan w:val="2"/>
            <w:vMerge/>
          </w:tcPr>
          <w:p w14:paraId="001C3FF4" w14:textId="77777777" w:rsidR="00C11090" w:rsidRPr="0070060E" w:rsidRDefault="00C11090" w:rsidP="00C11090">
            <w:pPr>
              <w:pStyle w:val="TableBullet"/>
              <w:spacing w:before="100" w:after="100"/>
              <w:ind w:left="0"/>
              <w:rPr>
                <w:sz w:val="17"/>
                <w:szCs w:val="17"/>
              </w:rPr>
            </w:pPr>
          </w:p>
        </w:tc>
        <w:tc>
          <w:tcPr>
            <w:tcW w:w="667" w:type="pct"/>
            <w:gridSpan w:val="3"/>
            <w:vMerge/>
          </w:tcPr>
          <w:p w14:paraId="56CE1E46" w14:textId="77777777" w:rsidR="00C11090" w:rsidRPr="0070060E" w:rsidRDefault="00C11090" w:rsidP="00C11090">
            <w:pPr>
              <w:pStyle w:val="Body"/>
              <w:spacing w:before="100" w:after="100"/>
              <w:rPr>
                <w:sz w:val="17"/>
                <w:szCs w:val="17"/>
              </w:rPr>
            </w:pPr>
          </w:p>
        </w:tc>
      </w:tr>
      <w:tr w:rsidR="00C11090" w14:paraId="27641E0E" w14:textId="77777777" w:rsidTr="002A0CC4">
        <w:trPr>
          <w:trHeight w:val="141"/>
        </w:trPr>
        <w:tc>
          <w:tcPr>
            <w:tcW w:w="1649" w:type="pct"/>
          </w:tcPr>
          <w:p w14:paraId="217FA8B8" w14:textId="77777777" w:rsidR="00C11090" w:rsidRPr="0070060E" w:rsidRDefault="00C11090" w:rsidP="002A0CC4">
            <w:pPr>
              <w:pStyle w:val="ListBullet"/>
            </w:pPr>
            <w:r w:rsidRPr="0070060E">
              <w:t xml:space="preserve">the car is owned or leased by the employee (or associate), or </w:t>
            </w:r>
            <w:r>
              <w:t>the employer</w:t>
            </w:r>
            <w:r w:rsidRPr="0070060E">
              <w:t xml:space="preserve"> provide</w:t>
            </w:r>
            <w:r>
              <w:t>s</w:t>
            </w:r>
            <w:r w:rsidRPr="0070060E">
              <w:t xml:space="preserve"> for use by the employe</w:t>
            </w:r>
            <w:r>
              <w:t>e</w:t>
            </w:r>
          </w:p>
        </w:tc>
        <w:tc>
          <w:tcPr>
            <w:tcW w:w="620" w:type="pct"/>
            <w:gridSpan w:val="2"/>
          </w:tcPr>
          <w:p w14:paraId="39785E6E" w14:textId="77777777" w:rsidR="00C11090" w:rsidRPr="0070060E" w:rsidRDefault="00C11090" w:rsidP="00C11090">
            <w:pPr>
              <w:pStyle w:val="Body"/>
              <w:spacing w:before="100" w:after="100"/>
              <w:rPr>
                <w:sz w:val="17"/>
                <w:szCs w:val="17"/>
              </w:rPr>
            </w:pPr>
          </w:p>
        </w:tc>
        <w:tc>
          <w:tcPr>
            <w:tcW w:w="358" w:type="pct"/>
            <w:gridSpan w:val="2"/>
          </w:tcPr>
          <w:p w14:paraId="59CB75A8" w14:textId="77777777" w:rsidR="00C11090" w:rsidRPr="0070060E" w:rsidRDefault="00C11090" w:rsidP="00C11090">
            <w:pPr>
              <w:pStyle w:val="Body"/>
              <w:spacing w:before="100" w:after="100"/>
              <w:rPr>
                <w:sz w:val="17"/>
                <w:szCs w:val="17"/>
              </w:rPr>
            </w:pPr>
          </w:p>
        </w:tc>
        <w:tc>
          <w:tcPr>
            <w:tcW w:w="1706" w:type="pct"/>
            <w:gridSpan w:val="2"/>
            <w:vMerge/>
          </w:tcPr>
          <w:p w14:paraId="6D6D83BF" w14:textId="77777777" w:rsidR="00C11090" w:rsidRPr="0070060E" w:rsidRDefault="00C11090" w:rsidP="00C11090">
            <w:pPr>
              <w:pStyle w:val="TableBullet"/>
              <w:spacing w:before="100" w:after="100"/>
              <w:ind w:left="0"/>
              <w:rPr>
                <w:sz w:val="17"/>
                <w:szCs w:val="17"/>
              </w:rPr>
            </w:pPr>
          </w:p>
        </w:tc>
        <w:tc>
          <w:tcPr>
            <w:tcW w:w="667" w:type="pct"/>
            <w:gridSpan w:val="3"/>
            <w:vMerge/>
          </w:tcPr>
          <w:p w14:paraId="1D642ECD" w14:textId="77777777" w:rsidR="00C11090" w:rsidRPr="0070060E" w:rsidRDefault="00C11090" w:rsidP="00C11090">
            <w:pPr>
              <w:pStyle w:val="Body"/>
              <w:spacing w:before="100" w:after="100"/>
              <w:rPr>
                <w:sz w:val="17"/>
                <w:szCs w:val="17"/>
              </w:rPr>
            </w:pPr>
          </w:p>
        </w:tc>
      </w:tr>
      <w:tr w:rsidR="00C11090" w14:paraId="2737C0F2" w14:textId="77777777" w:rsidTr="002A0CC4">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46E1BFAD" w14:textId="77777777" w:rsidR="00C11090" w:rsidRPr="0070060E" w:rsidRDefault="00C11090" w:rsidP="002A0CC4">
            <w:pPr>
              <w:pStyle w:val="ListBullet"/>
            </w:pPr>
            <w:r w:rsidRPr="0070060E">
              <w:t>the car is used for travel between home and work by the employee at least once on that day</w:t>
            </w:r>
          </w:p>
        </w:tc>
        <w:tc>
          <w:tcPr>
            <w:tcW w:w="620" w:type="pct"/>
            <w:gridSpan w:val="2"/>
          </w:tcPr>
          <w:p w14:paraId="5D83195A" w14:textId="77777777" w:rsidR="00C11090" w:rsidRPr="0070060E" w:rsidRDefault="00C11090" w:rsidP="00C11090">
            <w:pPr>
              <w:pStyle w:val="Body"/>
              <w:spacing w:before="100" w:after="100"/>
              <w:rPr>
                <w:sz w:val="17"/>
                <w:szCs w:val="17"/>
              </w:rPr>
            </w:pPr>
          </w:p>
        </w:tc>
        <w:tc>
          <w:tcPr>
            <w:tcW w:w="358" w:type="pct"/>
            <w:gridSpan w:val="2"/>
          </w:tcPr>
          <w:p w14:paraId="097072CE" w14:textId="77777777" w:rsidR="00C11090" w:rsidRPr="0070060E" w:rsidRDefault="00C11090" w:rsidP="00C11090">
            <w:pPr>
              <w:pStyle w:val="Body"/>
              <w:spacing w:before="100" w:after="100"/>
              <w:rPr>
                <w:sz w:val="17"/>
                <w:szCs w:val="17"/>
              </w:rPr>
            </w:pPr>
          </w:p>
        </w:tc>
        <w:tc>
          <w:tcPr>
            <w:tcW w:w="1706" w:type="pct"/>
            <w:gridSpan w:val="2"/>
            <w:vMerge/>
          </w:tcPr>
          <w:p w14:paraId="39F10BE6" w14:textId="77777777" w:rsidR="00C11090" w:rsidRPr="0070060E" w:rsidRDefault="00C11090" w:rsidP="00C11090">
            <w:pPr>
              <w:pStyle w:val="TableBullet"/>
              <w:spacing w:before="100" w:after="100"/>
              <w:ind w:left="0"/>
              <w:rPr>
                <w:sz w:val="17"/>
                <w:szCs w:val="17"/>
              </w:rPr>
            </w:pPr>
          </w:p>
        </w:tc>
        <w:tc>
          <w:tcPr>
            <w:tcW w:w="667" w:type="pct"/>
            <w:gridSpan w:val="3"/>
            <w:vMerge/>
          </w:tcPr>
          <w:p w14:paraId="6F623FD5" w14:textId="77777777" w:rsidR="00C11090" w:rsidRPr="0070060E" w:rsidRDefault="00C11090" w:rsidP="00C11090">
            <w:pPr>
              <w:pStyle w:val="Body"/>
              <w:spacing w:before="100" w:after="100"/>
              <w:rPr>
                <w:sz w:val="17"/>
                <w:szCs w:val="17"/>
              </w:rPr>
            </w:pPr>
          </w:p>
        </w:tc>
      </w:tr>
      <w:tr w:rsidR="00C11090" w14:paraId="1D7455A2" w14:textId="77777777" w:rsidTr="002A0CC4">
        <w:trPr>
          <w:trHeight w:val="549"/>
        </w:trPr>
        <w:tc>
          <w:tcPr>
            <w:tcW w:w="1649" w:type="pct"/>
          </w:tcPr>
          <w:p w14:paraId="559DCC3A" w14:textId="77777777" w:rsidR="00C11090" w:rsidRDefault="00C11090" w:rsidP="002A0CC4">
            <w:pPr>
              <w:pStyle w:val="ListBullet"/>
            </w:pPr>
            <w:r w:rsidRPr="0070060E">
              <w:t>the car is parked at or in the vicinity of the primary place of employment.</w:t>
            </w:r>
          </w:p>
          <w:p w14:paraId="498F6724" w14:textId="77777777" w:rsidR="002A0CC4" w:rsidRDefault="002A0CC4" w:rsidP="002A0CC4">
            <w:pPr>
              <w:pStyle w:val="ListBullet"/>
              <w:numPr>
                <w:ilvl w:val="0"/>
                <w:numId w:val="0"/>
              </w:numPr>
              <w:ind w:left="360"/>
            </w:pPr>
          </w:p>
          <w:p w14:paraId="5DC1D081" w14:textId="77777777" w:rsidR="002A0CC4" w:rsidRDefault="002A0CC4" w:rsidP="002A0CC4">
            <w:pPr>
              <w:pStyle w:val="ListBullet"/>
              <w:numPr>
                <w:ilvl w:val="0"/>
                <w:numId w:val="0"/>
              </w:numPr>
              <w:ind w:left="360"/>
            </w:pPr>
          </w:p>
          <w:p w14:paraId="594611D4" w14:textId="77777777" w:rsidR="002A0CC4" w:rsidRDefault="002A0CC4" w:rsidP="002A0CC4">
            <w:pPr>
              <w:pStyle w:val="ListBullet"/>
              <w:numPr>
                <w:ilvl w:val="0"/>
                <w:numId w:val="0"/>
              </w:numPr>
              <w:ind w:left="360"/>
            </w:pPr>
          </w:p>
          <w:p w14:paraId="7AF41FEA" w14:textId="77777777" w:rsidR="002A0CC4" w:rsidRDefault="002A0CC4" w:rsidP="002A0CC4">
            <w:pPr>
              <w:pStyle w:val="ListBullet"/>
              <w:numPr>
                <w:ilvl w:val="0"/>
                <w:numId w:val="0"/>
              </w:numPr>
              <w:ind w:left="360"/>
            </w:pPr>
          </w:p>
          <w:p w14:paraId="51E1F95A" w14:textId="77777777" w:rsidR="002A0CC4" w:rsidRDefault="002A0CC4" w:rsidP="002A0CC4">
            <w:pPr>
              <w:pStyle w:val="ListBullet"/>
              <w:numPr>
                <w:ilvl w:val="0"/>
                <w:numId w:val="0"/>
              </w:numPr>
              <w:ind w:left="360"/>
            </w:pPr>
          </w:p>
          <w:p w14:paraId="4DC437D6" w14:textId="77777777" w:rsidR="002A0CC4" w:rsidRDefault="002A0CC4" w:rsidP="002A0CC4">
            <w:pPr>
              <w:pStyle w:val="ListBullet"/>
              <w:numPr>
                <w:ilvl w:val="0"/>
                <w:numId w:val="0"/>
              </w:numPr>
              <w:ind w:left="360"/>
            </w:pPr>
          </w:p>
          <w:p w14:paraId="6579D87F" w14:textId="77777777" w:rsidR="002A0CC4" w:rsidRDefault="002A0CC4" w:rsidP="002A0CC4">
            <w:pPr>
              <w:pStyle w:val="ListBullet"/>
              <w:numPr>
                <w:ilvl w:val="0"/>
                <w:numId w:val="0"/>
              </w:numPr>
              <w:ind w:left="360"/>
            </w:pPr>
          </w:p>
          <w:p w14:paraId="53B196BF" w14:textId="77777777" w:rsidR="002A0CC4" w:rsidRDefault="002A0CC4" w:rsidP="002A0CC4">
            <w:pPr>
              <w:pStyle w:val="ListBullet"/>
              <w:numPr>
                <w:ilvl w:val="0"/>
                <w:numId w:val="0"/>
              </w:numPr>
            </w:pPr>
          </w:p>
          <w:p w14:paraId="20F1D36A" w14:textId="55525C73" w:rsidR="002A0CC4" w:rsidRPr="00965306" w:rsidRDefault="002A0CC4" w:rsidP="002A0CC4">
            <w:pPr>
              <w:pStyle w:val="ListBullet"/>
              <w:numPr>
                <w:ilvl w:val="0"/>
                <w:numId w:val="0"/>
              </w:numPr>
            </w:pPr>
          </w:p>
        </w:tc>
        <w:tc>
          <w:tcPr>
            <w:tcW w:w="620" w:type="pct"/>
            <w:gridSpan w:val="2"/>
          </w:tcPr>
          <w:p w14:paraId="784858A1" w14:textId="77777777" w:rsidR="00C11090" w:rsidRPr="0070060E" w:rsidRDefault="00C11090" w:rsidP="00C11090">
            <w:pPr>
              <w:pStyle w:val="Body"/>
              <w:spacing w:before="100" w:after="100"/>
              <w:rPr>
                <w:sz w:val="17"/>
                <w:szCs w:val="17"/>
              </w:rPr>
            </w:pPr>
          </w:p>
        </w:tc>
        <w:tc>
          <w:tcPr>
            <w:tcW w:w="358" w:type="pct"/>
            <w:gridSpan w:val="2"/>
          </w:tcPr>
          <w:p w14:paraId="0A7D1180" w14:textId="77777777" w:rsidR="00C11090" w:rsidRPr="0070060E" w:rsidRDefault="00C11090" w:rsidP="00C11090">
            <w:pPr>
              <w:pStyle w:val="Body"/>
              <w:spacing w:before="100" w:after="100"/>
              <w:rPr>
                <w:sz w:val="17"/>
                <w:szCs w:val="17"/>
              </w:rPr>
            </w:pPr>
          </w:p>
        </w:tc>
        <w:tc>
          <w:tcPr>
            <w:tcW w:w="1706" w:type="pct"/>
            <w:gridSpan w:val="2"/>
            <w:vMerge/>
          </w:tcPr>
          <w:p w14:paraId="7B151C76" w14:textId="77777777" w:rsidR="00C11090" w:rsidRPr="0070060E" w:rsidRDefault="00C11090" w:rsidP="00C11090">
            <w:pPr>
              <w:pStyle w:val="TableBullet"/>
              <w:spacing w:before="100" w:after="100"/>
              <w:ind w:left="0"/>
              <w:rPr>
                <w:sz w:val="17"/>
                <w:szCs w:val="17"/>
              </w:rPr>
            </w:pPr>
          </w:p>
        </w:tc>
        <w:tc>
          <w:tcPr>
            <w:tcW w:w="667" w:type="pct"/>
            <w:gridSpan w:val="3"/>
            <w:vMerge/>
          </w:tcPr>
          <w:p w14:paraId="73F1C736" w14:textId="77777777" w:rsidR="00C11090" w:rsidRPr="0070060E" w:rsidRDefault="00C11090" w:rsidP="00C11090">
            <w:pPr>
              <w:pStyle w:val="Body"/>
              <w:spacing w:before="100" w:after="100"/>
              <w:rPr>
                <w:sz w:val="17"/>
                <w:szCs w:val="17"/>
              </w:rPr>
            </w:pPr>
          </w:p>
        </w:tc>
      </w:tr>
      <w:tr w:rsidR="002A0CC4" w14:paraId="15482003" w14:textId="77777777" w:rsidTr="002A0CC4">
        <w:trPr>
          <w:cnfStyle w:val="000000100000" w:firstRow="0" w:lastRow="0" w:firstColumn="0" w:lastColumn="0" w:oddVBand="0" w:evenVBand="0" w:oddHBand="1" w:evenHBand="0" w:firstRowFirstColumn="0" w:firstRowLastColumn="0" w:lastRowFirstColumn="0" w:lastRowLastColumn="0"/>
          <w:trHeight w:val="364"/>
        </w:trPr>
        <w:tc>
          <w:tcPr>
            <w:tcW w:w="5000" w:type="pct"/>
            <w:gridSpan w:val="10"/>
            <w:shd w:val="clear" w:color="auto" w:fill="0A5CC7" w:themeFill="accent3"/>
          </w:tcPr>
          <w:p w14:paraId="186C7EC6" w14:textId="59B3B23F" w:rsidR="002A0CC4" w:rsidRPr="002A0CC4" w:rsidRDefault="002A0CC4" w:rsidP="002A0CC4">
            <w:pPr>
              <w:pStyle w:val="Body"/>
              <w:spacing w:before="100" w:after="100"/>
              <w:rPr>
                <w:b/>
                <w:bCs/>
                <w:sz w:val="17"/>
                <w:szCs w:val="17"/>
              </w:rPr>
            </w:pPr>
            <w:r w:rsidRPr="002A0CC4">
              <w:rPr>
                <w:b/>
                <w:bCs/>
                <w:color w:val="FFFFFF" w:themeColor="background1"/>
                <w:sz w:val="17"/>
                <w:szCs w:val="17"/>
              </w:rPr>
              <w:t xml:space="preserve">CAR PARKING EXPENSES (CONTINUED) </w:t>
            </w:r>
          </w:p>
        </w:tc>
      </w:tr>
      <w:tr w:rsidR="002A0CC4" w14:paraId="3558906C" w14:textId="77777777" w:rsidTr="00B8308B">
        <w:trPr>
          <w:trHeight w:val="3242"/>
        </w:trPr>
        <w:tc>
          <w:tcPr>
            <w:tcW w:w="1649" w:type="pct"/>
          </w:tcPr>
          <w:p w14:paraId="33B4CC19" w14:textId="77777777" w:rsidR="002A0CC4" w:rsidRPr="00B8308B" w:rsidRDefault="002A0CC4" w:rsidP="00B8308B">
            <w:pPr>
              <w:rPr>
                <w:i/>
                <w:sz w:val="16"/>
                <w:szCs w:val="16"/>
              </w:rPr>
            </w:pPr>
            <w:r w:rsidRPr="00B8308B">
              <w:rPr>
                <w:b/>
                <w:sz w:val="16"/>
                <w:szCs w:val="20"/>
              </w:rPr>
              <w:t>Note</w:t>
            </w:r>
            <w:r w:rsidRPr="00B8308B">
              <w:rPr>
                <w:sz w:val="16"/>
                <w:szCs w:val="20"/>
              </w:rPr>
              <w:t>: The benefit is provided in respect of employment.</w:t>
            </w:r>
          </w:p>
          <w:p w14:paraId="3A06A809" w14:textId="77777777" w:rsidR="002A0CC4" w:rsidRPr="00B8308B" w:rsidRDefault="002A0CC4" w:rsidP="00B8308B">
            <w:pPr>
              <w:rPr>
                <w:i/>
                <w:iCs/>
              </w:rPr>
            </w:pPr>
            <w:r w:rsidRPr="00B8308B">
              <w:rPr>
                <w:i/>
                <w:iCs/>
              </w:rPr>
              <w:t>Exemptions include:</w:t>
            </w:r>
          </w:p>
          <w:p w14:paraId="2C6929A7" w14:textId="77777777" w:rsidR="002A0CC4" w:rsidRPr="0070060E" w:rsidRDefault="002A0CC4" w:rsidP="00B8308B">
            <w:pPr>
              <w:pStyle w:val="ListBullet"/>
            </w:pPr>
            <w:r w:rsidRPr="0070060E">
              <w:t xml:space="preserve">car parking benefits provided where cars are not parked at a commercial car parking station, the employer is not a </w:t>
            </w:r>
            <w:r>
              <w:t xml:space="preserve">government body, listed </w:t>
            </w:r>
            <w:r w:rsidRPr="0070060E">
              <w:t>public company</w:t>
            </w:r>
            <w:r>
              <w:t xml:space="preserve"> or a subsidiary of a listed public company,</w:t>
            </w:r>
            <w:r w:rsidRPr="0070060E">
              <w:t xml:space="preserve"> and either the employer’s total income for the year of income preceding the FBT year was </w:t>
            </w:r>
            <w:r>
              <w:t xml:space="preserve">less than </w:t>
            </w:r>
            <w:r w:rsidRPr="0070060E">
              <w:t>$</w:t>
            </w:r>
            <w:r>
              <w:t>5</w:t>
            </w:r>
            <w:r w:rsidRPr="0070060E">
              <w:t>0</w:t>
            </w:r>
            <w:r>
              <w:t xml:space="preserve"> </w:t>
            </w:r>
            <w:r w:rsidRPr="0070060E">
              <w:t>m</w:t>
            </w:r>
            <w:r>
              <w:t>illion</w:t>
            </w:r>
            <w:r w:rsidRPr="0070060E">
              <w:t xml:space="preserve">, or that employer was a small business entity for the most recent year of income before the FBT year   </w:t>
            </w:r>
          </w:p>
        </w:tc>
        <w:tc>
          <w:tcPr>
            <w:tcW w:w="620" w:type="pct"/>
            <w:gridSpan w:val="2"/>
          </w:tcPr>
          <w:p w14:paraId="596FB0FA" w14:textId="77777777" w:rsidR="002A0CC4" w:rsidRPr="0070060E" w:rsidRDefault="002A0CC4" w:rsidP="002A0CC4">
            <w:pPr>
              <w:pStyle w:val="Body"/>
              <w:spacing w:before="100" w:after="100"/>
              <w:rPr>
                <w:sz w:val="17"/>
                <w:szCs w:val="17"/>
              </w:rPr>
            </w:pPr>
          </w:p>
        </w:tc>
        <w:tc>
          <w:tcPr>
            <w:tcW w:w="358" w:type="pct"/>
            <w:gridSpan w:val="2"/>
          </w:tcPr>
          <w:p w14:paraId="2CE54156" w14:textId="77777777" w:rsidR="002A0CC4" w:rsidRPr="0070060E" w:rsidRDefault="002A0CC4" w:rsidP="002A0CC4">
            <w:pPr>
              <w:pStyle w:val="Body"/>
              <w:spacing w:before="100" w:after="100"/>
              <w:rPr>
                <w:sz w:val="17"/>
                <w:szCs w:val="17"/>
              </w:rPr>
            </w:pPr>
          </w:p>
        </w:tc>
        <w:tc>
          <w:tcPr>
            <w:tcW w:w="1724" w:type="pct"/>
            <w:gridSpan w:val="3"/>
            <w:vMerge w:val="restart"/>
            <w:vAlign w:val="top"/>
          </w:tcPr>
          <w:p w14:paraId="720843E6" w14:textId="77777777" w:rsidR="002A0CC4" w:rsidRPr="00B8308B" w:rsidRDefault="002A0CC4" w:rsidP="00B8308B">
            <w:pPr>
              <w:rPr>
                <w:b/>
                <w:bCs/>
              </w:rPr>
            </w:pPr>
            <w:r w:rsidRPr="00B8308B">
              <w:rPr>
                <w:b/>
                <w:bCs/>
              </w:rPr>
              <w:t xml:space="preserve">12-week register method </w:t>
            </w:r>
          </w:p>
          <w:p w14:paraId="4221CF95" w14:textId="77777777" w:rsidR="002A0CC4" w:rsidRPr="00B8308B" w:rsidRDefault="002A0CC4" w:rsidP="00B8308B">
            <w:pPr>
              <w:rPr>
                <w:i/>
                <w:iCs/>
              </w:rPr>
            </w:pPr>
            <w:r w:rsidRPr="00B8308B">
              <w:rPr>
                <w:i/>
                <w:iCs/>
              </w:rPr>
              <w:t>(refer formula 9.2)</w:t>
            </w:r>
          </w:p>
          <w:p w14:paraId="262558E1" w14:textId="77777777" w:rsidR="002A0CC4" w:rsidRPr="0070060E" w:rsidRDefault="002A0CC4" w:rsidP="00B8308B">
            <w:pPr>
              <w:pStyle w:val="ListBullet"/>
            </w:pPr>
            <w:r w:rsidRPr="0070060E">
              <w:t>identification of each vehicle parked</w:t>
            </w:r>
          </w:p>
          <w:p w14:paraId="01CF69BD" w14:textId="77777777" w:rsidR="002A0CC4" w:rsidRPr="0070060E" w:rsidRDefault="002A0CC4" w:rsidP="00B8308B">
            <w:pPr>
              <w:pStyle w:val="ListBullet"/>
            </w:pPr>
            <w:r w:rsidRPr="0070060E">
              <w:t>the date and place the car was parked, with times of entry and departure</w:t>
            </w:r>
          </w:p>
          <w:p w14:paraId="0D181B68" w14:textId="77777777" w:rsidR="002A0CC4" w:rsidRPr="0070060E" w:rsidRDefault="002A0CC4" w:rsidP="00B8308B">
            <w:pPr>
              <w:pStyle w:val="ListBullet"/>
            </w:pPr>
            <w:r w:rsidRPr="0070060E">
              <w:t>the nature of the journey from home to place of employment</w:t>
            </w:r>
          </w:p>
          <w:p w14:paraId="70E00A8B" w14:textId="77777777" w:rsidR="002A0CC4" w:rsidRPr="0070060E" w:rsidRDefault="002A0CC4" w:rsidP="00B8308B">
            <w:pPr>
              <w:pStyle w:val="ListBullet"/>
            </w:pPr>
            <w:r>
              <w:t xml:space="preserve">daily </w:t>
            </w:r>
            <w:r w:rsidRPr="0070060E">
              <w:t>value of the spaces</w:t>
            </w:r>
          </w:p>
          <w:p w14:paraId="5E017C4F" w14:textId="77777777" w:rsidR="002A0CC4" w:rsidRPr="0070060E" w:rsidRDefault="002A0CC4" w:rsidP="00B8308B">
            <w:pPr>
              <w:pStyle w:val="ListBullet"/>
            </w:pPr>
            <w:r w:rsidRPr="0070060E">
              <w:t>method of valuation used</w:t>
            </w:r>
          </w:p>
          <w:p w14:paraId="7A0ABD22" w14:textId="77777777" w:rsidR="002A0CC4" w:rsidRDefault="002A0CC4" w:rsidP="00B8308B">
            <w:pPr>
              <w:pStyle w:val="ListBullet"/>
            </w:pPr>
            <w:r w:rsidRPr="0070060E">
              <w:t>employee contributions (if any)</w:t>
            </w:r>
          </w:p>
          <w:p w14:paraId="0906CAC6" w14:textId="77777777" w:rsidR="002A0CC4" w:rsidRPr="0070060E" w:rsidRDefault="002A0CC4" w:rsidP="00B8308B">
            <w:pPr>
              <w:pStyle w:val="ListBullet"/>
            </w:pPr>
            <w:r>
              <w:t>election.</w:t>
            </w:r>
          </w:p>
          <w:p w14:paraId="649DC680" w14:textId="77777777" w:rsidR="002A0CC4" w:rsidRPr="00785E7E" w:rsidRDefault="002A0CC4" w:rsidP="00B8308B">
            <w:pPr>
              <w:rPr>
                <w:b/>
              </w:rPr>
            </w:pPr>
            <w:r w:rsidRPr="00B8308B">
              <w:rPr>
                <w:b/>
                <w:sz w:val="16"/>
                <w:szCs w:val="20"/>
              </w:rPr>
              <w:t>Note:</w:t>
            </w:r>
            <w:r w:rsidRPr="00B8308B">
              <w:rPr>
                <w:sz w:val="16"/>
                <w:szCs w:val="20"/>
              </w:rPr>
              <w:t xml:space="preserve"> The register must be maintained for a continuous 12-week period but can be used for the subsequent four FBT years unless the number of car parking fringe benefits increases by 10% in which case a new register must be kept.    </w:t>
            </w:r>
          </w:p>
        </w:tc>
        <w:tc>
          <w:tcPr>
            <w:tcW w:w="649" w:type="pct"/>
            <w:gridSpan w:val="2"/>
            <w:vMerge w:val="restart"/>
            <w:vAlign w:val="top"/>
          </w:tcPr>
          <w:p w14:paraId="13D4FBA9" w14:textId="77777777" w:rsidR="002A0CC4" w:rsidRPr="0070060E" w:rsidRDefault="002A0CC4" w:rsidP="00B8308B">
            <w:r w:rsidRPr="0070060E">
              <w:t>Car parking fringe benefit</w:t>
            </w:r>
          </w:p>
          <w:p w14:paraId="6CC75018" w14:textId="77777777" w:rsidR="002A0CC4" w:rsidRPr="0070060E" w:rsidRDefault="002A0CC4" w:rsidP="002A0CC4">
            <w:pPr>
              <w:pStyle w:val="Body"/>
              <w:spacing w:before="100" w:after="100"/>
              <w:rPr>
                <w:sz w:val="17"/>
                <w:szCs w:val="17"/>
              </w:rPr>
            </w:pPr>
          </w:p>
        </w:tc>
      </w:tr>
      <w:tr w:rsidR="002A0CC4" w14:paraId="741C3EAC" w14:textId="77777777" w:rsidTr="00C11090">
        <w:trPr>
          <w:cnfStyle w:val="000000100000" w:firstRow="0" w:lastRow="0" w:firstColumn="0" w:lastColumn="0" w:oddVBand="0" w:evenVBand="0" w:oddHBand="1" w:evenHBand="0" w:firstRowFirstColumn="0" w:firstRowLastColumn="0" w:lastRowFirstColumn="0" w:lastRowLastColumn="0"/>
          <w:trHeight w:val="757"/>
        </w:trPr>
        <w:tc>
          <w:tcPr>
            <w:tcW w:w="1649" w:type="pct"/>
          </w:tcPr>
          <w:p w14:paraId="21A941B3" w14:textId="77777777" w:rsidR="002A0CC4" w:rsidRPr="0070060E" w:rsidRDefault="002A0CC4" w:rsidP="00B8308B">
            <w:pPr>
              <w:pStyle w:val="ListBullet"/>
            </w:pPr>
            <w:r w:rsidRPr="0070060E">
              <w:t>car parking benefits provided by certain non-profit bodies, including public benevolent institutions</w:t>
            </w:r>
          </w:p>
        </w:tc>
        <w:tc>
          <w:tcPr>
            <w:tcW w:w="620" w:type="pct"/>
            <w:gridSpan w:val="2"/>
          </w:tcPr>
          <w:p w14:paraId="754A27EC" w14:textId="77777777" w:rsidR="002A0CC4" w:rsidRPr="0070060E" w:rsidRDefault="002A0CC4" w:rsidP="002A0CC4">
            <w:pPr>
              <w:pStyle w:val="Body"/>
              <w:spacing w:before="100" w:after="100"/>
              <w:rPr>
                <w:sz w:val="17"/>
                <w:szCs w:val="17"/>
              </w:rPr>
            </w:pPr>
          </w:p>
        </w:tc>
        <w:tc>
          <w:tcPr>
            <w:tcW w:w="358" w:type="pct"/>
            <w:gridSpan w:val="2"/>
          </w:tcPr>
          <w:p w14:paraId="38EA75E8" w14:textId="77777777" w:rsidR="002A0CC4" w:rsidRPr="0070060E" w:rsidRDefault="002A0CC4" w:rsidP="002A0CC4">
            <w:pPr>
              <w:pStyle w:val="Body"/>
              <w:spacing w:before="100" w:after="100"/>
              <w:rPr>
                <w:sz w:val="17"/>
                <w:szCs w:val="17"/>
              </w:rPr>
            </w:pPr>
          </w:p>
        </w:tc>
        <w:tc>
          <w:tcPr>
            <w:tcW w:w="1724" w:type="pct"/>
            <w:gridSpan w:val="3"/>
            <w:vMerge/>
          </w:tcPr>
          <w:p w14:paraId="15BA11C9" w14:textId="77777777" w:rsidR="002A0CC4" w:rsidRPr="0070060E" w:rsidRDefault="002A0CC4" w:rsidP="002A0CC4">
            <w:pPr>
              <w:pStyle w:val="Table"/>
              <w:spacing w:before="100" w:after="100"/>
              <w:rPr>
                <w:b/>
                <w:sz w:val="17"/>
                <w:szCs w:val="17"/>
              </w:rPr>
            </w:pPr>
          </w:p>
        </w:tc>
        <w:tc>
          <w:tcPr>
            <w:tcW w:w="649" w:type="pct"/>
            <w:gridSpan w:val="2"/>
            <w:vMerge/>
          </w:tcPr>
          <w:p w14:paraId="1E4910F5" w14:textId="77777777" w:rsidR="002A0CC4" w:rsidRPr="0070060E" w:rsidRDefault="002A0CC4" w:rsidP="002A0CC4">
            <w:pPr>
              <w:pStyle w:val="Body"/>
              <w:spacing w:before="100" w:after="100"/>
              <w:rPr>
                <w:sz w:val="17"/>
                <w:szCs w:val="17"/>
              </w:rPr>
            </w:pPr>
          </w:p>
        </w:tc>
      </w:tr>
      <w:tr w:rsidR="002A0CC4" w14:paraId="435E1FBD" w14:textId="77777777" w:rsidTr="00C11090">
        <w:trPr>
          <w:trHeight w:val="776"/>
        </w:trPr>
        <w:tc>
          <w:tcPr>
            <w:tcW w:w="1649" w:type="pct"/>
          </w:tcPr>
          <w:p w14:paraId="7A9D4B1C" w14:textId="77777777" w:rsidR="002A0CC4" w:rsidRPr="0070060E" w:rsidRDefault="002A0CC4" w:rsidP="00B8308B">
            <w:pPr>
              <w:pStyle w:val="ListBullet"/>
            </w:pPr>
            <w:r w:rsidRPr="0070060E">
              <w:t>benefits exempted by FBT regulations, such as parking for disabled employees.</w:t>
            </w:r>
          </w:p>
        </w:tc>
        <w:tc>
          <w:tcPr>
            <w:tcW w:w="620" w:type="pct"/>
            <w:gridSpan w:val="2"/>
          </w:tcPr>
          <w:p w14:paraId="7F577079" w14:textId="77777777" w:rsidR="002A0CC4" w:rsidRPr="0070060E" w:rsidRDefault="002A0CC4" w:rsidP="002A0CC4">
            <w:pPr>
              <w:pStyle w:val="Body"/>
              <w:spacing w:before="100" w:after="100"/>
              <w:rPr>
                <w:sz w:val="17"/>
                <w:szCs w:val="17"/>
              </w:rPr>
            </w:pPr>
          </w:p>
        </w:tc>
        <w:tc>
          <w:tcPr>
            <w:tcW w:w="358" w:type="pct"/>
            <w:gridSpan w:val="2"/>
          </w:tcPr>
          <w:p w14:paraId="5882C32C" w14:textId="77777777" w:rsidR="002A0CC4" w:rsidRPr="0070060E" w:rsidRDefault="002A0CC4" w:rsidP="002A0CC4">
            <w:pPr>
              <w:pStyle w:val="Body"/>
              <w:spacing w:before="100" w:after="100"/>
              <w:rPr>
                <w:sz w:val="17"/>
                <w:szCs w:val="17"/>
              </w:rPr>
            </w:pPr>
          </w:p>
        </w:tc>
        <w:tc>
          <w:tcPr>
            <w:tcW w:w="1724" w:type="pct"/>
            <w:gridSpan w:val="3"/>
            <w:vMerge/>
          </w:tcPr>
          <w:p w14:paraId="2B865A82" w14:textId="77777777" w:rsidR="002A0CC4" w:rsidRPr="0070060E" w:rsidRDefault="002A0CC4" w:rsidP="002A0CC4">
            <w:pPr>
              <w:pStyle w:val="Table"/>
              <w:spacing w:before="100" w:after="100"/>
              <w:rPr>
                <w:b/>
                <w:sz w:val="17"/>
                <w:szCs w:val="17"/>
              </w:rPr>
            </w:pPr>
          </w:p>
        </w:tc>
        <w:tc>
          <w:tcPr>
            <w:tcW w:w="649" w:type="pct"/>
            <w:gridSpan w:val="2"/>
            <w:vMerge/>
          </w:tcPr>
          <w:p w14:paraId="5C4AF9CD" w14:textId="77777777" w:rsidR="002A0CC4" w:rsidRPr="0070060E" w:rsidRDefault="002A0CC4" w:rsidP="002A0CC4">
            <w:pPr>
              <w:pStyle w:val="Body"/>
              <w:spacing w:before="100" w:after="100"/>
              <w:rPr>
                <w:sz w:val="17"/>
                <w:szCs w:val="17"/>
              </w:rPr>
            </w:pPr>
          </w:p>
        </w:tc>
      </w:tr>
      <w:tr w:rsidR="002A0CC4" w14:paraId="2DBB898A" w14:textId="77777777" w:rsidTr="00B8308B">
        <w:trPr>
          <w:cnfStyle w:val="000000100000" w:firstRow="0" w:lastRow="0" w:firstColumn="0" w:lastColumn="0" w:oddVBand="0" w:evenVBand="0" w:oddHBand="1" w:evenHBand="0" w:firstRowFirstColumn="0" w:firstRowLastColumn="0" w:lastRowFirstColumn="0" w:lastRowLastColumn="0"/>
          <w:trHeight w:val="1440"/>
        </w:trPr>
        <w:tc>
          <w:tcPr>
            <w:tcW w:w="1649" w:type="pct"/>
          </w:tcPr>
          <w:p w14:paraId="0CF46F94" w14:textId="77777777" w:rsidR="002A0CC4" w:rsidRPr="00B8308B" w:rsidRDefault="002A0CC4" w:rsidP="002A0CC4">
            <w:pPr>
              <w:pStyle w:val="Table"/>
              <w:spacing w:before="100" w:after="100"/>
              <w:rPr>
                <w:rFonts w:asciiTheme="minorHAnsi" w:eastAsiaTheme="minorHAnsi" w:hAnsiTheme="minorHAnsi"/>
                <w:i/>
                <w:iCs/>
                <w:color w:val="090D46" w:themeColor="text1"/>
                <w:sz w:val="18"/>
                <w:szCs w:val="22"/>
              </w:rPr>
            </w:pPr>
            <w:r w:rsidRPr="00B8308B">
              <w:rPr>
                <w:rFonts w:asciiTheme="minorHAnsi" w:eastAsiaTheme="minorHAnsi" w:hAnsiTheme="minorHAnsi"/>
                <w:i/>
                <w:iCs/>
                <w:color w:val="090D46" w:themeColor="text1"/>
                <w:sz w:val="18"/>
                <w:szCs w:val="22"/>
              </w:rPr>
              <w:t>Benefit arises where:</w:t>
            </w:r>
          </w:p>
          <w:p w14:paraId="1869330C" w14:textId="77777777" w:rsidR="002A0CC4" w:rsidRPr="0070060E" w:rsidRDefault="002A0CC4" w:rsidP="00B8308B">
            <w:pPr>
              <w:pStyle w:val="ListBullet"/>
            </w:pPr>
            <w:r w:rsidRPr="0070060E">
              <w:t>the car is parked for a period of more than four hours between 7.00am and 7.00pm in the vicinity of the employee’s primary place of employment</w:t>
            </w:r>
          </w:p>
        </w:tc>
        <w:tc>
          <w:tcPr>
            <w:tcW w:w="620" w:type="pct"/>
            <w:gridSpan w:val="2"/>
          </w:tcPr>
          <w:p w14:paraId="16D80244" w14:textId="77777777" w:rsidR="002A0CC4" w:rsidRPr="0070060E" w:rsidRDefault="002A0CC4" w:rsidP="002A0CC4">
            <w:pPr>
              <w:pStyle w:val="Body"/>
              <w:spacing w:before="100" w:after="100"/>
              <w:rPr>
                <w:sz w:val="17"/>
                <w:szCs w:val="17"/>
              </w:rPr>
            </w:pPr>
          </w:p>
        </w:tc>
        <w:tc>
          <w:tcPr>
            <w:tcW w:w="358" w:type="pct"/>
            <w:gridSpan w:val="2"/>
          </w:tcPr>
          <w:p w14:paraId="77DBB94D" w14:textId="77777777" w:rsidR="002A0CC4" w:rsidRPr="0070060E" w:rsidRDefault="002A0CC4" w:rsidP="002A0CC4">
            <w:pPr>
              <w:pStyle w:val="Body"/>
              <w:spacing w:before="100" w:after="100"/>
              <w:rPr>
                <w:sz w:val="17"/>
                <w:szCs w:val="17"/>
              </w:rPr>
            </w:pPr>
          </w:p>
        </w:tc>
        <w:tc>
          <w:tcPr>
            <w:tcW w:w="1724" w:type="pct"/>
            <w:gridSpan w:val="3"/>
            <w:vMerge w:val="restart"/>
            <w:vAlign w:val="top"/>
          </w:tcPr>
          <w:p w14:paraId="4360AD91" w14:textId="77777777" w:rsidR="002A0CC4" w:rsidRPr="00B8308B" w:rsidRDefault="002A0CC4" w:rsidP="00B8308B">
            <w:pPr>
              <w:rPr>
                <w:b/>
                <w:bCs/>
              </w:rPr>
            </w:pPr>
            <w:r w:rsidRPr="00B8308B">
              <w:rPr>
                <w:b/>
                <w:bCs/>
              </w:rPr>
              <w:t>Reimbursement of car parking expenses</w:t>
            </w:r>
          </w:p>
          <w:p w14:paraId="6EEF7169" w14:textId="77777777" w:rsidR="002A0CC4" w:rsidRPr="0070060E" w:rsidRDefault="002A0CC4" w:rsidP="00B8308B">
            <w:pPr>
              <w:pStyle w:val="ListBullet"/>
            </w:pPr>
            <w:r w:rsidRPr="0070060E">
              <w:t>amount of expense</w:t>
            </w:r>
          </w:p>
          <w:p w14:paraId="72DEABE6" w14:textId="77777777" w:rsidR="002A0CC4" w:rsidRPr="0070060E" w:rsidRDefault="002A0CC4" w:rsidP="00B8308B">
            <w:pPr>
              <w:pStyle w:val="ListBullet"/>
            </w:pPr>
            <w:r w:rsidRPr="0070060E">
              <w:t>employee contributions (if any).</w:t>
            </w:r>
          </w:p>
        </w:tc>
        <w:tc>
          <w:tcPr>
            <w:tcW w:w="649" w:type="pct"/>
            <w:gridSpan w:val="2"/>
            <w:vMerge w:val="restart"/>
            <w:vAlign w:val="top"/>
          </w:tcPr>
          <w:p w14:paraId="63757FFA" w14:textId="77777777" w:rsidR="002A0CC4" w:rsidRPr="0070060E" w:rsidRDefault="002A0CC4" w:rsidP="00B8308B">
            <w:r w:rsidRPr="0070060E">
              <w:t>Expense payment fringe benefit</w:t>
            </w:r>
          </w:p>
        </w:tc>
      </w:tr>
      <w:tr w:rsidR="002A0CC4" w14:paraId="1B054927" w14:textId="77777777" w:rsidTr="00C11090">
        <w:trPr>
          <w:trHeight w:val="568"/>
        </w:trPr>
        <w:tc>
          <w:tcPr>
            <w:tcW w:w="1649" w:type="pct"/>
          </w:tcPr>
          <w:p w14:paraId="0E98464E" w14:textId="77777777" w:rsidR="002A0CC4" w:rsidRPr="0070060E" w:rsidRDefault="002A0CC4" w:rsidP="00B8308B">
            <w:pPr>
              <w:pStyle w:val="ListBullet"/>
            </w:pPr>
            <w:r w:rsidRPr="0070060E">
              <w:t>the benefit is provided in respect of employment</w:t>
            </w:r>
          </w:p>
        </w:tc>
        <w:tc>
          <w:tcPr>
            <w:tcW w:w="620" w:type="pct"/>
            <w:gridSpan w:val="2"/>
          </w:tcPr>
          <w:p w14:paraId="02CDE9A5" w14:textId="77777777" w:rsidR="002A0CC4" w:rsidRDefault="002A0CC4" w:rsidP="002A0CC4">
            <w:pPr>
              <w:pStyle w:val="Body"/>
              <w:spacing w:before="100" w:after="100"/>
            </w:pPr>
          </w:p>
        </w:tc>
        <w:tc>
          <w:tcPr>
            <w:tcW w:w="358" w:type="pct"/>
            <w:gridSpan w:val="2"/>
          </w:tcPr>
          <w:p w14:paraId="3089011C" w14:textId="77777777" w:rsidR="002A0CC4" w:rsidRDefault="002A0CC4" w:rsidP="002A0CC4">
            <w:pPr>
              <w:pStyle w:val="Body"/>
              <w:spacing w:before="100" w:after="100"/>
            </w:pPr>
          </w:p>
        </w:tc>
        <w:tc>
          <w:tcPr>
            <w:tcW w:w="1724" w:type="pct"/>
            <w:gridSpan w:val="3"/>
            <w:vMerge/>
          </w:tcPr>
          <w:p w14:paraId="12FC626C" w14:textId="77777777" w:rsidR="002A0CC4" w:rsidRPr="003530BC" w:rsidRDefault="002A0CC4" w:rsidP="002A0CC4">
            <w:pPr>
              <w:pStyle w:val="Table"/>
              <w:spacing w:before="100" w:after="100"/>
              <w:rPr>
                <w:b/>
              </w:rPr>
            </w:pPr>
          </w:p>
        </w:tc>
        <w:tc>
          <w:tcPr>
            <w:tcW w:w="649" w:type="pct"/>
            <w:gridSpan w:val="2"/>
            <w:vMerge/>
          </w:tcPr>
          <w:p w14:paraId="77588C24" w14:textId="77777777" w:rsidR="002A0CC4" w:rsidRPr="003530BC" w:rsidRDefault="002A0CC4" w:rsidP="002A0CC4">
            <w:pPr>
              <w:pStyle w:val="Body"/>
              <w:spacing w:before="100" w:after="100"/>
            </w:pPr>
          </w:p>
        </w:tc>
      </w:tr>
      <w:tr w:rsidR="002A0CC4" w14:paraId="5A4BC3FF" w14:textId="77777777" w:rsidTr="00C11090">
        <w:trPr>
          <w:cnfStyle w:val="000000100000" w:firstRow="0" w:lastRow="0" w:firstColumn="0" w:lastColumn="0" w:oddVBand="0" w:evenVBand="0" w:oddHBand="1" w:evenHBand="0" w:firstRowFirstColumn="0" w:firstRowLastColumn="0" w:lastRowFirstColumn="0" w:lastRowLastColumn="0"/>
          <w:trHeight w:val="776"/>
        </w:trPr>
        <w:tc>
          <w:tcPr>
            <w:tcW w:w="1649" w:type="pct"/>
          </w:tcPr>
          <w:p w14:paraId="34D40B40" w14:textId="77777777" w:rsidR="002A0CC4" w:rsidRPr="00785E7E" w:rsidRDefault="002A0CC4" w:rsidP="00B8308B">
            <w:pPr>
              <w:pStyle w:val="ListBullet"/>
            </w:pPr>
            <w:r w:rsidRPr="0070060E">
              <w:t>the car is used for travel between home and work by the employee at least once on that day</w:t>
            </w:r>
          </w:p>
        </w:tc>
        <w:tc>
          <w:tcPr>
            <w:tcW w:w="620" w:type="pct"/>
            <w:gridSpan w:val="2"/>
          </w:tcPr>
          <w:p w14:paraId="45C064ED" w14:textId="77777777" w:rsidR="002A0CC4" w:rsidRDefault="002A0CC4" w:rsidP="002A0CC4">
            <w:pPr>
              <w:pStyle w:val="Body"/>
              <w:spacing w:before="100" w:after="100"/>
            </w:pPr>
          </w:p>
        </w:tc>
        <w:tc>
          <w:tcPr>
            <w:tcW w:w="358" w:type="pct"/>
            <w:gridSpan w:val="2"/>
          </w:tcPr>
          <w:p w14:paraId="00ECA74D" w14:textId="77777777" w:rsidR="002A0CC4" w:rsidRDefault="002A0CC4" w:rsidP="002A0CC4">
            <w:pPr>
              <w:pStyle w:val="Body"/>
              <w:spacing w:before="100" w:after="100"/>
            </w:pPr>
          </w:p>
        </w:tc>
        <w:tc>
          <w:tcPr>
            <w:tcW w:w="1724" w:type="pct"/>
            <w:gridSpan w:val="3"/>
            <w:vMerge/>
          </w:tcPr>
          <w:p w14:paraId="11DAE83A" w14:textId="77777777" w:rsidR="002A0CC4" w:rsidRPr="003530BC" w:rsidRDefault="002A0CC4" w:rsidP="002A0CC4">
            <w:pPr>
              <w:pStyle w:val="Table"/>
              <w:spacing w:before="100" w:after="100"/>
              <w:rPr>
                <w:b/>
              </w:rPr>
            </w:pPr>
          </w:p>
        </w:tc>
        <w:tc>
          <w:tcPr>
            <w:tcW w:w="649" w:type="pct"/>
            <w:gridSpan w:val="2"/>
            <w:vMerge/>
          </w:tcPr>
          <w:p w14:paraId="160BB5D7" w14:textId="77777777" w:rsidR="002A0CC4" w:rsidRPr="003530BC" w:rsidRDefault="002A0CC4" w:rsidP="002A0CC4">
            <w:pPr>
              <w:pStyle w:val="Body"/>
              <w:spacing w:before="100" w:after="100"/>
            </w:pPr>
          </w:p>
        </w:tc>
      </w:tr>
      <w:tr w:rsidR="002A0CC4" w14:paraId="48BFE86C" w14:textId="77777777" w:rsidTr="00C11090">
        <w:trPr>
          <w:trHeight w:val="1174"/>
        </w:trPr>
        <w:tc>
          <w:tcPr>
            <w:tcW w:w="1649" w:type="pct"/>
          </w:tcPr>
          <w:p w14:paraId="27AAE963" w14:textId="77777777" w:rsidR="002A0CC4" w:rsidRDefault="002A0CC4" w:rsidP="00B8308B">
            <w:pPr>
              <w:pStyle w:val="ListBullet"/>
            </w:pPr>
            <w:r>
              <w:t>the employee is reimbursed for the car parking.</w:t>
            </w:r>
          </w:p>
          <w:p w14:paraId="390A9296" w14:textId="77777777" w:rsidR="002A0CC4" w:rsidRDefault="002A0CC4" w:rsidP="00B8308B">
            <w:pPr>
              <w:rPr>
                <w:sz w:val="16"/>
                <w:szCs w:val="20"/>
              </w:rPr>
            </w:pPr>
            <w:r w:rsidRPr="00B8308B">
              <w:rPr>
                <w:b/>
                <w:sz w:val="16"/>
                <w:szCs w:val="20"/>
              </w:rPr>
              <w:t>Note</w:t>
            </w:r>
            <w:r w:rsidRPr="00B8308B">
              <w:rPr>
                <w:sz w:val="16"/>
                <w:szCs w:val="20"/>
              </w:rPr>
              <w:t>: There is no requirement relating to the provision or ownership of the car being parked.</w:t>
            </w:r>
          </w:p>
          <w:p w14:paraId="6B75A44F" w14:textId="77777777" w:rsidR="00B8308B" w:rsidRDefault="00B8308B" w:rsidP="00B8308B">
            <w:pPr>
              <w:rPr>
                <w:sz w:val="16"/>
                <w:szCs w:val="20"/>
              </w:rPr>
            </w:pPr>
          </w:p>
          <w:p w14:paraId="62C851BB" w14:textId="31357927" w:rsidR="00B8308B" w:rsidRPr="0070060E" w:rsidRDefault="00B8308B" w:rsidP="00B8308B">
            <w:pPr>
              <w:rPr>
                <w:sz w:val="17"/>
                <w:szCs w:val="17"/>
              </w:rPr>
            </w:pPr>
          </w:p>
        </w:tc>
        <w:tc>
          <w:tcPr>
            <w:tcW w:w="620" w:type="pct"/>
            <w:gridSpan w:val="2"/>
          </w:tcPr>
          <w:p w14:paraId="39F459D0" w14:textId="77777777" w:rsidR="002A0CC4" w:rsidRDefault="002A0CC4" w:rsidP="002A0CC4">
            <w:pPr>
              <w:pStyle w:val="Body"/>
              <w:spacing w:before="100" w:after="100"/>
            </w:pPr>
          </w:p>
        </w:tc>
        <w:tc>
          <w:tcPr>
            <w:tcW w:w="358" w:type="pct"/>
            <w:gridSpan w:val="2"/>
          </w:tcPr>
          <w:p w14:paraId="6E264319" w14:textId="77777777" w:rsidR="002A0CC4" w:rsidRDefault="002A0CC4" w:rsidP="002A0CC4">
            <w:pPr>
              <w:pStyle w:val="Body"/>
              <w:spacing w:before="100" w:after="100"/>
            </w:pPr>
          </w:p>
        </w:tc>
        <w:tc>
          <w:tcPr>
            <w:tcW w:w="1724" w:type="pct"/>
            <w:gridSpan w:val="3"/>
            <w:vMerge/>
          </w:tcPr>
          <w:p w14:paraId="4CE8FB4F" w14:textId="77777777" w:rsidR="002A0CC4" w:rsidRPr="003530BC" w:rsidRDefault="002A0CC4" w:rsidP="002A0CC4">
            <w:pPr>
              <w:pStyle w:val="Table"/>
              <w:spacing w:before="100" w:after="100"/>
              <w:rPr>
                <w:b/>
              </w:rPr>
            </w:pPr>
          </w:p>
        </w:tc>
        <w:tc>
          <w:tcPr>
            <w:tcW w:w="649" w:type="pct"/>
            <w:gridSpan w:val="2"/>
            <w:vMerge/>
          </w:tcPr>
          <w:p w14:paraId="20FDEED3" w14:textId="77777777" w:rsidR="002A0CC4" w:rsidRPr="003530BC" w:rsidRDefault="002A0CC4" w:rsidP="002A0CC4">
            <w:pPr>
              <w:pStyle w:val="Body"/>
              <w:spacing w:before="100" w:after="100"/>
            </w:pPr>
          </w:p>
        </w:tc>
      </w:tr>
      <w:tr w:rsidR="002A0CC4" w:rsidRPr="00AF24CF" w14:paraId="295452A9" w14:textId="77777777" w:rsidTr="00844D1F">
        <w:trPr>
          <w:cnfStyle w:val="000000100000" w:firstRow="0" w:lastRow="0" w:firstColumn="0" w:lastColumn="0" w:oddVBand="0" w:evenVBand="0" w:oddHBand="1" w:evenHBand="0" w:firstRowFirstColumn="0" w:firstRowLastColumn="0" w:lastRowFirstColumn="0" w:lastRowLastColumn="0"/>
          <w:trHeight w:val="378"/>
        </w:trPr>
        <w:tc>
          <w:tcPr>
            <w:tcW w:w="5000" w:type="pct"/>
            <w:gridSpan w:val="10"/>
            <w:shd w:val="clear" w:color="auto" w:fill="0A5CC7" w:themeFill="accent3"/>
          </w:tcPr>
          <w:p w14:paraId="054453ED" w14:textId="77777777" w:rsidR="002A0CC4" w:rsidRPr="00844D1F" w:rsidRDefault="002A0CC4" w:rsidP="002A0CC4">
            <w:pPr>
              <w:pStyle w:val="Tableheading"/>
              <w:spacing w:before="100" w:after="100"/>
              <w:rPr>
                <w:color w:val="FFFFFF" w:themeColor="background1"/>
              </w:rPr>
            </w:pPr>
            <w:r w:rsidRPr="00844D1F">
              <w:rPr>
                <w:color w:val="FFFFFF" w:themeColor="background1"/>
                <w:sz w:val="17"/>
                <w:szCs w:val="17"/>
              </w:rPr>
              <w:t>BOARD</w:t>
            </w:r>
          </w:p>
        </w:tc>
      </w:tr>
      <w:tr w:rsidR="002A0CC4" w14:paraId="1C60F627" w14:textId="77777777" w:rsidTr="00861E6D">
        <w:trPr>
          <w:trHeight w:val="1440"/>
        </w:trPr>
        <w:tc>
          <w:tcPr>
            <w:tcW w:w="1649" w:type="pct"/>
          </w:tcPr>
          <w:p w14:paraId="22F3F3A4" w14:textId="77777777" w:rsidR="002A0CC4" w:rsidRPr="00B8308B" w:rsidRDefault="002A0CC4" w:rsidP="002A0CC4">
            <w:pPr>
              <w:pStyle w:val="Body"/>
              <w:spacing w:before="100" w:after="100"/>
              <w:rPr>
                <w:rFonts w:asciiTheme="minorHAnsi" w:eastAsiaTheme="minorHAnsi" w:hAnsiTheme="minorHAnsi"/>
                <w:i/>
                <w:iCs/>
                <w:color w:val="090D46" w:themeColor="text1"/>
                <w:sz w:val="18"/>
                <w:szCs w:val="22"/>
              </w:rPr>
            </w:pPr>
            <w:r w:rsidRPr="00B8308B">
              <w:rPr>
                <w:rFonts w:asciiTheme="minorHAnsi" w:eastAsiaTheme="minorHAnsi" w:hAnsiTheme="minorHAnsi"/>
                <w:i/>
                <w:iCs/>
                <w:color w:val="090D46" w:themeColor="text1"/>
                <w:sz w:val="18"/>
                <w:szCs w:val="22"/>
              </w:rPr>
              <w:t>Benefit arises where:</w:t>
            </w:r>
          </w:p>
          <w:p w14:paraId="03D690AE" w14:textId="77777777" w:rsidR="002A0CC4" w:rsidRPr="00196E22" w:rsidRDefault="002A0CC4" w:rsidP="00861E6D">
            <w:pPr>
              <w:pStyle w:val="ListBullet"/>
            </w:pPr>
            <w:r w:rsidRPr="00196E22">
              <w:t>the employee or associate under either an industrial award or under some type of arrangement is entitled to residential accommodation and at least two meals a day</w:t>
            </w:r>
          </w:p>
        </w:tc>
        <w:tc>
          <w:tcPr>
            <w:tcW w:w="620" w:type="pct"/>
            <w:gridSpan w:val="2"/>
          </w:tcPr>
          <w:p w14:paraId="59791C3B" w14:textId="77777777" w:rsidR="002A0CC4" w:rsidRPr="00196E22" w:rsidRDefault="002A0CC4" w:rsidP="002A0CC4">
            <w:pPr>
              <w:pStyle w:val="Body"/>
              <w:spacing w:before="100" w:after="100"/>
              <w:rPr>
                <w:sz w:val="17"/>
                <w:szCs w:val="17"/>
              </w:rPr>
            </w:pPr>
          </w:p>
        </w:tc>
        <w:tc>
          <w:tcPr>
            <w:tcW w:w="358" w:type="pct"/>
            <w:gridSpan w:val="2"/>
          </w:tcPr>
          <w:p w14:paraId="163CE60B" w14:textId="77777777" w:rsidR="002A0CC4" w:rsidRPr="00196E22" w:rsidRDefault="002A0CC4" w:rsidP="002A0CC4">
            <w:pPr>
              <w:pStyle w:val="Body"/>
              <w:spacing w:before="100" w:after="100"/>
              <w:rPr>
                <w:sz w:val="17"/>
                <w:szCs w:val="17"/>
              </w:rPr>
            </w:pPr>
          </w:p>
        </w:tc>
        <w:tc>
          <w:tcPr>
            <w:tcW w:w="1724" w:type="pct"/>
            <w:gridSpan w:val="3"/>
            <w:vMerge w:val="restart"/>
            <w:vAlign w:val="top"/>
          </w:tcPr>
          <w:p w14:paraId="3951E8F9" w14:textId="77777777" w:rsidR="002A0CC4" w:rsidRPr="00196E22" w:rsidRDefault="002A0CC4" w:rsidP="00861E6D">
            <w:r w:rsidRPr="00196E22">
              <w:rPr>
                <w:b/>
              </w:rPr>
              <w:t>Board benefit</w:t>
            </w:r>
            <w:r w:rsidRPr="00196E22">
              <w:br/>
            </w:r>
            <w:r w:rsidRPr="00861E6D">
              <w:rPr>
                <w:i/>
                <w:iCs/>
              </w:rPr>
              <w:t>(refer formula 10)</w:t>
            </w:r>
          </w:p>
          <w:p w14:paraId="16635C0C" w14:textId="77777777" w:rsidR="002A0CC4" w:rsidRPr="00196E22" w:rsidRDefault="002A0CC4" w:rsidP="00861E6D">
            <w:pPr>
              <w:pStyle w:val="ListBullet"/>
            </w:pPr>
            <w:r w:rsidRPr="00196E22">
              <w:t>number of employees (or family members) receiving the board</w:t>
            </w:r>
          </w:p>
          <w:p w14:paraId="7CCEE5B0" w14:textId="77777777" w:rsidR="002A0CC4" w:rsidRPr="00196E22" w:rsidRDefault="002A0CC4" w:rsidP="00861E6D">
            <w:pPr>
              <w:pStyle w:val="ListBullet"/>
            </w:pPr>
            <w:r w:rsidRPr="00196E22">
              <w:t>number of days board provided</w:t>
            </w:r>
          </w:p>
          <w:p w14:paraId="284E8D05" w14:textId="77777777" w:rsidR="002A0CC4" w:rsidRPr="00196E22" w:rsidRDefault="002A0CC4" w:rsidP="00861E6D">
            <w:pPr>
              <w:pStyle w:val="ListBullet"/>
            </w:pPr>
            <w:r w:rsidRPr="00196E22">
              <w:t>number of meals provided</w:t>
            </w:r>
          </w:p>
          <w:p w14:paraId="6884CADC" w14:textId="77777777" w:rsidR="002A0CC4" w:rsidRPr="00196E22" w:rsidRDefault="002A0CC4" w:rsidP="00861E6D">
            <w:pPr>
              <w:pStyle w:val="ListBullet"/>
            </w:pPr>
            <w:r w:rsidRPr="00196E22">
              <w:t>employee contributions (if any).</w:t>
            </w:r>
          </w:p>
        </w:tc>
        <w:tc>
          <w:tcPr>
            <w:tcW w:w="649" w:type="pct"/>
            <w:gridSpan w:val="2"/>
            <w:vMerge w:val="restart"/>
            <w:vAlign w:val="top"/>
          </w:tcPr>
          <w:p w14:paraId="49675627" w14:textId="77777777" w:rsidR="002A0CC4" w:rsidRPr="00196E22" w:rsidRDefault="002A0CC4" w:rsidP="00861E6D">
            <w:r w:rsidRPr="00196E22">
              <w:t>Board fringe benefit</w:t>
            </w:r>
          </w:p>
        </w:tc>
      </w:tr>
      <w:tr w:rsidR="002A0CC4" w14:paraId="69FBA51B" w14:textId="77777777" w:rsidTr="00C11090">
        <w:trPr>
          <w:cnfStyle w:val="000000100000" w:firstRow="0" w:lastRow="0" w:firstColumn="0" w:lastColumn="0" w:oddVBand="0" w:evenVBand="0" w:oddHBand="1" w:evenHBand="0" w:firstRowFirstColumn="0" w:firstRowLastColumn="0" w:lastRowFirstColumn="0" w:lastRowLastColumn="0"/>
          <w:trHeight w:val="568"/>
        </w:trPr>
        <w:tc>
          <w:tcPr>
            <w:tcW w:w="1649" w:type="pct"/>
          </w:tcPr>
          <w:p w14:paraId="4ED003CB" w14:textId="77777777" w:rsidR="002A0CC4" w:rsidRPr="00196E22" w:rsidRDefault="002A0CC4" w:rsidP="00861E6D">
            <w:pPr>
              <w:pStyle w:val="ListBullet"/>
            </w:pPr>
            <w:r w:rsidRPr="00196E22">
              <w:t>the meal is prepared on the employer’s premises</w:t>
            </w:r>
            <w:r>
              <w:t>, worksite, etc</w:t>
            </w:r>
            <w:r w:rsidRPr="00196E22">
              <w:t>.</w:t>
            </w:r>
          </w:p>
        </w:tc>
        <w:tc>
          <w:tcPr>
            <w:tcW w:w="620" w:type="pct"/>
            <w:gridSpan w:val="2"/>
          </w:tcPr>
          <w:p w14:paraId="1D2E637B" w14:textId="77777777" w:rsidR="002A0CC4" w:rsidRDefault="002A0CC4" w:rsidP="002A0CC4">
            <w:pPr>
              <w:pStyle w:val="Body"/>
              <w:spacing w:before="100" w:after="100"/>
            </w:pPr>
          </w:p>
        </w:tc>
        <w:tc>
          <w:tcPr>
            <w:tcW w:w="358" w:type="pct"/>
            <w:gridSpan w:val="2"/>
          </w:tcPr>
          <w:p w14:paraId="17AB2C45" w14:textId="77777777" w:rsidR="002A0CC4" w:rsidRDefault="002A0CC4" w:rsidP="002A0CC4">
            <w:pPr>
              <w:pStyle w:val="Body"/>
              <w:spacing w:before="100" w:after="100"/>
            </w:pPr>
          </w:p>
        </w:tc>
        <w:tc>
          <w:tcPr>
            <w:tcW w:w="1724" w:type="pct"/>
            <w:gridSpan w:val="3"/>
            <w:vMerge/>
          </w:tcPr>
          <w:p w14:paraId="1CCE0A97" w14:textId="77777777" w:rsidR="002A0CC4" w:rsidRDefault="002A0CC4" w:rsidP="002A0CC4">
            <w:pPr>
              <w:pStyle w:val="Table"/>
              <w:spacing w:before="100" w:after="100"/>
            </w:pPr>
          </w:p>
        </w:tc>
        <w:tc>
          <w:tcPr>
            <w:tcW w:w="649" w:type="pct"/>
            <w:gridSpan w:val="2"/>
            <w:vMerge/>
          </w:tcPr>
          <w:p w14:paraId="27790D30" w14:textId="77777777" w:rsidR="002A0CC4" w:rsidRDefault="002A0CC4" w:rsidP="002A0CC4">
            <w:pPr>
              <w:pStyle w:val="Body"/>
              <w:spacing w:before="100" w:after="100"/>
            </w:pPr>
          </w:p>
        </w:tc>
      </w:tr>
      <w:tr w:rsidR="002A0CC4" w14:paraId="47052839" w14:textId="77777777" w:rsidTr="00844D1F">
        <w:trPr>
          <w:trHeight w:val="141"/>
        </w:trPr>
        <w:tc>
          <w:tcPr>
            <w:tcW w:w="5000" w:type="pct"/>
            <w:gridSpan w:val="10"/>
            <w:shd w:val="clear" w:color="auto" w:fill="0A5CC7" w:themeFill="accent3"/>
          </w:tcPr>
          <w:p w14:paraId="1D54531C" w14:textId="77777777" w:rsidR="002A0CC4" w:rsidRPr="00844D1F" w:rsidRDefault="002A0CC4" w:rsidP="002A0CC4">
            <w:pPr>
              <w:pStyle w:val="Tableheading"/>
              <w:spacing w:before="100" w:after="100"/>
              <w:rPr>
                <w:color w:val="FFFFFF" w:themeColor="background1"/>
              </w:rPr>
            </w:pPr>
            <w:r w:rsidRPr="00844D1F">
              <w:rPr>
                <w:color w:val="FFFFFF" w:themeColor="background1"/>
                <w:sz w:val="17"/>
                <w:szCs w:val="17"/>
              </w:rPr>
              <w:t>OTHER BENEFITS PROVIDED TO THE EMPLOYEE OR ASSOCIATE</w:t>
            </w:r>
          </w:p>
        </w:tc>
      </w:tr>
      <w:tr w:rsidR="00861E6D" w14:paraId="40487E19" w14:textId="77777777" w:rsidTr="00D73BD3">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2BE4DE63" w14:textId="77777777" w:rsidR="002A0CC4" w:rsidRPr="00D73BD3" w:rsidRDefault="002A0CC4" w:rsidP="002A0CC4">
            <w:pPr>
              <w:pStyle w:val="Body"/>
              <w:spacing w:before="100" w:after="100"/>
              <w:rPr>
                <w:rFonts w:asciiTheme="minorHAnsi" w:eastAsiaTheme="minorHAnsi" w:hAnsiTheme="minorHAnsi"/>
                <w:i/>
                <w:iCs/>
                <w:color w:val="090D46" w:themeColor="text1"/>
                <w:sz w:val="18"/>
                <w:szCs w:val="22"/>
              </w:rPr>
            </w:pPr>
            <w:r w:rsidRPr="00D73BD3">
              <w:rPr>
                <w:rFonts w:asciiTheme="minorHAnsi" w:eastAsiaTheme="minorHAnsi" w:hAnsiTheme="minorHAnsi"/>
                <w:i/>
                <w:iCs/>
                <w:color w:val="090D46" w:themeColor="text1"/>
                <w:sz w:val="18"/>
                <w:szCs w:val="22"/>
              </w:rPr>
              <w:t>Benefit arises where:</w:t>
            </w:r>
          </w:p>
          <w:p w14:paraId="063440FA" w14:textId="77777777" w:rsidR="002A0CC4" w:rsidRPr="00196E22" w:rsidRDefault="002A0CC4" w:rsidP="00D73BD3">
            <w:pPr>
              <w:pStyle w:val="ListBullet"/>
            </w:pPr>
            <w:r w:rsidRPr="00196E22">
              <w:t>the employer has provided property (either in-house or external)</w:t>
            </w:r>
          </w:p>
        </w:tc>
        <w:tc>
          <w:tcPr>
            <w:tcW w:w="620" w:type="pct"/>
            <w:gridSpan w:val="2"/>
          </w:tcPr>
          <w:p w14:paraId="1DAD7576" w14:textId="77777777" w:rsidR="002A0CC4" w:rsidRDefault="002A0CC4" w:rsidP="002A0CC4">
            <w:pPr>
              <w:pStyle w:val="Body"/>
              <w:spacing w:before="100" w:after="100"/>
            </w:pPr>
          </w:p>
        </w:tc>
        <w:tc>
          <w:tcPr>
            <w:tcW w:w="358" w:type="pct"/>
            <w:gridSpan w:val="2"/>
          </w:tcPr>
          <w:p w14:paraId="22800404" w14:textId="77777777" w:rsidR="002A0CC4" w:rsidRDefault="002A0CC4" w:rsidP="002A0CC4">
            <w:pPr>
              <w:pStyle w:val="Body"/>
              <w:spacing w:before="100" w:after="100"/>
            </w:pPr>
          </w:p>
        </w:tc>
        <w:tc>
          <w:tcPr>
            <w:tcW w:w="1724" w:type="pct"/>
            <w:gridSpan w:val="3"/>
            <w:vMerge w:val="restart"/>
            <w:vAlign w:val="top"/>
          </w:tcPr>
          <w:p w14:paraId="2426C042" w14:textId="77777777" w:rsidR="002A0CC4" w:rsidRPr="00196E22" w:rsidRDefault="002A0CC4" w:rsidP="00D73BD3">
            <w:r w:rsidRPr="00196E22">
              <w:rPr>
                <w:b/>
              </w:rPr>
              <w:t>Property benefit</w:t>
            </w:r>
            <w:r w:rsidRPr="00196E22">
              <w:br/>
            </w:r>
            <w:r w:rsidRPr="00D73BD3">
              <w:rPr>
                <w:i/>
                <w:iCs/>
              </w:rPr>
              <w:t>(refer formula 11)</w:t>
            </w:r>
          </w:p>
          <w:p w14:paraId="7DAA5D4B" w14:textId="77777777" w:rsidR="002A0CC4" w:rsidRPr="00196E22" w:rsidRDefault="002A0CC4" w:rsidP="00D73BD3">
            <w:pPr>
              <w:pStyle w:val="ListBullet"/>
            </w:pPr>
            <w:r w:rsidRPr="00196E22">
              <w:t>description of property provided</w:t>
            </w:r>
          </w:p>
          <w:p w14:paraId="0BCA04BB" w14:textId="77777777" w:rsidR="002A0CC4" w:rsidRPr="00196E22" w:rsidRDefault="002A0CC4" w:rsidP="00D73BD3">
            <w:pPr>
              <w:pStyle w:val="ListBullet"/>
            </w:pPr>
            <w:r w:rsidRPr="00196E22">
              <w:t>type of property (i.e. in-house or external)</w:t>
            </w:r>
          </w:p>
          <w:p w14:paraId="60241E6C" w14:textId="77777777" w:rsidR="002A0CC4" w:rsidRPr="00196E22" w:rsidRDefault="002A0CC4" w:rsidP="00D73BD3">
            <w:pPr>
              <w:pStyle w:val="ListBullet"/>
            </w:pPr>
            <w:r w:rsidRPr="00196E22">
              <w:t>arm’s length price of the property</w:t>
            </w:r>
          </w:p>
          <w:p w14:paraId="64B000AE" w14:textId="77777777" w:rsidR="002A0CC4" w:rsidRPr="00196E22" w:rsidRDefault="002A0CC4" w:rsidP="00D73BD3">
            <w:pPr>
              <w:pStyle w:val="ListBullet"/>
            </w:pPr>
            <w:r w:rsidRPr="00196E22">
              <w:t>employee contribution (if any).</w:t>
            </w:r>
          </w:p>
        </w:tc>
        <w:tc>
          <w:tcPr>
            <w:tcW w:w="649" w:type="pct"/>
            <w:gridSpan w:val="2"/>
            <w:vMerge w:val="restart"/>
            <w:vAlign w:val="top"/>
          </w:tcPr>
          <w:p w14:paraId="4F16FF2F" w14:textId="77777777" w:rsidR="002A0CC4" w:rsidRDefault="002A0CC4" w:rsidP="00D73BD3">
            <w:r w:rsidRPr="00196E22">
              <w:t>Property fringe benefit</w:t>
            </w:r>
          </w:p>
        </w:tc>
      </w:tr>
      <w:tr w:rsidR="002A0CC4" w14:paraId="7A4A19DC" w14:textId="77777777" w:rsidTr="00C11090">
        <w:trPr>
          <w:trHeight w:val="141"/>
        </w:trPr>
        <w:tc>
          <w:tcPr>
            <w:tcW w:w="1649" w:type="pct"/>
          </w:tcPr>
          <w:p w14:paraId="381A5E9F" w14:textId="77777777" w:rsidR="002A0CC4" w:rsidRPr="00196E22" w:rsidRDefault="002A0CC4" w:rsidP="00D73BD3">
            <w:pPr>
              <w:pStyle w:val="ListBullet"/>
            </w:pPr>
            <w:r w:rsidRPr="00196E22">
              <w:t>the benefit is provided in respect of employment.</w:t>
            </w:r>
          </w:p>
        </w:tc>
        <w:tc>
          <w:tcPr>
            <w:tcW w:w="620" w:type="pct"/>
            <w:gridSpan w:val="2"/>
          </w:tcPr>
          <w:p w14:paraId="66ACD5EC" w14:textId="77777777" w:rsidR="002A0CC4" w:rsidRDefault="002A0CC4" w:rsidP="002A0CC4">
            <w:pPr>
              <w:pStyle w:val="Body"/>
              <w:spacing w:before="100" w:after="100"/>
            </w:pPr>
          </w:p>
        </w:tc>
        <w:tc>
          <w:tcPr>
            <w:tcW w:w="358" w:type="pct"/>
            <w:gridSpan w:val="2"/>
          </w:tcPr>
          <w:p w14:paraId="0F97A89D" w14:textId="77777777" w:rsidR="002A0CC4" w:rsidRDefault="002A0CC4" w:rsidP="002A0CC4">
            <w:pPr>
              <w:pStyle w:val="Body"/>
              <w:spacing w:before="100" w:after="100"/>
            </w:pPr>
          </w:p>
        </w:tc>
        <w:tc>
          <w:tcPr>
            <w:tcW w:w="1724" w:type="pct"/>
            <w:gridSpan w:val="3"/>
            <w:vMerge/>
          </w:tcPr>
          <w:p w14:paraId="482C3566" w14:textId="77777777" w:rsidR="002A0CC4" w:rsidRDefault="002A0CC4" w:rsidP="002A0CC4">
            <w:pPr>
              <w:pStyle w:val="Table"/>
              <w:spacing w:before="100" w:after="100"/>
            </w:pPr>
          </w:p>
        </w:tc>
        <w:tc>
          <w:tcPr>
            <w:tcW w:w="649" w:type="pct"/>
            <w:gridSpan w:val="2"/>
            <w:vMerge/>
          </w:tcPr>
          <w:p w14:paraId="630963E4" w14:textId="77777777" w:rsidR="002A0CC4" w:rsidRDefault="002A0CC4" w:rsidP="002A0CC4">
            <w:pPr>
              <w:pStyle w:val="Body"/>
              <w:spacing w:before="100" w:after="100"/>
            </w:pPr>
          </w:p>
        </w:tc>
      </w:tr>
      <w:tr w:rsidR="00861E6D" w14:paraId="283CA76E" w14:textId="77777777" w:rsidTr="00C11090">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07CF0CAE" w14:textId="77777777" w:rsidR="002A0CC4" w:rsidRPr="00D73BD3" w:rsidRDefault="002A0CC4" w:rsidP="002A0CC4">
            <w:pPr>
              <w:pStyle w:val="Body"/>
              <w:spacing w:before="100" w:after="100"/>
              <w:rPr>
                <w:rFonts w:asciiTheme="minorHAnsi" w:eastAsiaTheme="minorHAnsi" w:hAnsiTheme="minorHAnsi"/>
                <w:i/>
                <w:iCs/>
                <w:color w:val="090D46" w:themeColor="text1"/>
                <w:sz w:val="18"/>
                <w:szCs w:val="22"/>
              </w:rPr>
            </w:pPr>
            <w:r w:rsidRPr="00D73BD3">
              <w:rPr>
                <w:rFonts w:asciiTheme="minorHAnsi" w:eastAsiaTheme="minorHAnsi" w:hAnsiTheme="minorHAnsi"/>
                <w:i/>
                <w:iCs/>
                <w:color w:val="090D46" w:themeColor="text1"/>
                <w:sz w:val="18"/>
                <w:szCs w:val="22"/>
              </w:rPr>
              <w:t>Exemptions include:</w:t>
            </w:r>
          </w:p>
          <w:p w14:paraId="2D261726" w14:textId="77777777" w:rsidR="002A0CC4" w:rsidRPr="00196E22" w:rsidRDefault="002A0CC4" w:rsidP="00D73BD3">
            <w:pPr>
              <w:pStyle w:val="ListBullet"/>
            </w:pPr>
            <w:r w:rsidRPr="00196E22">
              <w:t>the first $1,000 of any in-house benefits.</w:t>
            </w:r>
          </w:p>
          <w:p w14:paraId="2952DF87" w14:textId="77777777" w:rsidR="002A0CC4" w:rsidRPr="00196E22" w:rsidRDefault="002A0CC4" w:rsidP="00D73BD3">
            <w:r w:rsidRPr="00D73BD3">
              <w:rPr>
                <w:b/>
                <w:sz w:val="16"/>
                <w:szCs w:val="20"/>
              </w:rPr>
              <w:t>Note:</w:t>
            </w:r>
            <w:r w:rsidRPr="00D73BD3">
              <w:rPr>
                <w:sz w:val="16"/>
                <w:szCs w:val="20"/>
              </w:rPr>
              <w:t xml:space="preserve"> This exemption does not apply where the in-house fringe benefit is provided under a salary packaging arrangement.</w:t>
            </w:r>
          </w:p>
        </w:tc>
        <w:tc>
          <w:tcPr>
            <w:tcW w:w="620" w:type="pct"/>
            <w:gridSpan w:val="2"/>
          </w:tcPr>
          <w:p w14:paraId="6B5605E6" w14:textId="77777777" w:rsidR="002A0CC4" w:rsidRDefault="002A0CC4" w:rsidP="002A0CC4">
            <w:pPr>
              <w:pStyle w:val="Body"/>
              <w:spacing w:before="100" w:after="100"/>
            </w:pPr>
          </w:p>
        </w:tc>
        <w:tc>
          <w:tcPr>
            <w:tcW w:w="358" w:type="pct"/>
            <w:gridSpan w:val="2"/>
          </w:tcPr>
          <w:p w14:paraId="5E2D29CF" w14:textId="77777777" w:rsidR="002A0CC4" w:rsidRDefault="002A0CC4" w:rsidP="002A0CC4">
            <w:pPr>
              <w:pStyle w:val="Body"/>
              <w:spacing w:before="100" w:after="100"/>
            </w:pPr>
          </w:p>
        </w:tc>
        <w:tc>
          <w:tcPr>
            <w:tcW w:w="1724" w:type="pct"/>
            <w:gridSpan w:val="3"/>
            <w:vMerge/>
          </w:tcPr>
          <w:p w14:paraId="05A9E1B7" w14:textId="77777777" w:rsidR="002A0CC4" w:rsidRDefault="002A0CC4" w:rsidP="002A0CC4">
            <w:pPr>
              <w:pStyle w:val="Table"/>
              <w:spacing w:before="100" w:after="100"/>
            </w:pPr>
          </w:p>
        </w:tc>
        <w:tc>
          <w:tcPr>
            <w:tcW w:w="649" w:type="pct"/>
            <w:gridSpan w:val="2"/>
            <w:vMerge/>
          </w:tcPr>
          <w:p w14:paraId="6144D217" w14:textId="77777777" w:rsidR="002A0CC4" w:rsidRDefault="002A0CC4" w:rsidP="002A0CC4">
            <w:pPr>
              <w:pStyle w:val="Body"/>
              <w:spacing w:before="100" w:after="100"/>
            </w:pPr>
          </w:p>
        </w:tc>
      </w:tr>
      <w:tr w:rsidR="002A0CC4" w14:paraId="4864F6A7" w14:textId="77777777" w:rsidTr="00C11090">
        <w:trPr>
          <w:trHeight w:val="141"/>
        </w:trPr>
        <w:tc>
          <w:tcPr>
            <w:tcW w:w="1649" w:type="pct"/>
          </w:tcPr>
          <w:p w14:paraId="57DD5028" w14:textId="77777777" w:rsidR="002A0CC4" w:rsidRDefault="002A0CC4" w:rsidP="00D73BD3">
            <w:pPr>
              <w:pStyle w:val="ListBullet"/>
            </w:pPr>
            <w:r w:rsidRPr="009725AB">
              <w:t>Retraining benefit</w:t>
            </w:r>
            <w:r>
              <w:t xml:space="preserve"> which do not have a sufficient nexus to their current employment. </w:t>
            </w:r>
            <w:r w:rsidRPr="009725AB">
              <w:t xml:space="preserve"> From 2 October 2020, FBT exemption exists for costs incurred by employers in providing reskilling and retraining benefits for redundant or soon to be redundant employees. The exemptions will not include salary packaging arrangements nor extend to Commonwealth supported places at universities or to repayments of Commonwealth student loans.</w:t>
            </w:r>
          </w:p>
          <w:p w14:paraId="711323BC" w14:textId="77777777" w:rsidR="00D73BD3" w:rsidRDefault="00D73BD3" w:rsidP="00D73BD3">
            <w:pPr>
              <w:pStyle w:val="ListBullet"/>
              <w:numPr>
                <w:ilvl w:val="0"/>
                <w:numId w:val="0"/>
              </w:numPr>
              <w:ind w:left="360" w:hanging="360"/>
            </w:pPr>
          </w:p>
          <w:p w14:paraId="39EFF017" w14:textId="797DFB00" w:rsidR="00D73BD3" w:rsidRPr="009725AB" w:rsidRDefault="00D73BD3" w:rsidP="00D73BD3">
            <w:pPr>
              <w:pStyle w:val="ListBullet"/>
              <w:numPr>
                <w:ilvl w:val="0"/>
                <w:numId w:val="0"/>
              </w:numPr>
              <w:ind w:left="360" w:hanging="360"/>
            </w:pPr>
          </w:p>
        </w:tc>
        <w:tc>
          <w:tcPr>
            <w:tcW w:w="620" w:type="pct"/>
            <w:gridSpan w:val="2"/>
          </w:tcPr>
          <w:p w14:paraId="44DA86FC" w14:textId="77777777" w:rsidR="002A0CC4" w:rsidRDefault="002A0CC4" w:rsidP="002A0CC4">
            <w:pPr>
              <w:pStyle w:val="Body"/>
              <w:spacing w:before="100" w:after="100"/>
            </w:pPr>
          </w:p>
        </w:tc>
        <w:tc>
          <w:tcPr>
            <w:tcW w:w="358" w:type="pct"/>
            <w:gridSpan w:val="2"/>
          </w:tcPr>
          <w:p w14:paraId="0E794937" w14:textId="77777777" w:rsidR="002A0CC4" w:rsidRDefault="002A0CC4" w:rsidP="002A0CC4">
            <w:pPr>
              <w:pStyle w:val="Body"/>
              <w:spacing w:before="100" w:after="100"/>
            </w:pPr>
          </w:p>
        </w:tc>
        <w:tc>
          <w:tcPr>
            <w:tcW w:w="1724" w:type="pct"/>
            <w:gridSpan w:val="3"/>
          </w:tcPr>
          <w:p w14:paraId="5DFA8A63" w14:textId="77777777" w:rsidR="002A0CC4" w:rsidRDefault="002A0CC4" w:rsidP="002A0CC4">
            <w:pPr>
              <w:pStyle w:val="Table"/>
              <w:spacing w:before="100" w:after="100"/>
            </w:pPr>
          </w:p>
        </w:tc>
        <w:tc>
          <w:tcPr>
            <w:tcW w:w="649" w:type="pct"/>
            <w:gridSpan w:val="2"/>
          </w:tcPr>
          <w:p w14:paraId="6F9BD5C6" w14:textId="77777777" w:rsidR="002A0CC4" w:rsidRDefault="002A0CC4" w:rsidP="002A0CC4">
            <w:pPr>
              <w:pStyle w:val="Body"/>
              <w:spacing w:before="100" w:after="100"/>
            </w:pPr>
          </w:p>
        </w:tc>
      </w:tr>
      <w:tr w:rsidR="00D73BD3" w14:paraId="0738401C" w14:textId="77777777" w:rsidTr="00D73BD3">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10"/>
            <w:shd w:val="clear" w:color="auto" w:fill="0A5CC7" w:themeFill="accent3"/>
          </w:tcPr>
          <w:p w14:paraId="15F8DCB8" w14:textId="59964AEC" w:rsidR="00D73BD3" w:rsidRPr="00D73BD3" w:rsidRDefault="00D73BD3" w:rsidP="00D73BD3">
            <w:pPr>
              <w:pStyle w:val="Body"/>
              <w:spacing w:before="100" w:after="100"/>
              <w:rPr>
                <w:b/>
                <w:bCs/>
                <w:sz w:val="17"/>
                <w:szCs w:val="17"/>
              </w:rPr>
            </w:pPr>
            <w:r w:rsidRPr="00D73BD3">
              <w:rPr>
                <w:b/>
                <w:bCs/>
                <w:color w:val="FFFFFF" w:themeColor="background1"/>
                <w:sz w:val="17"/>
                <w:szCs w:val="17"/>
              </w:rPr>
              <w:t xml:space="preserve">OTHER BENEFITS PROVIDED TO THE EMPLOYEE OR ASSOCIATE (CONTINUED) </w:t>
            </w:r>
          </w:p>
        </w:tc>
      </w:tr>
      <w:tr w:rsidR="00D73BD3" w14:paraId="2827693E" w14:textId="77777777" w:rsidTr="00733F4B">
        <w:trPr>
          <w:trHeight w:val="141"/>
        </w:trPr>
        <w:tc>
          <w:tcPr>
            <w:tcW w:w="1649" w:type="pct"/>
          </w:tcPr>
          <w:p w14:paraId="645749E5" w14:textId="77777777" w:rsidR="00D73BD3" w:rsidRPr="00733F4B" w:rsidRDefault="00D73BD3" w:rsidP="00733F4B">
            <w:pPr>
              <w:rPr>
                <w:i/>
                <w:iCs/>
              </w:rPr>
            </w:pPr>
            <w:r w:rsidRPr="00733F4B">
              <w:rPr>
                <w:i/>
                <w:iCs/>
              </w:rPr>
              <w:t>Benefit arises where:</w:t>
            </w:r>
          </w:p>
          <w:p w14:paraId="03BABF3F" w14:textId="77777777" w:rsidR="00D73BD3" w:rsidRPr="00196E22" w:rsidRDefault="00D73BD3" w:rsidP="00733F4B">
            <w:pPr>
              <w:pStyle w:val="ListBullet"/>
            </w:pPr>
            <w:r w:rsidRPr="00196E22">
              <w:t>the employer has provided benefits not covered by other valuation rules.</w:t>
            </w:r>
          </w:p>
        </w:tc>
        <w:tc>
          <w:tcPr>
            <w:tcW w:w="620" w:type="pct"/>
            <w:gridSpan w:val="2"/>
          </w:tcPr>
          <w:p w14:paraId="2E477A54" w14:textId="77777777" w:rsidR="00D73BD3" w:rsidRDefault="00D73BD3" w:rsidP="00D73BD3">
            <w:pPr>
              <w:pStyle w:val="Body"/>
              <w:spacing w:before="100" w:after="100"/>
            </w:pPr>
          </w:p>
        </w:tc>
        <w:tc>
          <w:tcPr>
            <w:tcW w:w="358" w:type="pct"/>
            <w:gridSpan w:val="2"/>
          </w:tcPr>
          <w:p w14:paraId="072CA2F7" w14:textId="77777777" w:rsidR="00D73BD3" w:rsidRDefault="00D73BD3" w:rsidP="00D73BD3">
            <w:pPr>
              <w:pStyle w:val="Body"/>
              <w:spacing w:before="100" w:after="100"/>
            </w:pPr>
          </w:p>
        </w:tc>
        <w:tc>
          <w:tcPr>
            <w:tcW w:w="1724" w:type="pct"/>
            <w:gridSpan w:val="3"/>
            <w:vMerge w:val="restart"/>
            <w:vAlign w:val="top"/>
          </w:tcPr>
          <w:p w14:paraId="567484EB" w14:textId="77777777" w:rsidR="00D73BD3" w:rsidRPr="00196E22" w:rsidRDefault="00D73BD3" w:rsidP="00733F4B">
            <w:r w:rsidRPr="00196E22">
              <w:rPr>
                <w:b/>
              </w:rPr>
              <w:t>Residual benefit</w:t>
            </w:r>
            <w:r w:rsidRPr="00196E22">
              <w:br/>
            </w:r>
            <w:r w:rsidRPr="00733F4B">
              <w:rPr>
                <w:i/>
                <w:iCs/>
              </w:rPr>
              <w:t>(refer formula 11)</w:t>
            </w:r>
          </w:p>
          <w:p w14:paraId="4F1C0522" w14:textId="77777777" w:rsidR="00D73BD3" w:rsidRPr="00196E22" w:rsidRDefault="00D73BD3" w:rsidP="00733F4B">
            <w:pPr>
              <w:pStyle w:val="ListBullet"/>
            </w:pPr>
            <w:r w:rsidRPr="00196E22">
              <w:t>description of benefit</w:t>
            </w:r>
          </w:p>
          <w:p w14:paraId="00FDDA6C" w14:textId="77777777" w:rsidR="00D73BD3" w:rsidRPr="00196E22" w:rsidRDefault="00D73BD3" w:rsidP="00733F4B">
            <w:pPr>
              <w:pStyle w:val="ListBullet"/>
            </w:pPr>
            <w:r w:rsidRPr="00196E22">
              <w:t>type of benefit (i.e. in-house or external)</w:t>
            </w:r>
          </w:p>
          <w:p w14:paraId="25B11862" w14:textId="77777777" w:rsidR="00D73BD3" w:rsidRPr="00196E22" w:rsidRDefault="00D73BD3" w:rsidP="00733F4B">
            <w:pPr>
              <w:pStyle w:val="ListBullet"/>
            </w:pPr>
            <w:r w:rsidRPr="00196E22">
              <w:t>arm’s length price of the benefit</w:t>
            </w:r>
          </w:p>
          <w:p w14:paraId="16013575" w14:textId="77777777" w:rsidR="00D73BD3" w:rsidRDefault="00D73BD3" w:rsidP="00733F4B">
            <w:pPr>
              <w:pStyle w:val="ListBullet"/>
            </w:pPr>
            <w:r w:rsidRPr="00196E22">
              <w:t>employee contributions (if any).</w:t>
            </w:r>
          </w:p>
        </w:tc>
        <w:tc>
          <w:tcPr>
            <w:tcW w:w="649" w:type="pct"/>
            <w:gridSpan w:val="2"/>
            <w:vMerge w:val="restart"/>
            <w:vAlign w:val="top"/>
          </w:tcPr>
          <w:p w14:paraId="476C7DEB" w14:textId="77777777" w:rsidR="00D73BD3" w:rsidRDefault="00D73BD3" w:rsidP="00733F4B">
            <w:r w:rsidRPr="00196E22">
              <w:t>Residual fringe benefit</w:t>
            </w:r>
          </w:p>
        </w:tc>
      </w:tr>
      <w:tr w:rsidR="00D73BD3" w14:paraId="5C18B5A3" w14:textId="77777777" w:rsidTr="00C11090">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0AFD289F" w14:textId="77777777" w:rsidR="00D73BD3" w:rsidRPr="00733F4B" w:rsidRDefault="00D73BD3" w:rsidP="00733F4B">
            <w:pPr>
              <w:rPr>
                <w:i/>
                <w:iCs/>
              </w:rPr>
            </w:pPr>
            <w:r w:rsidRPr="00733F4B">
              <w:rPr>
                <w:i/>
                <w:iCs/>
              </w:rPr>
              <w:t>Exemptions include:</w:t>
            </w:r>
          </w:p>
          <w:p w14:paraId="2D0C1EF9" w14:textId="77777777" w:rsidR="00D73BD3" w:rsidRPr="00196E22" w:rsidRDefault="00D73BD3" w:rsidP="00733F4B">
            <w:pPr>
              <w:pStyle w:val="ListBullet"/>
            </w:pPr>
            <w:r w:rsidRPr="00196E22">
              <w:t>the first $1,000 of any in-house benefits.</w:t>
            </w:r>
          </w:p>
          <w:p w14:paraId="450D0DAC" w14:textId="77777777" w:rsidR="00D73BD3" w:rsidRPr="00196E22" w:rsidRDefault="00D73BD3" w:rsidP="00733F4B">
            <w:r w:rsidRPr="00733F4B">
              <w:rPr>
                <w:b/>
                <w:sz w:val="16"/>
                <w:szCs w:val="20"/>
              </w:rPr>
              <w:t>Note:</w:t>
            </w:r>
            <w:r w:rsidRPr="00733F4B">
              <w:rPr>
                <w:sz w:val="16"/>
                <w:szCs w:val="20"/>
              </w:rPr>
              <w:t xml:space="preserve"> This exemption does not apply where the in-house fringe benefit is provided under a salary packaging arrangement.</w:t>
            </w:r>
          </w:p>
        </w:tc>
        <w:tc>
          <w:tcPr>
            <w:tcW w:w="620" w:type="pct"/>
            <w:gridSpan w:val="2"/>
          </w:tcPr>
          <w:p w14:paraId="20D269CF" w14:textId="77777777" w:rsidR="00D73BD3" w:rsidRDefault="00D73BD3" w:rsidP="00D73BD3">
            <w:pPr>
              <w:pStyle w:val="Body"/>
              <w:spacing w:before="100" w:after="100"/>
            </w:pPr>
          </w:p>
        </w:tc>
        <w:tc>
          <w:tcPr>
            <w:tcW w:w="358" w:type="pct"/>
            <w:gridSpan w:val="2"/>
          </w:tcPr>
          <w:p w14:paraId="4331FA5F" w14:textId="77777777" w:rsidR="00D73BD3" w:rsidRDefault="00D73BD3" w:rsidP="00D73BD3">
            <w:pPr>
              <w:pStyle w:val="Body"/>
              <w:spacing w:before="100" w:after="100"/>
            </w:pPr>
          </w:p>
        </w:tc>
        <w:tc>
          <w:tcPr>
            <w:tcW w:w="1724" w:type="pct"/>
            <w:gridSpan w:val="3"/>
            <w:vMerge/>
          </w:tcPr>
          <w:p w14:paraId="6F5EF5FC" w14:textId="77777777" w:rsidR="00D73BD3" w:rsidRDefault="00D73BD3" w:rsidP="00D73BD3">
            <w:pPr>
              <w:pStyle w:val="Table"/>
              <w:spacing w:before="100" w:after="100"/>
            </w:pPr>
          </w:p>
        </w:tc>
        <w:tc>
          <w:tcPr>
            <w:tcW w:w="649" w:type="pct"/>
            <w:gridSpan w:val="2"/>
            <w:vMerge/>
          </w:tcPr>
          <w:p w14:paraId="290FBED5" w14:textId="77777777" w:rsidR="00D73BD3" w:rsidRDefault="00D73BD3" w:rsidP="00D73BD3">
            <w:pPr>
              <w:pStyle w:val="Body"/>
              <w:spacing w:before="100" w:after="100"/>
            </w:pPr>
          </w:p>
        </w:tc>
      </w:tr>
    </w:tbl>
    <w:p w14:paraId="6C5734C3" w14:textId="18C44096" w:rsidR="00B41956" w:rsidRDefault="00B41956" w:rsidP="00B41956"/>
    <w:p w14:paraId="384CB340" w14:textId="44240CA1" w:rsidR="00755567" w:rsidRDefault="00755567" w:rsidP="00755567"/>
    <w:p w14:paraId="36054877" w14:textId="2B38C8D3" w:rsidR="00755567" w:rsidRDefault="00755567" w:rsidP="00755567"/>
    <w:p w14:paraId="3C7D1E9E" w14:textId="1813EC27" w:rsidR="00755567" w:rsidRDefault="00755567" w:rsidP="00755567"/>
    <w:p w14:paraId="4F575D39" w14:textId="46139516" w:rsidR="00755567" w:rsidRDefault="00755567" w:rsidP="00755567"/>
    <w:p w14:paraId="784B3D50" w14:textId="2DA19854" w:rsidR="00755567" w:rsidRDefault="00755567" w:rsidP="00755567"/>
    <w:p w14:paraId="2B5D9998" w14:textId="7695096A" w:rsidR="00755567" w:rsidRDefault="00755567" w:rsidP="00755567"/>
    <w:p w14:paraId="4E971EF1" w14:textId="332F405A" w:rsidR="00755567" w:rsidRDefault="00755567" w:rsidP="00755567"/>
    <w:p w14:paraId="36C47DD0" w14:textId="0F3DCE5A" w:rsidR="00755567" w:rsidRDefault="00755567" w:rsidP="00755567"/>
    <w:p w14:paraId="51220592" w14:textId="329F0297" w:rsidR="00755567" w:rsidRDefault="00755567" w:rsidP="00755567"/>
    <w:p w14:paraId="19332988" w14:textId="6CB06A21" w:rsidR="00755567" w:rsidRDefault="00755567" w:rsidP="00755567"/>
    <w:p w14:paraId="46E47829" w14:textId="29227803" w:rsidR="00755567" w:rsidRDefault="00755567" w:rsidP="00755567"/>
    <w:p w14:paraId="2A62E48E" w14:textId="0B168C34" w:rsidR="00755567" w:rsidRDefault="00755567" w:rsidP="00755567"/>
    <w:p w14:paraId="7B0D58B7" w14:textId="512750F1" w:rsidR="00755567" w:rsidRDefault="00755567" w:rsidP="00755567"/>
    <w:p w14:paraId="6C590B22" w14:textId="7BFC8489" w:rsidR="00755567" w:rsidRDefault="00755567" w:rsidP="00755567"/>
    <w:p w14:paraId="217583B1" w14:textId="074ED894" w:rsidR="00755567" w:rsidRDefault="00755567" w:rsidP="00755567"/>
    <w:p w14:paraId="76D76A3F" w14:textId="61092751" w:rsidR="00755567" w:rsidRDefault="00755567" w:rsidP="00755567"/>
    <w:p w14:paraId="373631B5" w14:textId="2FCF0D11" w:rsidR="00755567" w:rsidRDefault="00755567" w:rsidP="00755567"/>
    <w:p w14:paraId="35350504" w14:textId="77777777" w:rsidR="00755567" w:rsidRDefault="00755567" w:rsidP="00755567"/>
    <w:p w14:paraId="237D7962" w14:textId="782B1C3F" w:rsidR="00B41956" w:rsidRDefault="00B41956" w:rsidP="00D97DEA">
      <w:pPr>
        <w:pStyle w:val="Heading1"/>
      </w:pPr>
      <w:r>
        <w:t xml:space="preserve">Relevant formulae </w:t>
      </w:r>
    </w:p>
    <w:p w14:paraId="7E8EB28D" w14:textId="069D187B" w:rsidR="00B41956" w:rsidRDefault="00B41956" w:rsidP="00502DF4">
      <w:pPr>
        <w:pStyle w:val="Heading2"/>
        <w:numPr>
          <w:ilvl w:val="0"/>
          <w:numId w:val="42"/>
        </w:numPr>
      </w:pPr>
      <w:bookmarkStart w:id="2" w:name="_Toc289075443"/>
      <w:r>
        <w:t>Car fringe benefit</w:t>
      </w:r>
      <w:bookmarkEnd w:id="2"/>
    </w:p>
    <w:p w14:paraId="4364BB64" w14:textId="77777777" w:rsidR="00B41956" w:rsidRPr="0023149C" w:rsidRDefault="00B41956" w:rsidP="00502DF4">
      <w:r>
        <w:t>F</w:t>
      </w:r>
      <w:r w:rsidRPr="0023149C">
        <w:t xml:space="preserve">or </w:t>
      </w:r>
      <w:r>
        <w:t>FBT</w:t>
      </w:r>
      <w:r w:rsidRPr="0023149C">
        <w:t xml:space="preserve"> purposes</w:t>
      </w:r>
      <w:r>
        <w:t>, a car</w:t>
      </w:r>
      <w:r w:rsidRPr="0023149C">
        <w:t xml:space="preserve"> is defined </w:t>
      </w:r>
      <w:r>
        <w:t xml:space="preserve">as </w:t>
      </w:r>
      <w:r w:rsidRPr="0023149C">
        <w:t>a motor vehicle (except a motor cycle or similar vehicle) designed to carry a load of less than one tonne and fewer than nine passengers. Where an employee is provided a motor vehicle which does not satisfy the definition of a car</w:t>
      </w:r>
      <w:r>
        <w:t xml:space="preserve">, </w:t>
      </w:r>
      <w:r w:rsidRPr="0023149C">
        <w:t>the provision of such a benefit will be a residual fringe benefit and the taxable value of such a vehicle must be determined under the specific valuation provisions applicable to such residual fringe benefits.</w:t>
      </w:r>
    </w:p>
    <w:p w14:paraId="0A75C206" w14:textId="77777777" w:rsidR="00B41956" w:rsidRPr="0023149C" w:rsidRDefault="00B41956" w:rsidP="00502DF4">
      <w:r w:rsidRPr="0023149C">
        <w:t xml:space="preserve">A car is a car fringe benefit where the car is held (e.g. owned or leased) by the provider (e.g. employer) which is applied for a private use by the employee (or associate) or is taken to be available for the private use of the employee (or associate). A car is considered to be available for private use if it is garaged at or near the employee’s home or is in the employee’s custody or control. </w:t>
      </w:r>
    </w:p>
    <w:p w14:paraId="62A119B9" w14:textId="77777777" w:rsidR="00B41956" w:rsidRPr="0023149C" w:rsidRDefault="00B41956" w:rsidP="00502DF4">
      <w:r w:rsidRPr="0023149C">
        <w:t>Registration, stamp duty and extended warranty costs are not included in calculating the base value (i.e. cost) of the car. However, dealer delivery charges and the costs of any non-business accessories (e.g. stereos, sunroof</w:t>
      </w:r>
      <w:r>
        <w:t>, etc.</w:t>
      </w:r>
      <w:r w:rsidRPr="0023149C">
        <w:t>) are included</w:t>
      </w:r>
      <w:r>
        <w:t>,</w:t>
      </w:r>
      <w:r w:rsidRPr="0023149C">
        <w:t xml:space="preserve"> as well as the GST and customs duty paid on the motor vehicle (if applicable).</w:t>
      </w:r>
    </w:p>
    <w:p w14:paraId="5964BB3A" w14:textId="5084C010" w:rsidR="00B41956" w:rsidRDefault="00502DF4" w:rsidP="00502DF4">
      <w:pPr>
        <w:pStyle w:val="Heading3"/>
      </w:pPr>
      <w:bookmarkStart w:id="3" w:name="_Hlk516739267"/>
      <w:r>
        <w:t xml:space="preserve">1.1 </w:t>
      </w:r>
      <w:r w:rsidR="00B41956" w:rsidRPr="00A82EB9">
        <w:t>Operating cost method</w:t>
      </w:r>
    </w:p>
    <w:bookmarkEnd w:id="3"/>
    <w:p w14:paraId="086F84ED" w14:textId="77777777" w:rsidR="00B41956" w:rsidRDefault="00B41956" w:rsidP="00B41956">
      <w:pPr>
        <w:pStyle w:val="Body"/>
      </w:pPr>
    </w:p>
    <w:tbl>
      <w:tblPr>
        <w:tblW w:w="5000" w:type="pct"/>
        <w:tblCellMar>
          <w:left w:w="0" w:type="dxa"/>
          <w:right w:w="0" w:type="dxa"/>
        </w:tblCellMar>
        <w:tblLook w:val="04A0" w:firstRow="1" w:lastRow="0" w:firstColumn="1" w:lastColumn="0" w:noHBand="0" w:noVBand="1"/>
      </w:tblPr>
      <w:tblGrid>
        <w:gridCol w:w="837"/>
        <w:gridCol w:w="448"/>
        <w:gridCol w:w="366"/>
        <w:gridCol w:w="3433"/>
        <w:gridCol w:w="526"/>
        <w:gridCol w:w="1977"/>
        <w:gridCol w:w="397"/>
        <w:gridCol w:w="623"/>
        <w:gridCol w:w="1371"/>
      </w:tblGrid>
      <w:tr w:rsidR="00B41956" w14:paraId="16E8924F" w14:textId="77777777" w:rsidTr="00D1601A">
        <w:trPr>
          <w:trHeight w:val="1281"/>
        </w:trPr>
        <w:tc>
          <w:tcPr>
            <w:tcW w:w="422" w:type="pct"/>
            <w:vAlign w:val="center"/>
          </w:tcPr>
          <w:p w14:paraId="394B3E4E" w14:textId="77777777" w:rsidR="00B41956" w:rsidRPr="00D57039" w:rsidRDefault="00B41956" w:rsidP="00502DF4">
            <w:pPr>
              <w:rPr>
                <w:sz w:val="18"/>
                <w:szCs w:val="18"/>
              </w:rPr>
            </w:pPr>
            <w:r w:rsidRPr="00D57039">
              <w:rPr>
                <w:sz w:val="18"/>
                <w:szCs w:val="18"/>
              </w:rPr>
              <w:t>Taxable value</w:t>
            </w:r>
          </w:p>
        </w:tc>
        <w:tc>
          <w:tcPr>
            <w:tcW w:w="227" w:type="pct"/>
            <w:tcBorders>
              <w:right w:val="single" w:sz="4" w:space="0" w:color="auto"/>
            </w:tcBorders>
            <w:vAlign w:val="center"/>
          </w:tcPr>
          <w:p w14:paraId="16A217BF" w14:textId="77777777" w:rsidR="00B41956" w:rsidRPr="00D57039" w:rsidRDefault="00B41956" w:rsidP="00D57039">
            <w:pPr>
              <w:jc w:val="center"/>
              <w:rPr>
                <w:sz w:val="18"/>
                <w:szCs w:val="18"/>
              </w:rPr>
            </w:pPr>
            <w:r w:rsidRPr="00D57039">
              <w:rPr>
                <w:sz w:val="18"/>
                <w:szCs w:val="18"/>
              </w:rPr>
              <w:t>=</w:t>
            </w:r>
          </w:p>
        </w:tc>
        <w:tc>
          <w:tcPr>
            <w:tcW w:w="186" w:type="pct"/>
            <w:tcBorders>
              <w:top w:val="single" w:sz="4" w:space="0" w:color="auto"/>
              <w:left w:val="single" w:sz="4" w:space="0" w:color="auto"/>
              <w:bottom w:val="single" w:sz="4" w:space="0" w:color="auto"/>
            </w:tcBorders>
            <w:vAlign w:val="center"/>
          </w:tcPr>
          <w:p w14:paraId="6375B2F5" w14:textId="77777777" w:rsidR="00B41956" w:rsidRPr="00D57039" w:rsidRDefault="00B41956" w:rsidP="00502DF4">
            <w:pPr>
              <w:rPr>
                <w:sz w:val="18"/>
                <w:szCs w:val="18"/>
              </w:rPr>
            </w:pPr>
          </w:p>
        </w:tc>
        <w:tc>
          <w:tcPr>
            <w:tcW w:w="1723" w:type="pct"/>
            <w:vAlign w:val="center"/>
          </w:tcPr>
          <w:p w14:paraId="355F402A" w14:textId="77777777" w:rsidR="00B41956" w:rsidRPr="00D57039" w:rsidRDefault="00B41956" w:rsidP="00502DF4">
            <w:pPr>
              <w:rPr>
                <w:sz w:val="18"/>
                <w:szCs w:val="18"/>
              </w:rPr>
            </w:pPr>
            <w:r w:rsidRPr="00D57039">
              <w:rPr>
                <w:sz w:val="18"/>
                <w:szCs w:val="18"/>
              </w:rPr>
              <w:t>(Total operating costs* (including depreciation** and imputed interest*** where the vehicle is owned and provided as a car fringe benefit)</w:t>
            </w:r>
          </w:p>
        </w:tc>
        <w:tc>
          <w:tcPr>
            <w:tcW w:w="266" w:type="pct"/>
            <w:vAlign w:val="center"/>
          </w:tcPr>
          <w:p w14:paraId="222D58F6" w14:textId="77777777" w:rsidR="00B41956" w:rsidRPr="00D57039" w:rsidRDefault="00B41956" w:rsidP="00D57039">
            <w:pPr>
              <w:jc w:val="center"/>
              <w:rPr>
                <w:sz w:val="18"/>
                <w:szCs w:val="18"/>
              </w:rPr>
            </w:pPr>
            <w:r w:rsidRPr="00D57039">
              <w:rPr>
                <w:sz w:val="18"/>
                <w:szCs w:val="18"/>
              </w:rPr>
              <w:t>x</w:t>
            </w:r>
          </w:p>
        </w:tc>
        <w:tc>
          <w:tcPr>
            <w:tcW w:w="993" w:type="pct"/>
            <w:vAlign w:val="center"/>
          </w:tcPr>
          <w:p w14:paraId="40BA96B4" w14:textId="77777777" w:rsidR="00B41956" w:rsidRPr="00D57039" w:rsidRDefault="00B41956" w:rsidP="00502DF4">
            <w:pPr>
              <w:rPr>
                <w:sz w:val="18"/>
                <w:szCs w:val="18"/>
              </w:rPr>
            </w:pPr>
            <w:r w:rsidRPr="00D57039">
              <w:rPr>
                <w:sz w:val="18"/>
                <w:szCs w:val="18"/>
              </w:rPr>
              <w:t>Private use %****</w:t>
            </w:r>
          </w:p>
        </w:tc>
        <w:tc>
          <w:tcPr>
            <w:tcW w:w="201" w:type="pct"/>
            <w:tcBorders>
              <w:top w:val="single" w:sz="4" w:space="0" w:color="auto"/>
              <w:bottom w:val="single" w:sz="4" w:space="0" w:color="auto"/>
              <w:right w:val="single" w:sz="4" w:space="0" w:color="auto"/>
            </w:tcBorders>
            <w:vAlign w:val="center"/>
          </w:tcPr>
          <w:p w14:paraId="51346037" w14:textId="77777777" w:rsidR="00B41956" w:rsidRPr="00D57039" w:rsidRDefault="00B41956" w:rsidP="00502DF4">
            <w:pPr>
              <w:rPr>
                <w:sz w:val="18"/>
                <w:szCs w:val="18"/>
              </w:rPr>
            </w:pPr>
          </w:p>
        </w:tc>
        <w:tc>
          <w:tcPr>
            <w:tcW w:w="314" w:type="pct"/>
            <w:tcBorders>
              <w:left w:val="single" w:sz="4" w:space="0" w:color="auto"/>
            </w:tcBorders>
            <w:vAlign w:val="center"/>
          </w:tcPr>
          <w:p w14:paraId="615BFC3D" w14:textId="77777777" w:rsidR="00B41956" w:rsidRPr="00D57039" w:rsidRDefault="00B41956" w:rsidP="00D57039">
            <w:pPr>
              <w:jc w:val="center"/>
              <w:rPr>
                <w:sz w:val="18"/>
                <w:szCs w:val="18"/>
              </w:rPr>
            </w:pPr>
            <w:r w:rsidRPr="00D57039">
              <w:rPr>
                <w:sz w:val="18"/>
                <w:szCs w:val="18"/>
              </w:rPr>
              <w:t>less</w:t>
            </w:r>
          </w:p>
        </w:tc>
        <w:tc>
          <w:tcPr>
            <w:tcW w:w="669" w:type="pct"/>
            <w:vAlign w:val="center"/>
          </w:tcPr>
          <w:p w14:paraId="20E89D55" w14:textId="77777777" w:rsidR="00B41956" w:rsidRPr="00D57039" w:rsidRDefault="00B41956" w:rsidP="00502DF4">
            <w:pPr>
              <w:rPr>
                <w:sz w:val="18"/>
                <w:szCs w:val="18"/>
              </w:rPr>
            </w:pPr>
            <w:r w:rsidRPr="00D57039">
              <w:rPr>
                <w:sz w:val="18"/>
                <w:szCs w:val="18"/>
              </w:rPr>
              <w:t>Employee contributions*****</w:t>
            </w:r>
          </w:p>
        </w:tc>
      </w:tr>
    </w:tbl>
    <w:p w14:paraId="73419EAA" w14:textId="77777777" w:rsidR="00B41956" w:rsidRDefault="00B41956" w:rsidP="00B41956">
      <w:pPr>
        <w:pStyle w:val="Body"/>
      </w:pPr>
    </w:p>
    <w:p w14:paraId="3770C1EA" w14:textId="77777777" w:rsidR="00B41956" w:rsidRPr="0023149C" w:rsidRDefault="00B41956" w:rsidP="00502DF4">
      <w:r w:rsidRPr="0023149C">
        <w:t>* Operating costs are car expenses (refer below), deemed depreciation and imputed interest if the car is owned by the provider</w:t>
      </w:r>
      <w:r>
        <w:t>,</w:t>
      </w:r>
      <w:r w:rsidRPr="0023149C">
        <w:t xml:space="preserve"> and lease charges if leased by the provider.</w:t>
      </w:r>
    </w:p>
    <w:p w14:paraId="7BCC060C" w14:textId="77777777" w:rsidR="00B41956" w:rsidRPr="0023149C" w:rsidRDefault="00B41956" w:rsidP="00502DF4">
      <w:r w:rsidRPr="0023149C">
        <w:t>**Depreciation is calculated on the depreciated value of the car. That depreciated value is based on the cost of the car if the car was acquired during a year or its depreciated value if the car had been held at the beginning of the year. For these purposes, the cost of the car refers to the full cost of the vehicle (i.e. it is not subject to the motor vehicle depreciation cost limit) using the rates set out below:</w:t>
      </w:r>
    </w:p>
    <w:p w14:paraId="5D10E49B" w14:textId="77777777" w:rsidR="00B41956" w:rsidRDefault="00B41956" w:rsidP="00B41956">
      <w:pPr>
        <w:pStyle w:val="Body"/>
      </w:pPr>
    </w:p>
    <w:tbl>
      <w:tblPr>
        <w:tblStyle w:val="RACVTable"/>
        <w:tblW w:w="2722" w:type="pct"/>
        <w:tblLook w:val="04A0" w:firstRow="1" w:lastRow="0" w:firstColumn="1" w:lastColumn="0" w:noHBand="0" w:noVBand="1"/>
      </w:tblPr>
      <w:tblGrid>
        <w:gridCol w:w="2684"/>
        <w:gridCol w:w="2748"/>
      </w:tblGrid>
      <w:tr w:rsidR="00B41956" w14:paraId="4627A8EF" w14:textId="77777777" w:rsidTr="00243479">
        <w:trPr>
          <w:cnfStyle w:val="100000000000" w:firstRow="1" w:lastRow="0" w:firstColumn="0" w:lastColumn="0" w:oddVBand="0" w:evenVBand="0" w:oddHBand="0" w:evenHBand="0" w:firstRowFirstColumn="0" w:firstRowLastColumn="0" w:lastRowFirstColumn="0" w:lastRowLastColumn="0"/>
        </w:trPr>
        <w:tc>
          <w:tcPr>
            <w:tcW w:w="2471" w:type="pct"/>
          </w:tcPr>
          <w:p w14:paraId="6C1EFE06" w14:textId="77777777" w:rsidR="00B41956" w:rsidRPr="0023149C" w:rsidRDefault="00B41956" w:rsidP="00D1601A">
            <w:pPr>
              <w:pStyle w:val="Table"/>
              <w:spacing w:before="100" w:after="100"/>
              <w:rPr>
                <w:b w:val="0"/>
                <w:sz w:val="17"/>
                <w:szCs w:val="17"/>
              </w:rPr>
            </w:pPr>
            <w:r w:rsidRPr="0023149C">
              <w:rPr>
                <w:sz w:val="17"/>
                <w:szCs w:val="17"/>
              </w:rPr>
              <w:t>Date car purchased</w:t>
            </w:r>
          </w:p>
        </w:tc>
        <w:tc>
          <w:tcPr>
            <w:tcW w:w="2529" w:type="pct"/>
          </w:tcPr>
          <w:p w14:paraId="7C0425B6" w14:textId="073712FF" w:rsidR="00B41956" w:rsidRPr="0023149C" w:rsidRDefault="00B41956" w:rsidP="00D1601A">
            <w:pPr>
              <w:pStyle w:val="Table"/>
              <w:spacing w:before="100" w:after="100"/>
              <w:rPr>
                <w:b w:val="0"/>
                <w:sz w:val="17"/>
                <w:szCs w:val="17"/>
              </w:rPr>
            </w:pPr>
            <w:r w:rsidRPr="0023149C">
              <w:rPr>
                <w:sz w:val="17"/>
                <w:szCs w:val="17"/>
              </w:rPr>
              <w:t xml:space="preserve">FBT year ending 31 March </w:t>
            </w:r>
            <w:r>
              <w:rPr>
                <w:sz w:val="17"/>
                <w:szCs w:val="17"/>
              </w:rPr>
              <w:t>202</w:t>
            </w:r>
            <w:r w:rsidR="007B136B">
              <w:rPr>
                <w:sz w:val="17"/>
                <w:szCs w:val="17"/>
              </w:rPr>
              <w:t>4</w:t>
            </w:r>
          </w:p>
        </w:tc>
      </w:tr>
      <w:tr w:rsidR="00B41956" w14:paraId="21CC2350" w14:textId="77777777" w:rsidTr="00243479">
        <w:trPr>
          <w:cnfStyle w:val="000000100000" w:firstRow="0" w:lastRow="0" w:firstColumn="0" w:lastColumn="0" w:oddVBand="0" w:evenVBand="0" w:oddHBand="1" w:evenHBand="0" w:firstRowFirstColumn="0" w:firstRowLastColumn="0" w:lastRowFirstColumn="0" w:lastRowLastColumn="0"/>
        </w:trPr>
        <w:tc>
          <w:tcPr>
            <w:tcW w:w="2471" w:type="pct"/>
          </w:tcPr>
          <w:p w14:paraId="7A88AF5D" w14:textId="77777777" w:rsidR="00B41956" w:rsidRPr="0023149C" w:rsidRDefault="00B41956" w:rsidP="00243479">
            <w:r w:rsidRPr="0023149C">
              <w:t>Up to and including 30 June 2002</w:t>
            </w:r>
          </w:p>
        </w:tc>
        <w:tc>
          <w:tcPr>
            <w:tcW w:w="2529" w:type="pct"/>
          </w:tcPr>
          <w:p w14:paraId="68BC7B1E" w14:textId="77777777" w:rsidR="00B41956" w:rsidRPr="0023149C" w:rsidRDefault="00B41956" w:rsidP="00243479">
            <w:r w:rsidRPr="0023149C">
              <w:t>22.50%</w:t>
            </w:r>
          </w:p>
        </w:tc>
      </w:tr>
      <w:tr w:rsidR="00B41956" w14:paraId="5FAF54E8" w14:textId="77777777" w:rsidTr="00243479">
        <w:tc>
          <w:tcPr>
            <w:tcW w:w="2471" w:type="pct"/>
          </w:tcPr>
          <w:p w14:paraId="2F737FBE" w14:textId="77777777" w:rsidR="00B41956" w:rsidRPr="0023149C" w:rsidRDefault="00B41956" w:rsidP="00243479">
            <w:r w:rsidRPr="0023149C">
              <w:t>From 1 July 2002 to 9 May 2006</w:t>
            </w:r>
          </w:p>
        </w:tc>
        <w:tc>
          <w:tcPr>
            <w:tcW w:w="2529" w:type="pct"/>
          </w:tcPr>
          <w:p w14:paraId="7CF86107" w14:textId="77777777" w:rsidR="00B41956" w:rsidRPr="0023149C" w:rsidRDefault="00B41956" w:rsidP="00243479">
            <w:r w:rsidRPr="0023149C">
              <w:t>18.75%</w:t>
            </w:r>
          </w:p>
        </w:tc>
      </w:tr>
      <w:tr w:rsidR="00B41956" w14:paraId="4E0E928B" w14:textId="77777777" w:rsidTr="00243479">
        <w:trPr>
          <w:cnfStyle w:val="000000100000" w:firstRow="0" w:lastRow="0" w:firstColumn="0" w:lastColumn="0" w:oddVBand="0" w:evenVBand="0" w:oddHBand="1" w:evenHBand="0" w:firstRowFirstColumn="0" w:firstRowLastColumn="0" w:lastRowFirstColumn="0" w:lastRowLastColumn="0"/>
        </w:trPr>
        <w:tc>
          <w:tcPr>
            <w:tcW w:w="2471" w:type="pct"/>
          </w:tcPr>
          <w:p w14:paraId="645942CA" w14:textId="77777777" w:rsidR="00B41956" w:rsidRPr="0023149C" w:rsidRDefault="00B41956" w:rsidP="00243479">
            <w:r w:rsidRPr="0023149C">
              <w:t>On or after 10 May 2006</w:t>
            </w:r>
          </w:p>
        </w:tc>
        <w:tc>
          <w:tcPr>
            <w:tcW w:w="2529" w:type="pct"/>
          </w:tcPr>
          <w:p w14:paraId="4F64188C" w14:textId="77777777" w:rsidR="00B41956" w:rsidRPr="0023149C" w:rsidRDefault="00B41956" w:rsidP="00243479">
            <w:r w:rsidRPr="0023149C">
              <w:t>25.00%</w:t>
            </w:r>
          </w:p>
        </w:tc>
      </w:tr>
    </w:tbl>
    <w:p w14:paraId="2018B69D" w14:textId="77777777" w:rsidR="00B41956" w:rsidRDefault="00B41956" w:rsidP="00B41956">
      <w:pPr>
        <w:pStyle w:val="Body"/>
      </w:pPr>
    </w:p>
    <w:p w14:paraId="6F226FE3" w14:textId="784263A9" w:rsidR="00B41956" w:rsidRPr="0023149C" w:rsidRDefault="00B41956" w:rsidP="00243479">
      <w:r w:rsidRPr="0023149C">
        <w:t xml:space="preserve">***Imputed interest is calculated on the depreciated value of the car at a statutory rate which is determined by the </w:t>
      </w:r>
      <w:r w:rsidR="00987DE1">
        <w:t>ATO</w:t>
      </w:r>
      <w:r>
        <w:t xml:space="preserve"> </w:t>
      </w:r>
      <w:r w:rsidRPr="0023149C">
        <w:t xml:space="preserve">on an annual basis. </w:t>
      </w:r>
      <w:r>
        <w:t>As discussed above, t</w:t>
      </w:r>
      <w:r w:rsidRPr="0023149C">
        <w:t xml:space="preserve">he depreciated value is based on the cost of the car if the car was acquired during a year or its depreciated value if the car had been held at the beginning of the year. For these purposes, the cost of the car refers to the full cost of vehicle (i.e. it is not subject to the motor vehicle depreciation cost limit). The annual statutory interest rate is </w:t>
      </w:r>
      <w:r w:rsidR="007B136B">
        <w:t>7.77%</w:t>
      </w:r>
      <w:r w:rsidRPr="0023149C">
        <w:t xml:space="preserve"> for the </w:t>
      </w:r>
      <w:r>
        <w:t>202</w:t>
      </w:r>
      <w:r w:rsidR="007B136B">
        <w:t>4</w:t>
      </w:r>
      <w:r w:rsidRPr="0023149C">
        <w:t xml:space="preserve"> FBT year.</w:t>
      </w:r>
    </w:p>
    <w:p w14:paraId="172B42EA" w14:textId="77777777" w:rsidR="00B41956" w:rsidRDefault="00B41956" w:rsidP="00243479">
      <w:r w:rsidRPr="0023149C">
        <w:t>****Private use</w:t>
      </w:r>
      <w:r>
        <w:t xml:space="preserve"> percentage</w:t>
      </w:r>
      <w:r w:rsidRPr="0023149C">
        <w:t xml:space="preserve"> is the total use of the car less the business </w:t>
      </w:r>
      <w:r>
        <w:t>percentage</w:t>
      </w:r>
      <w:r w:rsidRPr="0023149C">
        <w:t xml:space="preserve"> use of the car. The business use </w:t>
      </w:r>
      <w:r>
        <w:t>percentage</w:t>
      </w:r>
      <w:r w:rsidRPr="0023149C">
        <w:t xml:space="preserve"> is a reasonable estimate of the number of business kilometres travelled during the year based on the logbook </w:t>
      </w:r>
      <w:r>
        <w:t>records</w:t>
      </w:r>
      <w:r w:rsidRPr="0023149C">
        <w:t xml:space="preserve"> and odometer readings at the beginning and end of the year. </w:t>
      </w:r>
    </w:p>
    <w:p w14:paraId="71B2D0C3" w14:textId="77777777" w:rsidR="00B41956" w:rsidRDefault="00B41956" w:rsidP="00243479">
      <w:r w:rsidRPr="0023149C">
        <w:t>*****</w:t>
      </w:r>
      <w:r>
        <w:t>Employee contributions comprise c</w:t>
      </w:r>
      <w:r w:rsidRPr="0023149C">
        <w:t>ar expenses incurred by the recipient of the car fringe benefit</w:t>
      </w:r>
      <w:r>
        <w:t>,</w:t>
      </w:r>
      <w:r w:rsidRPr="0023149C">
        <w:t xml:space="preserve"> being fuel</w:t>
      </w:r>
      <w:r>
        <w:t>;</w:t>
      </w:r>
      <w:r w:rsidRPr="0023149C">
        <w:t xml:space="preserve"> insurance</w:t>
      </w:r>
      <w:r>
        <w:t xml:space="preserve">; </w:t>
      </w:r>
      <w:r w:rsidRPr="0023149C">
        <w:t>registration and repairs</w:t>
      </w:r>
      <w:r>
        <w:t>;</w:t>
      </w:r>
      <w:r w:rsidRPr="0023149C">
        <w:t xml:space="preserve"> and maintenance which are not reimbursed by the employer. Employees </w:t>
      </w:r>
      <w:r>
        <w:t>must</w:t>
      </w:r>
      <w:r w:rsidRPr="0023149C">
        <w:t xml:space="preserve"> retain a receipt or invoice </w:t>
      </w:r>
      <w:r>
        <w:t xml:space="preserve">to evidence </w:t>
      </w:r>
      <w:r w:rsidRPr="0023149C">
        <w:t>any running costs they incur.</w:t>
      </w:r>
    </w:p>
    <w:p w14:paraId="751CA555" w14:textId="51A4F14B" w:rsidR="00B41956" w:rsidRDefault="00B41956" w:rsidP="00B41956"/>
    <w:p w14:paraId="5B80D976" w14:textId="58701F81" w:rsidR="00DF636C" w:rsidRPr="00C749EF" w:rsidRDefault="00D57039" w:rsidP="00D57039">
      <w:pPr>
        <w:pStyle w:val="Heading3"/>
      </w:pPr>
      <w:r>
        <w:t xml:space="preserve">1.2 </w:t>
      </w:r>
      <w:r w:rsidR="00DF636C" w:rsidRPr="00C749EF">
        <w:t>Statutory formula method</w:t>
      </w:r>
    </w:p>
    <w:p w14:paraId="792364E5" w14:textId="77777777" w:rsidR="00DF636C" w:rsidRPr="000B13F9" w:rsidRDefault="00DF636C" w:rsidP="00DF636C">
      <w:pPr>
        <w:pStyle w:val="Body"/>
      </w:pPr>
    </w:p>
    <w:tbl>
      <w:tblPr>
        <w:tblW w:w="5000" w:type="pct"/>
        <w:tblCellMar>
          <w:left w:w="0" w:type="dxa"/>
          <w:right w:w="0" w:type="dxa"/>
        </w:tblCellMar>
        <w:tblLook w:val="04A0" w:firstRow="1" w:lastRow="0" w:firstColumn="1" w:lastColumn="0" w:noHBand="0" w:noVBand="1"/>
      </w:tblPr>
      <w:tblGrid>
        <w:gridCol w:w="775"/>
        <w:gridCol w:w="411"/>
        <w:gridCol w:w="333"/>
        <w:gridCol w:w="1149"/>
        <w:gridCol w:w="1120"/>
        <w:gridCol w:w="1261"/>
        <w:gridCol w:w="1403"/>
        <w:gridCol w:w="1379"/>
        <w:gridCol w:w="361"/>
        <w:gridCol w:w="571"/>
        <w:gridCol w:w="1215"/>
      </w:tblGrid>
      <w:tr w:rsidR="00D57039" w:rsidRPr="00D57039" w14:paraId="7D58C350" w14:textId="77777777" w:rsidTr="00D1601A">
        <w:trPr>
          <w:trHeight w:val="864"/>
        </w:trPr>
        <w:tc>
          <w:tcPr>
            <w:tcW w:w="388" w:type="pct"/>
            <w:vMerge w:val="restart"/>
            <w:vAlign w:val="center"/>
          </w:tcPr>
          <w:p w14:paraId="5DE2AE02" w14:textId="77777777" w:rsidR="00DF636C" w:rsidRPr="00D57039" w:rsidRDefault="00DF636C" w:rsidP="00D1601A">
            <w:pPr>
              <w:pStyle w:val="Body"/>
              <w:rPr>
                <w:color w:val="090D46" w:themeColor="text1"/>
                <w:sz w:val="18"/>
                <w:szCs w:val="28"/>
              </w:rPr>
            </w:pPr>
            <w:r w:rsidRPr="00D57039">
              <w:rPr>
                <w:color w:val="090D46" w:themeColor="text1"/>
                <w:sz w:val="18"/>
                <w:szCs w:val="28"/>
              </w:rPr>
              <w:t>Taxable value</w:t>
            </w:r>
          </w:p>
        </w:tc>
        <w:tc>
          <w:tcPr>
            <w:tcW w:w="206" w:type="pct"/>
            <w:vMerge w:val="restart"/>
            <w:tcBorders>
              <w:right w:val="single" w:sz="4" w:space="0" w:color="auto"/>
            </w:tcBorders>
            <w:vAlign w:val="center"/>
          </w:tcPr>
          <w:p w14:paraId="5C3A76A4" w14:textId="77777777" w:rsidR="00DF636C" w:rsidRPr="00D57039" w:rsidRDefault="00DF636C" w:rsidP="00D1601A">
            <w:pPr>
              <w:pStyle w:val="Body"/>
              <w:jc w:val="center"/>
              <w:rPr>
                <w:color w:val="090D46" w:themeColor="text1"/>
                <w:sz w:val="18"/>
                <w:szCs w:val="28"/>
              </w:rPr>
            </w:pPr>
            <w:r w:rsidRPr="00D57039">
              <w:rPr>
                <w:color w:val="090D46" w:themeColor="text1"/>
                <w:sz w:val="18"/>
                <w:szCs w:val="28"/>
              </w:rPr>
              <w:t>=</w:t>
            </w:r>
          </w:p>
        </w:tc>
        <w:tc>
          <w:tcPr>
            <w:tcW w:w="167" w:type="pct"/>
            <w:tcBorders>
              <w:top w:val="single" w:sz="4" w:space="0" w:color="auto"/>
              <w:left w:val="single" w:sz="4" w:space="0" w:color="auto"/>
            </w:tcBorders>
            <w:vAlign w:val="center"/>
          </w:tcPr>
          <w:p w14:paraId="49E64B58" w14:textId="77777777" w:rsidR="00DF636C" w:rsidRPr="00D57039" w:rsidRDefault="00DF636C" w:rsidP="00D1601A">
            <w:pPr>
              <w:pStyle w:val="Body"/>
              <w:rPr>
                <w:color w:val="090D46" w:themeColor="text1"/>
                <w:sz w:val="18"/>
                <w:szCs w:val="28"/>
              </w:rPr>
            </w:pPr>
            <w:r w:rsidRPr="00D57039">
              <w:rPr>
                <w:color w:val="090D46" w:themeColor="text1"/>
                <w:sz w:val="18"/>
                <w:szCs w:val="28"/>
              </w:rPr>
              <w:t xml:space="preserve"> 0.2*</w:t>
            </w:r>
          </w:p>
        </w:tc>
        <w:tc>
          <w:tcPr>
            <w:tcW w:w="576" w:type="pct"/>
            <w:tcBorders>
              <w:bottom w:val="single" w:sz="4" w:space="0" w:color="auto"/>
            </w:tcBorders>
            <w:vAlign w:val="center"/>
          </w:tcPr>
          <w:p w14:paraId="22E539AD" w14:textId="77777777" w:rsidR="00DF636C" w:rsidRPr="00D57039" w:rsidRDefault="00DF636C" w:rsidP="00D1601A">
            <w:pPr>
              <w:pStyle w:val="Body"/>
              <w:rPr>
                <w:color w:val="090D46" w:themeColor="text1"/>
                <w:sz w:val="18"/>
                <w:szCs w:val="28"/>
              </w:rPr>
            </w:pPr>
          </w:p>
        </w:tc>
        <w:tc>
          <w:tcPr>
            <w:tcW w:w="561" w:type="pct"/>
            <w:tcBorders>
              <w:bottom w:val="single" w:sz="4" w:space="0" w:color="auto"/>
            </w:tcBorders>
            <w:vAlign w:val="center"/>
          </w:tcPr>
          <w:p w14:paraId="4EE258FF" w14:textId="77777777" w:rsidR="00DF636C" w:rsidRPr="00D57039" w:rsidRDefault="00DF636C" w:rsidP="00D1601A">
            <w:pPr>
              <w:pStyle w:val="Body"/>
              <w:jc w:val="center"/>
              <w:rPr>
                <w:color w:val="090D46" w:themeColor="text1"/>
                <w:sz w:val="18"/>
                <w:szCs w:val="28"/>
              </w:rPr>
            </w:pPr>
            <w:r w:rsidRPr="00D57039">
              <w:rPr>
                <w:color w:val="090D46" w:themeColor="text1"/>
                <w:sz w:val="18"/>
                <w:szCs w:val="28"/>
              </w:rPr>
              <w:t xml:space="preserve">x Base value of car **  </w:t>
            </w:r>
          </w:p>
        </w:tc>
        <w:tc>
          <w:tcPr>
            <w:tcW w:w="632" w:type="pct"/>
            <w:tcBorders>
              <w:bottom w:val="single" w:sz="4" w:space="0" w:color="auto"/>
            </w:tcBorders>
            <w:vAlign w:val="center"/>
          </w:tcPr>
          <w:p w14:paraId="5C7CFC7C" w14:textId="77777777" w:rsidR="00DF636C" w:rsidRPr="00D57039" w:rsidRDefault="00DF636C" w:rsidP="00D1601A">
            <w:pPr>
              <w:pStyle w:val="Body"/>
              <w:jc w:val="center"/>
              <w:rPr>
                <w:color w:val="090D46" w:themeColor="text1"/>
                <w:sz w:val="18"/>
                <w:szCs w:val="28"/>
              </w:rPr>
            </w:pPr>
          </w:p>
        </w:tc>
        <w:tc>
          <w:tcPr>
            <w:tcW w:w="703" w:type="pct"/>
            <w:tcBorders>
              <w:bottom w:val="single" w:sz="4" w:space="0" w:color="auto"/>
            </w:tcBorders>
            <w:vAlign w:val="center"/>
          </w:tcPr>
          <w:p w14:paraId="41EF16AF" w14:textId="77777777" w:rsidR="00DF636C" w:rsidRPr="00D57039" w:rsidRDefault="00DF636C" w:rsidP="00D1601A">
            <w:pPr>
              <w:pStyle w:val="Body"/>
              <w:jc w:val="center"/>
              <w:rPr>
                <w:color w:val="090D46" w:themeColor="text1"/>
                <w:sz w:val="18"/>
                <w:szCs w:val="28"/>
              </w:rPr>
            </w:pPr>
            <w:r w:rsidRPr="00D57039">
              <w:rPr>
                <w:color w:val="090D46" w:themeColor="text1"/>
                <w:sz w:val="18"/>
                <w:szCs w:val="28"/>
              </w:rPr>
              <w:t>x</w:t>
            </w:r>
          </w:p>
        </w:tc>
        <w:tc>
          <w:tcPr>
            <w:tcW w:w="690" w:type="pct"/>
            <w:tcBorders>
              <w:bottom w:val="single" w:sz="4" w:space="0" w:color="auto"/>
            </w:tcBorders>
            <w:vAlign w:val="center"/>
          </w:tcPr>
          <w:p w14:paraId="0C461829" w14:textId="77777777" w:rsidR="00DF636C" w:rsidRPr="00D57039" w:rsidRDefault="00DF636C" w:rsidP="00D1601A">
            <w:pPr>
              <w:pStyle w:val="Body"/>
              <w:rPr>
                <w:color w:val="090D46" w:themeColor="text1"/>
                <w:sz w:val="18"/>
                <w:szCs w:val="28"/>
              </w:rPr>
            </w:pPr>
            <w:r w:rsidRPr="00D57039">
              <w:rPr>
                <w:color w:val="090D46" w:themeColor="text1"/>
                <w:sz w:val="18"/>
                <w:szCs w:val="28"/>
              </w:rPr>
              <w:t>No. of days a car benefit has been provided</w:t>
            </w:r>
          </w:p>
        </w:tc>
        <w:tc>
          <w:tcPr>
            <w:tcW w:w="181" w:type="pct"/>
            <w:tcBorders>
              <w:top w:val="single" w:sz="4" w:space="0" w:color="auto"/>
              <w:right w:val="single" w:sz="4" w:space="0" w:color="auto"/>
            </w:tcBorders>
            <w:vAlign w:val="center"/>
          </w:tcPr>
          <w:p w14:paraId="7819958A" w14:textId="77777777" w:rsidR="00DF636C" w:rsidRPr="00D57039" w:rsidRDefault="00DF636C" w:rsidP="00D1601A">
            <w:pPr>
              <w:pStyle w:val="Body"/>
              <w:rPr>
                <w:color w:val="090D46" w:themeColor="text1"/>
                <w:sz w:val="18"/>
                <w:szCs w:val="28"/>
              </w:rPr>
            </w:pPr>
          </w:p>
        </w:tc>
        <w:tc>
          <w:tcPr>
            <w:tcW w:w="286" w:type="pct"/>
            <w:vMerge w:val="restart"/>
            <w:tcBorders>
              <w:left w:val="single" w:sz="4" w:space="0" w:color="auto"/>
            </w:tcBorders>
            <w:vAlign w:val="center"/>
          </w:tcPr>
          <w:p w14:paraId="088AB544" w14:textId="77777777" w:rsidR="00DF636C" w:rsidRPr="00D57039" w:rsidRDefault="00DF636C" w:rsidP="00D1601A">
            <w:pPr>
              <w:pStyle w:val="Body"/>
              <w:jc w:val="center"/>
              <w:rPr>
                <w:color w:val="090D46" w:themeColor="text1"/>
                <w:sz w:val="18"/>
                <w:szCs w:val="28"/>
              </w:rPr>
            </w:pPr>
            <w:r w:rsidRPr="00D57039">
              <w:rPr>
                <w:color w:val="090D46" w:themeColor="text1"/>
                <w:sz w:val="18"/>
                <w:szCs w:val="28"/>
              </w:rPr>
              <w:t>less</w:t>
            </w:r>
          </w:p>
        </w:tc>
        <w:tc>
          <w:tcPr>
            <w:tcW w:w="610" w:type="pct"/>
            <w:vMerge w:val="restart"/>
            <w:vAlign w:val="center"/>
          </w:tcPr>
          <w:p w14:paraId="4C5894FE" w14:textId="77777777" w:rsidR="00DF636C" w:rsidRPr="00D57039" w:rsidRDefault="00DF636C" w:rsidP="00D1601A">
            <w:pPr>
              <w:pStyle w:val="Body"/>
              <w:rPr>
                <w:color w:val="090D46" w:themeColor="text1"/>
                <w:sz w:val="18"/>
                <w:szCs w:val="28"/>
              </w:rPr>
            </w:pPr>
            <w:r w:rsidRPr="00D57039">
              <w:rPr>
                <w:color w:val="090D46" w:themeColor="text1"/>
                <w:sz w:val="18"/>
                <w:szCs w:val="28"/>
              </w:rPr>
              <w:t>Employee contributions</w:t>
            </w:r>
          </w:p>
        </w:tc>
      </w:tr>
      <w:tr w:rsidR="00D57039" w:rsidRPr="00D57039" w14:paraId="67215962" w14:textId="77777777" w:rsidTr="00D1601A">
        <w:trPr>
          <w:trHeight w:val="551"/>
        </w:trPr>
        <w:tc>
          <w:tcPr>
            <w:tcW w:w="388" w:type="pct"/>
            <w:vMerge/>
            <w:vAlign w:val="center"/>
          </w:tcPr>
          <w:p w14:paraId="5149DB9B" w14:textId="77777777" w:rsidR="00DF636C" w:rsidRPr="00D57039" w:rsidRDefault="00DF636C" w:rsidP="00D1601A">
            <w:pPr>
              <w:pStyle w:val="Body"/>
              <w:rPr>
                <w:color w:val="090D46" w:themeColor="text1"/>
                <w:sz w:val="18"/>
                <w:szCs w:val="28"/>
              </w:rPr>
            </w:pPr>
          </w:p>
        </w:tc>
        <w:tc>
          <w:tcPr>
            <w:tcW w:w="206" w:type="pct"/>
            <w:vMerge/>
            <w:tcBorders>
              <w:right w:val="single" w:sz="4" w:space="0" w:color="auto"/>
            </w:tcBorders>
            <w:vAlign w:val="center"/>
          </w:tcPr>
          <w:p w14:paraId="197AB9C7" w14:textId="77777777" w:rsidR="00DF636C" w:rsidRPr="00D57039" w:rsidRDefault="00DF636C" w:rsidP="00D1601A">
            <w:pPr>
              <w:pStyle w:val="Body"/>
              <w:jc w:val="center"/>
              <w:rPr>
                <w:color w:val="090D46" w:themeColor="text1"/>
                <w:sz w:val="18"/>
                <w:szCs w:val="28"/>
              </w:rPr>
            </w:pPr>
          </w:p>
        </w:tc>
        <w:tc>
          <w:tcPr>
            <w:tcW w:w="167" w:type="pct"/>
            <w:tcBorders>
              <w:left w:val="single" w:sz="4" w:space="0" w:color="auto"/>
              <w:bottom w:val="single" w:sz="4" w:space="0" w:color="auto"/>
            </w:tcBorders>
            <w:vAlign w:val="center"/>
          </w:tcPr>
          <w:p w14:paraId="1435D36C" w14:textId="77777777" w:rsidR="00DF636C" w:rsidRPr="00D57039" w:rsidRDefault="00DF636C" w:rsidP="00D1601A">
            <w:pPr>
              <w:pStyle w:val="Body"/>
              <w:rPr>
                <w:color w:val="090D46" w:themeColor="text1"/>
                <w:sz w:val="18"/>
                <w:szCs w:val="28"/>
              </w:rPr>
            </w:pPr>
          </w:p>
        </w:tc>
        <w:tc>
          <w:tcPr>
            <w:tcW w:w="3163" w:type="pct"/>
            <w:gridSpan w:val="5"/>
            <w:tcBorders>
              <w:top w:val="single" w:sz="4" w:space="0" w:color="auto"/>
            </w:tcBorders>
            <w:vAlign w:val="center"/>
          </w:tcPr>
          <w:p w14:paraId="6FFC9EB0" w14:textId="77777777" w:rsidR="00DF636C" w:rsidRPr="00D57039" w:rsidRDefault="00DF636C" w:rsidP="00D1601A">
            <w:pPr>
              <w:pStyle w:val="Body"/>
              <w:jc w:val="center"/>
              <w:rPr>
                <w:color w:val="090D46" w:themeColor="text1"/>
                <w:sz w:val="18"/>
                <w:szCs w:val="28"/>
              </w:rPr>
            </w:pPr>
            <w:r w:rsidRPr="00D57039">
              <w:rPr>
                <w:color w:val="090D46" w:themeColor="text1"/>
                <w:sz w:val="18"/>
                <w:szCs w:val="28"/>
              </w:rPr>
              <w:t>No. of days in year of tax (being 365 days other than in a leap year)</w:t>
            </w:r>
          </w:p>
        </w:tc>
        <w:tc>
          <w:tcPr>
            <w:tcW w:w="181" w:type="pct"/>
            <w:tcBorders>
              <w:bottom w:val="single" w:sz="4" w:space="0" w:color="auto"/>
              <w:right w:val="single" w:sz="4" w:space="0" w:color="auto"/>
            </w:tcBorders>
            <w:vAlign w:val="center"/>
          </w:tcPr>
          <w:p w14:paraId="4960B894" w14:textId="77777777" w:rsidR="00DF636C" w:rsidRPr="00D57039" w:rsidRDefault="00DF636C" w:rsidP="00D1601A">
            <w:pPr>
              <w:pStyle w:val="Body"/>
              <w:rPr>
                <w:color w:val="090D46" w:themeColor="text1"/>
                <w:sz w:val="18"/>
                <w:szCs w:val="28"/>
              </w:rPr>
            </w:pPr>
          </w:p>
        </w:tc>
        <w:tc>
          <w:tcPr>
            <w:tcW w:w="286" w:type="pct"/>
            <w:vMerge/>
            <w:tcBorders>
              <w:left w:val="single" w:sz="4" w:space="0" w:color="auto"/>
            </w:tcBorders>
            <w:vAlign w:val="center"/>
          </w:tcPr>
          <w:p w14:paraId="1E95DC4F" w14:textId="77777777" w:rsidR="00DF636C" w:rsidRPr="00D57039" w:rsidRDefault="00DF636C" w:rsidP="00D1601A">
            <w:pPr>
              <w:pStyle w:val="Body"/>
              <w:jc w:val="center"/>
              <w:rPr>
                <w:color w:val="090D46" w:themeColor="text1"/>
                <w:sz w:val="18"/>
                <w:szCs w:val="28"/>
              </w:rPr>
            </w:pPr>
          </w:p>
        </w:tc>
        <w:tc>
          <w:tcPr>
            <w:tcW w:w="610" w:type="pct"/>
            <w:vMerge/>
            <w:vAlign w:val="center"/>
          </w:tcPr>
          <w:p w14:paraId="763194AB" w14:textId="77777777" w:rsidR="00DF636C" w:rsidRPr="00D57039" w:rsidRDefault="00DF636C" w:rsidP="00D1601A">
            <w:pPr>
              <w:pStyle w:val="Body"/>
              <w:rPr>
                <w:color w:val="090D46" w:themeColor="text1"/>
                <w:sz w:val="18"/>
                <w:szCs w:val="28"/>
              </w:rPr>
            </w:pPr>
          </w:p>
        </w:tc>
      </w:tr>
    </w:tbl>
    <w:p w14:paraId="056EE8C9" w14:textId="77777777" w:rsidR="00DF636C" w:rsidRDefault="00DF636C" w:rsidP="00DF636C">
      <w:pPr>
        <w:pStyle w:val="Body"/>
        <w:spacing w:before="0" w:after="0"/>
      </w:pPr>
    </w:p>
    <w:p w14:paraId="0AE514E1" w14:textId="1E794FF0" w:rsidR="00DF636C" w:rsidRPr="00D54B50" w:rsidRDefault="00DF636C" w:rsidP="00D54B50">
      <w:pPr>
        <w:rPr>
          <w:sz w:val="18"/>
          <w:szCs w:val="18"/>
          <w:lang w:eastAsia="en-AU"/>
        </w:rPr>
      </w:pPr>
      <w:r w:rsidRPr="00D54B50">
        <w:rPr>
          <w:sz w:val="18"/>
          <w:szCs w:val="18"/>
        </w:rPr>
        <w:t xml:space="preserve">* </w:t>
      </w:r>
      <w:r w:rsidRPr="00D54B50">
        <w:rPr>
          <w:sz w:val="18"/>
          <w:szCs w:val="18"/>
          <w:lang w:eastAsia="en-AU"/>
        </w:rPr>
        <w:t>A flat statutory rate of 0.2 applies to the provision of car fringe benefits for the 202</w:t>
      </w:r>
      <w:r w:rsidR="007B136B">
        <w:rPr>
          <w:sz w:val="18"/>
          <w:szCs w:val="18"/>
          <w:lang w:eastAsia="en-AU"/>
        </w:rPr>
        <w:t>4</w:t>
      </w:r>
      <w:r w:rsidRPr="00D54B50">
        <w:rPr>
          <w:sz w:val="18"/>
          <w:szCs w:val="18"/>
          <w:lang w:eastAsia="en-AU"/>
        </w:rPr>
        <w:t xml:space="preserve"> FBT year regardless of the number of kilometres travelled by the car. This change was announced in the 2011-12 Federal Budget and replaced the former statutory fraction rates whose application differed according to the total number of kilometres travelled in the FBT year. However, the statutory fraction rates will continue to apply to the provision of a car fringe benefit after 7.30pm AEST on 10 May 2011 where the car is provided under a binding pre-existing commitment (e.g. novated lease) entered into before that time as set out below:</w:t>
      </w:r>
    </w:p>
    <w:p w14:paraId="115EB583" w14:textId="77777777" w:rsidR="00DF636C" w:rsidRDefault="00DF636C" w:rsidP="00DF636C">
      <w:pPr>
        <w:rPr>
          <w:rFonts w:eastAsia="Times New Roman" w:cs="Arial"/>
          <w:b/>
          <w:bCs/>
          <w:sz w:val="17"/>
          <w:szCs w:val="17"/>
          <w:lang w:eastAsia="en-AU"/>
        </w:rPr>
      </w:pPr>
    </w:p>
    <w:p w14:paraId="796617C9" w14:textId="77777777" w:rsidR="00DF636C" w:rsidRPr="0023149C" w:rsidRDefault="00DF636C" w:rsidP="00D54B50">
      <w:pPr>
        <w:pStyle w:val="Heading3"/>
        <w:rPr>
          <w:lang w:eastAsia="en-AU"/>
        </w:rPr>
      </w:pPr>
      <w:r>
        <w:rPr>
          <w:lang w:eastAsia="en-AU"/>
        </w:rPr>
        <w:t>Statutory fractions for p</w:t>
      </w:r>
      <w:r w:rsidRPr="0023149C">
        <w:rPr>
          <w:lang w:eastAsia="en-AU"/>
        </w:rPr>
        <w:t>re 10 May 2011 leases and contracts</w:t>
      </w:r>
    </w:p>
    <w:p w14:paraId="5CAB78DF" w14:textId="77777777" w:rsidR="00DF636C" w:rsidRPr="00435BC3" w:rsidRDefault="00DF636C" w:rsidP="00DF636C">
      <w:pPr>
        <w:rPr>
          <w:rFonts w:eastAsia="Times New Roman" w:cs="Arial"/>
          <w:b/>
          <w:bCs/>
          <w:sz w:val="16"/>
          <w:szCs w:val="16"/>
          <w:lang w:eastAsia="en-AU"/>
        </w:rPr>
      </w:pPr>
    </w:p>
    <w:tbl>
      <w:tblPr>
        <w:tblStyle w:val="RACVTable"/>
        <w:tblW w:w="2722" w:type="pct"/>
        <w:tblLook w:val="04A0" w:firstRow="1" w:lastRow="0" w:firstColumn="1" w:lastColumn="0" w:noHBand="0" w:noVBand="1"/>
      </w:tblPr>
      <w:tblGrid>
        <w:gridCol w:w="2684"/>
        <w:gridCol w:w="2748"/>
      </w:tblGrid>
      <w:tr w:rsidR="00DF636C" w:rsidRPr="0023149C" w14:paraId="38E6ECF4" w14:textId="77777777" w:rsidTr="00D54B50">
        <w:trPr>
          <w:cnfStyle w:val="100000000000" w:firstRow="1" w:lastRow="0" w:firstColumn="0" w:lastColumn="0" w:oddVBand="0" w:evenVBand="0" w:oddHBand="0" w:evenHBand="0" w:firstRowFirstColumn="0" w:firstRowLastColumn="0" w:lastRowFirstColumn="0" w:lastRowLastColumn="0"/>
        </w:trPr>
        <w:tc>
          <w:tcPr>
            <w:tcW w:w="2471" w:type="pct"/>
          </w:tcPr>
          <w:p w14:paraId="3948F0C8" w14:textId="77777777" w:rsidR="00DF636C" w:rsidRPr="0023149C" w:rsidRDefault="00DF636C" w:rsidP="00D1601A">
            <w:pPr>
              <w:spacing w:before="100" w:after="100"/>
              <w:rPr>
                <w:rFonts w:cs="Arial"/>
                <w:b w:val="0"/>
                <w:sz w:val="17"/>
                <w:szCs w:val="17"/>
              </w:rPr>
            </w:pPr>
            <w:r w:rsidRPr="0023149C">
              <w:rPr>
                <w:rFonts w:cs="Arial"/>
                <w:sz w:val="17"/>
                <w:szCs w:val="17"/>
              </w:rPr>
              <w:t>Total kms travelled in FBT year</w:t>
            </w:r>
          </w:p>
        </w:tc>
        <w:tc>
          <w:tcPr>
            <w:tcW w:w="2529" w:type="pct"/>
          </w:tcPr>
          <w:p w14:paraId="3E4A0678" w14:textId="77777777" w:rsidR="00DF636C" w:rsidRPr="0023149C" w:rsidRDefault="00DF636C" w:rsidP="00D1601A">
            <w:pPr>
              <w:spacing w:before="100" w:after="100"/>
              <w:rPr>
                <w:rFonts w:cs="Arial"/>
                <w:b w:val="0"/>
                <w:sz w:val="17"/>
                <w:szCs w:val="17"/>
              </w:rPr>
            </w:pPr>
            <w:r w:rsidRPr="0023149C">
              <w:rPr>
                <w:rFonts w:cs="Arial"/>
                <w:sz w:val="17"/>
                <w:szCs w:val="17"/>
              </w:rPr>
              <w:t>Statutory fraction rates</w:t>
            </w:r>
          </w:p>
        </w:tc>
      </w:tr>
      <w:tr w:rsidR="00DF636C" w:rsidRPr="0023149C" w14:paraId="186E07F1" w14:textId="77777777" w:rsidTr="00D54B50">
        <w:trPr>
          <w:cnfStyle w:val="000000100000" w:firstRow="0" w:lastRow="0" w:firstColumn="0" w:lastColumn="0" w:oddVBand="0" w:evenVBand="0" w:oddHBand="1" w:evenHBand="0" w:firstRowFirstColumn="0" w:firstRowLastColumn="0" w:lastRowFirstColumn="0" w:lastRowLastColumn="0"/>
        </w:trPr>
        <w:tc>
          <w:tcPr>
            <w:tcW w:w="2471" w:type="pct"/>
          </w:tcPr>
          <w:p w14:paraId="0E1D31CC" w14:textId="77777777" w:rsidR="00DF636C" w:rsidRPr="0023149C" w:rsidRDefault="00DF636C" w:rsidP="00D1601A">
            <w:pPr>
              <w:spacing w:before="100" w:after="100"/>
              <w:rPr>
                <w:rFonts w:cs="Arial"/>
                <w:sz w:val="17"/>
                <w:szCs w:val="17"/>
              </w:rPr>
            </w:pPr>
            <w:r w:rsidRPr="0023149C">
              <w:rPr>
                <w:rFonts w:cs="Arial"/>
                <w:sz w:val="17"/>
                <w:szCs w:val="17"/>
              </w:rPr>
              <w:t>0 – 14,999</w:t>
            </w:r>
          </w:p>
        </w:tc>
        <w:tc>
          <w:tcPr>
            <w:tcW w:w="2529" w:type="pct"/>
          </w:tcPr>
          <w:p w14:paraId="110C1AD5" w14:textId="77777777" w:rsidR="00DF636C" w:rsidRPr="0023149C" w:rsidRDefault="00DF636C" w:rsidP="00D1601A">
            <w:pPr>
              <w:spacing w:before="100" w:after="100"/>
              <w:rPr>
                <w:rFonts w:cs="Arial"/>
                <w:sz w:val="17"/>
                <w:szCs w:val="17"/>
              </w:rPr>
            </w:pPr>
            <w:r>
              <w:rPr>
                <w:rFonts w:cs="Arial"/>
                <w:sz w:val="17"/>
                <w:szCs w:val="17"/>
              </w:rPr>
              <w:t>.</w:t>
            </w:r>
            <w:r w:rsidRPr="0023149C">
              <w:rPr>
                <w:rFonts w:cs="Arial"/>
                <w:sz w:val="17"/>
                <w:szCs w:val="17"/>
              </w:rPr>
              <w:t>26</w:t>
            </w:r>
          </w:p>
        </w:tc>
      </w:tr>
      <w:tr w:rsidR="00DF636C" w:rsidRPr="0023149C" w14:paraId="6D865FBF" w14:textId="77777777" w:rsidTr="00D54B50">
        <w:tc>
          <w:tcPr>
            <w:tcW w:w="2471" w:type="pct"/>
          </w:tcPr>
          <w:p w14:paraId="5033629F" w14:textId="77777777" w:rsidR="00DF636C" w:rsidRPr="0023149C" w:rsidRDefault="00DF636C" w:rsidP="00D1601A">
            <w:pPr>
              <w:spacing w:before="100" w:after="100"/>
              <w:rPr>
                <w:rFonts w:cs="Arial"/>
                <w:sz w:val="17"/>
                <w:szCs w:val="17"/>
              </w:rPr>
            </w:pPr>
            <w:r w:rsidRPr="0023149C">
              <w:rPr>
                <w:rFonts w:cs="Arial"/>
                <w:sz w:val="17"/>
                <w:szCs w:val="17"/>
              </w:rPr>
              <w:t>15,000 – 24,999</w:t>
            </w:r>
          </w:p>
        </w:tc>
        <w:tc>
          <w:tcPr>
            <w:tcW w:w="2529" w:type="pct"/>
          </w:tcPr>
          <w:p w14:paraId="5E5B3ED5" w14:textId="77777777" w:rsidR="00DF636C" w:rsidRPr="0023149C" w:rsidRDefault="00DF636C" w:rsidP="00D1601A">
            <w:pPr>
              <w:spacing w:before="100" w:after="100"/>
              <w:rPr>
                <w:rFonts w:cs="Arial"/>
                <w:sz w:val="17"/>
                <w:szCs w:val="17"/>
              </w:rPr>
            </w:pPr>
            <w:r>
              <w:rPr>
                <w:rFonts w:cs="Arial"/>
                <w:sz w:val="17"/>
                <w:szCs w:val="17"/>
              </w:rPr>
              <w:t>.</w:t>
            </w:r>
            <w:r w:rsidRPr="0023149C">
              <w:rPr>
                <w:rFonts w:cs="Arial"/>
                <w:sz w:val="17"/>
                <w:szCs w:val="17"/>
              </w:rPr>
              <w:t>2</w:t>
            </w:r>
          </w:p>
        </w:tc>
      </w:tr>
      <w:tr w:rsidR="00DF636C" w:rsidRPr="0023149C" w14:paraId="0B664B41" w14:textId="77777777" w:rsidTr="00D54B50">
        <w:trPr>
          <w:cnfStyle w:val="000000100000" w:firstRow="0" w:lastRow="0" w:firstColumn="0" w:lastColumn="0" w:oddVBand="0" w:evenVBand="0" w:oddHBand="1" w:evenHBand="0" w:firstRowFirstColumn="0" w:firstRowLastColumn="0" w:lastRowFirstColumn="0" w:lastRowLastColumn="0"/>
        </w:trPr>
        <w:tc>
          <w:tcPr>
            <w:tcW w:w="2471" w:type="pct"/>
          </w:tcPr>
          <w:p w14:paraId="57141194" w14:textId="77777777" w:rsidR="00DF636C" w:rsidRPr="0023149C" w:rsidRDefault="00DF636C" w:rsidP="00D1601A">
            <w:pPr>
              <w:spacing w:before="100" w:after="100"/>
              <w:rPr>
                <w:rFonts w:cs="Arial"/>
                <w:sz w:val="17"/>
                <w:szCs w:val="17"/>
              </w:rPr>
            </w:pPr>
            <w:r w:rsidRPr="0023149C">
              <w:rPr>
                <w:rFonts w:cs="Arial"/>
                <w:sz w:val="17"/>
                <w:szCs w:val="17"/>
              </w:rPr>
              <w:t>25,000 – 40,000</w:t>
            </w:r>
          </w:p>
        </w:tc>
        <w:tc>
          <w:tcPr>
            <w:tcW w:w="2529" w:type="pct"/>
          </w:tcPr>
          <w:p w14:paraId="37F349E3" w14:textId="77777777" w:rsidR="00DF636C" w:rsidRPr="0023149C" w:rsidRDefault="00DF636C" w:rsidP="00D1601A">
            <w:pPr>
              <w:spacing w:before="100" w:after="100"/>
              <w:rPr>
                <w:rFonts w:cs="Arial"/>
                <w:sz w:val="17"/>
                <w:szCs w:val="17"/>
              </w:rPr>
            </w:pPr>
            <w:r>
              <w:rPr>
                <w:rFonts w:cs="Arial"/>
                <w:sz w:val="17"/>
                <w:szCs w:val="17"/>
              </w:rPr>
              <w:t>.</w:t>
            </w:r>
            <w:r w:rsidRPr="0023149C">
              <w:rPr>
                <w:rFonts w:cs="Arial"/>
                <w:sz w:val="17"/>
                <w:szCs w:val="17"/>
              </w:rPr>
              <w:t>11</w:t>
            </w:r>
          </w:p>
        </w:tc>
      </w:tr>
      <w:tr w:rsidR="00DF636C" w:rsidRPr="0023149C" w14:paraId="6B5B8B09" w14:textId="77777777" w:rsidTr="00D54B50">
        <w:tc>
          <w:tcPr>
            <w:tcW w:w="2471" w:type="pct"/>
          </w:tcPr>
          <w:p w14:paraId="6E61C285" w14:textId="77777777" w:rsidR="00DF636C" w:rsidRPr="0023149C" w:rsidRDefault="00DF636C" w:rsidP="00D1601A">
            <w:pPr>
              <w:spacing w:before="100" w:after="100"/>
              <w:rPr>
                <w:rFonts w:cs="Arial"/>
                <w:sz w:val="17"/>
                <w:szCs w:val="17"/>
              </w:rPr>
            </w:pPr>
            <w:r w:rsidRPr="0023149C">
              <w:rPr>
                <w:rFonts w:cs="Arial"/>
                <w:sz w:val="17"/>
                <w:szCs w:val="17"/>
              </w:rPr>
              <w:t>Over 40,000</w:t>
            </w:r>
          </w:p>
        </w:tc>
        <w:tc>
          <w:tcPr>
            <w:tcW w:w="2529" w:type="pct"/>
          </w:tcPr>
          <w:p w14:paraId="37705437" w14:textId="77777777" w:rsidR="00DF636C" w:rsidRPr="0023149C" w:rsidRDefault="00DF636C" w:rsidP="00D1601A">
            <w:pPr>
              <w:spacing w:before="100" w:after="100"/>
              <w:rPr>
                <w:rFonts w:cs="Arial"/>
                <w:sz w:val="17"/>
                <w:szCs w:val="17"/>
              </w:rPr>
            </w:pPr>
            <w:r>
              <w:rPr>
                <w:rFonts w:cs="Arial"/>
                <w:sz w:val="17"/>
                <w:szCs w:val="17"/>
              </w:rPr>
              <w:t>.0</w:t>
            </w:r>
            <w:r w:rsidRPr="0023149C">
              <w:rPr>
                <w:rFonts w:cs="Arial"/>
                <w:sz w:val="17"/>
                <w:szCs w:val="17"/>
              </w:rPr>
              <w:t>7</w:t>
            </w:r>
          </w:p>
        </w:tc>
      </w:tr>
    </w:tbl>
    <w:p w14:paraId="31F1B5EE" w14:textId="77777777" w:rsidR="00DF636C" w:rsidRPr="00435BC3" w:rsidRDefault="00DF636C" w:rsidP="00DF636C">
      <w:pPr>
        <w:rPr>
          <w:rFonts w:eastAsia="Times New Roman" w:cs="Arial"/>
          <w:b/>
          <w:bCs/>
          <w:sz w:val="16"/>
          <w:szCs w:val="16"/>
          <w:lang w:eastAsia="en-AU"/>
        </w:rPr>
      </w:pPr>
    </w:p>
    <w:p w14:paraId="20DD4766" w14:textId="77777777" w:rsidR="00DF636C" w:rsidRPr="00C817B6" w:rsidRDefault="00DF636C" w:rsidP="00D54B50">
      <w:pPr>
        <w:rPr>
          <w:lang w:eastAsia="en-AU"/>
        </w:rPr>
      </w:pPr>
      <w:r w:rsidRPr="0023149C">
        <w:rPr>
          <w:lang w:eastAsia="en-AU"/>
        </w:rPr>
        <w:t>You should continue to apply the above statutory rates for all pre-existing commitments under agreements entered into before 7.30p.m. on 10 May 2011 unless there is a subsequent change to that commitment. Such a change could include the refinancing of a car, an extension of a lease or contractual term</w:t>
      </w:r>
      <w:r>
        <w:rPr>
          <w:lang w:eastAsia="en-AU"/>
        </w:rPr>
        <w:t>,</w:t>
      </w:r>
      <w:r w:rsidRPr="0023149C">
        <w:rPr>
          <w:lang w:eastAsia="en-AU"/>
        </w:rPr>
        <w:t xml:space="preserve"> or a change in employers in which case the parties will be regarded as having entered into a new commitment, and the standard statutory fraction rate </w:t>
      </w:r>
      <w:r>
        <w:rPr>
          <w:lang w:eastAsia="en-AU"/>
        </w:rPr>
        <w:t xml:space="preserve">of 0.2 </w:t>
      </w:r>
      <w:r w:rsidRPr="0023149C">
        <w:rPr>
          <w:lang w:eastAsia="en-AU"/>
        </w:rPr>
        <w:t xml:space="preserve">will apply to determine the taxable value of the car benefit from the beginning of the next FBT year. The volume of cars held under such pre-existing commitments is likely to be rapidly diminishing as lease terms </w:t>
      </w:r>
      <w:r>
        <w:rPr>
          <w:lang w:eastAsia="en-AU"/>
        </w:rPr>
        <w:t xml:space="preserve">rarely </w:t>
      </w:r>
      <w:r w:rsidRPr="0023149C">
        <w:rPr>
          <w:lang w:eastAsia="en-AU"/>
        </w:rPr>
        <w:t xml:space="preserve">extend to </w:t>
      </w:r>
      <w:r>
        <w:rPr>
          <w:lang w:eastAsia="en-AU"/>
        </w:rPr>
        <w:t>ten-</w:t>
      </w:r>
      <w:r w:rsidRPr="0023149C">
        <w:rPr>
          <w:lang w:eastAsia="en-AU"/>
        </w:rPr>
        <w:t>year terms or more.</w:t>
      </w:r>
    </w:p>
    <w:p w14:paraId="6408E906" w14:textId="77777777" w:rsidR="00DF636C" w:rsidRPr="0023149C" w:rsidRDefault="00DF636C" w:rsidP="00D54B50">
      <w:r w:rsidRPr="0023149C">
        <w:t>** Where the car has been owned or leased for more than four years at the beginning of the FBT year, the base value (i.e. cost) of the car is reduced by one-third.</w:t>
      </w:r>
    </w:p>
    <w:p w14:paraId="44E06445" w14:textId="72596BF1" w:rsidR="00DF636C" w:rsidRDefault="00DF636C" w:rsidP="00D54B50">
      <w:pPr>
        <w:pStyle w:val="Heading2"/>
        <w:numPr>
          <w:ilvl w:val="0"/>
          <w:numId w:val="42"/>
        </w:numPr>
      </w:pPr>
      <w:r w:rsidRPr="005549C7">
        <w:t>Loan fringe benefit</w:t>
      </w:r>
    </w:p>
    <w:p w14:paraId="6F7383C7" w14:textId="77777777" w:rsidR="00DF636C" w:rsidRDefault="00DF636C" w:rsidP="00DF636C">
      <w:pPr>
        <w:pStyle w:val="Body"/>
      </w:pPr>
    </w:p>
    <w:tbl>
      <w:tblPr>
        <w:tblW w:w="4287" w:type="pct"/>
        <w:tblCellMar>
          <w:left w:w="0" w:type="dxa"/>
          <w:right w:w="0" w:type="dxa"/>
        </w:tblCellMar>
        <w:tblLook w:val="04A0" w:firstRow="1" w:lastRow="0" w:firstColumn="1" w:lastColumn="0" w:noHBand="0" w:noVBand="1"/>
      </w:tblPr>
      <w:tblGrid>
        <w:gridCol w:w="844"/>
        <w:gridCol w:w="460"/>
        <w:gridCol w:w="371"/>
        <w:gridCol w:w="1843"/>
        <w:gridCol w:w="1396"/>
        <w:gridCol w:w="1124"/>
        <w:gridCol w:w="400"/>
        <w:gridCol w:w="806"/>
        <w:gridCol w:w="1311"/>
      </w:tblGrid>
      <w:tr w:rsidR="00D54B50" w:rsidRPr="00D54B50" w14:paraId="174ECEFA" w14:textId="77777777" w:rsidTr="00D1601A">
        <w:trPr>
          <w:trHeight w:val="1281"/>
        </w:trPr>
        <w:tc>
          <w:tcPr>
            <w:tcW w:w="493" w:type="pct"/>
            <w:vAlign w:val="center"/>
          </w:tcPr>
          <w:p w14:paraId="3D936BE5" w14:textId="77777777" w:rsidR="00DF636C" w:rsidRPr="00D54B50" w:rsidRDefault="00DF636C" w:rsidP="00D1601A">
            <w:pPr>
              <w:pStyle w:val="Body"/>
              <w:rPr>
                <w:color w:val="090D46" w:themeColor="text1"/>
                <w:sz w:val="18"/>
                <w:szCs w:val="28"/>
              </w:rPr>
            </w:pPr>
            <w:r w:rsidRPr="00D54B50">
              <w:rPr>
                <w:color w:val="090D46" w:themeColor="text1"/>
                <w:sz w:val="18"/>
                <w:szCs w:val="28"/>
              </w:rPr>
              <w:t>Taxable value</w:t>
            </w:r>
          </w:p>
        </w:tc>
        <w:tc>
          <w:tcPr>
            <w:tcW w:w="269" w:type="pct"/>
            <w:tcBorders>
              <w:right w:val="single" w:sz="4" w:space="0" w:color="auto"/>
            </w:tcBorders>
            <w:vAlign w:val="center"/>
          </w:tcPr>
          <w:p w14:paraId="5B9EFABE" w14:textId="77777777" w:rsidR="00DF636C" w:rsidRPr="00D54B50" w:rsidRDefault="00DF636C" w:rsidP="00D1601A">
            <w:pPr>
              <w:pStyle w:val="Body"/>
              <w:jc w:val="center"/>
              <w:rPr>
                <w:color w:val="090D46" w:themeColor="text1"/>
                <w:sz w:val="18"/>
                <w:szCs w:val="28"/>
              </w:rPr>
            </w:pPr>
            <w:r w:rsidRPr="00D54B50">
              <w:rPr>
                <w:color w:val="090D46" w:themeColor="text1"/>
                <w:sz w:val="18"/>
                <w:szCs w:val="28"/>
              </w:rPr>
              <w:t>=</w:t>
            </w:r>
          </w:p>
        </w:tc>
        <w:tc>
          <w:tcPr>
            <w:tcW w:w="217" w:type="pct"/>
            <w:tcBorders>
              <w:top w:val="single" w:sz="4" w:space="0" w:color="auto"/>
              <w:left w:val="single" w:sz="4" w:space="0" w:color="auto"/>
              <w:bottom w:val="single" w:sz="4" w:space="0" w:color="auto"/>
            </w:tcBorders>
            <w:vAlign w:val="center"/>
          </w:tcPr>
          <w:p w14:paraId="7D0640F5" w14:textId="77777777" w:rsidR="00DF636C" w:rsidRPr="00D54B50" w:rsidRDefault="00DF636C" w:rsidP="00D1601A">
            <w:pPr>
              <w:pStyle w:val="Body"/>
              <w:rPr>
                <w:color w:val="090D46" w:themeColor="text1"/>
                <w:sz w:val="18"/>
                <w:szCs w:val="28"/>
              </w:rPr>
            </w:pPr>
          </w:p>
        </w:tc>
        <w:tc>
          <w:tcPr>
            <w:tcW w:w="1077" w:type="pct"/>
            <w:vAlign w:val="center"/>
          </w:tcPr>
          <w:p w14:paraId="73F6F375" w14:textId="77777777" w:rsidR="00DF636C" w:rsidRPr="00D54B50" w:rsidRDefault="00DF636C" w:rsidP="00D1601A">
            <w:pPr>
              <w:pStyle w:val="Body"/>
              <w:rPr>
                <w:color w:val="090D46" w:themeColor="text1"/>
                <w:sz w:val="18"/>
                <w:szCs w:val="28"/>
              </w:rPr>
            </w:pPr>
            <w:r w:rsidRPr="00D54B50">
              <w:rPr>
                <w:color w:val="090D46" w:themeColor="text1"/>
                <w:sz w:val="18"/>
                <w:szCs w:val="28"/>
              </w:rPr>
              <w:t>Notional interest calculated at benchmark statutory rate*</w:t>
            </w:r>
          </w:p>
        </w:tc>
        <w:tc>
          <w:tcPr>
            <w:tcW w:w="816" w:type="pct"/>
            <w:vAlign w:val="center"/>
          </w:tcPr>
          <w:p w14:paraId="63E6C477" w14:textId="77777777" w:rsidR="00DF636C" w:rsidRPr="00D54B50" w:rsidRDefault="00DF636C" w:rsidP="00D1601A">
            <w:pPr>
              <w:pStyle w:val="Body"/>
              <w:jc w:val="center"/>
              <w:rPr>
                <w:color w:val="090D46" w:themeColor="text1"/>
                <w:sz w:val="18"/>
                <w:szCs w:val="28"/>
              </w:rPr>
            </w:pPr>
            <w:r w:rsidRPr="00D54B50">
              <w:rPr>
                <w:color w:val="090D46" w:themeColor="text1"/>
                <w:sz w:val="18"/>
                <w:szCs w:val="28"/>
              </w:rPr>
              <w:t>Less</w:t>
            </w:r>
          </w:p>
        </w:tc>
        <w:tc>
          <w:tcPr>
            <w:tcW w:w="657" w:type="pct"/>
            <w:vAlign w:val="center"/>
          </w:tcPr>
          <w:p w14:paraId="270BF7E7" w14:textId="77777777" w:rsidR="00DF636C" w:rsidRPr="00D54B50" w:rsidRDefault="00DF636C" w:rsidP="00D1601A">
            <w:pPr>
              <w:pStyle w:val="Body"/>
              <w:rPr>
                <w:color w:val="090D46" w:themeColor="text1"/>
                <w:sz w:val="18"/>
                <w:szCs w:val="28"/>
              </w:rPr>
            </w:pPr>
            <w:r w:rsidRPr="00D54B50">
              <w:rPr>
                <w:color w:val="090D46" w:themeColor="text1"/>
                <w:sz w:val="18"/>
                <w:szCs w:val="28"/>
              </w:rPr>
              <w:t>Actual Interest**</w:t>
            </w:r>
          </w:p>
        </w:tc>
        <w:tc>
          <w:tcPr>
            <w:tcW w:w="234" w:type="pct"/>
            <w:tcBorders>
              <w:top w:val="single" w:sz="4" w:space="0" w:color="auto"/>
              <w:bottom w:val="single" w:sz="4" w:space="0" w:color="auto"/>
              <w:right w:val="single" w:sz="4" w:space="0" w:color="auto"/>
            </w:tcBorders>
            <w:vAlign w:val="center"/>
          </w:tcPr>
          <w:p w14:paraId="11321743" w14:textId="77777777" w:rsidR="00DF636C" w:rsidRPr="00D54B50" w:rsidRDefault="00DF636C" w:rsidP="00D1601A">
            <w:pPr>
              <w:pStyle w:val="Body"/>
              <w:rPr>
                <w:color w:val="090D46" w:themeColor="text1"/>
                <w:sz w:val="18"/>
                <w:szCs w:val="28"/>
              </w:rPr>
            </w:pPr>
          </w:p>
        </w:tc>
        <w:tc>
          <w:tcPr>
            <w:tcW w:w="471" w:type="pct"/>
            <w:tcBorders>
              <w:left w:val="single" w:sz="4" w:space="0" w:color="auto"/>
            </w:tcBorders>
            <w:vAlign w:val="center"/>
          </w:tcPr>
          <w:p w14:paraId="49B31D9C" w14:textId="77777777" w:rsidR="00DF636C" w:rsidRPr="00D54B50" w:rsidRDefault="00DF636C" w:rsidP="00D1601A">
            <w:pPr>
              <w:pStyle w:val="Body"/>
              <w:jc w:val="center"/>
              <w:rPr>
                <w:color w:val="090D46" w:themeColor="text1"/>
                <w:sz w:val="18"/>
                <w:szCs w:val="28"/>
              </w:rPr>
            </w:pPr>
            <w:r w:rsidRPr="00D54B50">
              <w:rPr>
                <w:color w:val="090D46" w:themeColor="text1"/>
                <w:sz w:val="18"/>
                <w:szCs w:val="28"/>
              </w:rPr>
              <w:t>less</w:t>
            </w:r>
          </w:p>
        </w:tc>
        <w:tc>
          <w:tcPr>
            <w:tcW w:w="766" w:type="pct"/>
            <w:vAlign w:val="center"/>
          </w:tcPr>
          <w:p w14:paraId="7783D351" w14:textId="77777777" w:rsidR="00DF636C" w:rsidRPr="00D54B50" w:rsidRDefault="00DF636C" w:rsidP="00D1601A">
            <w:pPr>
              <w:pStyle w:val="Body"/>
              <w:rPr>
                <w:color w:val="090D46" w:themeColor="text1"/>
                <w:sz w:val="18"/>
                <w:szCs w:val="28"/>
              </w:rPr>
            </w:pPr>
            <w:r w:rsidRPr="00D54B50">
              <w:rPr>
                <w:color w:val="090D46" w:themeColor="text1"/>
                <w:sz w:val="18"/>
                <w:szCs w:val="28"/>
              </w:rPr>
              <w:t>Otherwise deductible amount</w:t>
            </w:r>
          </w:p>
        </w:tc>
      </w:tr>
    </w:tbl>
    <w:p w14:paraId="45670CBC" w14:textId="77777777" w:rsidR="00DF636C" w:rsidRPr="007F5495" w:rsidRDefault="00DF636C" w:rsidP="00D54B50">
      <w:r w:rsidRPr="007F5495">
        <w:t xml:space="preserve">The taxable value of a loan fringe benefit is the amount (if any) by which the notional amount of interest in relation to the loan made to the employee exceeds the actual amount of interest that has been paid on the loan by the employee. </w:t>
      </w:r>
    </w:p>
    <w:p w14:paraId="1D605FD1" w14:textId="77D206B2" w:rsidR="00DF636C" w:rsidRDefault="00DF636C" w:rsidP="00D54B50">
      <w:r w:rsidRPr="007F5495">
        <w:t>*</w:t>
      </w:r>
      <w:r>
        <w:t xml:space="preserve"> </w:t>
      </w:r>
      <w:r w:rsidRPr="007F5495">
        <w:t xml:space="preserve">The notional amount of interest is calculated by applying a benchmark statutory rate of interest on the daily balance of the loan. The benchmark statutory interest rate for the FBT year ending 31 March </w:t>
      </w:r>
      <w:r>
        <w:t>202</w:t>
      </w:r>
      <w:r w:rsidR="00E433FF">
        <w:t>4</w:t>
      </w:r>
      <w:r w:rsidRPr="007F5495">
        <w:t xml:space="preserve"> is </w:t>
      </w:r>
      <w:r w:rsidR="00E433FF">
        <w:t>7.77%.</w:t>
      </w:r>
      <w:r w:rsidRPr="007F5495">
        <w:t xml:space="preserve"> </w:t>
      </w:r>
    </w:p>
    <w:p w14:paraId="15488E66" w14:textId="77777777" w:rsidR="00DF636C" w:rsidRPr="007F5495" w:rsidRDefault="00DF636C" w:rsidP="00D54B50">
      <w:r w:rsidRPr="007F5495">
        <w:t>** The actual interest is the amount of interest actually paid on the loan by the employee.</w:t>
      </w:r>
    </w:p>
    <w:p w14:paraId="6CFC7F13" w14:textId="77777777" w:rsidR="00DF636C" w:rsidRDefault="00DF636C" w:rsidP="00D54B50">
      <w:r w:rsidRPr="007F5495">
        <w:t>***Where the loan is used wholly or partly by the employee to produce assessable income (e.g. to acquire a long-term share portfolio)</w:t>
      </w:r>
      <w:r>
        <w:t>,</w:t>
      </w:r>
      <w:r w:rsidRPr="007F5495">
        <w:t>the otherwise deductible rule reduces the taxable value of the loan fringe benefit by a notional deduction</w:t>
      </w:r>
      <w:r>
        <w:t>,</w:t>
      </w:r>
      <w:r w:rsidRPr="007F5495">
        <w:t xml:space="preserve"> being the amount which the employee would have been entitled to a claim as a deduction had he or she incur</w:t>
      </w:r>
      <w:r>
        <w:t>red</w:t>
      </w:r>
      <w:r w:rsidRPr="007F5495">
        <w:t xml:space="preserve"> the notional amount of interest in respect of the loan. If the loan is being used for income producing purposes the employee must provide a declaration, otherwise the taxable value will not be reduced under the ‘otherwise deductible rule’.</w:t>
      </w:r>
    </w:p>
    <w:p w14:paraId="2DA3EFE5" w14:textId="77777777" w:rsidR="00DF636C" w:rsidRPr="0023149C" w:rsidRDefault="00DF636C" w:rsidP="00D54B50">
      <w:r>
        <w:t>I</w:t>
      </w:r>
      <w:r w:rsidRPr="0023149C">
        <w:t>f an employee is also a shareholder in a private company or an associate of such a shareholder</w:t>
      </w:r>
      <w:r>
        <w:t>,</w:t>
      </w:r>
      <w:r w:rsidRPr="0023149C">
        <w:t xml:space="preserve"> the loan will not be subject to </w:t>
      </w:r>
      <w:r>
        <w:t>FBT</w:t>
      </w:r>
      <w:r w:rsidRPr="0023149C">
        <w:t xml:space="preserve"> but will be subject to the provisions of Division 7A of the </w:t>
      </w:r>
      <w:r w:rsidRPr="0023149C">
        <w:rPr>
          <w:i/>
        </w:rPr>
        <w:t>Income Tax Assessment Act</w:t>
      </w:r>
      <w:r w:rsidRPr="0023149C">
        <w:t xml:space="preserve"> </w:t>
      </w:r>
      <w:r w:rsidRPr="00FC70D6">
        <w:rPr>
          <w:i/>
        </w:rPr>
        <w:t>1936</w:t>
      </w:r>
      <w:r w:rsidRPr="0023149C">
        <w:rPr>
          <w:i/>
        </w:rPr>
        <w:t xml:space="preserve">. </w:t>
      </w:r>
      <w:r w:rsidRPr="0023149C">
        <w:t>In these circumstances</w:t>
      </w:r>
      <w:r>
        <w:t>,</w:t>
      </w:r>
      <w:r w:rsidRPr="0023149C">
        <w:t xml:space="preserve"> such a loan may be regarded as a</w:t>
      </w:r>
      <w:r>
        <w:t>n assessable</w:t>
      </w:r>
      <w:r w:rsidRPr="0023149C">
        <w:t xml:space="preserve"> deemed dividend unless an exemption applies</w:t>
      </w:r>
      <w:r>
        <w:t>,</w:t>
      </w:r>
      <w:r w:rsidRPr="0023149C">
        <w:t xml:space="preserve"> such as where the shareholder enters into a complying section 109N written agreement which has an allowable maximum term and minimum interest rate. </w:t>
      </w:r>
    </w:p>
    <w:p w14:paraId="0536DE91" w14:textId="37221501" w:rsidR="00DF636C" w:rsidRDefault="00DF636C" w:rsidP="002D0A09">
      <w:pPr>
        <w:pStyle w:val="Heading2"/>
        <w:numPr>
          <w:ilvl w:val="0"/>
          <w:numId w:val="42"/>
        </w:numPr>
      </w:pPr>
      <w:bookmarkStart w:id="4" w:name="_Toc289075445"/>
      <w:r>
        <w:t>Debt waiver fringe benefit</w:t>
      </w:r>
    </w:p>
    <w:p w14:paraId="5ADA9600" w14:textId="06D35399" w:rsidR="002663DD" w:rsidRDefault="00DF636C" w:rsidP="002D0A09">
      <w:r w:rsidRPr="0023149C">
        <w:t xml:space="preserve">The taxable value of a debt waiver fringe benefit in an FBT year is the amount of payment or repayment of the debt which the employee was obliged to pay or repay which has been waived (i.e. released).  </w:t>
      </w:r>
    </w:p>
    <w:p w14:paraId="4C002F13" w14:textId="2C7353CB" w:rsidR="00DF636C" w:rsidRDefault="00DF636C" w:rsidP="002D0A09">
      <w:pPr>
        <w:pStyle w:val="Heading2"/>
        <w:numPr>
          <w:ilvl w:val="0"/>
          <w:numId w:val="42"/>
        </w:numPr>
      </w:pPr>
      <w:r w:rsidRPr="005549C7">
        <w:t>Housing</w:t>
      </w:r>
      <w:bookmarkEnd w:id="4"/>
    </w:p>
    <w:p w14:paraId="3E1ADC98" w14:textId="77777777" w:rsidR="00DF636C" w:rsidRPr="00EF1782" w:rsidRDefault="00DF636C" w:rsidP="002D0A09">
      <w:pPr>
        <w:pStyle w:val="Heading3"/>
      </w:pPr>
      <w:r w:rsidRPr="00EF1782">
        <w:t>Non-remote area</w:t>
      </w:r>
    </w:p>
    <w:p w14:paraId="278D9441" w14:textId="77777777" w:rsidR="00DF636C" w:rsidRPr="0023149C" w:rsidRDefault="00DF636C" w:rsidP="002D0A09">
      <w:r w:rsidRPr="0023149C">
        <w:t>The taxable value of a right to use or occupy non-remote housing benefits depends on the type of accommodation provided to the recipient.</w:t>
      </w:r>
    </w:p>
    <w:p w14:paraId="7D7D3DB4" w14:textId="77777777" w:rsidR="00DF636C" w:rsidRPr="002D0A09" w:rsidRDefault="00DF636C" w:rsidP="002D0A09">
      <w:r w:rsidRPr="002D0A09">
        <w:t xml:space="preserve">Flats, houses and units – the taxable value of the benefit is the market value of the right to use or occupy the accommodation less employee contribution (if any). In subsequent years, the market value can generally be used again, or alternatively the market value in the first year can be indexed using the CPI movement for a further nine years. The CPI factor applied will depend on the State or Territory in which the property is located. The CPI factors for the purposes of valuing such non-remote housing for the 2023 FBT year are now advised by way of webpage content on the </w:t>
      </w:r>
      <w:hyperlink r:id="rId13" w:anchor="Housing_indexation_figures" w:history="1">
        <w:r w:rsidRPr="002D0A09">
          <w:rPr>
            <w:rStyle w:val="Hyperlink"/>
          </w:rPr>
          <w:t>ATO website</w:t>
        </w:r>
      </w:hyperlink>
      <w:r w:rsidRPr="002D0A09">
        <w:t xml:space="preserve">.  </w:t>
      </w:r>
    </w:p>
    <w:p w14:paraId="48B51628" w14:textId="77777777" w:rsidR="00DF636C" w:rsidRPr="002D0A09" w:rsidRDefault="00DF636C" w:rsidP="002D0A09">
      <w:r w:rsidRPr="002D0A09">
        <w:t>Caravans, mobile homes, hotels and motels where the provider of the benefit provides similar or identical accommodation but is not the employer – the taxable value will be the market value of the right to use or occupy the unit of accommodation less employee contribution (if any).</w:t>
      </w:r>
    </w:p>
    <w:p w14:paraId="661FC86E" w14:textId="77777777" w:rsidR="00DF636C" w:rsidRPr="002D0A09" w:rsidRDefault="00DF636C" w:rsidP="002D0A09">
      <w:r w:rsidRPr="002D0A09">
        <w:t>Caravans, mobile homes, hotels and motels where the provider of the benefit provides similar or identical accommodation is also the employer – the taxable value will be 75% of the charge to the public of the right to use or occupy the unit of accommodation less employee contribution (if any).</w:t>
      </w:r>
    </w:p>
    <w:p w14:paraId="6C59243C" w14:textId="77777777" w:rsidR="00DF636C" w:rsidRPr="00EF1782" w:rsidRDefault="00DF636C" w:rsidP="002D0A09">
      <w:pPr>
        <w:pStyle w:val="Heading3"/>
      </w:pPr>
      <w:r w:rsidRPr="00EF1782">
        <w:t>Remote area</w:t>
      </w:r>
    </w:p>
    <w:p w14:paraId="32D010CD" w14:textId="77777777" w:rsidR="00DF636C" w:rsidRPr="0023149C" w:rsidRDefault="00DF636C" w:rsidP="002D0A09">
      <w:r w:rsidRPr="0023149C">
        <w:t>The provision of remote area housing is exempt from FBT. Such housing will only be exempt where the accommodation is provided in certain specified remote areas</w:t>
      </w:r>
      <w:r>
        <w:t xml:space="preserve"> to a current employee</w:t>
      </w:r>
      <w:r w:rsidRPr="0023149C">
        <w:t xml:space="preserve">, the employee’s usual place of residence is in that remote area and it is necessary for the employer to provide such housing because there is insufficient suitable </w:t>
      </w:r>
      <w:r>
        <w:t xml:space="preserve">residential </w:t>
      </w:r>
      <w:r w:rsidRPr="0023149C">
        <w:t xml:space="preserve">accommodation in the area or it is customary industry practice to provide such housing. A list of what places qualify as remote areas is available on the </w:t>
      </w:r>
      <w:hyperlink r:id="rId14" w:history="1">
        <w:r>
          <w:rPr>
            <w:rStyle w:val="Hyperlink"/>
            <w:sz w:val="17"/>
            <w:szCs w:val="17"/>
          </w:rPr>
          <w:t>ATO</w:t>
        </w:r>
        <w:r w:rsidRPr="0023149C">
          <w:rPr>
            <w:rStyle w:val="Hyperlink"/>
            <w:sz w:val="17"/>
            <w:szCs w:val="17"/>
          </w:rPr>
          <w:t xml:space="preserve"> we</w:t>
        </w:r>
        <w:r>
          <w:rPr>
            <w:rStyle w:val="Hyperlink"/>
            <w:sz w:val="17"/>
            <w:szCs w:val="17"/>
          </w:rPr>
          <w:t>b</w:t>
        </w:r>
        <w:r w:rsidRPr="0023149C">
          <w:rPr>
            <w:rStyle w:val="Hyperlink"/>
            <w:sz w:val="17"/>
            <w:szCs w:val="17"/>
          </w:rPr>
          <w:t>site</w:t>
        </w:r>
      </w:hyperlink>
      <w:r w:rsidRPr="0023149C">
        <w:t>.</w:t>
      </w:r>
    </w:p>
    <w:p w14:paraId="73215DD0" w14:textId="77777777" w:rsidR="00DF636C" w:rsidRPr="00EF1782" w:rsidRDefault="00DF636C" w:rsidP="002D0A09">
      <w:pPr>
        <w:pStyle w:val="Heading3"/>
      </w:pPr>
      <w:r w:rsidRPr="00EF1782">
        <w:t>Outside Australia</w:t>
      </w:r>
    </w:p>
    <w:p w14:paraId="6218F07E" w14:textId="77777777" w:rsidR="00DF636C" w:rsidRPr="0023149C" w:rsidRDefault="00DF636C" w:rsidP="002D0A09">
      <w:r>
        <w:t>The taxable value of housing fringe benefits where the accommodation provided is located outside Australia is equal to the m</w:t>
      </w:r>
      <w:r w:rsidRPr="0023149C">
        <w:t>arket value of the right to use or occupy the unit of accommodation less any employee contribution.</w:t>
      </w:r>
    </w:p>
    <w:p w14:paraId="71CEFC65" w14:textId="712AC4B3" w:rsidR="00DF636C" w:rsidRDefault="00DF636C" w:rsidP="002D0A09">
      <w:pPr>
        <w:pStyle w:val="Heading2"/>
        <w:numPr>
          <w:ilvl w:val="0"/>
          <w:numId w:val="42"/>
        </w:numPr>
      </w:pPr>
      <w:bookmarkStart w:id="5" w:name="_Toc289075446"/>
      <w:r w:rsidRPr="008E520B">
        <w:t>Living away from home allowance</w:t>
      </w:r>
      <w:bookmarkEnd w:id="5"/>
      <w:r>
        <w:t xml:space="preserve"> benefit (LAFHA)</w:t>
      </w:r>
    </w:p>
    <w:tbl>
      <w:tblPr>
        <w:tblW w:w="3373" w:type="pct"/>
        <w:tblCellMar>
          <w:left w:w="0" w:type="dxa"/>
          <w:right w:w="0" w:type="dxa"/>
        </w:tblCellMar>
        <w:tblLook w:val="04A0" w:firstRow="1" w:lastRow="0" w:firstColumn="1" w:lastColumn="0" w:noHBand="0" w:noVBand="1"/>
      </w:tblPr>
      <w:tblGrid>
        <w:gridCol w:w="842"/>
        <w:gridCol w:w="565"/>
        <w:gridCol w:w="980"/>
        <w:gridCol w:w="980"/>
        <w:gridCol w:w="1403"/>
        <w:gridCol w:w="981"/>
        <w:gridCol w:w="980"/>
      </w:tblGrid>
      <w:tr w:rsidR="002D0A09" w:rsidRPr="002D0A09" w14:paraId="4C00FD2F" w14:textId="77777777" w:rsidTr="00D1601A">
        <w:trPr>
          <w:trHeight w:val="599"/>
        </w:trPr>
        <w:tc>
          <w:tcPr>
            <w:tcW w:w="625" w:type="pct"/>
            <w:vAlign w:val="center"/>
          </w:tcPr>
          <w:p w14:paraId="2CB59ABD" w14:textId="77777777" w:rsidR="00DF636C" w:rsidRPr="002D0A09" w:rsidRDefault="00DF636C" w:rsidP="00D1601A">
            <w:pPr>
              <w:pStyle w:val="Body"/>
              <w:rPr>
                <w:color w:val="090D46" w:themeColor="text1"/>
                <w:sz w:val="18"/>
                <w:szCs w:val="28"/>
              </w:rPr>
            </w:pPr>
            <w:r w:rsidRPr="002D0A09">
              <w:rPr>
                <w:color w:val="090D46" w:themeColor="text1"/>
                <w:sz w:val="18"/>
                <w:szCs w:val="28"/>
              </w:rPr>
              <w:t>Taxable value</w:t>
            </w:r>
          </w:p>
        </w:tc>
        <w:tc>
          <w:tcPr>
            <w:tcW w:w="419" w:type="pct"/>
            <w:vAlign w:val="center"/>
          </w:tcPr>
          <w:p w14:paraId="4DFE1BCD" w14:textId="77777777" w:rsidR="00DF636C" w:rsidRPr="002D0A09" w:rsidRDefault="00DF636C" w:rsidP="00D1601A">
            <w:pPr>
              <w:pStyle w:val="Body"/>
              <w:jc w:val="center"/>
              <w:rPr>
                <w:color w:val="090D46" w:themeColor="text1"/>
                <w:sz w:val="18"/>
                <w:szCs w:val="28"/>
              </w:rPr>
            </w:pPr>
            <w:r w:rsidRPr="002D0A09">
              <w:rPr>
                <w:color w:val="090D46" w:themeColor="text1"/>
                <w:sz w:val="18"/>
                <w:szCs w:val="28"/>
              </w:rPr>
              <w:t>=</w:t>
            </w:r>
          </w:p>
        </w:tc>
        <w:tc>
          <w:tcPr>
            <w:tcW w:w="728" w:type="pct"/>
            <w:vAlign w:val="center"/>
          </w:tcPr>
          <w:p w14:paraId="287D6AD4" w14:textId="77777777" w:rsidR="00DF636C" w:rsidRPr="002D0A09" w:rsidRDefault="00DF636C" w:rsidP="00D1601A">
            <w:pPr>
              <w:pStyle w:val="Body"/>
              <w:rPr>
                <w:color w:val="090D46" w:themeColor="text1"/>
                <w:sz w:val="18"/>
                <w:szCs w:val="28"/>
              </w:rPr>
            </w:pPr>
            <w:r w:rsidRPr="002D0A09">
              <w:rPr>
                <w:color w:val="090D46" w:themeColor="text1"/>
                <w:sz w:val="18"/>
                <w:szCs w:val="28"/>
              </w:rPr>
              <w:t>LAFHA paid</w:t>
            </w:r>
          </w:p>
        </w:tc>
        <w:tc>
          <w:tcPr>
            <w:tcW w:w="728" w:type="pct"/>
            <w:vAlign w:val="center"/>
          </w:tcPr>
          <w:p w14:paraId="6E781B4F" w14:textId="77777777" w:rsidR="00DF636C" w:rsidRPr="002D0A09" w:rsidRDefault="00DF636C" w:rsidP="00D1601A">
            <w:pPr>
              <w:pStyle w:val="Body"/>
              <w:jc w:val="center"/>
              <w:rPr>
                <w:color w:val="090D46" w:themeColor="text1"/>
                <w:sz w:val="18"/>
                <w:szCs w:val="28"/>
              </w:rPr>
            </w:pPr>
            <w:r w:rsidRPr="002D0A09">
              <w:rPr>
                <w:color w:val="090D46" w:themeColor="text1"/>
                <w:sz w:val="18"/>
                <w:szCs w:val="28"/>
              </w:rPr>
              <w:t>less</w:t>
            </w:r>
          </w:p>
        </w:tc>
        <w:tc>
          <w:tcPr>
            <w:tcW w:w="1042" w:type="pct"/>
            <w:vAlign w:val="center"/>
          </w:tcPr>
          <w:p w14:paraId="10BC8CCE" w14:textId="77777777" w:rsidR="00DF636C" w:rsidRPr="002D0A09" w:rsidRDefault="00DF636C" w:rsidP="00D1601A">
            <w:pPr>
              <w:pStyle w:val="Body"/>
              <w:rPr>
                <w:color w:val="090D46" w:themeColor="text1"/>
                <w:sz w:val="18"/>
                <w:szCs w:val="28"/>
              </w:rPr>
            </w:pPr>
            <w:r w:rsidRPr="002D0A09">
              <w:rPr>
                <w:color w:val="090D46" w:themeColor="text1"/>
                <w:sz w:val="18"/>
                <w:szCs w:val="28"/>
              </w:rPr>
              <w:t>Exempt accommodation component</w:t>
            </w:r>
          </w:p>
        </w:tc>
        <w:tc>
          <w:tcPr>
            <w:tcW w:w="729" w:type="pct"/>
            <w:vAlign w:val="center"/>
          </w:tcPr>
          <w:p w14:paraId="2C726BEA" w14:textId="77777777" w:rsidR="00DF636C" w:rsidRPr="002D0A09" w:rsidRDefault="00DF636C" w:rsidP="00D1601A">
            <w:pPr>
              <w:pStyle w:val="Body"/>
              <w:jc w:val="center"/>
              <w:rPr>
                <w:color w:val="090D46" w:themeColor="text1"/>
                <w:sz w:val="18"/>
                <w:szCs w:val="28"/>
              </w:rPr>
            </w:pPr>
            <w:r w:rsidRPr="002D0A09">
              <w:rPr>
                <w:color w:val="090D46" w:themeColor="text1"/>
                <w:sz w:val="18"/>
                <w:szCs w:val="28"/>
              </w:rPr>
              <w:t>less</w:t>
            </w:r>
          </w:p>
        </w:tc>
        <w:tc>
          <w:tcPr>
            <w:tcW w:w="728" w:type="pct"/>
            <w:vAlign w:val="center"/>
          </w:tcPr>
          <w:p w14:paraId="3CA2C8E0" w14:textId="77777777" w:rsidR="00DF636C" w:rsidRPr="002D0A09" w:rsidRDefault="00DF636C" w:rsidP="00D1601A">
            <w:pPr>
              <w:pStyle w:val="Body"/>
              <w:rPr>
                <w:color w:val="090D46" w:themeColor="text1"/>
                <w:sz w:val="18"/>
                <w:szCs w:val="28"/>
              </w:rPr>
            </w:pPr>
            <w:r w:rsidRPr="002D0A09">
              <w:rPr>
                <w:color w:val="090D46" w:themeColor="text1"/>
                <w:sz w:val="18"/>
                <w:szCs w:val="28"/>
              </w:rPr>
              <w:t>Exempt food component</w:t>
            </w:r>
          </w:p>
        </w:tc>
      </w:tr>
    </w:tbl>
    <w:p w14:paraId="5CFDDCAC" w14:textId="77777777" w:rsidR="00DF636C" w:rsidRPr="00EF1782" w:rsidRDefault="00DF636C" w:rsidP="002D0A09">
      <w:pPr>
        <w:pStyle w:val="Heading3"/>
      </w:pPr>
      <w:r w:rsidRPr="00937818">
        <w:t>Exempt accommodation component</w:t>
      </w:r>
    </w:p>
    <w:p w14:paraId="1207A235" w14:textId="77777777" w:rsidR="00DF636C" w:rsidRPr="0023149C" w:rsidRDefault="00DF636C" w:rsidP="002D0A09">
      <w:r w:rsidRPr="0023149C">
        <w:t>The exempt accommodation component is not taxable where the costs incurred for rental, lease or other payment for accommodation (i.e. mortgage payment) are reasonable. Any amount in excess of what is considered reasonable is taxable.</w:t>
      </w:r>
    </w:p>
    <w:p w14:paraId="49E67810" w14:textId="77777777" w:rsidR="00DF636C" w:rsidRPr="0023149C" w:rsidRDefault="00DF636C" w:rsidP="002D0A09">
      <w:pPr>
        <w:rPr>
          <w:b/>
          <w:color w:val="auto"/>
        </w:rPr>
      </w:pPr>
      <w:r w:rsidRPr="0023149C">
        <w:rPr>
          <w:color w:val="auto"/>
        </w:rPr>
        <w:t>From 1 October 2012, in order for accommodation to qualify as an exempt accommodation component, all accommodation expenses must be fully substantiated by the employee and provided to their employer. Alternatively, the employee can provide a declaration to their employer informing them of the total accommodation expenditure.</w:t>
      </w:r>
    </w:p>
    <w:p w14:paraId="2998C91E" w14:textId="77777777" w:rsidR="00DF636C" w:rsidRPr="0023149C" w:rsidRDefault="00DF636C" w:rsidP="002D0A09">
      <w:pPr>
        <w:rPr>
          <w:b/>
          <w:color w:val="auto"/>
          <w:sz w:val="15"/>
          <w:szCs w:val="15"/>
        </w:rPr>
      </w:pPr>
      <w:r w:rsidRPr="002D0A09">
        <w:rPr>
          <w:b/>
          <w:bCs/>
          <w:color w:val="auto"/>
          <w:sz w:val="15"/>
          <w:szCs w:val="15"/>
        </w:rPr>
        <w:t>Note:</w:t>
      </w:r>
      <w:r w:rsidRPr="0023149C">
        <w:rPr>
          <w:color w:val="auto"/>
          <w:sz w:val="15"/>
          <w:szCs w:val="15"/>
        </w:rPr>
        <w:t xml:space="preserve"> </w:t>
      </w:r>
      <w:r>
        <w:rPr>
          <w:color w:val="auto"/>
          <w:sz w:val="15"/>
          <w:szCs w:val="15"/>
        </w:rPr>
        <w:t>D</w:t>
      </w:r>
      <w:r w:rsidRPr="0023149C">
        <w:rPr>
          <w:color w:val="auto"/>
          <w:sz w:val="15"/>
          <w:szCs w:val="15"/>
        </w:rPr>
        <w:t>ocumentary evidence is still required to be held by the employee for five years where they provide the accommodation expenditure declaration to their employer.</w:t>
      </w:r>
    </w:p>
    <w:p w14:paraId="342067CD" w14:textId="103D1472" w:rsidR="00DF636C" w:rsidRDefault="00DF636C" w:rsidP="00B41956"/>
    <w:p w14:paraId="4B966296" w14:textId="77777777" w:rsidR="00DF636C" w:rsidRPr="00EF1782" w:rsidRDefault="00DF636C" w:rsidP="002D0A09">
      <w:pPr>
        <w:pStyle w:val="Heading3"/>
      </w:pPr>
      <w:r w:rsidRPr="00EF1782">
        <w:t>Exempt food component</w:t>
      </w:r>
    </w:p>
    <w:p w14:paraId="6350F419" w14:textId="77777777" w:rsidR="00DF636C" w:rsidRPr="0023149C" w:rsidRDefault="00DF636C" w:rsidP="002D0A09">
      <w:r>
        <w:t>The e</w:t>
      </w:r>
      <w:r w:rsidRPr="0023149C">
        <w:t xml:space="preserve">xempt food component is that part of the </w:t>
      </w:r>
      <w:r>
        <w:t>LAFHA</w:t>
      </w:r>
      <w:r w:rsidRPr="0023149C">
        <w:t xml:space="preserve"> which reasonably compensates the employee for food or drink expenses actually incurred by the employee (and the employee’s family) during the period the employee is living away from home less the ‘applicable statutory food total’.     </w:t>
      </w:r>
    </w:p>
    <w:p w14:paraId="33B15A98" w14:textId="77777777" w:rsidR="00DF636C" w:rsidRPr="0023149C" w:rsidRDefault="00DF636C" w:rsidP="002D0A09">
      <w:r w:rsidRPr="0023149C">
        <w:t>The applicable statutory food total is the sum of the statutory food amounts for the employee and eligible family members, (i.e. adult or child 12 years or over at $42 per week and child under 12 years at $21 per week), less amounts that might reasonably have been</w:t>
      </w:r>
      <w:r>
        <w:t xml:space="preserve"> </w:t>
      </w:r>
      <w:r w:rsidRPr="0023149C">
        <w:t xml:space="preserve">expected to have been the total normal food and drink expenses if the employee and family had remained living at their normal residence. This portion of the living away from home allowance is therefore exempt up to the reasonable food component limit. </w:t>
      </w:r>
    </w:p>
    <w:p w14:paraId="35ED4832" w14:textId="737797B7" w:rsidR="00DF636C" w:rsidRPr="0023149C" w:rsidRDefault="00DF636C" w:rsidP="002D0A09">
      <w:r w:rsidRPr="0023149C">
        <w:t xml:space="preserve">The Commissioner’s view on the reasonable exempt food component for the </w:t>
      </w:r>
      <w:r>
        <w:t>202</w:t>
      </w:r>
      <w:r w:rsidR="00BB0557">
        <w:t>4</w:t>
      </w:r>
      <w:r w:rsidRPr="0023149C">
        <w:t xml:space="preserve"> FBT year is set out in Taxation Determination TD </w:t>
      </w:r>
      <w:r w:rsidR="00BB0557">
        <w:t>2023/2</w:t>
      </w:r>
      <w:r w:rsidRPr="0023149C">
        <w:t xml:space="preserve">. </w:t>
      </w:r>
    </w:p>
    <w:p w14:paraId="6AF76ADF" w14:textId="77777777" w:rsidR="00DF636C" w:rsidRPr="0023149C" w:rsidRDefault="00DF636C" w:rsidP="002D0A09">
      <w:r>
        <w:t>Where</w:t>
      </w:r>
      <w:r w:rsidRPr="0023149C">
        <w:t xml:space="preserve"> food and drink expenses </w:t>
      </w:r>
      <w:r>
        <w:t xml:space="preserve">are </w:t>
      </w:r>
      <w:r w:rsidRPr="0023149C">
        <w:t>in excess of those reasonable amounts (as determined by the Commissioner)</w:t>
      </w:r>
      <w:r>
        <w:t>, all food and drink expenses</w:t>
      </w:r>
      <w:r w:rsidRPr="0023149C">
        <w:t xml:space="preserve"> must be substantiated in full by the employee and documentary evidence </w:t>
      </w:r>
      <w:r>
        <w:t>must be</w:t>
      </w:r>
      <w:r w:rsidRPr="0023149C">
        <w:t xml:space="preserve"> provided to their employer. Alternatively, the employee can provide a declaration to their employer informing them of the total food and drink expenditure above the Commissioner’s reasonable amount.</w:t>
      </w:r>
    </w:p>
    <w:p w14:paraId="30CBDC82" w14:textId="77777777" w:rsidR="00DF636C" w:rsidRPr="0023149C" w:rsidRDefault="00DF636C" w:rsidP="002D0A09">
      <w:pPr>
        <w:rPr>
          <w:sz w:val="15"/>
          <w:szCs w:val="15"/>
        </w:rPr>
      </w:pPr>
      <w:r w:rsidRPr="0023149C">
        <w:rPr>
          <w:b/>
          <w:sz w:val="15"/>
          <w:szCs w:val="15"/>
        </w:rPr>
        <w:t>Note:</w:t>
      </w:r>
      <w:r w:rsidRPr="0023149C">
        <w:rPr>
          <w:sz w:val="15"/>
          <w:szCs w:val="15"/>
        </w:rPr>
        <w:t xml:space="preserve"> </w:t>
      </w:r>
      <w:r>
        <w:rPr>
          <w:sz w:val="15"/>
          <w:szCs w:val="15"/>
        </w:rPr>
        <w:t>D</w:t>
      </w:r>
      <w:r w:rsidRPr="0023149C">
        <w:rPr>
          <w:sz w:val="15"/>
          <w:szCs w:val="15"/>
        </w:rPr>
        <w:t>ocumentary evidence is still required to be held by the employee for five years where they provide the food and drink expenditure declaration to their employer.</w:t>
      </w:r>
      <w:r>
        <w:rPr>
          <w:sz w:val="15"/>
          <w:szCs w:val="15"/>
        </w:rPr>
        <w:t xml:space="preserve"> Evidence of all expenditure, not just amounts in excess of reasonable food amount, is required.</w:t>
      </w:r>
    </w:p>
    <w:p w14:paraId="17D7257F" w14:textId="191B8408" w:rsidR="00DF636C" w:rsidRDefault="00DF636C" w:rsidP="002D0A09">
      <w:pPr>
        <w:pStyle w:val="Heading2"/>
        <w:numPr>
          <w:ilvl w:val="0"/>
          <w:numId w:val="42"/>
        </w:numPr>
      </w:pPr>
      <w:r>
        <w:t>Expense payment fringe benefit</w:t>
      </w:r>
    </w:p>
    <w:p w14:paraId="33C62A71" w14:textId="77777777" w:rsidR="00DF636C" w:rsidRPr="0023149C" w:rsidRDefault="00DF636C" w:rsidP="002D0A09">
      <w:r w:rsidRPr="0023149C">
        <w:t xml:space="preserve">An expense payment fringe benefit arises when an employer discharges an obligation of the employee or associate to pay an expense owed to a third party or reimburses the employee or associate for expenses they have incurred. Such benefits will typically be regarded as external expense payment fringe benefits. The taxable value of an external expense payment fringe benefit is the amount paid or reimbursed by the employer less employee contribution (if any). The taxable value of such a benefit will be further reduced to the extent that the recipient of the benefit would have been entitled to a once-only tax deduction had the recipient incurred the expenditure under the otherwise deductible rule. Concessional rules apply to the provision of certain in-house expense payment fringe benefits.       </w:t>
      </w:r>
    </w:p>
    <w:p w14:paraId="5456F875" w14:textId="7B188CFB" w:rsidR="00DF636C" w:rsidRDefault="00DF636C" w:rsidP="00794B03">
      <w:pPr>
        <w:pStyle w:val="Heading2"/>
        <w:numPr>
          <w:ilvl w:val="0"/>
          <w:numId w:val="42"/>
        </w:numPr>
      </w:pPr>
      <w:bookmarkStart w:id="6" w:name="_Toc289075447"/>
      <w:r w:rsidRPr="008E520B">
        <w:t>Airline transport fringe benefit</w:t>
      </w:r>
      <w:bookmarkEnd w:id="6"/>
    </w:p>
    <w:p w14:paraId="27867E51" w14:textId="77777777" w:rsidR="00DF636C" w:rsidRPr="0023149C" w:rsidRDefault="00DF636C" w:rsidP="00794B03">
      <w:pPr>
        <w:rPr>
          <w:b/>
        </w:rPr>
      </w:pPr>
      <w:r w:rsidRPr="0023149C">
        <w:t xml:space="preserve">Airline transport fringe benefits no longer exist as a separate category of fringe benefit subject to its own valuation rules. Where an airline operator provides, in the course of employment, free or discounted air travel on a stand-by basis to employees or their associates, such benefits are now treated as in-house residual or property fringe benefits as discussed in the commentary on those benefits below. </w:t>
      </w:r>
    </w:p>
    <w:p w14:paraId="6DA8ACC9" w14:textId="58F9DBF3" w:rsidR="00DF636C" w:rsidRDefault="00DF636C" w:rsidP="00794B03">
      <w:pPr>
        <w:pStyle w:val="Heading2"/>
        <w:numPr>
          <w:ilvl w:val="0"/>
          <w:numId w:val="42"/>
        </w:numPr>
      </w:pPr>
      <w:bookmarkStart w:id="7" w:name="_Toc289075449"/>
      <w:r w:rsidRPr="00DA3046">
        <w:t>Entertainment expenses – meal</w:t>
      </w:r>
      <w:bookmarkEnd w:id="7"/>
    </w:p>
    <w:p w14:paraId="7AF9802B" w14:textId="77777777" w:rsidR="00DF636C" w:rsidRDefault="00DF636C" w:rsidP="00794B03">
      <w:pPr>
        <w:rPr>
          <w:b/>
          <w:lang w:val="en-GB" w:eastAsia="ja-JP"/>
        </w:rPr>
      </w:pPr>
      <w:r>
        <w:rPr>
          <w:lang w:val="en-GB" w:eastAsia="ja-JP"/>
        </w:rPr>
        <w:t>There are three different methods for determining the taxable value of meal entertainment benefits.</w:t>
      </w:r>
    </w:p>
    <w:p w14:paraId="50B6FA37" w14:textId="77777777" w:rsidR="00DF636C" w:rsidRPr="00A8590E" w:rsidRDefault="00DF636C" w:rsidP="00794B03">
      <w:pPr>
        <w:rPr>
          <w:lang w:val="en-GB" w:eastAsia="ja-JP"/>
        </w:rPr>
      </w:pPr>
      <w:r w:rsidRPr="0023149C">
        <w:rPr>
          <w:lang w:val="en-GB" w:eastAsia="ja-JP"/>
        </w:rPr>
        <w:t>Attached at Appendix A is a summary of the deductibility and FBT treatment of entertainment.</w:t>
      </w:r>
    </w:p>
    <w:p w14:paraId="16A9EEEB" w14:textId="2A79BAA9" w:rsidR="00DF636C" w:rsidRDefault="00DF636C" w:rsidP="00794B03">
      <w:pPr>
        <w:rPr>
          <w:lang w:val="en-GB" w:eastAsia="ja-JP"/>
        </w:rPr>
      </w:pPr>
      <w:r w:rsidRPr="0023149C">
        <w:rPr>
          <w:lang w:val="en-GB" w:eastAsia="ja-JP"/>
        </w:rPr>
        <w:t xml:space="preserve">Attached at Appendix B is a </w:t>
      </w:r>
      <w:r>
        <w:rPr>
          <w:lang w:val="en-GB" w:eastAsia="ja-JP"/>
        </w:rPr>
        <w:t>sheet to calculate</w:t>
      </w:r>
      <w:r w:rsidRPr="0023149C">
        <w:rPr>
          <w:lang w:val="en-GB" w:eastAsia="ja-JP"/>
        </w:rPr>
        <w:t xml:space="preserve"> entertainment fringe benefits.</w:t>
      </w:r>
    </w:p>
    <w:p w14:paraId="1AFAB68B" w14:textId="612FFAEC" w:rsidR="00794B03" w:rsidRDefault="00794B03" w:rsidP="00794B03">
      <w:pPr>
        <w:rPr>
          <w:lang w:val="en-GB" w:eastAsia="ja-JP"/>
        </w:rPr>
      </w:pPr>
    </w:p>
    <w:p w14:paraId="08BA14AB" w14:textId="77777777" w:rsidR="00794B03" w:rsidRPr="00A8590E" w:rsidRDefault="00794B03" w:rsidP="00794B03">
      <w:pPr>
        <w:rPr>
          <w:lang w:val="en-GB" w:eastAsia="ja-JP"/>
        </w:rPr>
      </w:pPr>
    </w:p>
    <w:p w14:paraId="6B3F4D52" w14:textId="1461091E" w:rsidR="00DF636C" w:rsidRDefault="00794B03" w:rsidP="00794B03">
      <w:pPr>
        <w:pStyle w:val="Heading3"/>
      </w:pPr>
      <w:r>
        <w:t xml:space="preserve">8.1 </w:t>
      </w:r>
      <w:r w:rsidR="00DF636C" w:rsidRPr="00EF1782">
        <w:t>50/50 split method</w:t>
      </w:r>
    </w:p>
    <w:p w14:paraId="76862A7D" w14:textId="77777777" w:rsidR="00DF636C" w:rsidRDefault="00DF636C" w:rsidP="00794B03">
      <w:r>
        <w:t>Taxable value    =    Total value of meal entertainment fringe benefits provided to all persons    x   50%</w:t>
      </w:r>
    </w:p>
    <w:p w14:paraId="1418E63D" w14:textId="77777777" w:rsidR="00DF636C" w:rsidRDefault="00DF636C" w:rsidP="00794B03">
      <w:r w:rsidRPr="0023149C">
        <w:t>Under this method, 50</w:t>
      </w:r>
      <w:r>
        <w:t>%</w:t>
      </w:r>
      <w:r w:rsidRPr="0023149C">
        <w:t xml:space="preserve"> of all meal entertainment expenses is tax deductible and subject to </w:t>
      </w:r>
      <w:r>
        <w:t>FBT</w:t>
      </w:r>
      <w:r w:rsidRPr="0023149C">
        <w:t>, while the remaining 50</w:t>
      </w:r>
      <w:r>
        <w:t>%</w:t>
      </w:r>
      <w:r w:rsidRPr="0023149C">
        <w:t xml:space="preserve"> is not tax deductible and is not subject to </w:t>
      </w:r>
      <w:r>
        <w:t>FBT</w:t>
      </w:r>
      <w:r w:rsidRPr="0023149C">
        <w:t>.</w:t>
      </w:r>
    </w:p>
    <w:p w14:paraId="1A456A22" w14:textId="77777777" w:rsidR="00DF636C" w:rsidRPr="0023149C" w:rsidRDefault="00DF636C" w:rsidP="00794B03">
      <w:r>
        <w:t>B</w:t>
      </w:r>
      <w:r w:rsidRPr="0023149C">
        <w:t>y combining meal entertainment for both employees and non-employees, the formula assumes that only 50</w:t>
      </w:r>
      <w:r>
        <w:t>%</w:t>
      </w:r>
      <w:r w:rsidRPr="0023149C">
        <w:t xml:space="preserve"> of total meal entertainment is provided to non-employees. </w:t>
      </w:r>
      <w:r>
        <w:t>Therefore, 50%</w:t>
      </w:r>
      <w:r w:rsidRPr="0023149C">
        <w:t xml:space="preserve"> of the cost of such meal entertainment will be deductible</w:t>
      </w:r>
      <w:r>
        <w:t xml:space="preserve"> as it will be taken to relate to employees</w:t>
      </w:r>
      <w:r w:rsidRPr="0023149C">
        <w:t>. This will be the case regardless of who was entertained. However, if more than 50</w:t>
      </w:r>
      <w:r>
        <w:t>%</w:t>
      </w:r>
      <w:r w:rsidRPr="0023149C">
        <w:t xml:space="preserve"> of the meal entertainment relates to non-employees the actual expenditure method is generally more tax effective but also more difficult to comply with</w:t>
      </w:r>
      <w:r>
        <w:t>.</w:t>
      </w:r>
    </w:p>
    <w:p w14:paraId="74056820" w14:textId="77777777" w:rsidR="00DF636C" w:rsidRPr="0023149C" w:rsidRDefault="00DF636C" w:rsidP="00794B03">
      <w:r>
        <w:t>T</w:t>
      </w:r>
      <w:r w:rsidRPr="0023149C">
        <w:t>he otherwise deductible rule does not apply, nor are any third</w:t>
      </w:r>
      <w:r>
        <w:t>-</w:t>
      </w:r>
      <w:r w:rsidRPr="0023149C">
        <w:t>party contributions taken into account</w:t>
      </w:r>
      <w:r>
        <w:t>.</w:t>
      </w:r>
    </w:p>
    <w:p w14:paraId="0E78824C" w14:textId="77777777" w:rsidR="00DF636C" w:rsidRDefault="00DF636C" w:rsidP="00794B03">
      <w:r>
        <w:t>T</w:t>
      </w:r>
      <w:r w:rsidRPr="0023149C">
        <w:t>he exemptions for property fringe benefits are not applicable</w:t>
      </w:r>
      <w:r>
        <w:t>.</w:t>
      </w:r>
    </w:p>
    <w:p w14:paraId="402B5C06" w14:textId="2ED8DA70" w:rsidR="00DF636C" w:rsidRPr="003D753B" w:rsidRDefault="00794B03" w:rsidP="00794B03">
      <w:pPr>
        <w:pStyle w:val="Heading3"/>
      </w:pPr>
      <w:r>
        <w:t xml:space="preserve">8.2 </w:t>
      </w:r>
      <w:r w:rsidR="00DF636C" w:rsidRPr="003D753B">
        <w:t>Actual record of expenditure</w:t>
      </w:r>
    </w:p>
    <w:p w14:paraId="5A7637C8" w14:textId="77777777" w:rsidR="00DF636C" w:rsidRPr="0023149C" w:rsidRDefault="00DF636C" w:rsidP="00794B03">
      <w:r w:rsidRPr="0023149C">
        <w:t>An actual record of meal entertainment expenditure is kept using an actual cost or average cost (on a per head apportionment basis under Taxation Determination TD</w:t>
      </w:r>
      <w:r>
        <w:t xml:space="preserve"> </w:t>
      </w:r>
      <w:r w:rsidRPr="0023149C">
        <w:t>94/25).</w:t>
      </w:r>
    </w:p>
    <w:p w14:paraId="12460061" w14:textId="6AAFA09A" w:rsidR="00DF636C" w:rsidRDefault="00DF636C" w:rsidP="00B41956"/>
    <w:p w14:paraId="597EC703" w14:textId="5FEF712D" w:rsidR="00DF636C" w:rsidRDefault="00794B03" w:rsidP="00794B03">
      <w:pPr>
        <w:pStyle w:val="Heading3"/>
      </w:pPr>
      <w:r>
        <w:t xml:space="preserve">8.3 </w:t>
      </w:r>
      <w:r w:rsidR="00DF636C" w:rsidRPr="003D753B">
        <w:t>12</w:t>
      </w:r>
      <w:r w:rsidR="00DF636C">
        <w:t>-</w:t>
      </w:r>
      <w:r w:rsidR="00DF636C" w:rsidRPr="003D753B">
        <w:t>week register method</w:t>
      </w:r>
    </w:p>
    <w:p w14:paraId="6FA59D05" w14:textId="77777777" w:rsidR="00DF636C" w:rsidRPr="00A8590E" w:rsidRDefault="00DF636C" w:rsidP="00DF636C">
      <w:pPr>
        <w:pStyle w:val="Body"/>
      </w:pPr>
    </w:p>
    <w:tbl>
      <w:tblPr>
        <w:tblW w:w="3488" w:type="pct"/>
        <w:tblCellMar>
          <w:left w:w="0" w:type="dxa"/>
          <w:right w:w="0" w:type="dxa"/>
        </w:tblCellMar>
        <w:tblLook w:val="04A0" w:firstRow="1" w:lastRow="0" w:firstColumn="1" w:lastColumn="0" w:noHBand="0" w:noVBand="1"/>
      </w:tblPr>
      <w:tblGrid>
        <w:gridCol w:w="795"/>
        <w:gridCol w:w="45"/>
        <w:gridCol w:w="565"/>
        <w:gridCol w:w="561"/>
        <w:gridCol w:w="3227"/>
        <w:gridCol w:w="880"/>
        <w:gridCol w:w="888"/>
      </w:tblGrid>
      <w:tr w:rsidR="00794B03" w:rsidRPr="00794B03" w14:paraId="4AAC22E0" w14:textId="77777777" w:rsidTr="00D1601A">
        <w:trPr>
          <w:trHeight w:val="627"/>
        </w:trPr>
        <w:tc>
          <w:tcPr>
            <w:tcW w:w="571" w:type="pct"/>
            <w:vMerge w:val="restart"/>
            <w:vAlign w:val="center"/>
          </w:tcPr>
          <w:p w14:paraId="3F85CE57" w14:textId="77777777" w:rsidR="00DF636C" w:rsidRPr="00794B03" w:rsidRDefault="00DF636C" w:rsidP="00D1601A">
            <w:pPr>
              <w:pStyle w:val="Body"/>
              <w:rPr>
                <w:rFonts w:cs="Arial"/>
                <w:color w:val="090D46" w:themeColor="text1"/>
              </w:rPr>
            </w:pPr>
            <w:r w:rsidRPr="00794B03">
              <w:rPr>
                <w:rFonts w:cs="Arial"/>
                <w:color w:val="090D46" w:themeColor="text1"/>
              </w:rPr>
              <w:t>Register %</w:t>
            </w:r>
          </w:p>
        </w:tc>
        <w:tc>
          <w:tcPr>
            <w:tcW w:w="438" w:type="pct"/>
            <w:gridSpan w:val="2"/>
            <w:vMerge w:val="restart"/>
            <w:vAlign w:val="center"/>
          </w:tcPr>
          <w:p w14:paraId="0B49AD76" w14:textId="77777777" w:rsidR="00DF636C" w:rsidRPr="00794B03" w:rsidRDefault="00DF636C" w:rsidP="00D1601A">
            <w:pPr>
              <w:pStyle w:val="Body"/>
              <w:jc w:val="center"/>
              <w:rPr>
                <w:rFonts w:cs="Arial"/>
                <w:color w:val="090D46" w:themeColor="text1"/>
              </w:rPr>
            </w:pPr>
            <w:r w:rsidRPr="00794B03">
              <w:rPr>
                <w:rFonts w:cs="Arial"/>
                <w:color w:val="090D46" w:themeColor="text1"/>
              </w:rPr>
              <w:t>=</w:t>
            </w:r>
          </w:p>
        </w:tc>
        <w:tc>
          <w:tcPr>
            <w:tcW w:w="3991" w:type="pct"/>
            <w:gridSpan w:val="4"/>
            <w:tcBorders>
              <w:bottom w:val="single" w:sz="4" w:space="0" w:color="auto"/>
            </w:tcBorders>
            <w:vAlign w:val="center"/>
          </w:tcPr>
          <w:p w14:paraId="249030C8" w14:textId="77777777" w:rsidR="00DF636C" w:rsidRPr="00794B03" w:rsidRDefault="00DF636C" w:rsidP="00D1601A">
            <w:pPr>
              <w:pStyle w:val="Body"/>
              <w:rPr>
                <w:rFonts w:cs="Arial"/>
                <w:color w:val="090D46" w:themeColor="text1"/>
              </w:rPr>
            </w:pPr>
            <w:r w:rsidRPr="00794B03">
              <w:rPr>
                <w:rFonts w:cs="Arial"/>
                <w:color w:val="090D46" w:themeColor="text1"/>
                <w:szCs w:val="16"/>
                <w:lang w:val="en-GB" w:eastAsia="ja-JP"/>
              </w:rPr>
              <w:t>Total value of meal entertainment fringe benefits provided</w:t>
            </w:r>
            <w:r w:rsidRPr="00794B03">
              <w:rPr>
                <w:rFonts w:cs="Arial"/>
                <w:color w:val="090D46" w:themeColor="text1"/>
                <w:szCs w:val="16"/>
                <w:lang w:val="en-GB" w:eastAsia="ja-JP"/>
              </w:rPr>
              <w:br/>
              <w:t>to employees and their associates during the 12-week period</w:t>
            </w:r>
          </w:p>
        </w:tc>
      </w:tr>
      <w:tr w:rsidR="00794B03" w:rsidRPr="00794B03" w14:paraId="6FF4ABD0" w14:textId="77777777" w:rsidTr="00D1601A">
        <w:trPr>
          <w:trHeight w:val="627"/>
        </w:trPr>
        <w:tc>
          <w:tcPr>
            <w:tcW w:w="571" w:type="pct"/>
            <w:vMerge/>
            <w:vAlign w:val="center"/>
          </w:tcPr>
          <w:p w14:paraId="48C2CA62" w14:textId="77777777" w:rsidR="00DF636C" w:rsidRPr="00794B03" w:rsidRDefault="00DF636C" w:rsidP="00D1601A">
            <w:pPr>
              <w:pStyle w:val="Body"/>
              <w:rPr>
                <w:rFonts w:cs="Arial"/>
                <w:color w:val="090D46" w:themeColor="text1"/>
              </w:rPr>
            </w:pPr>
          </w:p>
        </w:tc>
        <w:tc>
          <w:tcPr>
            <w:tcW w:w="438" w:type="pct"/>
            <w:gridSpan w:val="2"/>
            <w:vMerge/>
            <w:vAlign w:val="center"/>
          </w:tcPr>
          <w:p w14:paraId="73DAF7BA" w14:textId="77777777" w:rsidR="00DF636C" w:rsidRPr="00794B03" w:rsidRDefault="00DF636C" w:rsidP="00D1601A">
            <w:pPr>
              <w:pStyle w:val="Body"/>
              <w:jc w:val="center"/>
              <w:rPr>
                <w:rFonts w:cs="Arial"/>
                <w:color w:val="090D46" w:themeColor="text1"/>
              </w:rPr>
            </w:pPr>
          </w:p>
        </w:tc>
        <w:tc>
          <w:tcPr>
            <w:tcW w:w="3991" w:type="pct"/>
            <w:gridSpan w:val="4"/>
            <w:tcBorders>
              <w:top w:val="single" w:sz="4" w:space="0" w:color="auto"/>
            </w:tcBorders>
            <w:vAlign w:val="center"/>
          </w:tcPr>
          <w:p w14:paraId="325E8A84" w14:textId="77777777" w:rsidR="00DF636C" w:rsidRPr="00794B03" w:rsidRDefault="00DF636C" w:rsidP="00D1601A">
            <w:pPr>
              <w:pStyle w:val="Body"/>
              <w:rPr>
                <w:rFonts w:cs="Arial"/>
                <w:color w:val="090D46" w:themeColor="text1"/>
              </w:rPr>
            </w:pPr>
            <w:r w:rsidRPr="00794B03">
              <w:rPr>
                <w:rFonts w:cs="Arial"/>
                <w:color w:val="090D46" w:themeColor="text1"/>
                <w:szCs w:val="16"/>
                <w:lang w:val="en-GB" w:eastAsia="ja-JP"/>
              </w:rPr>
              <w:t xml:space="preserve">Total value of meal entertainment fringe benefits provided </w:t>
            </w:r>
            <w:r w:rsidRPr="00794B03">
              <w:rPr>
                <w:rFonts w:cs="Arial"/>
                <w:color w:val="090D46" w:themeColor="text1"/>
                <w:szCs w:val="16"/>
                <w:lang w:val="en-GB" w:eastAsia="ja-JP"/>
              </w:rPr>
              <w:br/>
              <w:t>to all persons during the 12-week period</w:t>
            </w:r>
          </w:p>
        </w:tc>
      </w:tr>
      <w:tr w:rsidR="00794B03" w:rsidRPr="00794B03" w14:paraId="3724407B" w14:textId="77777777" w:rsidTr="00D1601A">
        <w:trPr>
          <w:trHeight w:val="980"/>
        </w:trPr>
        <w:tc>
          <w:tcPr>
            <w:tcW w:w="603" w:type="pct"/>
            <w:gridSpan w:val="2"/>
            <w:vAlign w:val="center"/>
          </w:tcPr>
          <w:p w14:paraId="18703DCE" w14:textId="77777777" w:rsidR="00DF636C" w:rsidRPr="00794B03" w:rsidRDefault="00DF636C" w:rsidP="00D1601A">
            <w:pPr>
              <w:pStyle w:val="Body"/>
              <w:rPr>
                <w:rFonts w:cs="Arial"/>
                <w:color w:val="090D46" w:themeColor="text1"/>
              </w:rPr>
            </w:pPr>
            <w:r w:rsidRPr="00794B03">
              <w:rPr>
                <w:rFonts w:cs="Arial"/>
                <w:color w:val="090D46" w:themeColor="text1"/>
                <w:szCs w:val="16"/>
                <w:lang w:val="en-GB" w:eastAsia="ja-JP"/>
              </w:rPr>
              <w:t>Taxable value</w:t>
            </w:r>
          </w:p>
        </w:tc>
        <w:tc>
          <w:tcPr>
            <w:tcW w:w="405" w:type="pct"/>
          </w:tcPr>
          <w:p w14:paraId="24FFC966" w14:textId="77777777" w:rsidR="00DF636C" w:rsidRPr="00794B03" w:rsidRDefault="00DF636C" w:rsidP="00D1601A">
            <w:pPr>
              <w:pStyle w:val="Body"/>
              <w:jc w:val="center"/>
              <w:rPr>
                <w:rFonts w:cs="Arial"/>
                <w:color w:val="090D46" w:themeColor="text1"/>
              </w:rPr>
            </w:pPr>
          </w:p>
        </w:tc>
        <w:tc>
          <w:tcPr>
            <w:tcW w:w="403" w:type="pct"/>
            <w:vAlign w:val="center"/>
          </w:tcPr>
          <w:p w14:paraId="03DE256D" w14:textId="77777777" w:rsidR="00DF636C" w:rsidRPr="00794B03" w:rsidRDefault="00DF636C" w:rsidP="00D1601A">
            <w:pPr>
              <w:pStyle w:val="Body"/>
              <w:jc w:val="center"/>
              <w:rPr>
                <w:rFonts w:cs="Arial"/>
                <w:color w:val="090D46" w:themeColor="text1"/>
              </w:rPr>
            </w:pPr>
            <w:r w:rsidRPr="00794B03">
              <w:rPr>
                <w:rFonts w:cs="Arial"/>
                <w:color w:val="090D46" w:themeColor="text1"/>
              </w:rPr>
              <w:t>=</w:t>
            </w:r>
          </w:p>
        </w:tc>
        <w:tc>
          <w:tcPr>
            <w:tcW w:w="2318" w:type="pct"/>
            <w:vAlign w:val="center"/>
          </w:tcPr>
          <w:p w14:paraId="7C4E7221" w14:textId="77777777" w:rsidR="00DF636C" w:rsidRPr="00794B03" w:rsidRDefault="00DF636C" w:rsidP="00D1601A">
            <w:pPr>
              <w:autoSpaceDE w:val="0"/>
              <w:autoSpaceDN w:val="0"/>
              <w:adjustRightInd w:val="0"/>
              <w:rPr>
                <w:rFonts w:cs="Arial"/>
                <w:szCs w:val="16"/>
                <w:lang w:val="en-GB" w:eastAsia="ja-JP"/>
              </w:rPr>
            </w:pPr>
            <w:r w:rsidRPr="00794B03">
              <w:rPr>
                <w:rFonts w:cs="Arial"/>
                <w:sz w:val="16"/>
                <w:szCs w:val="16"/>
                <w:lang w:val="en-GB" w:eastAsia="ja-JP"/>
              </w:rPr>
              <w:t xml:space="preserve">Total value of meal entertainment fringe </w:t>
            </w:r>
            <w:r w:rsidRPr="00794B03">
              <w:rPr>
                <w:rFonts w:cs="Arial"/>
                <w:sz w:val="16"/>
                <w:szCs w:val="16"/>
                <w:lang w:val="en-GB" w:eastAsia="ja-JP"/>
              </w:rPr>
              <w:br/>
              <w:t>benefits provided to all persons</w:t>
            </w:r>
          </w:p>
        </w:tc>
        <w:tc>
          <w:tcPr>
            <w:tcW w:w="632" w:type="pct"/>
            <w:vAlign w:val="center"/>
          </w:tcPr>
          <w:p w14:paraId="687D4A48" w14:textId="77777777" w:rsidR="00DF636C" w:rsidRPr="00794B03" w:rsidRDefault="00DF636C" w:rsidP="00D1601A">
            <w:pPr>
              <w:autoSpaceDE w:val="0"/>
              <w:autoSpaceDN w:val="0"/>
              <w:adjustRightInd w:val="0"/>
              <w:jc w:val="center"/>
              <w:rPr>
                <w:rFonts w:cs="Arial"/>
                <w:sz w:val="16"/>
                <w:szCs w:val="16"/>
                <w:lang w:val="en-GB" w:eastAsia="ja-JP"/>
              </w:rPr>
            </w:pPr>
            <w:r w:rsidRPr="00794B03">
              <w:rPr>
                <w:rFonts w:cs="Arial"/>
                <w:sz w:val="16"/>
                <w:szCs w:val="16"/>
                <w:lang w:val="en-GB" w:eastAsia="ja-JP"/>
              </w:rPr>
              <w:t>x</w:t>
            </w:r>
          </w:p>
        </w:tc>
        <w:tc>
          <w:tcPr>
            <w:tcW w:w="639" w:type="pct"/>
            <w:vAlign w:val="center"/>
          </w:tcPr>
          <w:p w14:paraId="29979462" w14:textId="77777777" w:rsidR="00DF636C" w:rsidRPr="00794B03" w:rsidRDefault="00DF636C" w:rsidP="00D1601A">
            <w:pPr>
              <w:autoSpaceDE w:val="0"/>
              <w:autoSpaceDN w:val="0"/>
              <w:adjustRightInd w:val="0"/>
              <w:rPr>
                <w:rFonts w:cs="Arial"/>
                <w:sz w:val="16"/>
                <w:szCs w:val="16"/>
                <w:lang w:val="en-GB" w:eastAsia="ja-JP"/>
              </w:rPr>
            </w:pPr>
            <w:r w:rsidRPr="00794B03">
              <w:rPr>
                <w:rFonts w:cs="Arial"/>
                <w:sz w:val="16"/>
                <w:szCs w:val="16"/>
                <w:lang w:val="en-GB" w:eastAsia="ja-JP"/>
              </w:rPr>
              <w:t>Register %</w:t>
            </w:r>
          </w:p>
        </w:tc>
      </w:tr>
    </w:tbl>
    <w:p w14:paraId="04CA701A" w14:textId="77777777" w:rsidR="00DF636C" w:rsidRPr="0023149C" w:rsidRDefault="00DF636C" w:rsidP="00794B03">
      <w:r>
        <w:t>O</w:t>
      </w:r>
      <w:r w:rsidRPr="0023149C">
        <w:t>nly if the FBT calculated over a continuous 12</w:t>
      </w:r>
      <w:r>
        <w:t>-</w:t>
      </w:r>
      <w:r w:rsidRPr="0023149C">
        <w:t>week period is representative of an entire year will the FBT payable equate to the meal entertainment actually provided</w:t>
      </w:r>
      <w:r>
        <w:t>.</w:t>
      </w:r>
    </w:p>
    <w:p w14:paraId="653B3883" w14:textId="77777777" w:rsidR="00DF636C" w:rsidRPr="0023149C" w:rsidRDefault="00DF636C" w:rsidP="00794B03">
      <w:r>
        <w:t>T</w:t>
      </w:r>
      <w:r w:rsidRPr="0023149C">
        <w:t>he otherwise deductible rule does not apply, nor are third party contributions taken into account</w:t>
      </w:r>
      <w:r>
        <w:t>.</w:t>
      </w:r>
    </w:p>
    <w:p w14:paraId="2BF3D3BB" w14:textId="5ADCA2B8" w:rsidR="00DF636C" w:rsidRDefault="00DF636C" w:rsidP="00794B03">
      <w:r>
        <w:t>T</w:t>
      </w:r>
      <w:r w:rsidRPr="0023149C">
        <w:t>he exemptions for property fringe benefits are also not applicable.</w:t>
      </w:r>
    </w:p>
    <w:p w14:paraId="5D5B50DF" w14:textId="77777777" w:rsidR="00794B03" w:rsidRDefault="00794B03" w:rsidP="00794B03"/>
    <w:p w14:paraId="440E741E" w14:textId="77777777" w:rsidR="00DF636C" w:rsidRDefault="00DF636C" w:rsidP="00794B03">
      <w:pPr>
        <w:pStyle w:val="Heading3"/>
        <w:rPr>
          <w:color w:val="000000"/>
          <w:sz w:val="20"/>
          <w:szCs w:val="20"/>
        </w:rPr>
      </w:pPr>
      <w:r>
        <w:rPr>
          <w:lang w:val="en-GB" w:eastAsia="ja-JP"/>
        </w:rPr>
        <w:t>8.4 Entertainment Facility Leasing Expenses</w:t>
      </w:r>
    </w:p>
    <w:p w14:paraId="79896BCD" w14:textId="77777777" w:rsidR="00DF636C" w:rsidRDefault="00DF636C" w:rsidP="00DF636C">
      <w:pPr>
        <w:rPr>
          <w:color w:val="000000"/>
          <w:sz w:val="20"/>
          <w:szCs w:val="20"/>
        </w:rPr>
      </w:pPr>
    </w:p>
    <w:p w14:paraId="27F98D90" w14:textId="77777777" w:rsidR="00DF636C" w:rsidRDefault="00DF636C" w:rsidP="00794B03">
      <w:r>
        <w:t>Entertainment Facility Leasing Expenses (EFLE) can be valued using either the 50/50 split method or actual method and can be valued differently to meal entertainment fringe benefits in a given FBT year.</w:t>
      </w:r>
    </w:p>
    <w:p w14:paraId="2BB88AFB" w14:textId="77777777" w:rsidR="00DF636C" w:rsidRPr="00794B03" w:rsidRDefault="00DF636C" w:rsidP="00794B03">
      <w:pPr>
        <w:rPr>
          <w:rFonts w:eastAsia="Arial"/>
          <w:b/>
          <w:bCs/>
          <w:color w:val="051C3C"/>
          <w:szCs w:val="18"/>
        </w:rPr>
      </w:pPr>
      <w:r w:rsidRPr="00794B03">
        <w:rPr>
          <w:rFonts w:eastAsia="Arial"/>
          <w:b/>
          <w:bCs/>
          <w:color w:val="051C3C"/>
        </w:rPr>
        <w:t>50/50 split method</w:t>
      </w:r>
    </w:p>
    <w:p w14:paraId="61B88577" w14:textId="77777777" w:rsidR="00DF636C" w:rsidRDefault="00DF636C" w:rsidP="00794B03">
      <w:pPr>
        <w:rPr>
          <w:rFonts w:eastAsia="Arial"/>
        </w:rPr>
      </w:pPr>
      <w:r>
        <w:rPr>
          <w:rFonts w:eastAsia="Arial"/>
        </w:rPr>
        <w:t>Taxable value    =    Total value of entertainment facility leasing expense benefits provided to all persons    x   50%</w:t>
      </w:r>
    </w:p>
    <w:p w14:paraId="7EE50E9A" w14:textId="77777777" w:rsidR="00DF636C" w:rsidRDefault="00DF636C" w:rsidP="00794B03">
      <w:pPr>
        <w:rPr>
          <w:rFonts w:eastAsia="Arial"/>
        </w:rPr>
      </w:pPr>
      <w:r>
        <w:rPr>
          <w:rFonts w:eastAsia="Arial"/>
        </w:rPr>
        <w:t>The minor benefit rule cannot be applied and the exemptions for property fringe benefits are not applicable.</w:t>
      </w:r>
    </w:p>
    <w:p w14:paraId="346E2B1F" w14:textId="77777777" w:rsidR="00DF636C" w:rsidRPr="00794B03" w:rsidRDefault="00DF636C" w:rsidP="00794B03">
      <w:pPr>
        <w:rPr>
          <w:rFonts w:eastAsia="Arial"/>
          <w:b/>
          <w:bCs/>
          <w:color w:val="051C3C"/>
          <w:szCs w:val="18"/>
        </w:rPr>
      </w:pPr>
      <w:r w:rsidRPr="00794B03">
        <w:rPr>
          <w:rFonts w:eastAsia="Arial"/>
          <w:b/>
          <w:bCs/>
          <w:color w:val="051C3C"/>
        </w:rPr>
        <w:t>Actual method</w:t>
      </w:r>
    </w:p>
    <w:p w14:paraId="017923CD" w14:textId="77777777" w:rsidR="00DF636C" w:rsidRDefault="00DF636C" w:rsidP="00794B03">
      <w:pPr>
        <w:rPr>
          <w:rFonts w:eastAsia="Arial"/>
        </w:rPr>
      </w:pPr>
      <w:r>
        <w:rPr>
          <w:rFonts w:eastAsia="Arial"/>
        </w:rPr>
        <w:t>Taxable value    =    Total value of entertainment facility leasing expense benefits provided to all employees</w:t>
      </w:r>
    </w:p>
    <w:p w14:paraId="1F5F134A" w14:textId="77777777" w:rsidR="00DF636C" w:rsidRPr="008B3258" w:rsidRDefault="00DF636C" w:rsidP="00794B03">
      <w:r>
        <w:t>The taxable value can be further reduced by employee contributions, the minor benefit rule or a reasonable apportionment of advertising expenses (generally accepted at 5% unless a higher deduction can be substantiated).</w:t>
      </w:r>
    </w:p>
    <w:p w14:paraId="1D73D0FB" w14:textId="6A052127" w:rsidR="00DF636C" w:rsidRPr="00FC70D6" w:rsidRDefault="00DF636C" w:rsidP="00794B03">
      <w:pPr>
        <w:pStyle w:val="Heading2"/>
        <w:numPr>
          <w:ilvl w:val="0"/>
          <w:numId w:val="42"/>
        </w:numPr>
      </w:pPr>
      <w:r w:rsidRPr="00FC70D6">
        <w:t>Car parking fringe benefit</w:t>
      </w:r>
    </w:p>
    <w:p w14:paraId="7F24FD04" w14:textId="77777777" w:rsidR="00DF636C" w:rsidRPr="0023149C" w:rsidRDefault="00DF636C" w:rsidP="00794B03">
      <w:r w:rsidRPr="0023149C">
        <w:t>There are three methods for determining the value of a car parking fringe benefit:</w:t>
      </w:r>
    </w:p>
    <w:p w14:paraId="490B841E" w14:textId="77777777" w:rsidR="00DF636C" w:rsidRPr="0023149C" w:rsidRDefault="00DF636C" w:rsidP="00794B03">
      <w:pPr>
        <w:pStyle w:val="ListBullet"/>
      </w:pPr>
      <w:r w:rsidRPr="0023149C">
        <w:t>commercial parking station method – the lowest fee charged for all day parking, by any commercial parking station within a one kilometre radius of where the car is parked</w:t>
      </w:r>
    </w:p>
    <w:p w14:paraId="59D8464B" w14:textId="77777777" w:rsidR="00DF636C" w:rsidRPr="0023149C" w:rsidRDefault="00DF636C" w:rsidP="00794B03">
      <w:pPr>
        <w:pStyle w:val="ListBullet"/>
      </w:pPr>
      <w:r w:rsidRPr="0023149C">
        <w:t>market value/arm’s length method – value determined by a qualified valuer</w:t>
      </w:r>
    </w:p>
    <w:p w14:paraId="590D8B74" w14:textId="77777777" w:rsidR="00DF636C" w:rsidRPr="0023149C" w:rsidRDefault="00DF636C" w:rsidP="00794B03">
      <w:pPr>
        <w:pStyle w:val="ListBullet"/>
      </w:pPr>
      <w:r w:rsidRPr="0023149C">
        <w:t>average cost method – the average of the lowest fees charged on the first and last day of the FBT year.</w:t>
      </w:r>
    </w:p>
    <w:p w14:paraId="77ABC3AB" w14:textId="77777777" w:rsidR="00DF636C" w:rsidRPr="0023149C" w:rsidRDefault="00DF636C" w:rsidP="00794B03">
      <w:pPr>
        <w:pStyle w:val="ListBullet"/>
      </w:pPr>
      <w:r w:rsidRPr="0023149C">
        <w:t>There are three methods of determining the number of car parking fringe benefits:</w:t>
      </w:r>
    </w:p>
    <w:p w14:paraId="137E71DB" w14:textId="77777777" w:rsidR="00DF636C" w:rsidRPr="0023149C" w:rsidRDefault="00DF636C" w:rsidP="00794B03">
      <w:pPr>
        <w:pStyle w:val="ListBullet"/>
      </w:pPr>
      <w:r w:rsidRPr="0023149C">
        <w:t>actual benefits provided method</w:t>
      </w:r>
    </w:p>
    <w:p w14:paraId="74E2A669" w14:textId="77777777" w:rsidR="00DF636C" w:rsidRPr="0023149C" w:rsidRDefault="00DF636C" w:rsidP="00794B03">
      <w:pPr>
        <w:pStyle w:val="ListBullet"/>
      </w:pPr>
      <w:r w:rsidRPr="0023149C">
        <w:t>statutory formula method</w:t>
      </w:r>
    </w:p>
    <w:p w14:paraId="6EB11952" w14:textId="75536A9F" w:rsidR="00DF636C" w:rsidRDefault="00DF636C" w:rsidP="00794B03">
      <w:pPr>
        <w:pStyle w:val="ListBullet"/>
      </w:pPr>
      <w:r w:rsidRPr="0023149C">
        <w:t>12</w:t>
      </w:r>
      <w:r>
        <w:t>-</w:t>
      </w:r>
      <w:r w:rsidRPr="0023149C">
        <w:t>week register method</w:t>
      </w:r>
    </w:p>
    <w:p w14:paraId="2133C19C" w14:textId="5B9B741E" w:rsidR="00DF636C" w:rsidRDefault="00794B03" w:rsidP="00794B03">
      <w:pPr>
        <w:pStyle w:val="Heading3"/>
      </w:pPr>
      <w:r>
        <w:t xml:space="preserve">9.1 </w:t>
      </w:r>
      <w:r w:rsidR="00DF636C">
        <w:t>Actual benefits provided method</w:t>
      </w:r>
    </w:p>
    <w:p w14:paraId="599738DD" w14:textId="77777777" w:rsidR="00DF636C" w:rsidRDefault="00DF636C" w:rsidP="00794B03">
      <w:r>
        <w:t>Each car parking benefit provided needs to be calculated separately with each benefit calculated under the chosen method and then reduced by the employee contribution.</w:t>
      </w:r>
    </w:p>
    <w:p w14:paraId="1481CC73" w14:textId="7ED539A2" w:rsidR="00DF636C" w:rsidRDefault="00794B03" w:rsidP="00794B03">
      <w:pPr>
        <w:pStyle w:val="Heading3"/>
      </w:pPr>
      <w:r>
        <w:t xml:space="preserve">9.2 </w:t>
      </w:r>
      <w:r w:rsidR="00DF636C" w:rsidRPr="00F25BCF">
        <w:t>Statutory formula method</w:t>
      </w:r>
    </w:p>
    <w:p w14:paraId="528D263A" w14:textId="77777777" w:rsidR="00DF636C" w:rsidRPr="00E9060C" w:rsidRDefault="00DF636C" w:rsidP="00DF636C">
      <w:pPr>
        <w:pStyle w:val="Body"/>
      </w:pPr>
    </w:p>
    <w:tbl>
      <w:tblPr>
        <w:tblW w:w="4647" w:type="pct"/>
        <w:tblCellMar>
          <w:left w:w="0" w:type="dxa"/>
          <w:right w:w="0" w:type="dxa"/>
        </w:tblCellMar>
        <w:tblLook w:val="04A0" w:firstRow="1" w:lastRow="0" w:firstColumn="1" w:lastColumn="0" w:noHBand="0" w:noVBand="1"/>
      </w:tblPr>
      <w:tblGrid>
        <w:gridCol w:w="774"/>
        <w:gridCol w:w="409"/>
        <w:gridCol w:w="331"/>
        <w:gridCol w:w="1421"/>
        <w:gridCol w:w="701"/>
        <w:gridCol w:w="1400"/>
        <w:gridCol w:w="1116"/>
        <w:gridCol w:w="699"/>
        <w:gridCol w:w="360"/>
        <w:gridCol w:w="1042"/>
        <w:gridCol w:w="1021"/>
      </w:tblGrid>
      <w:tr w:rsidR="00794B03" w:rsidRPr="00794B03" w14:paraId="67570FE5" w14:textId="77777777" w:rsidTr="00D1601A">
        <w:trPr>
          <w:trHeight w:val="453"/>
        </w:trPr>
        <w:tc>
          <w:tcPr>
            <w:tcW w:w="419" w:type="pct"/>
            <w:vMerge w:val="restart"/>
            <w:vAlign w:val="center"/>
          </w:tcPr>
          <w:p w14:paraId="0C005FBB" w14:textId="77777777" w:rsidR="00DF636C" w:rsidRPr="00794B03" w:rsidRDefault="00DF636C" w:rsidP="00D1601A">
            <w:pPr>
              <w:pStyle w:val="Body"/>
              <w:rPr>
                <w:color w:val="090D46" w:themeColor="text1"/>
                <w:sz w:val="18"/>
                <w:szCs w:val="28"/>
              </w:rPr>
            </w:pPr>
            <w:r w:rsidRPr="00794B03">
              <w:rPr>
                <w:color w:val="090D46" w:themeColor="text1"/>
                <w:sz w:val="18"/>
                <w:szCs w:val="28"/>
              </w:rPr>
              <w:t>Taxable value</w:t>
            </w:r>
          </w:p>
        </w:tc>
        <w:tc>
          <w:tcPr>
            <w:tcW w:w="222" w:type="pct"/>
            <w:vMerge w:val="restart"/>
            <w:tcBorders>
              <w:right w:val="single" w:sz="4" w:space="0" w:color="auto"/>
            </w:tcBorders>
            <w:vAlign w:val="center"/>
          </w:tcPr>
          <w:p w14:paraId="0565488D" w14:textId="77777777" w:rsidR="00DF636C" w:rsidRPr="00794B03" w:rsidRDefault="00DF636C" w:rsidP="00D1601A">
            <w:pPr>
              <w:pStyle w:val="Body"/>
              <w:jc w:val="center"/>
              <w:rPr>
                <w:color w:val="090D46" w:themeColor="text1"/>
                <w:sz w:val="18"/>
                <w:szCs w:val="28"/>
              </w:rPr>
            </w:pPr>
            <w:r w:rsidRPr="00794B03">
              <w:rPr>
                <w:color w:val="090D46" w:themeColor="text1"/>
                <w:sz w:val="18"/>
                <w:szCs w:val="28"/>
              </w:rPr>
              <w:t>=</w:t>
            </w:r>
          </w:p>
        </w:tc>
        <w:tc>
          <w:tcPr>
            <w:tcW w:w="180" w:type="pct"/>
            <w:tcBorders>
              <w:top w:val="single" w:sz="4" w:space="0" w:color="auto"/>
              <w:left w:val="single" w:sz="4" w:space="0" w:color="auto"/>
            </w:tcBorders>
            <w:vAlign w:val="center"/>
          </w:tcPr>
          <w:p w14:paraId="199D04DE" w14:textId="77777777" w:rsidR="00DF636C" w:rsidRPr="00794B03" w:rsidRDefault="00DF636C" w:rsidP="00D1601A">
            <w:pPr>
              <w:pStyle w:val="Body"/>
              <w:rPr>
                <w:color w:val="090D46" w:themeColor="text1"/>
                <w:sz w:val="18"/>
                <w:szCs w:val="28"/>
              </w:rPr>
            </w:pPr>
          </w:p>
        </w:tc>
        <w:tc>
          <w:tcPr>
            <w:tcW w:w="767" w:type="pct"/>
            <w:vAlign w:val="center"/>
          </w:tcPr>
          <w:p w14:paraId="37D0829A" w14:textId="77777777" w:rsidR="00DF636C" w:rsidRPr="00794B03" w:rsidRDefault="00DF636C" w:rsidP="00D1601A">
            <w:pPr>
              <w:pStyle w:val="Body"/>
              <w:rPr>
                <w:color w:val="090D46" w:themeColor="text1"/>
                <w:sz w:val="18"/>
                <w:szCs w:val="28"/>
              </w:rPr>
            </w:pPr>
            <w:r w:rsidRPr="00794B03">
              <w:rPr>
                <w:color w:val="090D46" w:themeColor="text1"/>
                <w:sz w:val="18"/>
                <w:szCs w:val="28"/>
              </w:rPr>
              <w:t>Daily rate amount *</w:t>
            </w:r>
          </w:p>
        </w:tc>
        <w:tc>
          <w:tcPr>
            <w:tcW w:w="379" w:type="pct"/>
            <w:vAlign w:val="center"/>
          </w:tcPr>
          <w:p w14:paraId="552F3280" w14:textId="77777777" w:rsidR="00DF636C" w:rsidRPr="00794B03" w:rsidRDefault="00DF636C" w:rsidP="00D1601A">
            <w:pPr>
              <w:pStyle w:val="Body"/>
              <w:jc w:val="center"/>
              <w:rPr>
                <w:color w:val="090D46" w:themeColor="text1"/>
                <w:sz w:val="18"/>
                <w:szCs w:val="28"/>
              </w:rPr>
            </w:pPr>
            <w:r w:rsidRPr="00794B03">
              <w:rPr>
                <w:color w:val="090D46" w:themeColor="text1"/>
                <w:sz w:val="18"/>
                <w:szCs w:val="28"/>
              </w:rPr>
              <w:t>x</w:t>
            </w:r>
          </w:p>
        </w:tc>
        <w:tc>
          <w:tcPr>
            <w:tcW w:w="756" w:type="pct"/>
            <w:tcBorders>
              <w:bottom w:val="single" w:sz="4" w:space="0" w:color="auto"/>
            </w:tcBorders>
            <w:vAlign w:val="center"/>
          </w:tcPr>
          <w:p w14:paraId="0EB12933" w14:textId="77777777" w:rsidR="00DF636C" w:rsidRPr="00794B03" w:rsidRDefault="00DF636C" w:rsidP="00D1601A">
            <w:pPr>
              <w:pStyle w:val="Body"/>
              <w:jc w:val="center"/>
              <w:rPr>
                <w:color w:val="090D46" w:themeColor="text1"/>
                <w:sz w:val="18"/>
                <w:szCs w:val="28"/>
              </w:rPr>
            </w:pPr>
            <w:r w:rsidRPr="00794B03">
              <w:rPr>
                <w:color w:val="090D46" w:themeColor="text1"/>
                <w:sz w:val="18"/>
                <w:szCs w:val="28"/>
              </w:rPr>
              <w:t>Number of days*** benefit provided</w:t>
            </w:r>
          </w:p>
        </w:tc>
        <w:tc>
          <w:tcPr>
            <w:tcW w:w="603" w:type="pct"/>
            <w:vAlign w:val="center"/>
          </w:tcPr>
          <w:p w14:paraId="3D86550E" w14:textId="77777777" w:rsidR="00DF636C" w:rsidRPr="00794B03" w:rsidRDefault="00DF636C" w:rsidP="00D1601A">
            <w:pPr>
              <w:pStyle w:val="Body"/>
              <w:jc w:val="center"/>
              <w:rPr>
                <w:color w:val="090D46" w:themeColor="text1"/>
                <w:sz w:val="18"/>
                <w:szCs w:val="28"/>
              </w:rPr>
            </w:pPr>
            <w:r w:rsidRPr="00794B03">
              <w:rPr>
                <w:color w:val="090D46" w:themeColor="text1"/>
                <w:sz w:val="18"/>
                <w:szCs w:val="28"/>
              </w:rPr>
              <w:t>x</w:t>
            </w:r>
          </w:p>
        </w:tc>
        <w:tc>
          <w:tcPr>
            <w:tcW w:w="378" w:type="pct"/>
            <w:vAlign w:val="center"/>
          </w:tcPr>
          <w:p w14:paraId="6579D785" w14:textId="77777777" w:rsidR="00DF636C" w:rsidRPr="00794B03" w:rsidRDefault="00DF636C" w:rsidP="00D1601A">
            <w:pPr>
              <w:pStyle w:val="Body"/>
              <w:rPr>
                <w:color w:val="090D46" w:themeColor="text1"/>
                <w:sz w:val="18"/>
                <w:szCs w:val="28"/>
              </w:rPr>
            </w:pPr>
            <w:r w:rsidRPr="00794B03">
              <w:rPr>
                <w:color w:val="090D46" w:themeColor="text1"/>
                <w:sz w:val="18"/>
                <w:szCs w:val="28"/>
              </w:rPr>
              <w:t>228</w:t>
            </w:r>
          </w:p>
        </w:tc>
        <w:tc>
          <w:tcPr>
            <w:tcW w:w="195" w:type="pct"/>
            <w:tcBorders>
              <w:top w:val="single" w:sz="4" w:space="0" w:color="auto"/>
              <w:right w:val="single" w:sz="4" w:space="0" w:color="auto"/>
            </w:tcBorders>
            <w:vAlign w:val="center"/>
          </w:tcPr>
          <w:p w14:paraId="0E4DF691" w14:textId="77777777" w:rsidR="00DF636C" w:rsidRPr="00794B03" w:rsidRDefault="00DF636C" w:rsidP="00D1601A">
            <w:pPr>
              <w:pStyle w:val="Body"/>
              <w:rPr>
                <w:color w:val="090D46" w:themeColor="text1"/>
                <w:sz w:val="18"/>
                <w:szCs w:val="28"/>
              </w:rPr>
            </w:pPr>
          </w:p>
        </w:tc>
        <w:tc>
          <w:tcPr>
            <w:tcW w:w="563" w:type="pct"/>
            <w:vMerge w:val="restart"/>
            <w:tcBorders>
              <w:left w:val="single" w:sz="4" w:space="0" w:color="auto"/>
            </w:tcBorders>
            <w:vAlign w:val="center"/>
          </w:tcPr>
          <w:p w14:paraId="5FF8C5B5" w14:textId="77777777" w:rsidR="00DF636C" w:rsidRPr="00794B03" w:rsidRDefault="00DF636C" w:rsidP="00D1601A">
            <w:pPr>
              <w:pStyle w:val="Body"/>
              <w:jc w:val="center"/>
              <w:rPr>
                <w:color w:val="090D46" w:themeColor="text1"/>
                <w:sz w:val="18"/>
                <w:szCs w:val="28"/>
              </w:rPr>
            </w:pPr>
            <w:r w:rsidRPr="00794B03">
              <w:rPr>
                <w:color w:val="090D46" w:themeColor="text1"/>
                <w:sz w:val="18"/>
                <w:szCs w:val="28"/>
              </w:rPr>
              <w:t>less</w:t>
            </w:r>
          </w:p>
        </w:tc>
        <w:tc>
          <w:tcPr>
            <w:tcW w:w="538" w:type="pct"/>
            <w:vMerge w:val="restart"/>
            <w:vAlign w:val="center"/>
          </w:tcPr>
          <w:p w14:paraId="65C590F6" w14:textId="77777777" w:rsidR="00DF636C" w:rsidRPr="00794B03" w:rsidRDefault="00DF636C" w:rsidP="00D1601A">
            <w:pPr>
              <w:pStyle w:val="Body"/>
              <w:rPr>
                <w:color w:val="090D46" w:themeColor="text1"/>
                <w:sz w:val="18"/>
                <w:szCs w:val="28"/>
              </w:rPr>
            </w:pPr>
            <w:r w:rsidRPr="00794B03">
              <w:rPr>
                <w:color w:val="090D46" w:themeColor="text1"/>
                <w:sz w:val="18"/>
                <w:szCs w:val="28"/>
              </w:rPr>
              <w:t>Employee contributions</w:t>
            </w:r>
          </w:p>
        </w:tc>
      </w:tr>
      <w:tr w:rsidR="00794B03" w:rsidRPr="00794B03" w14:paraId="7F667518" w14:textId="77777777" w:rsidTr="00D1601A">
        <w:trPr>
          <w:trHeight w:val="389"/>
        </w:trPr>
        <w:tc>
          <w:tcPr>
            <w:tcW w:w="419" w:type="pct"/>
            <w:vMerge/>
            <w:vAlign w:val="center"/>
          </w:tcPr>
          <w:p w14:paraId="1209BEED" w14:textId="77777777" w:rsidR="00DF636C" w:rsidRPr="00794B03" w:rsidRDefault="00DF636C" w:rsidP="00D1601A">
            <w:pPr>
              <w:pStyle w:val="Body"/>
              <w:rPr>
                <w:color w:val="090D46" w:themeColor="text1"/>
                <w:sz w:val="18"/>
                <w:szCs w:val="28"/>
              </w:rPr>
            </w:pPr>
          </w:p>
        </w:tc>
        <w:tc>
          <w:tcPr>
            <w:tcW w:w="222" w:type="pct"/>
            <w:vMerge/>
            <w:tcBorders>
              <w:right w:val="single" w:sz="4" w:space="0" w:color="auto"/>
            </w:tcBorders>
            <w:vAlign w:val="center"/>
          </w:tcPr>
          <w:p w14:paraId="1AEE51CE" w14:textId="77777777" w:rsidR="00DF636C" w:rsidRPr="00794B03" w:rsidRDefault="00DF636C" w:rsidP="00D1601A">
            <w:pPr>
              <w:pStyle w:val="Body"/>
              <w:jc w:val="center"/>
              <w:rPr>
                <w:color w:val="090D46" w:themeColor="text1"/>
                <w:sz w:val="18"/>
                <w:szCs w:val="28"/>
              </w:rPr>
            </w:pPr>
          </w:p>
        </w:tc>
        <w:tc>
          <w:tcPr>
            <w:tcW w:w="180" w:type="pct"/>
            <w:tcBorders>
              <w:left w:val="single" w:sz="4" w:space="0" w:color="auto"/>
              <w:bottom w:val="single" w:sz="4" w:space="0" w:color="auto"/>
            </w:tcBorders>
            <w:vAlign w:val="center"/>
          </w:tcPr>
          <w:p w14:paraId="43C51F28" w14:textId="77777777" w:rsidR="00DF636C" w:rsidRPr="00794B03" w:rsidRDefault="00DF636C" w:rsidP="00D1601A">
            <w:pPr>
              <w:pStyle w:val="Body"/>
              <w:rPr>
                <w:color w:val="090D46" w:themeColor="text1"/>
                <w:sz w:val="18"/>
                <w:szCs w:val="28"/>
              </w:rPr>
            </w:pPr>
          </w:p>
        </w:tc>
        <w:tc>
          <w:tcPr>
            <w:tcW w:w="767" w:type="pct"/>
            <w:vAlign w:val="center"/>
          </w:tcPr>
          <w:p w14:paraId="7C491AC4" w14:textId="77777777" w:rsidR="00DF636C" w:rsidRPr="00794B03" w:rsidRDefault="00DF636C" w:rsidP="00D1601A">
            <w:pPr>
              <w:pStyle w:val="Body"/>
              <w:rPr>
                <w:color w:val="090D46" w:themeColor="text1"/>
                <w:sz w:val="18"/>
                <w:szCs w:val="28"/>
              </w:rPr>
            </w:pPr>
          </w:p>
        </w:tc>
        <w:tc>
          <w:tcPr>
            <w:tcW w:w="379" w:type="pct"/>
            <w:vAlign w:val="center"/>
          </w:tcPr>
          <w:p w14:paraId="1B94DE39" w14:textId="77777777" w:rsidR="00DF636C" w:rsidRPr="00794B03" w:rsidRDefault="00DF636C" w:rsidP="00D1601A">
            <w:pPr>
              <w:pStyle w:val="Body"/>
              <w:jc w:val="center"/>
              <w:rPr>
                <w:color w:val="090D46" w:themeColor="text1"/>
                <w:sz w:val="18"/>
                <w:szCs w:val="28"/>
              </w:rPr>
            </w:pPr>
          </w:p>
        </w:tc>
        <w:tc>
          <w:tcPr>
            <w:tcW w:w="756" w:type="pct"/>
            <w:tcBorders>
              <w:top w:val="single" w:sz="4" w:space="0" w:color="auto"/>
            </w:tcBorders>
          </w:tcPr>
          <w:p w14:paraId="391DDE7D" w14:textId="77777777" w:rsidR="00DF636C" w:rsidRPr="00794B03" w:rsidRDefault="00DF636C" w:rsidP="00D1601A">
            <w:pPr>
              <w:pStyle w:val="Body"/>
              <w:jc w:val="center"/>
              <w:rPr>
                <w:color w:val="090D46" w:themeColor="text1"/>
                <w:sz w:val="18"/>
                <w:szCs w:val="28"/>
              </w:rPr>
            </w:pPr>
            <w:r w:rsidRPr="00794B03">
              <w:rPr>
                <w:color w:val="090D46" w:themeColor="text1"/>
                <w:sz w:val="18"/>
                <w:szCs w:val="28"/>
              </w:rPr>
              <w:t>366**</w:t>
            </w:r>
          </w:p>
        </w:tc>
        <w:tc>
          <w:tcPr>
            <w:tcW w:w="603" w:type="pct"/>
            <w:vAlign w:val="center"/>
          </w:tcPr>
          <w:p w14:paraId="49ED3A93" w14:textId="77777777" w:rsidR="00DF636C" w:rsidRPr="00794B03" w:rsidRDefault="00DF636C" w:rsidP="00D1601A">
            <w:pPr>
              <w:pStyle w:val="Body"/>
              <w:jc w:val="center"/>
              <w:rPr>
                <w:color w:val="090D46" w:themeColor="text1"/>
                <w:sz w:val="18"/>
                <w:szCs w:val="28"/>
              </w:rPr>
            </w:pPr>
          </w:p>
        </w:tc>
        <w:tc>
          <w:tcPr>
            <w:tcW w:w="378" w:type="pct"/>
            <w:vAlign w:val="center"/>
          </w:tcPr>
          <w:p w14:paraId="2CECF916" w14:textId="77777777" w:rsidR="00DF636C" w:rsidRPr="00794B03" w:rsidRDefault="00DF636C" w:rsidP="00D1601A">
            <w:pPr>
              <w:pStyle w:val="Body"/>
              <w:rPr>
                <w:color w:val="090D46" w:themeColor="text1"/>
                <w:sz w:val="18"/>
                <w:szCs w:val="28"/>
              </w:rPr>
            </w:pPr>
          </w:p>
        </w:tc>
        <w:tc>
          <w:tcPr>
            <w:tcW w:w="195" w:type="pct"/>
            <w:tcBorders>
              <w:bottom w:val="single" w:sz="4" w:space="0" w:color="auto"/>
              <w:right w:val="single" w:sz="4" w:space="0" w:color="auto"/>
            </w:tcBorders>
            <w:vAlign w:val="center"/>
          </w:tcPr>
          <w:p w14:paraId="1A1C991C" w14:textId="77777777" w:rsidR="00DF636C" w:rsidRPr="00794B03" w:rsidRDefault="00DF636C" w:rsidP="00D1601A">
            <w:pPr>
              <w:pStyle w:val="Body"/>
              <w:rPr>
                <w:color w:val="090D46" w:themeColor="text1"/>
                <w:sz w:val="18"/>
                <w:szCs w:val="28"/>
              </w:rPr>
            </w:pPr>
          </w:p>
        </w:tc>
        <w:tc>
          <w:tcPr>
            <w:tcW w:w="563" w:type="pct"/>
            <w:vMerge/>
            <w:tcBorders>
              <w:left w:val="single" w:sz="4" w:space="0" w:color="auto"/>
            </w:tcBorders>
            <w:vAlign w:val="center"/>
          </w:tcPr>
          <w:p w14:paraId="562A9206" w14:textId="77777777" w:rsidR="00DF636C" w:rsidRPr="00794B03" w:rsidRDefault="00DF636C" w:rsidP="00D1601A">
            <w:pPr>
              <w:pStyle w:val="Body"/>
              <w:jc w:val="center"/>
              <w:rPr>
                <w:color w:val="090D46" w:themeColor="text1"/>
                <w:sz w:val="18"/>
                <w:szCs w:val="28"/>
              </w:rPr>
            </w:pPr>
          </w:p>
        </w:tc>
        <w:tc>
          <w:tcPr>
            <w:tcW w:w="538" w:type="pct"/>
            <w:vMerge/>
            <w:vAlign w:val="center"/>
          </w:tcPr>
          <w:p w14:paraId="3A30DBA1" w14:textId="77777777" w:rsidR="00DF636C" w:rsidRPr="00794B03" w:rsidRDefault="00DF636C" w:rsidP="00D1601A">
            <w:pPr>
              <w:pStyle w:val="Body"/>
              <w:rPr>
                <w:color w:val="090D46" w:themeColor="text1"/>
                <w:sz w:val="18"/>
                <w:szCs w:val="28"/>
              </w:rPr>
            </w:pPr>
          </w:p>
        </w:tc>
      </w:tr>
    </w:tbl>
    <w:p w14:paraId="18A7101C" w14:textId="77777777" w:rsidR="00DF636C" w:rsidRDefault="00DF636C" w:rsidP="00DF636C">
      <w:pPr>
        <w:pStyle w:val="Body"/>
      </w:pPr>
    </w:p>
    <w:p w14:paraId="5C21B559" w14:textId="77777777" w:rsidR="00DF636C" w:rsidRPr="0023149C" w:rsidRDefault="00DF636C" w:rsidP="00794B03">
      <w:r w:rsidRPr="0023149C">
        <w:t xml:space="preserve">This method involves determining the number of car spaces made available for parking and then working out the taxable value of each car parking space applying the above formula. The value of all car spaces are then added up to give the total statutory benefit which can be reduced by any employee contributions (and which may need to be adjusted if the average number of employees is less than the average number of car spaces in certain circumstances).   </w:t>
      </w:r>
    </w:p>
    <w:p w14:paraId="1436F37F" w14:textId="77777777" w:rsidR="00DF636C" w:rsidRPr="0023149C" w:rsidRDefault="00DF636C" w:rsidP="00794B03">
      <w:r w:rsidRPr="0023149C">
        <w:t>* Daily rate amount is the value of the spaces calculated using one of the three approved valuation methods described above (being the commercial parking station, market value or average cost methods).</w:t>
      </w:r>
    </w:p>
    <w:p w14:paraId="1B2812A6" w14:textId="77777777" w:rsidR="00DF636C" w:rsidRDefault="00DF636C" w:rsidP="00794B03">
      <w:r w:rsidRPr="0023149C">
        <w:t>** Note that the formula per the legislation uses 366 days as its base for the number of days in a year.</w:t>
      </w:r>
      <w:r>
        <w:t xml:space="preserve"> </w:t>
      </w:r>
    </w:p>
    <w:p w14:paraId="652C07BE" w14:textId="7827A9B3" w:rsidR="00DF636C" w:rsidRPr="00F25BCF" w:rsidRDefault="00794B03" w:rsidP="00794B03">
      <w:pPr>
        <w:pStyle w:val="Heading3"/>
        <w:rPr>
          <w:lang w:val="en-GB" w:eastAsia="ja-JP"/>
        </w:rPr>
      </w:pPr>
      <w:r>
        <w:rPr>
          <w:lang w:val="en-GB" w:eastAsia="ja-JP"/>
        </w:rPr>
        <w:t xml:space="preserve">9.3 </w:t>
      </w:r>
      <w:r w:rsidR="00DF636C" w:rsidRPr="00F25BCF">
        <w:rPr>
          <w:lang w:val="en-GB" w:eastAsia="ja-JP"/>
        </w:rPr>
        <w:t>12-week register method</w:t>
      </w:r>
    </w:p>
    <w:tbl>
      <w:tblPr>
        <w:tblW w:w="3666" w:type="pct"/>
        <w:tblCellMar>
          <w:left w:w="0" w:type="dxa"/>
          <w:right w:w="0" w:type="dxa"/>
        </w:tblCellMar>
        <w:tblLook w:val="04A0" w:firstRow="1" w:lastRow="0" w:firstColumn="1" w:lastColumn="0" w:noHBand="0" w:noVBand="1"/>
      </w:tblPr>
      <w:tblGrid>
        <w:gridCol w:w="775"/>
        <w:gridCol w:w="414"/>
        <w:gridCol w:w="335"/>
        <w:gridCol w:w="1983"/>
        <w:gridCol w:w="701"/>
        <w:gridCol w:w="843"/>
        <w:gridCol w:w="979"/>
        <w:gridCol w:w="1286"/>
      </w:tblGrid>
      <w:tr w:rsidR="00DF636C" w14:paraId="7D096ABB" w14:textId="77777777" w:rsidTr="00D1601A">
        <w:trPr>
          <w:trHeight w:val="453"/>
        </w:trPr>
        <w:tc>
          <w:tcPr>
            <w:tcW w:w="529" w:type="pct"/>
            <w:vMerge w:val="restart"/>
            <w:vAlign w:val="center"/>
          </w:tcPr>
          <w:p w14:paraId="6531FC22" w14:textId="77777777" w:rsidR="00DF636C" w:rsidRPr="00794B03" w:rsidRDefault="00DF636C" w:rsidP="00D1601A">
            <w:pPr>
              <w:pStyle w:val="Body"/>
              <w:rPr>
                <w:rFonts w:cs="Arial"/>
                <w:color w:val="090D46" w:themeColor="text1"/>
                <w:sz w:val="18"/>
                <w:szCs w:val="28"/>
              </w:rPr>
            </w:pPr>
            <w:r w:rsidRPr="00794B03">
              <w:rPr>
                <w:rFonts w:cs="Arial"/>
                <w:color w:val="090D46" w:themeColor="text1"/>
                <w:sz w:val="18"/>
                <w:szCs w:val="28"/>
              </w:rPr>
              <w:t>Taxable value</w:t>
            </w:r>
          </w:p>
        </w:tc>
        <w:tc>
          <w:tcPr>
            <w:tcW w:w="283" w:type="pct"/>
            <w:vMerge w:val="restart"/>
            <w:vAlign w:val="center"/>
          </w:tcPr>
          <w:p w14:paraId="49A284B6" w14:textId="77777777" w:rsidR="00DF636C" w:rsidRPr="00794B03" w:rsidRDefault="00DF636C" w:rsidP="00D1601A">
            <w:pPr>
              <w:pStyle w:val="Body"/>
              <w:jc w:val="center"/>
              <w:rPr>
                <w:rFonts w:cs="Arial"/>
                <w:color w:val="090D46" w:themeColor="text1"/>
                <w:sz w:val="18"/>
                <w:szCs w:val="28"/>
              </w:rPr>
            </w:pPr>
            <w:r w:rsidRPr="00794B03">
              <w:rPr>
                <w:rFonts w:cs="Arial"/>
                <w:color w:val="090D46" w:themeColor="text1"/>
                <w:sz w:val="18"/>
                <w:szCs w:val="28"/>
              </w:rPr>
              <w:t>=</w:t>
            </w:r>
          </w:p>
        </w:tc>
        <w:tc>
          <w:tcPr>
            <w:tcW w:w="229" w:type="pct"/>
            <w:vAlign w:val="center"/>
          </w:tcPr>
          <w:p w14:paraId="7ACA0438" w14:textId="77777777" w:rsidR="00DF636C" w:rsidRPr="00794B03" w:rsidRDefault="00DF636C" w:rsidP="00D1601A">
            <w:pPr>
              <w:pStyle w:val="Body"/>
              <w:rPr>
                <w:rFonts w:cs="Arial"/>
                <w:color w:val="090D46" w:themeColor="text1"/>
                <w:sz w:val="18"/>
                <w:szCs w:val="28"/>
              </w:rPr>
            </w:pPr>
          </w:p>
        </w:tc>
        <w:tc>
          <w:tcPr>
            <w:tcW w:w="1355" w:type="pct"/>
            <w:vAlign w:val="center"/>
          </w:tcPr>
          <w:p w14:paraId="3310CAD6" w14:textId="77777777" w:rsidR="00DF636C" w:rsidRPr="00794B03" w:rsidRDefault="00DF636C" w:rsidP="00D1601A">
            <w:pPr>
              <w:pStyle w:val="Body"/>
              <w:rPr>
                <w:rFonts w:cs="Arial"/>
                <w:color w:val="090D46" w:themeColor="text1"/>
                <w:sz w:val="18"/>
                <w:szCs w:val="28"/>
              </w:rPr>
            </w:pPr>
            <w:r w:rsidRPr="00794B03">
              <w:rPr>
                <w:rFonts w:cs="Arial"/>
                <w:color w:val="090D46" w:themeColor="text1"/>
                <w:sz w:val="18"/>
                <w:szCs w:val="28"/>
                <w:lang w:val="en-GB" w:eastAsia="ja-JP"/>
              </w:rPr>
              <w:t>Total value of car parking benefits (per register)</w:t>
            </w:r>
          </w:p>
        </w:tc>
        <w:tc>
          <w:tcPr>
            <w:tcW w:w="479" w:type="pct"/>
            <w:vAlign w:val="center"/>
          </w:tcPr>
          <w:p w14:paraId="26423C33" w14:textId="77777777" w:rsidR="00DF636C" w:rsidRPr="00794B03" w:rsidRDefault="00DF636C" w:rsidP="00D1601A">
            <w:pPr>
              <w:pStyle w:val="Body"/>
              <w:jc w:val="center"/>
              <w:rPr>
                <w:rFonts w:cs="Arial"/>
                <w:color w:val="090D46" w:themeColor="text1"/>
                <w:sz w:val="18"/>
                <w:szCs w:val="28"/>
              </w:rPr>
            </w:pPr>
            <w:r w:rsidRPr="00794B03">
              <w:rPr>
                <w:rFonts w:cs="Arial"/>
                <w:color w:val="090D46" w:themeColor="text1"/>
                <w:sz w:val="18"/>
                <w:szCs w:val="28"/>
              </w:rPr>
              <w:t>x</w:t>
            </w:r>
          </w:p>
        </w:tc>
        <w:tc>
          <w:tcPr>
            <w:tcW w:w="576" w:type="pct"/>
            <w:tcBorders>
              <w:bottom w:val="single" w:sz="4" w:space="0" w:color="auto"/>
            </w:tcBorders>
            <w:vAlign w:val="center"/>
          </w:tcPr>
          <w:p w14:paraId="560C3CCE" w14:textId="77777777" w:rsidR="00DF636C" w:rsidRPr="00794B03" w:rsidRDefault="00DF636C" w:rsidP="00D1601A">
            <w:pPr>
              <w:pStyle w:val="Body"/>
              <w:jc w:val="center"/>
              <w:rPr>
                <w:rFonts w:cs="Arial"/>
                <w:color w:val="090D46" w:themeColor="text1"/>
                <w:sz w:val="18"/>
                <w:szCs w:val="28"/>
              </w:rPr>
            </w:pPr>
            <w:r w:rsidRPr="00794B03">
              <w:rPr>
                <w:rFonts w:cs="Arial"/>
                <w:color w:val="090D46" w:themeColor="text1"/>
                <w:sz w:val="18"/>
                <w:szCs w:val="28"/>
              </w:rPr>
              <w:t>52</w:t>
            </w:r>
          </w:p>
        </w:tc>
        <w:tc>
          <w:tcPr>
            <w:tcW w:w="669" w:type="pct"/>
            <w:vAlign w:val="center"/>
          </w:tcPr>
          <w:p w14:paraId="2E85813B" w14:textId="77777777" w:rsidR="00DF636C" w:rsidRPr="00794B03" w:rsidRDefault="00DF636C" w:rsidP="00D1601A">
            <w:pPr>
              <w:pStyle w:val="Body"/>
              <w:jc w:val="center"/>
              <w:rPr>
                <w:rFonts w:cs="Arial"/>
                <w:color w:val="090D46" w:themeColor="text1"/>
                <w:sz w:val="18"/>
                <w:szCs w:val="28"/>
              </w:rPr>
            </w:pPr>
            <w:r w:rsidRPr="00794B03">
              <w:rPr>
                <w:rFonts w:cs="Arial"/>
                <w:color w:val="090D46" w:themeColor="text1"/>
                <w:sz w:val="18"/>
                <w:szCs w:val="28"/>
              </w:rPr>
              <w:t>x</w:t>
            </w:r>
          </w:p>
        </w:tc>
        <w:tc>
          <w:tcPr>
            <w:tcW w:w="879" w:type="pct"/>
            <w:tcBorders>
              <w:bottom w:val="single" w:sz="4" w:space="0" w:color="auto"/>
            </w:tcBorders>
            <w:vAlign w:val="center"/>
          </w:tcPr>
          <w:p w14:paraId="52BB7878" w14:textId="77777777" w:rsidR="00DF636C" w:rsidRPr="00794B03" w:rsidRDefault="00DF636C" w:rsidP="00D1601A">
            <w:pPr>
              <w:pStyle w:val="Body"/>
              <w:jc w:val="center"/>
              <w:rPr>
                <w:rFonts w:cs="Arial"/>
                <w:color w:val="090D46" w:themeColor="text1"/>
                <w:sz w:val="18"/>
                <w:szCs w:val="28"/>
              </w:rPr>
            </w:pPr>
            <w:r w:rsidRPr="00794B03">
              <w:rPr>
                <w:rFonts w:cs="Arial"/>
                <w:color w:val="090D46" w:themeColor="text1"/>
                <w:sz w:val="18"/>
                <w:szCs w:val="28"/>
              </w:rPr>
              <w:t xml:space="preserve">Number of days </w:t>
            </w:r>
            <w:r w:rsidRPr="00794B03">
              <w:rPr>
                <w:rFonts w:cs="Arial"/>
                <w:color w:val="090D46" w:themeColor="text1"/>
                <w:sz w:val="18"/>
                <w:szCs w:val="28"/>
                <w:lang w:val="en-GB" w:eastAsia="ja-JP"/>
              </w:rPr>
              <w:t>benefits provided</w:t>
            </w:r>
          </w:p>
        </w:tc>
      </w:tr>
      <w:tr w:rsidR="00DF636C" w14:paraId="590304C2" w14:textId="77777777" w:rsidTr="00D1601A">
        <w:trPr>
          <w:trHeight w:val="389"/>
        </w:trPr>
        <w:tc>
          <w:tcPr>
            <w:tcW w:w="529" w:type="pct"/>
            <w:vMerge/>
            <w:vAlign w:val="center"/>
          </w:tcPr>
          <w:p w14:paraId="6D5091A6" w14:textId="77777777" w:rsidR="00DF636C" w:rsidRPr="00794B03" w:rsidRDefault="00DF636C" w:rsidP="00D1601A">
            <w:pPr>
              <w:pStyle w:val="Body"/>
              <w:rPr>
                <w:rFonts w:cs="Arial"/>
                <w:color w:val="090D46" w:themeColor="text1"/>
                <w:sz w:val="18"/>
                <w:szCs w:val="28"/>
              </w:rPr>
            </w:pPr>
          </w:p>
        </w:tc>
        <w:tc>
          <w:tcPr>
            <w:tcW w:w="283" w:type="pct"/>
            <w:vMerge/>
            <w:vAlign w:val="center"/>
          </w:tcPr>
          <w:p w14:paraId="46F0881D" w14:textId="77777777" w:rsidR="00DF636C" w:rsidRPr="00794B03" w:rsidRDefault="00DF636C" w:rsidP="00D1601A">
            <w:pPr>
              <w:pStyle w:val="Body"/>
              <w:jc w:val="center"/>
              <w:rPr>
                <w:rFonts w:cs="Arial"/>
                <w:color w:val="090D46" w:themeColor="text1"/>
                <w:sz w:val="18"/>
                <w:szCs w:val="28"/>
              </w:rPr>
            </w:pPr>
          </w:p>
        </w:tc>
        <w:tc>
          <w:tcPr>
            <w:tcW w:w="229" w:type="pct"/>
            <w:vAlign w:val="center"/>
          </w:tcPr>
          <w:p w14:paraId="14A28F4A" w14:textId="77777777" w:rsidR="00DF636C" w:rsidRPr="00794B03" w:rsidRDefault="00DF636C" w:rsidP="00D1601A">
            <w:pPr>
              <w:pStyle w:val="Body"/>
              <w:rPr>
                <w:rFonts w:cs="Arial"/>
                <w:color w:val="090D46" w:themeColor="text1"/>
                <w:sz w:val="18"/>
                <w:szCs w:val="28"/>
              </w:rPr>
            </w:pPr>
          </w:p>
        </w:tc>
        <w:tc>
          <w:tcPr>
            <w:tcW w:w="1355" w:type="pct"/>
            <w:vAlign w:val="center"/>
          </w:tcPr>
          <w:p w14:paraId="3B5FB9B0" w14:textId="77777777" w:rsidR="00DF636C" w:rsidRPr="00794B03" w:rsidRDefault="00DF636C" w:rsidP="00D1601A">
            <w:pPr>
              <w:pStyle w:val="Body"/>
              <w:rPr>
                <w:rFonts w:cs="Arial"/>
                <w:color w:val="090D46" w:themeColor="text1"/>
                <w:sz w:val="18"/>
                <w:szCs w:val="28"/>
              </w:rPr>
            </w:pPr>
          </w:p>
        </w:tc>
        <w:tc>
          <w:tcPr>
            <w:tcW w:w="479" w:type="pct"/>
            <w:vAlign w:val="center"/>
          </w:tcPr>
          <w:p w14:paraId="62636A6E" w14:textId="77777777" w:rsidR="00DF636C" w:rsidRPr="00794B03" w:rsidRDefault="00DF636C" w:rsidP="00D1601A">
            <w:pPr>
              <w:pStyle w:val="Body"/>
              <w:jc w:val="center"/>
              <w:rPr>
                <w:rFonts w:cs="Arial"/>
                <w:color w:val="090D46" w:themeColor="text1"/>
                <w:sz w:val="18"/>
                <w:szCs w:val="28"/>
              </w:rPr>
            </w:pPr>
          </w:p>
        </w:tc>
        <w:tc>
          <w:tcPr>
            <w:tcW w:w="576" w:type="pct"/>
            <w:tcBorders>
              <w:top w:val="single" w:sz="4" w:space="0" w:color="auto"/>
            </w:tcBorders>
            <w:vAlign w:val="center"/>
          </w:tcPr>
          <w:p w14:paraId="1AF6E178" w14:textId="77777777" w:rsidR="00DF636C" w:rsidRPr="00794B03" w:rsidRDefault="00DF636C" w:rsidP="00D1601A">
            <w:pPr>
              <w:pStyle w:val="Body"/>
              <w:jc w:val="center"/>
              <w:rPr>
                <w:rFonts w:cs="Arial"/>
                <w:color w:val="090D46" w:themeColor="text1"/>
                <w:sz w:val="18"/>
                <w:szCs w:val="28"/>
              </w:rPr>
            </w:pPr>
            <w:r w:rsidRPr="00794B03">
              <w:rPr>
                <w:rFonts w:cs="Arial"/>
                <w:color w:val="090D46" w:themeColor="text1"/>
                <w:sz w:val="18"/>
                <w:szCs w:val="28"/>
              </w:rPr>
              <w:t>12</w:t>
            </w:r>
          </w:p>
        </w:tc>
        <w:tc>
          <w:tcPr>
            <w:tcW w:w="669" w:type="pct"/>
            <w:vAlign w:val="center"/>
          </w:tcPr>
          <w:p w14:paraId="0C347477" w14:textId="77777777" w:rsidR="00DF636C" w:rsidRPr="00794B03" w:rsidRDefault="00DF636C" w:rsidP="00D1601A">
            <w:pPr>
              <w:pStyle w:val="Body"/>
              <w:jc w:val="center"/>
              <w:rPr>
                <w:rFonts w:cs="Arial"/>
                <w:color w:val="090D46" w:themeColor="text1"/>
                <w:sz w:val="18"/>
                <w:szCs w:val="28"/>
              </w:rPr>
            </w:pPr>
          </w:p>
        </w:tc>
        <w:tc>
          <w:tcPr>
            <w:tcW w:w="879" w:type="pct"/>
            <w:tcBorders>
              <w:top w:val="single" w:sz="4" w:space="0" w:color="auto"/>
            </w:tcBorders>
            <w:vAlign w:val="center"/>
          </w:tcPr>
          <w:p w14:paraId="5364B1BA" w14:textId="77777777" w:rsidR="00DF636C" w:rsidRPr="00794B03" w:rsidRDefault="00DF636C" w:rsidP="00D1601A">
            <w:pPr>
              <w:pStyle w:val="Body"/>
              <w:jc w:val="center"/>
              <w:rPr>
                <w:rFonts w:cs="Arial"/>
                <w:color w:val="090D46" w:themeColor="text1"/>
                <w:sz w:val="18"/>
                <w:szCs w:val="28"/>
              </w:rPr>
            </w:pPr>
            <w:r w:rsidRPr="00794B03">
              <w:rPr>
                <w:rFonts w:cs="Arial"/>
                <w:color w:val="090D46" w:themeColor="text1"/>
                <w:sz w:val="18"/>
                <w:szCs w:val="28"/>
              </w:rPr>
              <w:t>366*</w:t>
            </w:r>
          </w:p>
        </w:tc>
      </w:tr>
    </w:tbl>
    <w:p w14:paraId="63DA7EA9" w14:textId="77777777" w:rsidR="00DF636C" w:rsidRPr="00E4159F" w:rsidRDefault="00DF636C" w:rsidP="00794B03">
      <w:pPr>
        <w:rPr>
          <w:lang w:val="en-GB" w:eastAsia="ja-JP"/>
        </w:rPr>
      </w:pPr>
      <w:r w:rsidRPr="00E4159F">
        <w:rPr>
          <w:lang w:val="en-GB" w:eastAsia="ja-JP"/>
        </w:rPr>
        <w:t xml:space="preserve">The value of each car parking benefit in the register must use the commercial parking method, the market value method or the average cost method. The total of these values is known as the total value of car parking benefits.  </w:t>
      </w:r>
    </w:p>
    <w:p w14:paraId="503A00B8" w14:textId="77777777" w:rsidR="00DF636C" w:rsidRPr="00A8590E" w:rsidRDefault="00DF636C" w:rsidP="00794B03">
      <w:pPr>
        <w:rPr>
          <w:lang w:val="en-GB" w:eastAsia="ja-JP"/>
        </w:rPr>
      </w:pPr>
      <w:r w:rsidRPr="00E4159F">
        <w:rPr>
          <w:lang w:val="en-GB" w:eastAsia="ja-JP"/>
        </w:rPr>
        <w:t>* Note that the formula per the legislation uses 366 days as its base for the number of days in a year.</w:t>
      </w:r>
    </w:p>
    <w:p w14:paraId="5C3A7F30" w14:textId="437600B7" w:rsidR="00DF636C" w:rsidRDefault="00794B03" w:rsidP="00794B03">
      <w:pPr>
        <w:pStyle w:val="Heading2"/>
      </w:pPr>
      <w:r>
        <w:t xml:space="preserve">10. </w:t>
      </w:r>
      <w:r w:rsidR="00DF636C" w:rsidRPr="008E520B">
        <w:t>Board fringe benefit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645"/>
        <w:gridCol w:w="1275"/>
        <w:gridCol w:w="507"/>
        <w:gridCol w:w="1526"/>
        <w:gridCol w:w="971"/>
        <w:gridCol w:w="1815"/>
        <w:gridCol w:w="961"/>
        <w:gridCol w:w="1380"/>
      </w:tblGrid>
      <w:tr w:rsidR="00794B03" w:rsidRPr="00794B03" w14:paraId="1936DC22" w14:textId="77777777" w:rsidTr="00D1601A">
        <w:trPr>
          <w:trHeight w:val="720"/>
        </w:trPr>
        <w:tc>
          <w:tcPr>
            <w:tcW w:w="456" w:type="pct"/>
          </w:tcPr>
          <w:p w14:paraId="4B2E474D" w14:textId="77777777" w:rsidR="00DF636C" w:rsidRPr="00794B03" w:rsidRDefault="00DF636C" w:rsidP="00D1601A">
            <w:pPr>
              <w:pStyle w:val="Body"/>
              <w:rPr>
                <w:color w:val="090D46" w:themeColor="text1"/>
                <w:sz w:val="18"/>
                <w:szCs w:val="28"/>
              </w:rPr>
            </w:pPr>
            <w:r w:rsidRPr="00794B03">
              <w:rPr>
                <w:color w:val="090D46" w:themeColor="text1"/>
                <w:sz w:val="18"/>
                <w:szCs w:val="28"/>
              </w:rPr>
              <w:t>Aged 12 years or over</w:t>
            </w:r>
          </w:p>
        </w:tc>
        <w:tc>
          <w:tcPr>
            <w:tcW w:w="329" w:type="pct"/>
          </w:tcPr>
          <w:p w14:paraId="49724045" w14:textId="77777777" w:rsidR="00DF636C" w:rsidRPr="00794B03" w:rsidRDefault="00DF636C" w:rsidP="00D1601A">
            <w:pPr>
              <w:pStyle w:val="Body"/>
              <w:jc w:val="center"/>
              <w:rPr>
                <w:color w:val="090D46" w:themeColor="text1"/>
                <w:sz w:val="18"/>
                <w:szCs w:val="28"/>
              </w:rPr>
            </w:pPr>
            <w:r w:rsidRPr="00794B03">
              <w:rPr>
                <w:color w:val="090D46" w:themeColor="text1"/>
                <w:sz w:val="18"/>
                <w:szCs w:val="28"/>
              </w:rPr>
              <w:t>=</w:t>
            </w:r>
          </w:p>
        </w:tc>
        <w:tc>
          <w:tcPr>
            <w:tcW w:w="645" w:type="pct"/>
          </w:tcPr>
          <w:p w14:paraId="3F18751A" w14:textId="77777777" w:rsidR="00DF636C" w:rsidRPr="00794B03" w:rsidRDefault="00DF636C" w:rsidP="00D1601A">
            <w:pPr>
              <w:pStyle w:val="Body"/>
              <w:rPr>
                <w:color w:val="090D46" w:themeColor="text1"/>
                <w:sz w:val="18"/>
                <w:szCs w:val="28"/>
              </w:rPr>
            </w:pPr>
            <w:r w:rsidRPr="00794B03">
              <w:rPr>
                <w:color w:val="090D46" w:themeColor="text1"/>
                <w:sz w:val="18"/>
                <w:szCs w:val="28"/>
              </w:rPr>
              <w:t>$2.00 per meal</w:t>
            </w:r>
          </w:p>
        </w:tc>
        <w:tc>
          <w:tcPr>
            <w:tcW w:w="260" w:type="pct"/>
          </w:tcPr>
          <w:p w14:paraId="28513EB6" w14:textId="77777777" w:rsidR="00DF636C" w:rsidRPr="00794B03" w:rsidRDefault="00DF636C" w:rsidP="00D1601A">
            <w:pPr>
              <w:pStyle w:val="Body"/>
              <w:jc w:val="center"/>
              <w:rPr>
                <w:color w:val="090D46" w:themeColor="text1"/>
                <w:sz w:val="18"/>
                <w:szCs w:val="28"/>
              </w:rPr>
            </w:pPr>
            <w:r w:rsidRPr="00794B03">
              <w:rPr>
                <w:color w:val="090D46" w:themeColor="text1"/>
                <w:sz w:val="18"/>
                <w:szCs w:val="28"/>
              </w:rPr>
              <w:t>x</w:t>
            </w:r>
          </w:p>
        </w:tc>
        <w:tc>
          <w:tcPr>
            <w:tcW w:w="770" w:type="pct"/>
          </w:tcPr>
          <w:p w14:paraId="4FDFA4E8" w14:textId="77777777" w:rsidR="00DF636C" w:rsidRPr="00794B03" w:rsidRDefault="00DF636C" w:rsidP="00D1601A">
            <w:pPr>
              <w:pStyle w:val="Body"/>
              <w:rPr>
                <w:color w:val="090D46" w:themeColor="text1"/>
                <w:sz w:val="18"/>
                <w:szCs w:val="28"/>
              </w:rPr>
            </w:pPr>
            <w:r w:rsidRPr="00794B03">
              <w:rPr>
                <w:color w:val="090D46" w:themeColor="text1"/>
                <w:sz w:val="18"/>
                <w:szCs w:val="28"/>
              </w:rPr>
              <w:t>Number of meals provided</w:t>
            </w:r>
          </w:p>
        </w:tc>
        <w:tc>
          <w:tcPr>
            <w:tcW w:w="492" w:type="pct"/>
          </w:tcPr>
          <w:p w14:paraId="51C63B7C" w14:textId="77777777" w:rsidR="00DF636C" w:rsidRPr="00794B03" w:rsidRDefault="00DF636C" w:rsidP="00D1601A">
            <w:pPr>
              <w:pStyle w:val="Body"/>
              <w:jc w:val="center"/>
              <w:rPr>
                <w:color w:val="090D46" w:themeColor="text1"/>
                <w:sz w:val="18"/>
                <w:szCs w:val="28"/>
              </w:rPr>
            </w:pPr>
            <w:r w:rsidRPr="00794B03">
              <w:rPr>
                <w:color w:val="090D46" w:themeColor="text1"/>
                <w:sz w:val="18"/>
                <w:szCs w:val="28"/>
              </w:rPr>
              <w:t>less</w:t>
            </w:r>
          </w:p>
        </w:tc>
        <w:tc>
          <w:tcPr>
            <w:tcW w:w="915" w:type="pct"/>
          </w:tcPr>
          <w:p w14:paraId="3CE4F0C5" w14:textId="77777777" w:rsidR="00DF636C" w:rsidRPr="00794B03" w:rsidRDefault="00DF636C" w:rsidP="00D1601A">
            <w:pPr>
              <w:pStyle w:val="Body"/>
              <w:rPr>
                <w:color w:val="090D46" w:themeColor="text1"/>
                <w:sz w:val="18"/>
                <w:szCs w:val="28"/>
              </w:rPr>
            </w:pPr>
            <w:r w:rsidRPr="00794B03">
              <w:rPr>
                <w:color w:val="090D46" w:themeColor="text1"/>
                <w:sz w:val="18"/>
                <w:szCs w:val="28"/>
              </w:rPr>
              <w:t>Otherwise deductible amount</w:t>
            </w:r>
          </w:p>
        </w:tc>
        <w:tc>
          <w:tcPr>
            <w:tcW w:w="487" w:type="pct"/>
          </w:tcPr>
          <w:p w14:paraId="35F57E8C" w14:textId="77777777" w:rsidR="00DF636C" w:rsidRPr="00794B03" w:rsidRDefault="00DF636C" w:rsidP="00D1601A">
            <w:pPr>
              <w:pStyle w:val="Body"/>
              <w:ind w:left="143"/>
              <w:rPr>
                <w:color w:val="090D46" w:themeColor="text1"/>
                <w:sz w:val="18"/>
                <w:szCs w:val="28"/>
              </w:rPr>
            </w:pPr>
            <w:r w:rsidRPr="00794B03">
              <w:rPr>
                <w:color w:val="090D46" w:themeColor="text1"/>
                <w:sz w:val="18"/>
                <w:szCs w:val="28"/>
              </w:rPr>
              <w:t>less</w:t>
            </w:r>
          </w:p>
        </w:tc>
        <w:tc>
          <w:tcPr>
            <w:tcW w:w="646" w:type="pct"/>
          </w:tcPr>
          <w:p w14:paraId="2604978E" w14:textId="77777777" w:rsidR="00DF636C" w:rsidRPr="00794B03" w:rsidRDefault="00DF636C" w:rsidP="00D1601A">
            <w:pPr>
              <w:pStyle w:val="Body"/>
              <w:ind w:left="143"/>
              <w:rPr>
                <w:color w:val="090D46" w:themeColor="text1"/>
                <w:sz w:val="18"/>
                <w:szCs w:val="28"/>
              </w:rPr>
            </w:pPr>
            <w:r w:rsidRPr="00794B03">
              <w:rPr>
                <w:color w:val="090D46" w:themeColor="text1"/>
                <w:sz w:val="18"/>
                <w:szCs w:val="28"/>
              </w:rPr>
              <w:t>Employee contributions</w:t>
            </w:r>
          </w:p>
        </w:tc>
      </w:tr>
      <w:tr w:rsidR="00794B03" w:rsidRPr="00794B03" w14:paraId="38AA114E" w14:textId="77777777" w:rsidTr="00D1601A">
        <w:trPr>
          <w:trHeight w:val="702"/>
        </w:trPr>
        <w:tc>
          <w:tcPr>
            <w:tcW w:w="456" w:type="pct"/>
          </w:tcPr>
          <w:p w14:paraId="68A7CB02" w14:textId="77777777" w:rsidR="00DF636C" w:rsidRPr="00794B03" w:rsidRDefault="00DF636C" w:rsidP="00D1601A">
            <w:pPr>
              <w:pStyle w:val="Body"/>
              <w:rPr>
                <w:color w:val="090D46" w:themeColor="text1"/>
                <w:sz w:val="18"/>
                <w:szCs w:val="28"/>
              </w:rPr>
            </w:pPr>
            <w:r w:rsidRPr="00794B03">
              <w:rPr>
                <w:color w:val="090D46" w:themeColor="text1"/>
                <w:sz w:val="18"/>
                <w:szCs w:val="28"/>
              </w:rPr>
              <w:t>Aged under 12 years</w:t>
            </w:r>
          </w:p>
        </w:tc>
        <w:tc>
          <w:tcPr>
            <w:tcW w:w="329" w:type="pct"/>
          </w:tcPr>
          <w:p w14:paraId="0823F095" w14:textId="77777777" w:rsidR="00DF636C" w:rsidRPr="00794B03" w:rsidRDefault="00DF636C" w:rsidP="00D1601A">
            <w:pPr>
              <w:pStyle w:val="Body"/>
              <w:jc w:val="center"/>
              <w:rPr>
                <w:color w:val="090D46" w:themeColor="text1"/>
                <w:sz w:val="18"/>
                <w:szCs w:val="28"/>
              </w:rPr>
            </w:pPr>
            <w:r w:rsidRPr="00794B03">
              <w:rPr>
                <w:color w:val="090D46" w:themeColor="text1"/>
                <w:sz w:val="18"/>
                <w:szCs w:val="28"/>
              </w:rPr>
              <w:t>=</w:t>
            </w:r>
          </w:p>
        </w:tc>
        <w:tc>
          <w:tcPr>
            <w:tcW w:w="645" w:type="pct"/>
          </w:tcPr>
          <w:p w14:paraId="65D14A56" w14:textId="77777777" w:rsidR="00DF636C" w:rsidRPr="00794B03" w:rsidRDefault="00DF636C" w:rsidP="00D1601A">
            <w:pPr>
              <w:pStyle w:val="Body"/>
              <w:rPr>
                <w:color w:val="090D46" w:themeColor="text1"/>
                <w:sz w:val="18"/>
                <w:szCs w:val="28"/>
              </w:rPr>
            </w:pPr>
            <w:r w:rsidRPr="00794B03">
              <w:rPr>
                <w:color w:val="090D46" w:themeColor="text1"/>
                <w:sz w:val="18"/>
                <w:szCs w:val="28"/>
              </w:rPr>
              <w:t>$1.00 per meal</w:t>
            </w:r>
          </w:p>
        </w:tc>
        <w:tc>
          <w:tcPr>
            <w:tcW w:w="260" w:type="pct"/>
          </w:tcPr>
          <w:p w14:paraId="291DA6A7" w14:textId="77777777" w:rsidR="00DF636C" w:rsidRPr="00794B03" w:rsidRDefault="00DF636C" w:rsidP="00D1601A">
            <w:pPr>
              <w:pStyle w:val="Body"/>
              <w:jc w:val="center"/>
              <w:rPr>
                <w:color w:val="090D46" w:themeColor="text1"/>
                <w:sz w:val="18"/>
                <w:szCs w:val="28"/>
              </w:rPr>
            </w:pPr>
            <w:r w:rsidRPr="00794B03">
              <w:rPr>
                <w:color w:val="090D46" w:themeColor="text1"/>
                <w:sz w:val="18"/>
                <w:szCs w:val="28"/>
              </w:rPr>
              <w:t>x</w:t>
            </w:r>
          </w:p>
        </w:tc>
        <w:tc>
          <w:tcPr>
            <w:tcW w:w="770" w:type="pct"/>
          </w:tcPr>
          <w:p w14:paraId="718F0D3C" w14:textId="77777777" w:rsidR="00DF636C" w:rsidRPr="00794B03" w:rsidRDefault="00DF636C" w:rsidP="00D1601A">
            <w:pPr>
              <w:pStyle w:val="Body"/>
              <w:rPr>
                <w:color w:val="090D46" w:themeColor="text1"/>
                <w:sz w:val="18"/>
                <w:szCs w:val="28"/>
              </w:rPr>
            </w:pPr>
            <w:r w:rsidRPr="00794B03">
              <w:rPr>
                <w:color w:val="090D46" w:themeColor="text1"/>
                <w:sz w:val="18"/>
                <w:szCs w:val="28"/>
              </w:rPr>
              <w:t>Number of meals provided</w:t>
            </w:r>
          </w:p>
        </w:tc>
        <w:tc>
          <w:tcPr>
            <w:tcW w:w="492" w:type="pct"/>
          </w:tcPr>
          <w:p w14:paraId="17FBBC52" w14:textId="77777777" w:rsidR="00DF636C" w:rsidRPr="00794B03" w:rsidRDefault="00DF636C" w:rsidP="00D1601A">
            <w:pPr>
              <w:pStyle w:val="Body"/>
              <w:jc w:val="center"/>
              <w:rPr>
                <w:color w:val="090D46" w:themeColor="text1"/>
                <w:sz w:val="18"/>
                <w:szCs w:val="28"/>
              </w:rPr>
            </w:pPr>
            <w:r w:rsidRPr="00794B03">
              <w:rPr>
                <w:color w:val="090D46" w:themeColor="text1"/>
                <w:sz w:val="18"/>
                <w:szCs w:val="28"/>
              </w:rPr>
              <w:t>less</w:t>
            </w:r>
          </w:p>
        </w:tc>
        <w:tc>
          <w:tcPr>
            <w:tcW w:w="915" w:type="pct"/>
          </w:tcPr>
          <w:p w14:paraId="2F7463A4" w14:textId="77777777" w:rsidR="00DF636C" w:rsidRPr="00794B03" w:rsidRDefault="00DF636C" w:rsidP="00D1601A">
            <w:pPr>
              <w:pStyle w:val="Body"/>
              <w:rPr>
                <w:color w:val="090D46" w:themeColor="text1"/>
                <w:sz w:val="18"/>
                <w:szCs w:val="28"/>
              </w:rPr>
            </w:pPr>
            <w:r w:rsidRPr="00794B03">
              <w:rPr>
                <w:color w:val="090D46" w:themeColor="text1"/>
                <w:sz w:val="18"/>
                <w:szCs w:val="28"/>
              </w:rPr>
              <w:t>Otherwise deductible amount</w:t>
            </w:r>
          </w:p>
        </w:tc>
        <w:tc>
          <w:tcPr>
            <w:tcW w:w="487" w:type="pct"/>
          </w:tcPr>
          <w:p w14:paraId="1F1F59DB" w14:textId="77777777" w:rsidR="00DF636C" w:rsidRPr="00794B03" w:rsidRDefault="00DF636C" w:rsidP="00D1601A">
            <w:pPr>
              <w:pStyle w:val="Body"/>
              <w:ind w:left="143"/>
              <w:rPr>
                <w:color w:val="090D46" w:themeColor="text1"/>
                <w:sz w:val="18"/>
                <w:szCs w:val="28"/>
              </w:rPr>
            </w:pPr>
            <w:r w:rsidRPr="00794B03">
              <w:rPr>
                <w:color w:val="090D46" w:themeColor="text1"/>
                <w:sz w:val="18"/>
                <w:szCs w:val="28"/>
              </w:rPr>
              <w:t>less</w:t>
            </w:r>
          </w:p>
        </w:tc>
        <w:tc>
          <w:tcPr>
            <w:tcW w:w="646" w:type="pct"/>
          </w:tcPr>
          <w:p w14:paraId="10C6E0C8" w14:textId="77777777" w:rsidR="00DF636C" w:rsidRPr="00794B03" w:rsidRDefault="00DF636C" w:rsidP="00D1601A">
            <w:pPr>
              <w:pStyle w:val="Body"/>
              <w:ind w:left="143"/>
              <w:rPr>
                <w:color w:val="090D46" w:themeColor="text1"/>
                <w:sz w:val="18"/>
                <w:szCs w:val="28"/>
              </w:rPr>
            </w:pPr>
            <w:r w:rsidRPr="00794B03">
              <w:rPr>
                <w:color w:val="090D46" w:themeColor="text1"/>
                <w:sz w:val="18"/>
                <w:szCs w:val="28"/>
              </w:rPr>
              <w:t>Employee contributions</w:t>
            </w:r>
          </w:p>
        </w:tc>
      </w:tr>
    </w:tbl>
    <w:p w14:paraId="6F669D19" w14:textId="55B33A72" w:rsidR="00DF636C" w:rsidRPr="00683F7C" w:rsidRDefault="00DF636C" w:rsidP="00794B03">
      <w:pPr>
        <w:pStyle w:val="Heading2"/>
        <w:numPr>
          <w:ilvl w:val="0"/>
          <w:numId w:val="43"/>
        </w:numPr>
        <w:rPr>
          <w:lang w:val="en-GB" w:eastAsia="ja-JP"/>
        </w:rPr>
      </w:pPr>
      <w:r w:rsidRPr="00683F7C">
        <w:rPr>
          <w:lang w:val="en-GB" w:eastAsia="ja-JP"/>
        </w:rPr>
        <w:t>Property and residual benefits</w:t>
      </w:r>
    </w:p>
    <w:p w14:paraId="4EA5B806" w14:textId="77777777" w:rsidR="00DF636C" w:rsidRPr="00E4159F" w:rsidRDefault="00DF636C" w:rsidP="00794B03">
      <w:pPr>
        <w:rPr>
          <w:lang w:val="en-GB" w:eastAsia="ja-JP"/>
        </w:rPr>
      </w:pPr>
      <w:r w:rsidRPr="00E4159F">
        <w:rPr>
          <w:lang w:val="en-GB" w:eastAsia="ja-JP"/>
        </w:rPr>
        <w:t>The taxable value is generally the arm’s length value of the benefit.</w:t>
      </w:r>
    </w:p>
    <w:p w14:paraId="1C2E397F" w14:textId="0E329475" w:rsidR="00DF636C" w:rsidRPr="00794B03" w:rsidRDefault="00DF636C" w:rsidP="00DF636C">
      <w:pPr>
        <w:rPr>
          <w:b/>
          <w:color w:val="auto"/>
        </w:rPr>
      </w:pPr>
      <w:r w:rsidRPr="00E4159F">
        <w:rPr>
          <w:color w:val="auto"/>
        </w:rPr>
        <w:t>For in-house benefits</w:t>
      </w:r>
      <w:r>
        <w:rPr>
          <w:color w:val="auto"/>
        </w:rPr>
        <w:t xml:space="preserve"> </w:t>
      </w:r>
      <w:r w:rsidRPr="00E4159F">
        <w:rPr>
          <w:color w:val="auto"/>
        </w:rPr>
        <w:t>or reduced value benefits, the taxable value is generally either 75</w:t>
      </w:r>
      <w:r>
        <w:rPr>
          <w:color w:val="auto"/>
        </w:rPr>
        <w:t>%</w:t>
      </w:r>
      <w:r w:rsidRPr="00E4159F">
        <w:rPr>
          <w:color w:val="auto"/>
        </w:rPr>
        <w:t xml:space="preserve"> of the arm’s length value or 75</w:t>
      </w:r>
      <w:r>
        <w:rPr>
          <w:color w:val="auto"/>
        </w:rPr>
        <w:t>%</w:t>
      </w:r>
      <w:r w:rsidRPr="00E4159F">
        <w:rPr>
          <w:color w:val="auto"/>
        </w:rPr>
        <w:t xml:space="preserve"> of the lowest public price charged. The taxable value of such a benefit is reduced by any employee contributions and any otherwise deductible amounts.</w:t>
      </w:r>
    </w:p>
    <w:p w14:paraId="32FBDE66" w14:textId="0E70F7F4" w:rsidR="00DF636C" w:rsidRPr="00F25BCF" w:rsidRDefault="00794B03" w:rsidP="00794B03">
      <w:pPr>
        <w:pStyle w:val="Heading3"/>
      </w:pPr>
      <w:r>
        <w:rPr>
          <w:lang w:val="en-GB" w:eastAsia="ja-JP"/>
        </w:rPr>
        <w:t>11.</w:t>
      </w:r>
      <w:r w:rsidR="00E43DB0">
        <w:rPr>
          <w:lang w:val="en-GB" w:eastAsia="ja-JP"/>
        </w:rPr>
        <w:t>1</w:t>
      </w:r>
      <w:r>
        <w:rPr>
          <w:lang w:val="en-GB" w:eastAsia="ja-JP"/>
        </w:rPr>
        <w:t xml:space="preserve"> </w:t>
      </w:r>
      <w:r w:rsidR="00DF636C" w:rsidRPr="00F25BCF">
        <w:rPr>
          <w:lang w:val="en-GB" w:eastAsia="ja-JP"/>
        </w:rPr>
        <w:t>Air travel provided by airline operator</w:t>
      </w:r>
    </w:p>
    <w:p w14:paraId="038FB8F0" w14:textId="77777777" w:rsidR="00DF636C" w:rsidRPr="00E4159F" w:rsidRDefault="00DF636C" w:rsidP="00794B03">
      <w:pPr>
        <w:rPr>
          <w:b/>
        </w:rPr>
      </w:pPr>
      <w:r w:rsidRPr="00E4159F">
        <w:t xml:space="preserve">Where an airline operator provides, in the course of employment, free or discounted air travel on a stand-by basis to employees or their associates, these should now be treated as in-house residual or property fringe benefits. </w:t>
      </w:r>
    </w:p>
    <w:p w14:paraId="3BB68669" w14:textId="77777777" w:rsidR="00DF636C" w:rsidRPr="00E4159F" w:rsidRDefault="00DF636C" w:rsidP="00794B03">
      <w:pPr>
        <w:rPr>
          <w:b/>
        </w:rPr>
      </w:pPr>
      <w:r w:rsidRPr="00E4159F">
        <w:t>Where such a benefit is not provided under a salary packaging arrangement</w:t>
      </w:r>
      <w:r>
        <w:t>,</w:t>
      </w:r>
      <w:r w:rsidRPr="00E4159F">
        <w:t xml:space="preserve"> the taxable value of the benefit is calculated as follows:</w:t>
      </w:r>
    </w:p>
    <w:p w14:paraId="644F3EF6" w14:textId="1BFF08A3" w:rsidR="00DF636C" w:rsidRPr="000952B1" w:rsidRDefault="00DF636C" w:rsidP="00794B03">
      <w:r>
        <w:t>Taxable Value</w:t>
      </w:r>
      <w:r>
        <w:tab/>
      </w:r>
      <w:r w:rsidR="00794B03">
        <w:t xml:space="preserve"> </w:t>
      </w:r>
      <w:r w:rsidRPr="000952B1">
        <w:t>=</w:t>
      </w:r>
      <w:r>
        <w:t xml:space="preserve"> </w:t>
      </w:r>
      <w:r>
        <w:tab/>
        <w:t>75% of s</w:t>
      </w:r>
      <w:r w:rsidRPr="000952B1">
        <w:t xml:space="preserve">tand-by </w:t>
      </w:r>
      <w:r>
        <w:t xml:space="preserve">airline travel </w:t>
      </w:r>
      <w:r w:rsidRPr="000952B1">
        <w:t xml:space="preserve">value </w:t>
      </w:r>
      <w:r>
        <w:tab/>
      </w:r>
      <w:r w:rsidRPr="002639EB">
        <w:t xml:space="preserve">less </w:t>
      </w:r>
      <w:r>
        <w:tab/>
        <w:t>Employee contributions</w:t>
      </w:r>
      <w:r w:rsidRPr="000952B1">
        <w:t xml:space="preserve"> </w:t>
      </w:r>
    </w:p>
    <w:p w14:paraId="4F2F54E2" w14:textId="77777777" w:rsidR="00DF636C" w:rsidRPr="00E4159F" w:rsidRDefault="00DF636C" w:rsidP="00794B03">
      <w:pPr>
        <w:rPr>
          <w:rFonts w:ascii="Arial" w:hAnsi="Arial" w:cs="Arial"/>
        </w:rPr>
      </w:pPr>
      <w:r w:rsidRPr="00E4159F">
        <w:rPr>
          <w:rFonts w:ascii="Arial" w:hAnsi="Arial" w:cs="Arial"/>
        </w:rPr>
        <w:t>The stand-by airline travel value is calculated as follows:</w:t>
      </w:r>
    </w:p>
    <w:p w14:paraId="65D8430F" w14:textId="77777777" w:rsidR="00DF636C" w:rsidRPr="00E4159F" w:rsidRDefault="00DF636C" w:rsidP="00794B03">
      <w:pPr>
        <w:rPr>
          <w:rFonts w:ascii="Arial" w:hAnsi="Arial" w:cs="Arial"/>
        </w:rPr>
      </w:pPr>
      <w:r w:rsidRPr="00E4159F">
        <w:rPr>
          <w:rFonts w:ascii="Arial" w:hAnsi="Arial" w:cs="Arial"/>
        </w:rPr>
        <w:t>Domestic Travel: 50</w:t>
      </w:r>
      <w:r>
        <w:rPr>
          <w:rFonts w:ascii="Arial" w:hAnsi="Arial" w:cs="Arial"/>
        </w:rPr>
        <w:t>%</w:t>
      </w:r>
      <w:r w:rsidRPr="00E4159F">
        <w:rPr>
          <w:rFonts w:ascii="Arial" w:hAnsi="Arial" w:cs="Arial"/>
        </w:rPr>
        <w:t xml:space="preserve"> </w:t>
      </w:r>
      <w:r w:rsidRPr="00E4159F">
        <w:rPr>
          <w:rFonts w:ascii="Arial" w:hAnsi="Arial" w:cs="Arial"/>
          <w:shd w:val="clear" w:color="auto" w:fill="FFFFFF"/>
        </w:rPr>
        <w:t xml:space="preserve">of the carrier’s lowest </w:t>
      </w:r>
      <w:r>
        <w:rPr>
          <w:rFonts w:ascii="Arial" w:hAnsi="Arial" w:cs="Arial"/>
          <w:shd w:val="clear" w:color="auto" w:fill="FFFFFF"/>
        </w:rPr>
        <w:t xml:space="preserve">standard </w:t>
      </w:r>
      <w:r w:rsidRPr="00E4159F">
        <w:rPr>
          <w:rFonts w:ascii="Arial" w:hAnsi="Arial" w:cs="Arial"/>
          <w:shd w:val="clear" w:color="auto" w:fill="FFFFFF"/>
        </w:rPr>
        <w:t>single economy airfare for that route as publicly advertised during the year of tax.</w:t>
      </w:r>
    </w:p>
    <w:p w14:paraId="7ECA570B" w14:textId="77777777" w:rsidR="00794B03" w:rsidRDefault="00DF636C" w:rsidP="00794B03">
      <w:pPr>
        <w:rPr>
          <w:rFonts w:ascii="Arial" w:hAnsi="Arial" w:cs="Arial"/>
          <w:shd w:val="clear" w:color="auto" w:fill="FFFFFF"/>
        </w:rPr>
      </w:pPr>
      <w:r w:rsidRPr="00E4159F">
        <w:rPr>
          <w:rFonts w:ascii="Arial" w:hAnsi="Arial" w:cs="Arial"/>
        </w:rPr>
        <w:t>International Travel:</w:t>
      </w:r>
      <w:r>
        <w:rPr>
          <w:rFonts w:ascii="Arial" w:hAnsi="Arial" w:cs="Arial"/>
        </w:rPr>
        <w:t xml:space="preserve"> </w:t>
      </w:r>
      <w:r w:rsidRPr="00E4159F">
        <w:rPr>
          <w:rFonts w:ascii="Arial" w:hAnsi="Arial" w:cs="Arial"/>
          <w:shd w:val="clear" w:color="auto" w:fill="FFFFFF"/>
        </w:rPr>
        <w:t>50</w:t>
      </w:r>
      <w:r>
        <w:rPr>
          <w:rFonts w:ascii="Arial" w:hAnsi="Arial" w:cs="Arial"/>
          <w:shd w:val="clear" w:color="auto" w:fill="FFFFFF"/>
        </w:rPr>
        <w:t>%</w:t>
      </w:r>
      <w:r w:rsidRPr="00E4159F">
        <w:rPr>
          <w:rFonts w:ascii="Arial" w:hAnsi="Arial" w:cs="Arial"/>
          <w:shd w:val="clear" w:color="auto" w:fill="FFFFFF"/>
        </w:rPr>
        <w:t xml:space="preserve"> of the lowest of any carrier’s standard single economy airfare for that route as publicly advertised during the year of tax.</w:t>
      </w:r>
    </w:p>
    <w:p w14:paraId="75DD5093" w14:textId="77777777" w:rsidR="00794B03" w:rsidRDefault="00794B03" w:rsidP="00794B03">
      <w:pPr>
        <w:rPr>
          <w:rFonts w:ascii="Arial" w:hAnsi="Arial" w:cs="Arial"/>
          <w:shd w:val="clear" w:color="auto" w:fill="FFFFFF"/>
        </w:rPr>
      </w:pPr>
    </w:p>
    <w:p w14:paraId="3A7D1F2E" w14:textId="31ADDBFD" w:rsidR="00DF636C" w:rsidRPr="00794B03" w:rsidRDefault="00DF636C" w:rsidP="00794B03">
      <w:pPr>
        <w:pStyle w:val="Heading1"/>
        <w:rPr>
          <w:rFonts w:ascii="Arial" w:hAnsi="Arial" w:cs="Arial"/>
          <w:shd w:val="clear" w:color="auto" w:fill="FFFFFF"/>
        </w:rPr>
      </w:pPr>
      <w:r>
        <w:t>Other FBT aspects</w:t>
      </w:r>
    </w:p>
    <w:p w14:paraId="014C43B1" w14:textId="77777777" w:rsidR="00DF636C" w:rsidRPr="004445F6" w:rsidRDefault="00DF636C" w:rsidP="00794B03">
      <w:pPr>
        <w:pStyle w:val="Heading2"/>
      </w:pPr>
      <w:r w:rsidRPr="004445F6">
        <w:t>Gross-up rules</w:t>
      </w:r>
    </w:p>
    <w:p w14:paraId="65CDA049" w14:textId="77777777" w:rsidR="00DF636C" w:rsidRPr="00E4159F" w:rsidRDefault="00DF636C" w:rsidP="00794B03">
      <w:pPr>
        <w:rPr>
          <w:lang w:val="en-GB" w:eastAsia="ja-JP"/>
        </w:rPr>
      </w:pPr>
      <w:r w:rsidRPr="00E4159F">
        <w:rPr>
          <w:lang w:val="en-GB" w:eastAsia="ja-JP"/>
        </w:rPr>
        <w:t xml:space="preserve">To ensure neutrality between an employee receiving a fringe benefit or cash salary within the context of the GST system, changes were introduced to the way in which the relevant gross-up formula is calculated. The </w:t>
      </w:r>
      <w:r>
        <w:rPr>
          <w:lang w:val="en-GB" w:eastAsia="ja-JP"/>
        </w:rPr>
        <w:t>tax</w:t>
      </w:r>
      <w:r w:rsidRPr="00E4159F">
        <w:rPr>
          <w:lang w:val="en-GB" w:eastAsia="ja-JP"/>
        </w:rPr>
        <w:t>able amount is dependent on the relevant gross-up formula. A higher gross-up formula has been introduced to take into account the effect of input tax credits being able to be claimed in certain circumstances in respect of GST paid on some fringe benefits</w:t>
      </w:r>
      <w:r>
        <w:rPr>
          <w:lang w:val="en-GB" w:eastAsia="ja-JP"/>
        </w:rPr>
        <w:t>, t</w:t>
      </w:r>
      <w:r w:rsidRPr="00E4159F">
        <w:rPr>
          <w:lang w:val="en-GB" w:eastAsia="ja-JP"/>
        </w:rPr>
        <w:t>he higher gross-up rate is 2.</w:t>
      </w:r>
      <w:r>
        <w:rPr>
          <w:lang w:val="en-GB" w:eastAsia="ja-JP"/>
        </w:rPr>
        <w:t>0802 and t</w:t>
      </w:r>
      <w:r w:rsidRPr="00E4159F">
        <w:rPr>
          <w:lang w:val="en-GB" w:eastAsia="ja-JP"/>
        </w:rPr>
        <w:t>he lower gross-up rate is still applicable in certain circumstances and is 1</w:t>
      </w:r>
      <w:r>
        <w:rPr>
          <w:lang w:val="en-GB" w:eastAsia="ja-JP"/>
        </w:rPr>
        <w:t>.</w:t>
      </w:r>
      <w:r w:rsidRPr="00E4159F">
        <w:rPr>
          <w:lang w:val="en-GB" w:eastAsia="ja-JP"/>
        </w:rPr>
        <w:t>8868</w:t>
      </w:r>
      <w:r>
        <w:rPr>
          <w:lang w:val="en-GB" w:eastAsia="ja-JP"/>
        </w:rPr>
        <w:t>.</w:t>
      </w:r>
      <w:r w:rsidRPr="00E4159F">
        <w:rPr>
          <w:lang w:val="en-GB" w:eastAsia="ja-JP"/>
        </w:rPr>
        <w:t xml:space="preserve"> Which of these gross-up rates is to be applied depends on whether the amounts are ‘type 1 aggregate fringe benefits amounts’ or ‘type 2 aggregate fringe benefits amounts’</w:t>
      </w:r>
      <w:r>
        <w:rPr>
          <w:lang w:val="en-GB" w:eastAsia="ja-JP"/>
        </w:rPr>
        <w:t>.</w:t>
      </w:r>
    </w:p>
    <w:p w14:paraId="1C8AF933" w14:textId="77777777" w:rsidR="00DF636C" w:rsidRPr="004445F6" w:rsidRDefault="00DF636C" w:rsidP="00C27DFA">
      <w:pPr>
        <w:pStyle w:val="Heading2"/>
      </w:pPr>
      <w:r w:rsidRPr="004445F6">
        <w:t>Type 1 aggregate fringe benefits amounts</w:t>
      </w:r>
    </w:p>
    <w:p w14:paraId="1A86CEF4" w14:textId="09D83CAD" w:rsidR="00DF636C" w:rsidRDefault="00DF636C" w:rsidP="00C27DFA">
      <w:pPr>
        <w:rPr>
          <w:lang w:val="en-GB" w:eastAsia="ja-JP"/>
        </w:rPr>
      </w:pPr>
      <w:r w:rsidRPr="00E4159F">
        <w:rPr>
          <w:lang w:val="en-GB" w:eastAsia="ja-JP"/>
        </w:rPr>
        <w:t xml:space="preserve">The ‘type 1 aggregate fringe benefits amount’ represents the total value of fringe benefits provided to employees or their associates where the provider of the benefit (i.e. employer) was entitled to input tax credits (assuming the entity is registered for the GST) at the time the benefit was acquired. The amount is then grossed-up to a GST inclusive value by applying the higher FBT gross-up formula, which effectively recoups any input tax credits arising from the provision of </w:t>
      </w:r>
      <w:r>
        <w:rPr>
          <w:lang w:val="en-GB" w:eastAsia="ja-JP"/>
        </w:rPr>
        <w:t xml:space="preserve">such </w:t>
      </w:r>
      <w:r w:rsidRPr="00E4159F">
        <w:rPr>
          <w:lang w:val="en-GB" w:eastAsia="ja-JP"/>
        </w:rPr>
        <w:t xml:space="preserve">fringe benefits. </w:t>
      </w:r>
      <w:r w:rsidRPr="00415324">
        <w:rPr>
          <w:lang w:val="en-GB" w:eastAsia="ja-JP"/>
        </w:rPr>
        <w:t xml:space="preserve">The sum of all type 1 fringe benefits is totalled during the year of tax and comprises the employer’s type 1 aggregate fringe benefits amount for that FBT year. The type 1 aggregate fringe benefits amount is multiplied by 2.0802 in calculating the grossed-up value of such benefits for the FBT year ended 31 March </w:t>
      </w:r>
      <w:r w:rsidR="00685C2A">
        <w:rPr>
          <w:lang w:val="en-GB" w:eastAsia="ja-JP"/>
        </w:rPr>
        <w:t>2024</w:t>
      </w:r>
      <w:r w:rsidRPr="00415324">
        <w:rPr>
          <w:lang w:val="en-GB" w:eastAsia="ja-JP"/>
        </w:rPr>
        <w:t>.</w:t>
      </w:r>
    </w:p>
    <w:p w14:paraId="40BE2DAC" w14:textId="77777777" w:rsidR="00DF636C" w:rsidRPr="00C27DFA" w:rsidRDefault="00DF636C" w:rsidP="00DF636C">
      <w:pPr>
        <w:pStyle w:val="BodyHeading4"/>
        <w:rPr>
          <w:rFonts w:asciiTheme="majorHAnsi" w:eastAsiaTheme="minorHAnsi" w:hAnsiTheme="majorHAnsi"/>
          <w:b w:val="0"/>
          <w:color w:val="090D46" w:themeColor="text1"/>
          <w:spacing w:val="20"/>
          <w:sz w:val="28"/>
          <w:szCs w:val="28"/>
          <w:lang w:val="en-AU" w:eastAsia="en-US"/>
        </w:rPr>
      </w:pPr>
      <w:r w:rsidRPr="00C27DFA">
        <w:rPr>
          <w:rFonts w:asciiTheme="majorHAnsi" w:eastAsiaTheme="minorHAnsi" w:hAnsiTheme="majorHAnsi"/>
          <w:b w:val="0"/>
          <w:color w:val="090D46" w:themeColor="text1"/>
          <w:spacing w:val="20"/>
          <w:sz w:val="28"/>
          <w:szCs w:val="28"/>
          <w:lang w:val="en-AU" w:eastAsia="en-US"/>
        </w:rPr>
        <w:t>Type 2 aggregate fringe benefits amounts</w:t>
      </w:r>
    </w:p>
    <w:p w14:paraId="5AEB00D1" w14:textId="77777777" w:rsidR="00DF636C" w:rsidRPr="00E4159F" w:rsidRDefault="00DF636C" w:rsidP="00C27DFA">
      <w:pPr>
        <w:rPr>
          <w:lang w:val="en-GB" w:eastAsia="ja-JP"/>
        </w:rPr>
      </w:pPr>
      <w:r w:rsidRPr="00E4159F">
        <w:rPr>
          <w:lang w:val="en-GB" w:eastAsia="ja-JP"/>
        </w:rPr>
        <w:t>The second type of aggregate fringe benefits amount provides for situations where</w:t>
      </w:r>
      <w:r w:rsidRPr="00415324">
        <w:t xml:space="preserve"> </w:t>
      </w:r>
      <w:r w:rsidRPr="00415324">
        <w:rPr>
          <w:lang w:val="en-GB" w:eastAsia="ja-JP"/>
        </w:rPr>
        <w:t>the employer is not entitled to claim any input tax credit in respect of the fringe benefits provided such as would arise in the following circumstances</w:t>
      </w:r>
      <w:r w:rsidRPr="00E4159F">
        <w:rPr>
          <w:lang w:val="en-GB" w:eastAsia="ja-JP"/>
        </w:rPr>
        <w:t>:</w:t>
      </w:r>
    </w:p>
    <w:p w14:paraId="048B29E5" w14:textId="77777777" w:rsidR="00DF636C" w:rsidRPr="00E4159F" w:rsidRDefault="00DF636C" w:rsidP="00C27DFA">
      <w:pPr>
        <w:pStyle w:val="ListBullet"/>
        <w:rPr>
          <w:lang w:val="en-GB"/>
        </w:rPr>
      </w:pPr>
      <w:r w:rsidRPr="00E4159F">
        <w:rPr>
          <w:lang w:val="en-GB"/>
        </w:rPr>
        <w:t>fringe benefits are provided and their taxable value is determined before the introduction of the GST (pre 1 July 2000)</w:t>
      </w:r>
    </w:p>
    <w:p w14:paraId="69D2F31B" w14:textId="77777777" w:rsidR="00DF636C" w:rsidRPr="00E4159F" w:rsidRDefault="00DF636C" w:rsidP="00C27DFA">
      <w:pPr>
        <w:pStyle w:val="ListBullet"/>
        <w:rPr>
          <w:lang w:val="en-GB"/>
        </w:rPr>
      </w:pPr>
      <w:r w:rsidRPr="00E4159F">
        <w:rPr>
          <w:lang w:val="en-GB"/>
        </w:rPr>
        <w:t>fringe benefits are GST-free or input taxed</w:t>
      </w:r>
    </w:p>
    <w:p w14:paraId="5CC5467F" w14:textId="77777777" w:rsidR="00DF636C" w:rsidRPr="00E4159F" w:rsidRDefault="00DF636C" w:rsidP="00C27DFA">
      <w:pPr>
        <w:pStyle w:val="ListBullet"/>
        <w:rPr>
          <w:lang w:val="en-GB"/>
        </w:rPr>
      </w:pPr>
      <w:r w:rsidRPr="00E4159F">
        <w:rPr>
          <w:lang w:val="en-GB"/>
        </w:rPr>
        <w:t>the goods or services are not acquired by the employer, for example, the goods or services are manufactured</w:t>
      </w:r>
    </w:p>
    <w:p w14:paraId="172E615D" w14:textId="77777777" w:rsidR="00DF636C" w:rsidRPr="00E4159F" w:rsidRDefault="00DF636C" w:rsidP="00C27DFA">
      <w:pPr>
        <w:pStyle w:val="ListBullet"/>
        <w:rPr>
          <w:lang w:val="en-GB"/>
        </w:rPr>
      </w:pPr>
      <w:r w:rsidRPr="00E4159F">
        <w:rPr>
          <w:lang w:val="en-GB"/>
        </w:rPr>
        <w:t>small business employers have opted not to register for the GST.</w:t>
      </w:r>
    </w:p>
    <w:p w14:paraId="6959DD7D" w14:textId="479C6C19" w:rsidR="00DF636C" w:rsidRPr="00E4159F" w:rsidRDefault="00DF636C" w:rsidP="00C27DFA">
      <w:pPr>
        <w:rPr>
          <w:lang w:val="en-GB" w:eastAsia="ja-JP"/>
        </w:rPr>
      </w:pPr>
      <w:r w:rsidRPr="00415324">
        <w:rPr>
          <w:lang w:val="en-GB" w:eastAsia="ja-JP"/>
        </w:rPr>
        <w:t xml:space="preserve">The taxable value of all such fringe benefits are aggregated to be the type 2 aggregate fringe benefit amount which is multiplied by 1.8868 to determine the grossed-up taxable value of such benefits for the FBT year ended 31 March </w:t>
      </w:r>
      <w:r w:rsidR="00685C2A">
        <w:rPr>
          <w:lang w:val="en-GB" w:eastAsia="ja-JP"/>
        </w:rPr>
        <w:t>2024</w:t>
      </w:r>
      <w:r>
        <w:rPr>
          <w:lang w:val="en-GB" w:eastAsia="ja-JP"/>
        </w:rPr>
        <w:t>.</w:t>
      </w:r>
    </w:p>
    <w:p w14:paraId="3792E0CC" w14:textId="77777777" w:rsidR="00DF636C" w:rsidRPr="004445F6" w:rsidRDefault="00DF636C" w:rsidP="00C27DFA">
      <w:pPr>
        <w:pStyle w:val="Heading2"/>
      </w:pPr>
      <w:r w:rsidRPr="004445F6">
        <w:t xml:space="preserve">FBT concessional treatment of </w:t>
      </w:r>
      <w:r>
        <w:t>FBT exempt and FBT rebatable employers</w:t>
      </w:r>
    </w:p>
    <w:p w14:paraId="18C6CA87" w14:textId="77777777" w:rsidR="00DF636C" w:rsidRPr="00E4159F" w:rsidRDefault="00DF636C" w:rsidP="00C27DFA">
      <w:pPr>
        <w:rPr>
          <w:lang w:val="en-GB" w:eastAsia="ja-JP"/>
        </w:rPr>
      </w:pPr>
      <w:r>
        <w:rPr>
          <w:lang w:val="en-GB" w:eastAsia="ja-JP"/>
        </w:rPr>
        <w:t xml:space="preserve">FBT exempt employers - </w:t>
      </w:r>
      <w:r w:rsidRPr="00E4159F">
        <w:rPr>
          <w:lang w:val="en-GB" w:eastAsia="ja-JP"/>
        </w:rPr>
        <w:t xml:space="preserve">Public benevolent institutions, </w:t>
      </w:r>
      <w:r>
        <w:rPr>
          <w:lang w:val="en-GB" w:eastAsia="ja-JP"/>
        </w:rPr>
        <w:t>registered health promotion charities</w:t>
      </w:r>
      <w:r w:rsidRPr="00E4159F">
        <w:rPr>
          <w:lang w:val="en-GB" w:eastAsia="ja-JP"/>
        </w:rPr>
        <w:t xml:space="preserve"> and private (not for profit) and public hospitals</w:t>
      </w:r>
    </w:p>
    <w:p w14:paraId="1D545D69" w14:textId="56EBDE36" w:rsidR="00DF636C" w:rsidRDefault="00DF636C" w:rsidP="00C27DFA">
      <w:pPr>
        <w:rPr>
          <w:lang w:val="en-GB" w:eastAsia="ja-JP"/>
        </w:rPr>
      </w:pPr>
      <w:r w:rsidRPr="00E4159F">
        <w:rPr>
          <w:lang w:val="en-GB" w:eastAsia="ja-JP"/>
        </w:rPr>
        <w:t xml:space="preserve">Separate concessional FBT treatment is available to PBI’s and charitable institutions, and for private not-for-profit and public hospitals and certain public ambulance services. For PBI’s and charitable institutions, no FBT is payable on the grossed-up taxable value of benefits provided up to a threshold limit of $30,000 per employee for the FBT year ended 31 March </w:t>
      </w:r>
      <w:r w:rsidR="00685C2A">
        <w:rPr>
          <w:lang w:val="en-GB" w:eastAsia="ja-JP"/>
        </w:rPr>
        <w:t>2024</w:t>
      </w:r>
      <w:r w:rsidRPr="00E4159F">
        <w:rPr>
          <w:lang w:val="en-GB" w:eastAsia="ja-JP"/>
        </w:rPr>
        <w:t xml:space="preserve">. </w:t>
      </w:r>
    </w:p>
    <w:p w14:paraId="489039BE" w14:textId="31B8A35F" w:rsidR="00DF636C" w:rsidRDefault="00DF636C" w:rsidP="00C27DFA">
      <w:pPr>
        <w:rPr>
          <w:lang w:val="en-GB" w:eastAsia="ja-JP"/>
        </w:rPr>
      </w:pPr>
      <w:r w:rsidRPr="00E4159F">
        <w:rPr>
          <w:lang w:val="en-GB" w:eastAsia="ja-JP"/>
        </w:rPr>
        <w:t xml:space="preserve">For private not-for-profit and public hospitals and eligible public ambulance services, </w:t>
      </w:r>
      <w:r>
        <w:rPr>
          <w:lang w:val="en-GB" w:eastAsia="ja-JP"/>
        </w:rPr>
        <w:t xml:space="preserve">the </w:t>
      </w:r>
      <w:r w:rsidRPr="00E4159F">
        <w:rPr>
          <w:lang w:val="en-GB" w:eastAsia="ja-JP"/>
        </w:rPr>
        <w:t xml:space="preserve">grossed-up taxable value of benefits can be provided up to a threshold limit of $17,000 per employee for the FBT year ended 31 March </w:t>
      </w:r>
      <w:r w:rsidR="00685C2A">
        <w:rPr>
          <w:lang w:val="en-GB" w:eastAsia="ja-JP"/>
        </w:rPr>
        <w:t>2024</w:t>
      </w:r>
      <w:r w:rsidRPr="00E4159F">
        <w:rPr>
          <w:lang w:val="en-GB" w:eastAsia="ja-JP"/>
        </w:rPr>
        <w:t xml:space="preserve">. </w:t>
      </w:r>
    </w:p>
    <w:p w14:paraId="60041B7E" w14:textId="77777777" w:rsidR="00DF636C" w:rsidRPr="00E4159F" w:rsidRDefault="00DF636C" w:rsidP="00C27DFA">
      <w:pPr>
        <w:rPr>
          <w:lang w:val="en-GB" w:eastAsia="ja-JP"/>
        </w:rPr>
      </w:pPr>
      <w:r w:rsidRPr="00E4159F">
        <w:rPr>
          <w:lang w:val="en-GB" w:eastAsia="ja-JP"/>
        </w:rPr>
        <w:t xml:space="preserve">Any amount of fringe benefits in excess of these threshold amounts will be subject to normal FBT treatment. However, car parking benefits and non-packaged meal entertainment and entertainment leasing facility expenses are disregarded for the purposes of calculating the above $30,000 and $17,000 grossed-up threshold limits.      </w:t>
      </w:r>
    </w:p>
    <w:p w14:paraId="189F9914" w14:textId="77777777" w:rsidR="00DF636C" w:rsidRDefault="00DF636C" w:rsidP="00C27DFA">
      <w:pPr>
        <w:rPr>
          <w:lang w:val="en-GB" w:eastAsia="ja-JP"/>
        </w:rPr>
      </w:pPr>
      <w:r>
        <w:rPr>
          <w:lang w:val="en-GB" w:eastAsia="ja-JP"/>
        </w:rPr>
        <w:t>F</w:t>
      </w:r>
      <w:r w:rsidRPr="00E4159F">
        <w:rPr>
          <w:lang w:val="en-GB" w:eastAsia="ja-JP"/>
        </w:rPr>
        <w:t xml:space="preserve">rom 1 April 2016 a separate gross up cap of $5,000 has applied to employees of the above non-profit organisations for salary sacrificed meal entertainment and entertainment facility leasing expenses. To the extent that the separate $5,000 cap has been exceeded any excess will be included in the calculation of the above respective gross-up caps of $30,000 or $17,000. </w:t>
      </w:r>
    </w:p>
    <w:p w14:paraId="3DC041BF" w14:textId="77777777" w:rsidR="00DF636C" w:rsidRPr="00E4159F" w:rsidRDefault="00DF636C" w:rsidP="00C27DFA">
      <w:pPr>
        <w:rPr>
          <w:i/>
          <w:lang w:val="en-GB" w:eastAsia="ja-JP"/>
        </w:rPr>
      </w:pPr>
      <w:r w:rsidRPr="00E4159F">
        <w:rPr>
          <w:i/>
          <w:lang w:val="en-GB" w:eastAsia="ja-JP"/>
        </w:rPr>
        <w:t>FBT rebatable employers</w:t>
      </w:r>
    </w:p>
    <w:p w14:paraId="13A7200B" w14:textId="1360409E" w:rsidR="00DF636C" w:rsidRDefault="00DF636C" w:rsidP="00C27DFA">
      <w:pPr>
        <w:rPr>
          <w:lang w:val="en-GB" w:eastAsia="ja-JP"/>
        </w:rPr>
      </w:pPr>
      <w:r w:rsidRPr="00E4159F">
        <w:rPr>
          <w:lang w:val="en-GB" w:eastAsia="ja-JP"/>
        </w:rPr>
        <w:t>FBT rebatable employers are certain non-profit, non-government employers who are eligible for a rebate of 47</w:t>
      </w:r>
      <w:r>
        <w:rPr>
          <w:lang w:val="en-GB" w:eastAsia="ja-JP"/>
        </w:rPr>
        <w:t>%</w:t>
      </w:r>
      <w:r w:rsidRPr="00E4159F">
        <w:rPr>
          <w:lang w:val="en-GB" w:eastAsia="ja-JP"/>
        </w:rPr>
        <w:t xml:space="preserve"> of the FBT that would otherwise be payable. The rebatable amount available to eligible rebatable employers is limited to $30,000 of grossed-up taxable value of fringe benefits provided to each employee for the </w:t>
      </w:r>
      <w:r w:rsidR="00685C2A">
        <w:rPr>
          <w:lang w:val="en-GB" w:eastAsia="ja-JP"/>
        </w:rPr>
        <w:t>2024</w:t>
      </w:r>
      <w:r w:rsidRPr="00E4159F">
        <w:rPr>
          <w:lang w:val="en-GB" w:eastAsia="ja-JP"/>
        </w:rPr>
        <w:t xml:space="preserve"> FBT year. </w:t>
      </w:r>
    </w:p>
    <w:p w14:paraId="4528372F" w14:textId="0A25C5A9" w:rsidR="003777BD" w:rsidRPr="009D54D5" w:rsidRDefault="00DF636C" w:rsidP="006654AD">
      <w:r>
        <w:rPr>
          <w:lang w:val="en-GB" w:eastAsia="ja-JP"/>
        </w:rPr>
        <w:t>F</w:t>
      </w:r>
      <w:r w:rsidRPr="00E4159F">
        <w:rPr>
          <w:lang w:val="en-GB" w:eastAsia="ja-JP"/>
        </w:rPr>
        <w:t xml:space="preserve">rom 1 April 2016 a separate gross up cap of $5,000 has applied to employees of rebatable employers for salary sacrificed meal entertainment and entertainment facility leasing expenses, and any amount in excess of that cap </w:t>
      </w:r>
      <w:r>
        <w:rPr>
          <w:lang w:val="en-GB" w:eastAsia="ja-JP"/>
        </w:rPr>
        <w:t>will be</w:t>
      </w:r>
      <w:r w:rsidRPr="00E4159F">
        <w:rPr>
          <w:lang w:val="en-GB" w:eastAsia="ja-JP"/>
        </w:rPr>
        <w:t xml:space="preserve"> included in the calculation of the above general cap on fringe benefits of $30,000. </w:t>
      </w:r>
    </w:p>
    <w:p w14:paraId="4AD45823" w14:textId="03FBD1A4" w:rsidR="00DF636C" w:rsidRPr="00327BAD" w:rsidRDefault="00DF636C" w:rsidP="00B21DE8">
      <w:pPr>
        <w:pStyle w:val="Heading2"/>
      </w:pPr>
      <w:r>
        <w:t>FBT gr</w:t>
      </w:r>
      <w:r w:rsidRPr="004445F6">
        <w:t>oss-up</w:t>
      </w:r>
      <w:r>
        <w:t xml:space="preserve"> rate</w:t>
      </w:r>
    </w:p>
    <w:p w14:paraId="4F461187" w14:textId="77777777" w:rsidR="00DF636C" w:rsidRPr="00E4159F" w:rsidRDefault="00DF636C" w:rsidP="00B21DE8">
      <w:pPr>
        <w:rPr>
          <w:b/>
          <w:lang w:val="en-GB" w:eastAsia="ja-JP"/>
        </w:rPr>
      </w:pPr>
      <w:r w:rsidRPr="00E4159F">
        <w:rPr>
          <w:lang w:val="en-GB" w:eastAsia="ja-JP"/>
        </w:rPr>
        <w:t xml:space="preserve">The following example examines the cost to an employer which is a company providing </w:t>
      </w:r>
      <w:r>
        <w:rPr>
          <w:lang w:val="en-GB" w:eastAsia="ja-JP"/>
        </w:rPr>
        <w:t>T</w:t>
      </w:r>
      <w:r w:rsidRPr="00E4159F">
        <w:rPr>
          <w:lang w:val="en-GB" w:eastAsia="ja-JP"/>
        </w:rPr>
        <w:t xml:space="preserve">ype 1 or </w:t>
      </w:r>
      <w:r>
        <w:rPr>
          <w:lang w:val="en-GB" w:eastAsia="ja-JP"/>
        </w:rPr>
        <w:t>T</w:t>
      </w:r>
      <w:r w:rsidRPr="00E4159F">
        <w:rPr>
          <w:lang w:val="en-GB" w:eastAsia="ja-JP"/>
        </w:rPr>
        <w:t>ype 2 fringe benefits as opposed to paying a salary assuming it pays tax at the 25</w:t>
      </w:r>
      <w:r>
        <w:rPr>
          <w:lang w:val="en-GB" w:eastAsia="ja-JP"/>
        </w:rPr>
        <w:t>%</w:t>
      </w:r>
      <w:r w:rsidRPr="00E4159F">
        <w:rPr>
          <w:lang w:val="en-GB" w:eastAsia="ja-JP"/>
        </w:rPr>
        <w:t xml:space="preserve"> corporate tax rate.</w:t>
      </w:r>
    </w:p>
    <w:p w14:paraId="4E1B4793" w14:textId="6FBC318C" w:rsidR="00DF636C" w:rsidRPr="00E4159F" w:rsidRDefault="00DF636C" w:rsidP="00B21DE8">
      <w:pPr>
        <w:rPr>
          <w:rFonts w:cs="Arial"/>
          <w:b/>
          <w:lang w:val="en-GB" w:eastAsia="ja-JP"/>
        </w:rPr>
      </w:pPr>
      <w:r w:rsidRPr="00E4159F">
        <w:rPr>
          <w:rFonts w:cs="Arial"/>
          <w:b/>
          <w:lang w:val="en-GB" w:eastAsia="ja-JP"/>
        </w:rPr>
        <w:t xml:space="preserve">A fringe benefit provided by a company for the FBT year ended 31 March </w:t>
      </w:r>
      <w:r w:rsidR="00685C2A">
        <w:rPr>
          <w:rFonts w:cs="Arial"/>
          <w:b/>
          <w:lang w:val="en-GB" w:eastAsia="ja-JP"/>
        </w:rPr>
        <w:t>2024</w:t>
      </w:r>
      <w:r w:rsidRPr="00E4159F">
        <w:rPr>
          <w:rFonts w:cs="Arial"/>
          <w:b/>
          <w:lang w:val="en-GB" w:eastAsia="ja-JP"/>
        </w:rPr>
        <w:t xml:space="preserve"> – value $1,100 (incl</w:t>
      </w:r>
      <w:r>
        <w:rPr>
          <w:rFonts w:cs="Arial"/>
          <w:b/>
          <w:lang w:val="en-GB" w:eastAsia="ja-JP"/>
        </w:rPr>
        <w:t>uding</w:t>
      </w:r>
      <w:r w:rsidRPr="00E4159F">
        <w:rPr>
          <w:rFonts w:cs="Arial"/>
          <w:b/>
          <w:lang w:val="en-GB" w:eastAsia="ja-JP"/>
        </w:rPr>
        <w:t xml:space="preserve"> GST)</w:t>
      </w:r>
    </w:p>
    <w:tbl>
      <w:tblPr>
        <w:tblW w:w="4885" w:type="pct"/>
        <w:tblInd w:w="108"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shd w:val="clear" w:color="auto" w:fill="051C3C"/>
        <w:tblLook w:val="04A0" w:firstRow="1" w:lastRow="0" w:firstColumn="1" w:lastColumn="0" w:noHBand="0" w:noVBand="1"/>
      </w:tblPr>
      <w:tblGrid>
        <w:gridCol w:w="3245"/>
        <w:gridCol w:w="3247"/>
        <w:gridCol w:w="3247"/>
      </w:tblGrid>
      <w:tr w:rsidR="00DF636C" w:rsidRPr="000217FD" w14:paraId="7AED3DF4" w14:textId="77777777" w:rsidTr="00D1601A">
        <w:trPr>
          <w:tblHeader/>
        </w:trPr>
        <w:tc>
          <w:tcPr>
            <w:tcW w:w="1666" w:type="pct"/>
            <w:shd w:val="clear" w:color="auto" w:fill="051C3C"/>
          </w:tcPr>
          <w:p w14:paraId="777973F6" w14:textId="77777777" w:rsidR="00DF636C" w:rsidRPr="00E4159F" w:rsidRDefault="00DF636C" w:rsidP="00D1601A">
            <w:pPr>
              <w:pStyle w:val="Table"/>
              <w:spacing w:before="100" w:after="100"/>
              <w:rPr>
                <w:rFonts w:cs="Arial"/>
                <w:b/>
                <w:sz w:val="18"/>
                <w:szCs w:val="18"/>
              </w:rPr>
            </w:pPr>
          </w:p>
        </w:tc>
        <w:tc>
          <w:tcPr>
            <w:tcW w:w="1667" w:type="pct"/>
            <w:shd w:val="clear" w:color="auto" w:fill="051C3C"/>
          </w:tcPr>
          <w:p w14:paraId="0962A014" w14:textId="77777777" w:rsidR="00DF636C" w:rsidRPr="00E4159F" w:rsidRDefault="00DF636C" w:rsidP="00D1601A">
            <w:pPr>
              <w:pStyle w:val="Table"/>
              <w:spacing w:before="100" w:after="100"/>
              <w:jc w:val="center"/>
              <w:rPr>
                <w:rFonts w:cs="Arial"/>
                <w:b/>
                <w:sz w:val="18"/>
                <w:szCs w:val="18"/>
              </w:rPr>
            </w:pPr>
            <w:r w:rsidRPr="00E4159F">
              <w:rPr>
                <w:rFonts w:cs="Arial"/>
                <w:b/>
                <w:sz w:val="18"/>
                <w:szCs w:val="18"/>
              </w:rPr>
              <w:t xml:space="preserve">Type 1 aggregate fringe </w:t>
            </w:r>
            <w:r w:rsidRPr="00E4159F">
              <w:rPr>
                <w:rFonts w:cs="Arial"/>
                <w:b/>
                <w:sz w:val="18"/>
                <w:szCs w:val="18"/>
              </w:rPr>
              <w:br/>
              <w:t>benefit amount</w:t>
            </w:r>
          </w:p>
          <w:p w14:paraId="27A3CE8C" w14:textId="77777777" w:rsidR="00DF636C" w:rsidRPr="00E4159F" w:rsidRDefault="00DF636C" w:rsidP="00D1601A">
            <w:pPr>
              <w:pStyle w:val="Table"/>
              <w:spacing w:before="100" w:after="100"/>
              <w:jc w:val="center"/>
              <w:rPr>
                <w:rFonts w:cs="Arial"/>
                <w:sz w:val="18"/>
                <w:szCs w:val="18"/>
              </w:rPr>
            </w:pPr>
            <w:r w:rsidRPr="00E4159F">
              <w:rPr>
                <w:rFonts w:cs="Arial"/>
                <w:sz w:val="18"/>
                <w:szCs w:val="18"/>
              </w:rPr>
              <w:t>Gross-up rate: 2.0802</w:t>
            </w:r>
          </w:p>
        </w:tc>
        <w:tc>
          <w:tcPr>
            <w:tcW w:w="1667" w:type="pct"/>
            <w:shd w:val="clear" w:color="auto" w:fill="051C3C"/>
          </w:tcPr>
          <w:p w14:paraId="52379BF0" w14:textId="77777777" w:rsidR="00DF636C" w:rsidRPr="00E4159F" w:rsidRDefault="00DF636C" w:rsidP="00D1601A">
            <w:pPr>
              <w:pStyle w:val="Table"/>
              <w:spacing w:before="100" w:after="100"/>
              <w:jc w:val="center"/>
              <w:rPr>
                <w:rFonts w:cs="Arial"/>
                <w:b/>
                <w:sz w:val="18"/>
                <w:szCs w:val="18"/>
              </w:rPr>
            </w:pPr>
            <w:r w:rsidRPr="00E4159F">
              <w:rPr>
                <w:rFonts w:cs="Arial"/>
                <w:b/>
                <w:sz w:val="18"/>
                <w:szCs w:val="18"/>
              </w:rPr>
              <w:t xml:space="preserve">Type 2 aggregate fringe </w:t>
            </w:r>
            <w:r w:rsidRPr="00E4159F">
              <w:rPr>
                <w:rFonts w:cs="Arial"/>
                <w:b/>
                <w:sz w:val="18"/>
                <w:szCs w:val="18"/>
              </w:rPr>
              <w:br/>
              <w:t>benefit amount</w:t>
            </w:r>
          </w:p>
          <w:p w14:paraId="3A66202D" w14:textId="77777777" w:rsidR="00DF636C" w:rsidRPr="00E4159F" w:rsidRDefault="00DF636C" w:rsidP="00D1601A">
            <w:pPr>
              <w:pStyle w:val="Table"/>
              <w:spacing w:before="100" w:after="100"/>
              <w:jc w:val="center"/>
              <w:rPr>
                <w:rFonts w:cs="Arial"/>
                <w:sz w:val="18"/>
                <w:szCs w:val="18"/>
              </w:rPr>
            </w:pPr>
            <w:r w:rsidRPr="00E4159F">
              <w:rPr>
                <w:rFonts w:cs="Arial"/>
                <w:sz w:val="18"/>
                <w:szCs w:val="18"/>
              </w:rPr>
              <w:t>Gross-up rate: 1.8868</w:t>
            </w:r>
          </w:p>
        </w:tc>
      </w:tr>
    </w:tbl>
    <w:p w14:paraId="3E56A314" w14:textId="3D502E8B" w:rsidR="00DF636C" w:rsidRDefault="00DF636C" w:rsidP="00DF636C"/>
    <w:tbl>
      <w:tblPr>
        <w:tblW w:w="4885" w:type="pct"/>
        <w:tblInd w:w="108"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shd w:val="clear" w:color="auto" w:fill="CBCED9"/>
        <w:tblLook w:val="04A0" w:firstRow="1" w:lastRow="0" w:firstColumn="1" w:lastColumn="0" w:noHBand="0" w:noVBand="1"/>
      </w:tblPr>
      <w:tblGrid>
        <w:gridCol w:w="3245"/>
        <w:gridCol w:w="3247"/>
        <w:gridCol w:w="3247"/>
      </w:tblGrid>
      <w:tr w:rsidR="00DF636C" w:rsidRPr="000217FD" w14:paraId="510D6273" w14:textId="77777777" w:rsidTr="00D1601A">
        <w:tc>
          <w:tcPr>
            <w:tcW w:w="1666" w:type="pct"/>
            <w:shd w:val="clear" w:color="auto" w:fill="CBCED9"/>
          </w:tcPr>
          <w:p w14:paraId="4557486F" w14:textId="77777777" w:rsidR="00DF636C" w:rsidRPr="00E4159F" w:rsidRDefault="00DF636C" w:rsidP="00D1601A">
            <w:pPr>
              <w:pStyle w:val="Table"/>
              <w:spacing w:before="100" w:after="100"/>
              <w:rPr>
                <w:rFonts w:cs="Arial"/>
                <w:sz w:val="17"/>
                <w:szCs w:val="17"/>
              </w:rPr>
            </w:pPr>
          </w:p>
        </w:tc>
        <w:tc>
          <w:tcPr>
            <w:tcW w:w="1667" w:type="pct"/>
            <w:shd w:val="clear" w:color="auto" w:fill="CBCED9"/>
          </w:tcPr>
          <w:p w14:paraId="4082934E" w14:textId="77777777" w:rsidR="00DF636C" w:rsidRPr="00E4159F" w:rsidRDefault="00DF636C" w:rsidP="00D1601A">
            <w:pPr>
              <w:pStyle w:val="Table"/>
              <w:spacing w:before="100" w:after="100"/>
              <w:jc w:val="center"/>
              <w:rPr>
                <w:rFonts w:cs="Arial"/>
                <w:sz w:val="17"/>
                <w:szCs w:val="17"/>
              </w:rPr>
            </w:pPr>
            <w:r w:rsidRPr="00E4159F">
              <w:rPr>
                <w:rFonts w:cs="Arial"/>
                <w:sz w:val="17"/>
                <w:szCs w:val="17"/>
              </w:rPr>
              <w:t xml:space="preserve">Employer is entitled to an input </w:t>
            </w:r>
            <w:r w:rsidRPr="00E4159F">
              <w:rPr>
                <w:rFonts w:cs="Arial"/>
                <w:sz w:val="17"/>
                <w:szCs w:val="17"/>
              </w:rPr>
              <w:br/>
              <w:t>tax credit</w:t>
            </w:r>
          </w:p>
        </w:tc>
        <w:tc>
          <w:tcPr>
            <w:tcW w:w="1667" w:type="pct"/>
            <w:shd w:val="clear" w:color="auto" w:fill="CBCED9"/>
          </w:tcPr>
          <w:p w14:paraId="6C59EE07" w14:textId="77777777" w:rsidR="00DF636C" w:rsidRPr="00E4159F" w:rsidRDefault="00DF636C" w:rsidP="00D1601A">
            <w:pPr>
              <w:pStyle w:val="Table"/>
              <w:spacing w:before="100" w:after="100"/>
              <w:jc w:val="center"/>
              <w:rPr>
                <w:rFonts w:cs="Arial"/>
                <w:sz w:val="17"/>
                <w:szCs w:val="17"/>
              </w:rPr>
            </w:pPr>
            <w:r w:rsidRPr="00E4159F">
              <w:rPr>
                <w:rFonts w:cs="Arial"/>
                <w:sz w:val="17"/>
                <w:szCs w:val="17"/>
              </w:rPr>
              <w:t xml:space="preserve">Employer is not entitled to an input </w:t>
            </w:r>
            <w:r w:rsidRPr="00E4159F">
              <w:rPr>
                <w:rFonts w:cs="Arial"/>
                <w:sz w:val="17"/>
                <w:szCs w:val="17"/>
              </w:rPr>
              <w:br/>
              <w:t>tax credit</w:t>
            </w:r>
          </w:p>
        </w:tc>
      </w:tr>
    </w:tbl>
    <w:p w14:paraId="48166815" w14:textId="6DD8688C" w:rsidR="00DF636C" w:rsidRDefault="00DF636C" w:rsidP="00DF636C"/>
    <w:tbl>
      <w:tblPr>
        <w:tblW w:w="5000" w:type="pct"/>
        <w:tblCellMar>
          <w:left w:w="0" w:type="dxa"/>
          <w:right w:w="0" w:type="dxa"/>
        </w:tblCellMar>
        <w:tblLook w:val="04A0" w:firstRow="1" w:lastRow="0" w:firstColumn="1" w:lastColumn="0" w:noHBand="0" w:noVBand="1"/>
      </w:tblPr>
      <w:tblGrid>
        <w:gridCol w:w="3318"/>
        <w:gridCol w:w="1664"/>
        <w:gridCol w:w="1666"/>
        <w:gridCol w:w="1668"/>
        <w:gridCol w:w="1662"/>
      </w:tblGrid>
      <w:tr w:rsidR="00DF636C" w:rsidRPr="000217FD" w14:paraId="077857F8" w14:textId="77777777" w:rsidTr="00DF636C">
        <w:tc>
          <w:tcPr>
            <w:tcW w:w="1662" w:type="pct"/>
            <w:vAlign w:val="bottom"/>
          </w:tcPr>
          <w:p w14:paraId="44CF8815" w14:textId="77777777" w:rsidR="00DF636C" w:rsidRPr="000217FD" w:rsidRDefault="00DF636C" w:rsidP="00D1601A">
            <w:pPr>
              <w:pStyle w:val="Table"/>
              <w:rPr>
                <w:rFonts w:cs="Arial"/>
                <w:b/>
              </w:rPr>
            </w:pPr>
            <w:r w:rsidRPr="000217FD">
              <w:rPr>
                <w:rFonts w:cs="Arial"/>
                <w:b/>
              </w:rPr>
              <w:t>(1) Cost to employer</w:t>
            </w:r>
          </w:p>
        </w:tc>
        <w:tc>
          <w:tcPr>
            <w:tcW w:w="834" w:type="pct"/>
            <w:vAlign w:val="bottom"/>
          </w:tcPr>
          <w:p w14:paraId="68A45748" w14:textId="77777777" w:rsidR="00DF636C" w:rsidRPr="000217FD" w:rsidRDefault="00DF636C" w:rsidP="00D1601A">
            <w:pPr>
              <w:pStyle w:val="Table"/>
              <w:rPr>
                <w:rFonts w:cs="Arial"/>
              </w:rPr>
            </w:pPr>
          </w:p>
        </w:tc>
        <w:tc>
          <w:tcPr>
            <w:tcW w:w="835" w:type="pct"/>
            <w:vAlign w:val="bottom"/>
          </w:tcPr>
          <w:p w14:paraId="03B55434" w14:textId="77777777" w:rsidR="00DF636C" w:rsidRPr="000217FD" w:rsidRDefault="00DF636C" w:rsidP="00D1601A">
            <w:pPr>
              <w:pStyle w:val="Table"/>
              <w:rPr>
                <w:rFonts w:cs="Arial"/>
              </w:rPr>
            </w:pPr>
          </w:p>
        </w:tc>
        <w:tc>
          <w:tcPr>
            <w:tcW w:w="836" w:type="pct"/>
            <w:vAlign w:val="bottom"/>
          </w:tcPr>
          <w:p w14:paraId="5E6C09B5" w14:textId="77777777" w:rsidR="00DF636C" w:rsidRPr="000217FD" w:rsidRDefault="00DF636C" w:rsidP="00D1601A">
            <w:pPr>
              <w:pStyle w:val="Table"/>
              <w:rPr>
                <w:rFonts w:cs="Arial"/>
              </w:rPr>
            </w:pPr>
          </w:p>
        </w:tc>
        <w:tc>
          <w:tcPr>
            <w:tcW w:w="834" w:type="pct"/>
            <w:vAlign w:val="bottom"/>
          </w:tcPr>
          <w:p w14:paraId="71BD5525" w14:textId="77777777" w:rsidR="00DF636C" w:rsidRPr="000217FD" w:rsidRDefault="00DF636C" w:rsidP="00D1601A">
            <w:pPr>
              <w:pStyle w:val="Table"/>
              <w:rPr>
                <w:rFonts w:cs="Arial"/>
              </w:rPr>
            </w:pPr>
          </w:p>
        </w:tc>
      </w:tr>
      <w:tr w:rsidR="00DF636C" w:rsidRPr="000217FD" w14:paraId="6A5F82D6" w14:textId="77777777" w:rsidTr="00DF636C">
        <w:tc>
          <w:tcPr>
            <w:tcW w:w="1662" w:type="pct"/>
            <w:vAlign w:val="bottom"/>
          </w:tcPr>
          <w:p w14:paraId="2ED36B62" w14:textId="77777777" w:rsidR="00DF636C" w:rsidRPr="000217FD" w:rsidRDefault="00DF636C" w:rsidP="00D1601A">
            <w:pPr>
              <w:pStyle w:val="Table"/>
              <w:rPr>
                <w:rFonts w:cs="Arial"/>
              </w:rPr>
            </w:pPr>
          </w:p>
        </w:tc>
        <w:tc>
          <w:tcPr>
            <w:tcW w:w="2505" w:type="pct"/>
            <w:gridSpan w:val="3"/>
            <w:vAlign w:val="bottom"/>
          </w:tcPr>
          <w:p w14:paraId="7FCB6178" w14:textId="77777777" w:rsidR="00DF636C" w:rsidRPr="000217FD" w:rsidRDefault="00DF636C" w:rsidP="00D1601A">
            <w:pPr>
              <w:pStyle w:val="Table"/>
              <w:jc w:val="center"/>
              <w:rPr>
                <w:rFonts w:cs="Arial"/>
                <w:b/>
              </w:rPr>
            </w:pPr>
            <w:r w:rsidRPr="000217FD">
              <w:rPr>
                <w:rFonts w:cs="Arial"/>
                <w:b/>
              </w:rPr>
              <w:t>Taxes paid to ATO</w:t>
            </w:r>
          </w:p>
        </w:tc>
        <w:tc>
          <w:tcPr>
            <w:tcW w:w="834" w:type="pct"/>
            <w:vAlign w:val="bottom"/>
          </w:tcPr>
          <w:p w14:paraId="386734C0" w14:textId="77777777" w:rsidR="00DF636C" w:rsidRPr="000217FD" w:rsidRDefault="00DF636C" w:rsidP="00D1601A">
            <w:pPr>
              <w:pStyle w:val="Table"/>
              <w:jc w:val="center"/>
              <w:rPr>
                <w:rFonts w:cs="Arial"/>
                <w:b/>
              </w:rPr>
            </w:pPr>
            <w:r w:rsidRPr="000217FD">
              <w:rPr>
                <w:rFonts w:cs="Arial"/>
                <w:b/>
              </w:rPr>
              <w:t>Taxes paid to ATO</w:t>
            </w:r>
          </w:p>
        </w:tc>
      </w:tr>
      <w:tr w:rsidR="00DF636C" w:rsidRPr="000217FD" w14:paraId="10072065" w14:textId="77777777" w:rsidTr="00DF636C">
        <w:tc>
          <w:tcPr>
            <w:tcW w:w="1662" w:type="pct"/>
            <w:vAlign w:val="bottom"/>
          </w:tcPr>
          <w:p w14:paraId="6D2B4AD1" w14:textId="77777777" w:rsidR="00DF636C" w:rsidRPr="000217FD" w:rsidRDefault="00DF636C" w:rsidP="00D1601A">
            <w:pPr>
              <w:pStyle w:val="Table"/>
              <w:rPr>
                <w:rFonts w:cs="Arial"/>
                <w:b/>
              </w:rPr>
            </w:pPr>
            <w:r w:rsidRPr="000217FD">
              <w:rPr>
                <w:rFonts w:cs="Arial"/>
                <w:b/>
              </w:rPr>
              <w:t>(a) Benefit</w:t>
            </w:r>
          </w:p>
        </w:tc>
        <w:tc>
          <w:tcPr>
            <w:tcW w:w="834" w:type="pct"/>
            <w:vAlign w:val="bottom"/>
          </w:tcPr>
          <w:p w14:paraId="30E23687" w14:textId="77777777" w:rsidR="00DF636C" w:rsidRPr="000217FD" w:rsidRDefault="00DF636C" w:rsidP="00D1601A">
            <w:pPr>
              <w:pStyle w:val="Table"/>
              <w:jc w:val="center"/>
              <w:rPr>
                <w:rFonts w:cs="Arial"/>
                <w:b/>
              </w:rPr>
            </w:pPr>
            <w:r w:rsidRPr="000217FD">
              <w:rPr>
                <w:rFonts w:cs="Arial"/>
                <w:b/>
              </w:rPr>
              <w:t>$</w:t>
            </w:r>
          </w:p>
        </w:tc>
        <w:tc>
          <w:tcPr>
            <w:tcW w:w="835" w:type="pct"/>
            <w:vAlign w:val="bottom"/>
          </w:tcPr>
          <w:p w14:paraId="7152A398" w14:textId="77777777" w:rsidR="00DF636C" w:rsidRPr="000217FD" w:rsidRDefault="00DF636C" w:rsidP="00D1601A">
            <w:pPr>
              <w:pStyle w:val="Table"/>
              <w:jc w:val="center"/>
              <w:rPr>
                <w:rFonts w:cs="Arial"/>
                <w:b/>
              </w:rPr>
            </w:pPr>
            <w:r w:rsidRPr="000217FD">
              <w:rPr>
                <w:rFonts w:cs="Arial"/>
                <w:b/>
              </w:rPr>
              <w:t>$</w:t>
            </w:r>
          </w:p>
        </w:tc>
        <w:tc>
          <w:tcPr>
            <w:tcW w:w="836" w:type="pct"/>
            <w:vAlign w:val="bottom"/>
          </w:tcPr>
          <w:p w14:paraId="0A5AF429" w14:textId="77777777" w:rsidR="00DF636C" w:rsidRPr="000217FD" w:rsidRDefault="00DF636C" w:rsidP="00D1601A">
            <w:pPr>
              <w:pStyle w:val="Table"/>
              <w:jc w:val="center"/>
              <w:rPr>
                <w:rFonts w:cs="Arial"/>
                <w:b/>
              </w:rPr>
            </w:pPr>
            <w:r w:rsidRPr="000217FD">
              <w:rPr>
                <w:rFonts w:cs="Arial"/>
                <w:b/>
              </w:rPr>
              <w:t>$</w:t>
            </w:r>
          </w:p>
        </w:tc>
        <w:tc>
          <w:tcPr>
            <w:tcW w:w="834" w:type="pct"/>
            <w:vAlign w:val="bottom"/>
          </w:tcPr>
          <w:p w14:paraId="5E5578C6" w14:textId="77777777" w:rsidR="00DF636C" w:rsidRPr="000217FD" w:rsidRDefault="00DF636C" w:rsidP="00D1601A">
            <w:pPr>
              <w:pStyle w:val="Table"/>
              <w:jc w:val="center"/>
              <w:rPr>
                <w:rFonts w:cs="Arial"/>
                <w:b/>
              </w:rPr>
            </w:pPr>
            <w:r w:rsidRPr="000217FD">
              <w:rPr>
                <w:rFonts w:cs="Arial"/>
                <w:b/>
              </w:rPr>
              <w:t>$</w:t>
            </w:r>
          </w:p>
        </w:tc>
      </w:tr>
      <w:tr w:rsidR="00DF636C" w:rsidRPr="000217FD" w14:paraId="4BEA05A1" w14:textId="77777777" w:rsidTr="00DF636C">
        <w:tc>
          <w:tcPr>
            <w:tcW w:w="1662" w:type="pct"/>
            <w:vAlign w:val="bottom"/>
          </w:tcPr>
          <w:p w14:paraId="7C727BB5" w14:textId="77777777" w:rsidR="00DF636C" w:rsidRPr="000217FD" w:rsidRDefault="00DF636C" w:rsidP="00D1601A">
            <w:pPr>
              <w:pStyle w:val="Table"/>
              <w:rPr>
                <w:rFonts w:cs="Arial"/>
              </w:rPr>
            </w:pPr>
            <w:r w:rsidRPr="000217FD">
              <w:rPr>
                <w:rFonts w:cs="Arial"/>
              </w:rPr>
              <w:t>Cost of benefit (GST incl</w:t>
            </w:r>
            <w:r>
              <w:rPr>
                <w:rFonts w:cs="Arial"/>
              </w:rPr>
              <w:t>usive</w:t>
            </w:r>
            <w:r w:rsidRPr="000217FD">
              <w:rPr>
                <w:rFonts w:cs="Arial"/>
              </w:rPr>
              <w:t>) (A)</w:t>
            </w:r>
          </w:p>
        </w:tc>
        <w:tc>
          <w:tcPr>
            <w:tcW w:w="834" w:type="pct"/>
            <w:vAlign w:val="bottom"/>
          </w:tcPr>
          <w:p w14:paraId="4F00D7B9" w14:textId="77777777" w:rsidR="00DF636C" w:rsidRPr="000217FD" w:rsidRDefault="00DF636C" w:rsidP="00D1601A">
            <w:pPr>
              <w:pStyle w:val="Table"/>
              <w:jc w:val="center"/>
              <w:rPr>
                <w:rFonts w:cs="Arial"/>
              </w:rPr>
            </w:pPr>
            <w:r w:rsidRPr="000217FD">
              <w:rPr>
                <w:rFonts w:cs="Arial"/>
              </w:rPr>
              <w:t>1,100</w:t>
            </w:r>
          </w:p>
        </w:tc>
        <w:tc>
          <w:tcPr>
            <w:tcW w:w="835" w:type="pct"/>
            <w:vAlign w:val="bottom"/>
          </w:tcPr>
          <w:p w14:paraId="6E60AF8B" w14:textId="77777777" w:rsidR="00DF636C" w:rsidRPr="000217FD" w:rsidRDefault="00DF636C" w:rsidP="00D1601A">
            <w:pPr>
              <w:pStyle w:val="Table"/>
              <w:jc w:val="center"/>
              <w:rPr>
                <w:rFonts w:cs="Arial"/>
              </w:rPr>
            </w:pPr>
          </w:p>
        </w:tc>
        <w:tc>
          <w:tcPr>
            <w:tcW w:w="836" w:type="pct"/>
            <w:vAlign w:val="bottom"/>
          </w:tcPr>
          <w:p w14:paraId="0E3B5173" w14:textId="77777777" w:rsidR="00DF636C" w:rsidRPr="000217FD" w:rsidRDefault="00DF636C" w:rsidP="00D1601A">
            <w:pPr>
              <w:pStyle w:val="Table"/>
              <w:jc w:val="center"/>
              <w:rPr>
                <w:rFonts w:cs="Arial"/>
              </w:rPr>
            </w:pPr>
            <w:r w:rsidRPr="000217FD">
              <w:rPr>
                <w:rFonts w:cs="Arial"/>
              </w:rPr>
              <w:t>1,100</w:t>
            </w:r>
          </w:p>
        </w:tc>
        <w:tc>
          <w:tcPr>
            <w:tcW w:w="834" w:type="pct"/>
            <w:vAlign w:val="bottom"/>
          </w:tcPr>
          <w:p w14:paraId="14B05643" w14:textId="77777777" w:rsidR="00DF636C" w:rsidRPr="000217FD" w:rsidRDefault="00DF636C" w:rsidP="00D1601A">
            <w:pPr>
              <w:pStyle w:val="Table"/>
              <w:jc w:val="center"/>
              <w:rPr>
                <w:rFonts w:cs="Arial"/>
              </w:rPr>
            </w:pPr>
          </w:p>
        </w:tc>
      </w:tr>
      <w:tr w:rsidR="00DF636C" w:rsidRPr="00E25744" w14:paraId="0D79C3E5" w14:textId="77777777" w:rsidTr="00DF636C">
        <w:tc>
          <w:tcPr>
            <w:tcW w:w="1662" w:type="pct"/>
            <w:vAlign w:val="bottom"/>
          </w:tcPr>
          <w:p w14:paraId="6BE6E1A7" w14:textId="77777777" w:rsidR="00DF636C" w:rsidRPr="000217FD" w:rsidRDefault="00DF636C" w:rsidP="00D1601A">
            <w:pPr>
              <w:pStyle w:val="Table"/>
              <w:rPr>
                <w:rFonts w:cs="Arial"/>
              </w:rPr>
            </w:pPr>
            <w:r w:rsidRPr="000217FD">
              <w:rPr>
                <w:rFonts w:cs="Arial"/>
              </w:rPr>
              <w:t>GST paid (B)</w:t>
            </w:r>
          </w:p>
        </w:tc>
        <w:tc>
          <w:tcPr>
            <w:tcW w:w="834" w:type="pct"/>
            <w:vAlign w:val="bottom"/>
          </w:tcPr>
          <w:p w14:paraId="136BC0A7" w14:textId="77777777" w:rsidR="00DF636C" w:rsidRPr="000217FD" w:rsidRDefault="00DF636C" w:rsidP="00D1601A">
            <w:pPr>
              <w:pStyle w:val="Table"/>
              <w:jc w:val="center"/>
              <w:rPr>
                <w:rFonts w:cs="Arial"/>
              </w:rPr>
            </w:pPr>
          </w:p>
        </w:tc>
        <w:tc>
          <w:tcPr>
            <w:tcW w:w="835" w:type="pct"/>
            <w:vAlign w:val="bottom"/>
          </w:tcPr>
          <w:p w14:paraId="27CA793F" w14:textId="77777777" w:rsidR="00DF636C" w:rsidRPr="000217FD" w:rsidRDefault="00DF636C" w:rsidP="00D1601A">
            <w:pPr>
              <w:pStyle w:val="Table"/>
              <w:jc w:val="center"/>
              <w:rPr>
                <w:rFonts w:cs="Arial"/>
              </w:rPr>
            </w:pPr>
            <w:r w:rsidRPr="000217FD">
              <w:rPr>
                <w:rFonts w:cs="Arial"/>
              </w:rPr>
              <w:t>-</w:t>
            </w:r>
          </w:p>
        </w:tc>
        <w:tc>
          <w:tcPr>
            <w:tcW w:w="836" w:type="pct"/>
            <w:vAlign w:val="bottom"/>
          </w:tcPr>
          <w:p w14:paraId="1D9A30AB" w14:textId="77777777" w:rsidR="00DF636C" w:rsidRPr="000217FD" w:rsidRDefault="00DF636C" w:rsidP="00D1601A">
            <w:pPr>
              <w:pStyle w:val="Table"/>
              <w:jc w:val="center"/>
              <w:rPr>
                <w:rFonts w:cs="Arial"/>
              </w:rPr>
            </w:pPr>
          </w:p>
        </w:tc>
        <w:tc>
          <w:tcPr>
            <w:tcW w:w="834" w:type="pct"/>
            <w:vAlign w:val="bottom"/>
          </w:tcPr>
          <w:p w14:paraId="3F49CE3D" w14:textId="77777777" w:rsidR="00DF636C" w:rsidRPr="000217FD" w:rsidRDefault="00DF636C" w:rsidP="00D1601A">
            <w:pPr>
              <w:pStyle w:val="Table"/>
              <w:jc w:val="center"/>
              <w:rPr>
                <w:rFonts w:cs="Arial"/>
              </w:rPr>
            </w:pPr>
            <w:r w:rsidRPr="000217FD">
              <w:rPr>
                <w:rFonts w:cs="Arial"/>
              </w:rPr>
              <w:t>100</w:t>
            </w:r>
          </w:p>
        </w:tc>
      </w:tr>
      <w:tr w:rsidR="00DF636C" w:rsidRPr="000217FD" w14:paraId="2CD1C4EE" w14:textId="77777777" w:rsidTr="00DF636C">
        <w:tc>
          <w:tcPr>
            <w:tcW w:w="1662" w:type="pct"/>
            <w:vAlign w:val="bottom"/>
          </w:tcPr>
          <w:p w14:paraId="135CD17B" w14:textId="77777777" w:rsidR="00DF636C" w:rsidRPr="00C4474C" w:rsidRDefault="00DF636C" w:rsidP="00D1601A">
            <w:pPr>
              <w:pStyle w:val="Table"/>
              <w:rPr>
                <w:rFonts w:cs="Arial"/>
              </w:rPr>
            </w:pPr>
            <w:r w:rsidRPr="00AB131B">
              <w:rPr>
                <w:rFonts w:cs="Arial"/>
              </w:rPr>
              <w:t xml:space="preserve">Less Input tax credit </w:t>
            </w:r>
            <w:r w:rsidRPr="00C4474C">
              <w:rPr>
                <w:rFonts w:cs="Arial"/>
              </w:rPr>
              <w:t>(C)</w:t>
            </w:r>
          </w:p>
        </w:tc>
        <w:tc>
          <w:tcPr>
            <w:tcW w:w="834" w:type="pct"/>
            <w:vAlign w:val="bottom"/>
          </w:tcPr>
          <w:p w14:paraId="6ADD1261" w14:textId="77777777" w:rsidR="00DF636C" w:rsidRPr="006A79B6" w:rsidRDefault="00DF636C" w:rsidP="00D1601A">
            <w:pPr>
              <w:pStyle w:val="Table"/>
              <w:jc w:val="center"/>
              <w:rPr>
                <w:rFonts w:cs="Arial"/>
              </w:rPr>
            </w:pPr>
            <w:r w:rsidRPr="006A79B6">
              <w:rPr>
                <w:rFonts w:cs="Arial"/>
              </w:rPr>
              <w:t>100</w:t>
            </w:r>
          </w:p>
        </w:tc>
        <w:tc>
          <w:tcPr>
            <w:tcW w:w="835" w:type="pct"/>
            <w:vAlign w:val="bottom"/>
          </w:tcPr>
          <w:p w14:paraId="3E170401" w14:textId="77777777" w:rsidR="00DF636C" w:rsidRPr="001B1B47" w:rsidRDefault="00DF636C" w:rsidP="00D1601A">
            <w:pPr>
              <w:pStyle w:val="Table"/>
              <w:jc w:val="center"/>
              <w:rPr>
                <w:rFonts w:cs="Arial"/>
              </w:rPr>
            </w:pPr>
          </w:p>
        </w:tc>
        <w:tc>
          <w:tcPr>
            <w:tcW w:w="836" w:type="pct"/>
            <w:vAlign w:val="bottom"/>
          </w:tcPr>
          <w:p w14:paraId="14018271" w14:textId="77777777" w:rsidR="00DF636C" w:rsidRPr="001B1B47" w:rsidRDefault="00DF636C" w:rsidP="00D1601A">
            <w:pPr>
              <w:pStyle w:val="Table"/>
              <w:jc w:val="center"/>
              <w:rPr>
                <w:rFonts w:cs="Arial"/>
              </w:rPr>
            </w:pPr>
            <w:r w:rsidRPr="001B1B47">
              <w:rPr>
                <w:rFonts w:cs="Arial"/>
              </w:rPr>
              <w:t>-</w:t>
            </w:r>
          </w:p>
        </w:tc>
        <w:tc>
          <w:tcPr>
            <w:tcW w:w="834" w:type="pct"/>
            <w:vAlign w:val="bottom"/>
          </w:tcPr>
          <w:p w14:paraId="18F5E7FE" w14:textId="77777777" w:rsidR="00DF636C" w:rsidRPr="001B1B47" w:rsidRDefault="00DF636C" w:rsidP="00D1601A">
            <w:pPr>
              <w:pStyle w:val="Table"/>
              <w:jc w:val="center"/>
              <w:rPr>
                <w:rFonts w:cs="Arial"/>
              </w:rPr>
            </w:pPr>
          </w:p>
        </w:tc>
      </w:tr>
      <w:tr w:rsidR="00DF636C" w:rsidRPr="00E25744" w14:paraId="040746DE" w14:textId="77777777" w:rsidTr="00DF636C">
        <w:tc>
          <w:tcPr>
            <w:tcW w:w="1662" w:type="pct"/>
            <w:vAlign w:val="bottom"/>
          </w:tcPr>
          <w:p w14:paraId="067CA725" w14:textId="77777777" w:rsidR="00DF636C" w:rsidRPr="00E25744" w:rsidRDefault="00DF636C" w:rsidP="00D1601A">
            <w:pPr>
              <w:pStyle w:val="Table"/>
              <w:rPr>
                <w:rFonts w:cs="Arial"/>
              </w:rPr>
            </w:pPr>
            <w:r w:rsidRPr="00E25744">
              <w:rPr>
                <w:rFonts w:cs="Arial"/>
                <w:szCs w:val="16"/>
                <w:lang w:val="en-GB" w:eastAsia="ja-JP"/>
              </w:rPr>
              <w:t>Net cost of benefit (D)</w:t>
            </w:r>
          </w:p>
        </w:tc>
        <w:tc>
          <w:tcPr>
            <w:tcW w:w="834" w:type="pct"/>
            <w:vAlign w:val="bottom"/>
          </w:tcPr>
          <w:p w14:paraId="7724F142" w14:textId="77777777" w:rsidR="00DF636C" w:rsidRPr="00E25744" w:rsidRDefault="00DF636C" w:rsidP="00D1601A">
            <w:pPr>
              <w:pStyle w:val="Table"/>
              <w:jc w:val="center"/>
              <w:rPr>
                <w:rFonts w:cs="Arial"/>
              </w:rPr>
            </w:pPr>
            <w:r w:rsidRPr="00E25744">
              <w:rPr>
                <w:rFonts w:cs="Arial"/>
              </w:rPr>
              <w:t>1,000</w:t>
            </w:r>
          </w:p>
        </w:tc>
        <w:tc>
          <w:tcPr>
            <w:tcW w:w="835" w:type="pct"/>
            <w:vAlign w:val="bottom"/>
          </w:tcPr>
          <w:p w14:paraId="5F48615E" w14:textId="77777777" w:rsidR="00DF636C" w:rsidRPr="00E25744" w:rsidRDefault="00DF636C" w:rsidP="00D1601A">
            <w:pPr>
              <w:pStyle w:val="Table"/>
              <w:jc w:val="center"/>
              <w:rPr>
                <w:rFonts w:cs="Arial"/>
              </w:rPr>
            </w:pPr>
          </w:p>
        </w:tc>
        <w:tc>
          <w:tcPr>
            <w:tcW w:w="836" w:type="pct"/>
            <w:vAlign w:val="bottom"/>
          </w:tcPr>
          <w:p w14:paraId="76CC3EAB" w14:textId="77777777" w:rsidR="00DF636C" w:rsidRPr="00E25744" w:rsidRDefault="00DF636C" w:rsidP="00D1601A">
            <w:pPr>
              <w:pStyle w:val="Table"/>
              <w:jc w:val="center"/>
              <w:rPr>
                <w:rFonts w:cs="Arial"/>
              </w:rPr>
            </w:pPr>
            <w:r w:rsidRPr="00E25744">
              <w:rPr>
                <w:rFonts w:cs="Arial"/>
              </w:rPr>
              <w:t>1,100</w:t>
            </w:r>
          </w:p>
        </w:tc>
        <w:tc>
          <w:tcPr>
            <w:tcW w:w="834" w:type="pct"/>
            <w:vAlign w:val="bottom"/>
          </w:tcPr>
          <w:p w14:paraId="148D1910" w14:textId="77777777" w:rsidR="00DF636C" w:rsidRPr="00E25744" w:rsidRDefault="00DF636C" w:rsidP="00D1601A">
            <w:pPr>
              <w:pStyle w:val="Table"/>
              <w:jc w:val="center"/>
              <w:rPr>
                <w:rFonts w:cs="Arial"/>
              </w:rPr>
            </w:pPr>
          </w:p>
        </w:tc>
      </w:tr>
      <w:tr w:rsidR="00DF636C" w:rsidRPr="00E25744" w14:paraId="1D2AE023" w14:textId="77777777" w:rsidTr="00DF636C">
        <w:tc>
          <w:tcPr>
            <w:tcW w:w="1662" w:type="pct"/>
            <w:vAlign w:val="bottom"/>
          </w:tcPr>
          <w:p w14:paraId="26367423" w14:textId="77777777" w:rsidR="00DF636C" w:rsidRPr="00E25744" w:rsidRDefault="00DF636C" w:rsidP="00D1601A">
            <w:pPr>
              <w:pStyle w:val="Table"/>
              <w:rPr>
                <w:rFonts w:cs="Arial"/>
              </w:rPr>
            </w:pPr>
            <w:r w:rsidRPr="00E25744">
              <w:rPr>
                <w:rFonts w:cs="Arial"/>
                <w:szCs w:val="16"/>
                <w:lang w:val="en-GB" w:eastAsia="ja-JP"/>
              </w:rPr>
              <w:t>Gross-up for FBT (F=A x gross-up rate)</w:t>
            </w:r>
          </w:p>
        </w:tc>
        <w:tc>
          <w:tcPr>
            <w:tcW w:w="834" w:type="pct"/>
            <w:vAlign w:val="bottom"/>
          </w:tcPr>
          <w:p w14:paraId="1212331E" w14:textId="77777777" w:rsidR="00DF636C" w:rsidRPr="00E25744" w:rsidRDefault="00DF636C" w:rsidP="00D1601A">
            <w:pPr>
              <w:pStyle w:val="Table"/>
              <w:jc w:val="center"/>
              <w:rPr>
                <w:rFonts w:cs="Arial"/>
              </w:rPr>
            </w:pPr>
            <w:r w:rsidRPr="00E25744">
              <w:rPr>
                <w:rFonts w:cs="Arial"/>
              </w:rPr>
              <w:t>2,</w:t>
            </w:r>
            <w:r>
              <w:rPr>
                <w:rFonts w:cs="Arial"/>
              </w:rPr>
              <w:t>288</w:t>
            </w:r>
          </w:p>
        </w:tc>
        <w:tc>
          <w:tcPr>
            <w:tcW w:w="835" w:type="pct"/>
            <w:vAlign w:val="bottom"/>
          </w:tcPr>
          <w:p w14:paraId="5F3FB58D" w14:textId="77777777" w:rsidR="00DF636C" w:rsidRPr="00E25744" w:rsidRDefault="00DF636C" w:rsidP="00D1601A">
            <w:pPr>
              <w:pStyle w:val="Table"/>
              <w:jc w:val="center"/>
              <w:rPr>
                <w:rFonts w:cs="Arial"/>
              </w:rPr>
            </w:pPr>
          </w:p>
        </w:tc>
        <w:tc>
          <w:tcPr>
            <w:tcW w:w="836" w:type="pct"/>
            <w:vAlign w:val="bottom"/>
          </w:tcPr>
          <w:p w14:paraId="2A24D025" w14:textId="77777777" w:rsidR="00DF636C" w:rsidRPr="00E25744" w:rsidRDefault="00DF636C" w:rsidP="00D1601A">
            <w:pPr>
              <w:pStyle w:val="Table"/>
              <w:jc w:val="center"/>
              <w:rPr>
                <w:rFonts w:cs="Arial"/>
              </w:rPr>
            </w:pPr>
            <w:r w:rsidRPr="00E25744">
              <w:rPr>
                <w:rFonts w:cs="Arial"/>
              </w:rPr>
              <w:t>2,</w:t>
            </w:r>
            <w:r>
              <w:rPr>
                <w:rFonts w:cs="Arial"/>
              </w:rPr>
              <w:t>075</w:t>
            </w:r>
          </w:p>
        </w:tc>
        <w:tc>
          <w:tcPr>
            <w:tcW w:w="834" w:type="pct"/>
            <w:vAlign w:val="bottom"/>
          </w:tcPr>
          <w:p w14:paraId="6151E0D3" w14:textId="77777777" w:rsidR="00DF636C" w:rsidRPr="00E25744" w:rsidRDefault="00DF636C" w:rsidP="00D1601A">
            <w:pPr>
              <w:pStyle w:val="Table"/>
              <w:jc w:val="center"/>
              <w:rPr>
                <w:rFonts w:cs="Arial"/>
              </w:rPr>
            </w:pPr>
          </w:p>
        </w:tc>
      </w:tr>
      <w:tr w:rsidR="00DF636C" w:rsidRPr="00E25744" w14:paraId="40A31C4E" w14:textId="77777777" w:rsidTr="00DF636C">
        <w:tc>
          <w:tcPr>
            <w:tcW w:w="1662" w:type="pct"/>
            <w:vAlign w:val="bottom"/>
          </w:tcPr>
          <w:p w14:paraId="10E55E42" w14:textId="77777777" w:rsidR="00DF636C" w:rsidRPr="00E25744" w:rsidRDefault="00DF636C" w:rsidP="00D1601A">
            <w:pPr>
              <w:pStyle w:val="Table"/>
              <w:rPr>
                <w:rFonts w:cs="Arial"/>
              </w:rPr>
            </w:pPr>
            <w:r w:rsidRPr="00E25744">
              <w:rPr>
                <w:rFonts w:cs="Arial"/>
                <w:szCs w:val="16"/>
                <w:lang w:val="en-GB" w:eastAsia="ja-JP"/>
              </w:rPr>
              <w:t>FBT payable at 4</w:t>
            </w:r>
            <w:r>
              <w:rPr>
                <w:rFonts w:cs="Arial"/>
                <w:szCs w:val="16"/>
                <w:lang w:val="en-GB" w:eastAsia="ja-JP"/>
              </w:rPr>
              <w:t>7</w:t>
            </w:r>
            <w:r w:rsidRPr="00E25744">
              <w:rPr>
                <w:rFonts w:cs="Arial"/>
                <w:szCs w:val="16"/>
                <w:lang w:val="en-GB" w:eastAsia="ja-JP"/>
              </w:rPr>
              <w:t>% (G=F x 4</w:t>
            </w:r>
            <w:r>
              <w:rPr>
                <w:rFonts w:cs="Arial"/>
                <w:szCs w:val="16"/>
                <w:lang w:val="en-GB" w:eastAsia="ja-JP"/>
              </w:rPr>
              <w:t>7</w:t>
            </w:r>
            <w:r w:rsidRPr="00E25744">
              <w:rPr>
                <w:rFonts w:cs="Arial"/>
                <w:szCs w:val="16"/>
                <w:lang w:val="en-GB" w:eastAsia="ja-JP"/>
              </w:rPr>
              <w:t>%)</w:t>
            </w:r>
          </w:p>
        </w:tc>
        <w:tc>
          <w:tcPr>
            <w:tcW w:w="834" w:type="pct"/>
            <w:vAlign w:val="bottom"/>
          </w:tcPr>
          <w:p w14:paraId="4A5DBEA7" w14:textId="77777777" w:rsidR="00DF636C" w:rsidRPr="00E25744" w:rsidRDefault="00DF636C" w:rsidP="00D1601A">
            <w:pPr>
              <w:pStyle w:val="Table"/>
              <w:jc w:val="center"/>
              <w:rPr>
                <w:rFonts w:cs="Arial"/>
              </w:rPr>
            </w:pPr>
          </w:p>
        </w:tc>
        <w:tc>
          <w:tcPr>
            <w:tcW w:w="835" w:type="pct"/>
            <w:tcBorders>
              <w:bottom w:val="single" w:sz="4" w:space="0" w:color="939598"/>
            </w:tcBorders>
            <w:vAlign w:val="bottom"/>
          </w:tcPr>
          <w:p w14:paraId="0967DABF" w14:textId="77777777" w:rsidR="00DF636C" w:rsidRPr="00E25744" w:rsidRDefault="00DF636C" w:rsidP="00D1601A">
            <w:pPr>
              <w:pStyle w:val="Table"/>
              <w:jc w:val="center"/>
              <w:rPr>
                <w:rFonts w:cs="Arial"/>
              </w:rPr>
            </w:pPr>
            <w:r w:rsidRPr="00E25744">
              <w:rPr>
                <w:rFonts w:cs="Arial"/>
              </w:rPr>
              <w:t>1,</w:t>
            </w:r>
            <w:r>
              <w:rPr>
                <w:rFonts w:cs="Arial"/>
              </w:rPr>
              <w:t>075</w:t>
            </w:r>
          </w:p>
        </w:tc>
        <w:tc>
          <w:tcPr>
            <w:tcW w:w="836" w:type="pct"/>
            <w:vAlign w:val="bottom"/>
          </w:tcPr>
          <w:p w14:paraId="703F8F33" w14:textId="77777777" w:rsidR="00DF636C" w:rsidRPr="00E25744" w:rsidRDefault="00DF636C" w:rsidP="00D1601A">
            <w:pPr>
              <w:pStyle w:val="Table"/>
              <w:jc w:val="center"/>
              <w:rPr>
                <w:rFonts w:cs="Arial"/>
              </w:rPr>
            </w:pPr>
          </w:p>
        </w:tc>
        <w:tc>
          <w:tcPr>
            <w:tcW w:w="834" w:type="pct"/>
            <w:tcBorders>
              <w:bottom w:val="single" w:sz="4" w:space="0" w:color="939598"/>
            </w:tcBorders>
            <w:vAlign w:val="bottom"/>
          </w:tcPr>
          <w:p w14:paraId="5165921C" w14:textId="77777777" w:rsidR="00DF636C" w:rsidRPr="00E25744" w:rsidRDefault="00DF636C" w:rsidP="00D1601A">
            <w:pPr>
              <w:pStyle w:val="Table"/>
              <w:jc w:val="center"/>
              <w:rPr>
                <w:rFonts w:cs="Arial"/>
              </w:rPr>
            </w:pPr>
            <w:r>
              <w:rPr>
                <w:rFonts w:cs="Arial"/>
              </w:rPr>
              <w:t>975</w:t>
            </w:r>
          </w:p>
        </w:tc>
      </w:tr>
      <w:tr w:rsidR="00DF636C" w:rsidRPr="00E25744" w14:paraId="3400AB84" w14:textId="77777777" w:rsidTr="00DF636C">
        <w:tc>
          <w:tcPr>
            <w:tcW w:w="1662" w:type="pct"/>
            <w:vAlign w:val="bottom"/>
          </w:tcPr>
          <w:p w14:paraId="4C81B7E6" w14:textId="77777777" w:rsidR="00DF636C" w:rsidRPr="00E25744" w:rsidRDefault="00DF636C" w:rsidP="00D1601A">
            <w:pPr>
              <w:pStyle w:val="Table"/>
              <w:rPr>
                <w:rFonts w:cs="Arial"/>
                <w:szCs w:val="16"/>
                <w:lang w:val="en-GB" w:eastAsia="ja-JP"/>
              </w:rPr>
            </w:pPr>
            <w:r w:rsidRPr="00E25744">
              <w:rPr>
                <w:rFonts w:cs="Arial"/>
                <w:szCs w:val="16"/>
                <w:lang w:val="en-GB" w:eastAsia="ja-JP"/>
              </w:rPr>
              <w:t>Total tax paid/payable (H)</w:t>
            </w:r>
          </w:p>
        </w:tc>
        <w:tc>
          <w:tcPr>
            <w:tcW w:w="834" w:type="pct"/>
            <w:vAlign w:val="bottom"/>
          </w:tcPr>
          <w:p w14:paraId="2778CB0C" w14:textId="77777777" w:rsidR="00DF636C" w:rsidRPr="00E25744" w:rsidRDefault="00DF636C" w:rsidP="00D1601A">
            <w:pPr>
              <w:pStyle w:val="Table"/>
              <w:jc w:val="center"/>
              <w:rPr>
                <w:rFonts w:cs="Arial"/>
              </w:rPr>
            </w:pPr>
          </w:p>
        </w:tc>
        <w:tc>
          <w:tcPr>
            <w:tcW w:w="835" w:type="pct"/>
            <w:tcBorders>
              <w:top w:val="single" w:sz="4" w:space="0" w:color="939598"/>
            </w:tcBorders>
            <w:vAlign w:val="bottom"/>
          </w:tcPr>
          <w:p w14:paraId="601252B1" w14:textId="77777777" w:rsidR="00DF636C" w:rsidRPr="00E25744" w:rsidRDefault="00DF636C" w:rsidP="00D1601A">
            <w:pPr>
              <w:pStyle w:val="Table"/>
              <w:jc w:val="center"/>
              <w:rPr>
                <w:rFonts w:cs="Arial"/>
              </w:rPr>
            </w:pPr>
            <w:r w:rsidRPr="00E25744">
              <w:rPr>
                <w:rFonts w:cs="Arial"/>
              </w:rPr>
              <w:t>1,</w:t>
            </w:r>
            <w:r>
              <w:rPr>
                <w:rFonts w:cs="Arial"/>
              </w:rPr>
              <w:t>075</w:t>
            </w:r>
          </w:p>
        </w:tc>
        <w:tc>
          <w:tcPr>
            <w:tcW w:w="836" w:type="pct"/>
            <w:vAlign w:val="bottom"/>
          </w:tcPr>
          <w:p w14:paraId="39FB2725" w14:textId="77777777" w:rsidR="00DF636C" w:rsidRPr="00E25744" w:rsidRDefault="00DF636C" w:rsidP="00D1601A">
            <w:pPr>
              <w:pStyle w:val="Table"/>
              <w:jc w:val="center"/>
              <w:rPr>
                <w:rFonts w:cs="Arial"/>
              </w:rPr>
            </w:pPr>
          </w:p>
        </w:tc>
        <w:tc>
          <w:tcPr>
            <w:tcW w:w="834" w:type="pct"/>
            <w:tcBorders>
              <w:top w:val="single" w:sz="4" w:space="0" w:color="939598"/>
            </w:tcBorders>
            <w:vAlign w:val="bottom"/>
          </w:tcPr>
          <w:p w14:paraId="73197DEC" w14:textId="77777777" w:rsidR="00DF636C" w:rsidRPr="00E25744" w:rsidRDefault="00DF636C" w:rsidP="00D1601A">
            <w:pPr>
              <w:pStyle w:val="Table"/>
              <w:jc w:val="center"/>
              <w:rPr>
                <w:rFonts w:cs="Arial"/>
              </w:rPr>
            </w:pPr>
            <w:r w:rsidRPr="00E25744">
              <w:rPr>
                <w:rFonts w:cs="Arial"/>
              </w:rPr>
              <w:t>1,</w:t>
            </w:r>
            <w:r>
              <w:rPr>
                <w:rFonts w:cs="Arial"/>
              </w:rPr>
              <w:t>075</w:t>
            </w:r>
          </w:p>
        </w:tc>
      </w:tr>
      <w:tr w:rsidR="00DF636C" w:rsidRPr="00E25744" w14:paraId="4CF5000F" w14:textId="77777777" w:rsidTr="00DF636C">
        <w:tc>
          <w:tcPr>
            <w:tcW w:w="1662" w:type="pct"/>
            <w:vAlign w:val="bottom"/>
          </w:tcPr>
          <w:p w14:paraId="18C0A645" w14:textId="77777777" w:rsidR="00DF636C" w:rsidRPr="00E25744" w:rsidRDefault="00DF636C" w:rsidP="00D1601A">
            <w:pPr>
              <w:pStyle w:val="Table"/>
              <w:rPr>
                <w:rFonts w:cs="Arial"/>
              </w:rPr>
            </w:pPr>
            <w:r w:rsidRPr="00E25744">
              <w:rPr>
                <w:rFonts w:cs="Arial"/>
                <w:szCs w:val="16"/>
                <w:lang w:val="en-GB" w:eastAsia="ja-JP"/>
              </w:rPr>
              <w:t xml:space="preserve">Less Income tax deduction at </w:t>
            </w:r>
            <w:r>
              <w:rPr>
                <w:rFonts w:cs="Arial"/>
                <w:szCs w:val="16"/>
                <w:lang w:val="en-GB" w:eastAsia="ja-JP"/>
              </w:rPr>
              <w:t>25% (I=(D+G) x 25</w:t>
            </w:r>
            <w:r w:rsidRPr="00E25744">
              <w:rPr>
                <w:rFonts w:cs="Arial"/>
                <w:szCs w:val="16"/>
                <w:lang w:val="en-GB" w:eastAsia="ja-JP"/>
              </w:rPr>
              <w:t>%)</w:t>
            </w:r>
          </w:p>
        </w:tc>
        <w:tc>
          <w:tcPr>
            <w:tcW w:w="834" w:type="pct"/>
            <w:tcBorders>
              <w:bottom w:val="single" w:sz="4" w:space="0" w:color="939598"/>
            </w:tcBorders>
            <w:vAlign w:val="bottom"/>
          </w:tcPr>
          <w:p w14:paraId="31B76B33" w14:textId="77777777" w:rsidR="00DF636C" w:rsidRPr="00E25744" w:rsidRDefault="00DF636C" w:rsidP="00D1601A">
            <w:pPr>
              <w:pStyle w:val="Table"/>
              <w:jc w:val="center"/>
              <w:rPr>
                <w:rFonts w:cs="Arial"/>
              </w:rPr>
            </w:pPr>
            <w:r>
              <w:rPr>
                <w:rFonts w:cs="Arial"/>
              </w:rPr>
              <w:t>519</w:t>
            </w:r>
          </w:p>
        </w:tc>
        <w:tc>
          <w:tcPr>
            <w:tcW w:w="835" w:type="pct"/>
            <w:vAlign w:val="bottom"/>
          </w:tcPr>
          <w:p w14:paraId="64985DF7" w14:textId="77777777" w:rsidR="00DF636C" w:rsidRPr="00E25744" w:rsidRDefault="00DF636C" w:rsidP="00D1601A">
            <w:pPr>
              <w:pStyle w:val="Table"/>
              <w:jc w:val="center"/>
              <w:rPr>
                <w:rFonts w:cs="Arial"/>
              </w:rPr>
            </w:pPr>
          </w:p>
        </w:tc>
        <w:tc>
          <w:tcPr>
            <w:tcW w:w="836" w:type="pct"/>
            <w:tcBorders>
              <w:bottom w:val="single" w:sz="4" w:space="0" w:color="939598"/>
            </w:tcBorders>
            <w:vAlign w:val="bottom"/>
          </w:tcPr>
          <w:p w14:paraId="4459AFC9" w14:textId="77777777" w:rsidR="00DF636C" w:rsidRPr="00E25744" w:rsidRDefault="00DF636C" w:rsidP="00D1601A">
            <w:pPr>
              <w:pStyle w:val="Table"/>
              <w:jc w:val="center"/>
              <w:rPr>
                <w:rFonts w:cs="Arial"/>
              </w:rPr>
            </w:pPr>
            <w:r>
              <w:rPr>
                <w:rFonts w:cs="Arial"/>
              </w:rPr>
              <w:t>519</w:t>
            </w:r>
          </w:p>
        </w:tc>
        <w:tc>
          <w:tcPr>
            <w:tcW w:w="834" w:type="pct"/>
            <w:vAlign w:val="bottom"/>
          </w:tcPr>
          <w:p w14:paraId="3FB990CE" w14:textId="77777777" w:rsidR="00DF636C" w:rsidRPr="00E25744" w:rsidRDefault="00DF636C" w:rsidP="00D1601A">
            <w:pPr>
              <w:pStyle w:val="Table"/>
              <w:rPr>
                <w:rFonts w:cs="Arial"/>
              </w:rPr>
            </w:pPr>
          </w:p>
        </w:tc>
      </w:tr>
      <w:tr w:rsidR="00DF636C" w:rsidRPr="00E25744" w14:paraId="4F3B29AC" w14:textId="77777777" w:rsidTr="00DF636C">
        <w:tc>
          <w:tcPr>
            <w:tcW w:w="1662" w:type="pct"/>
            <w:tcBorders>
              <w:bottom w:val="single" w:sz="4" w:space="0" w:color="939598"/>
            </w:tcBorders>
            <w:vAlign w:val="bottom"/>
          </w:tcPr>
          <w:p w14:paraId="6E101564" w14:textId="77777777" w:rsidR="00DF636C" w:rsidRPr="00E25744" w:rsidRDefault="00DF636C" w:rsidP="00D1601A">
            <w:pPr>
              <w:pStyle w:val="Table"/>
              <w:rPr>
                <w:rFonts w:cs="Arial"/>
              </w:rPr>
            </w:pPr>
            <w:r w:rsidRPr="00E25744">
              <w:rPr>
                <w:rFonts w:cs="Arial"/>
                <w:szCs w:val="16"/>
                <w:lang w:val="en-GB" w:eastAsia="ja-JP"/>
              </w:rPr>
              <w:t>Cost to employer (J=D+G-I)</w:t>
            </w:r>
          </w:p>
        </w:tc>
        <w:tc>
          <w:tcPr>
            <w:tcW w:w="834" w:type="pct"/>
            <w:tcBorders>
              <w:top w:val="single" w:sz="4" w:space="0" w:color="939598"/>
              <w:bottom w:val="single" w:sz="4" w:space="0" w:color="939598"/>
            </w:tcBorders>
            <w:vAlign w:val="bottom"/>
          </w:tcPr>
          <w:p w14:paraId="7A118447" w14:textId="77777777" w:rsidR="00DF636C" w:rsidRPr="00E25744" w:rsidRDefault="00DF636C" w:rsidP="00D1601A">
            <w:pPr>
              <w:pStyle w:val="Table"/>
              <w:jc w:val="center"/>
              <w:rPr>
                <w:rFonts w:cs="Arial"/>
                <w:b/>
              </w:rPr>
            </w:pPr>
            <w:r w:rsidRPr="00E25744">
              <w:rPr>
                <w:rFonts w:cs="Arial"/>
                <w:b/>
              </w:rPr>
              <w:t>1,</w:t>
            </w:r>
            <w:r>
              <w:rPr>
                <w:rFonts w:cs="Arial"/>
                <w:b/>
              </w:rPr>
              <w:t>557</w:t>
            </w:r>
          </w:p>
        </w:tc>
        <w:tc>
          <w:tcPr>
            <w:tcW w:w="835" w:type="pct"/>
            <w:tcBorders>
              <w:bottom w:val="single" w:sz="4" w:space="0" w:color="939598"/>
            </w:tcBorders>
            <w:vAlign w:val="bottom"/>
          </w:tcPr>
          <w:p w14:paraId="0D0C87D0" w14:textId="77777777" w:rsidR="00DF636C" w:rsidRPr="00E25744" w:rsidRDefault="00DF636C" w:rsidP="00D1601A">
            <w:pPr>
              <w:pStyle w:val="Table"/>
              <w:jc w:val="center"/>
              <w:rPr>
                <w:rFonts w:cs="Arial"/>
              </w:rPr>
            </w:pPr>
          </w:p>
        </w:tc>
        <w:tc>
          <w:tcPr>
            <w:tcW w:w="836" w:type="pct"/>
            <w:tcBorders>
              <w:top w:val="single" w:sz="4" w:space="0" w:color="939598"/>
              <w:bottom w:val="single" w:sz="4" w:space="0" w:color="939598"/>
            </w:tcBorders>
            <w:vAlign w:val="bottom"/>
          </w:tcPr>
          <w:p w14:paraId="34C2FF52" w14:textId="77777777" w:rsidR="00DF636C" w:rsidRPr="00E25744" w:rsidRDefault="00DF636C" w:rsidP="00D1601A">
            <w:pPr>
              <w:pStyle w:val="Table"/>
              <w:jc w:val="center"/>
              <w:rPr>
                <w:rFonts w:cs="Arial"/>
                <w:b/>
              </w:rPr>
            </w:pPr>
            <w:r w:rsidRPr="00E25744">
              <w:rPr>
                <w:rFonts w:cs="Arial"/>
                <w:b/>
              </w:rPr>
              <w:t>1,</w:t>
            </w:r>
            <w:r>
              <w:rPr>
                <w:rFonts w:cs="Arial"/>
                <w:b/>
              </w:rPr>
              <w:t>557</w:t>
            </w:r>
          </w:p>
        </w:tc>
        <w:tc>
          <w:tcPr>
            <w:tcW w:w="834" w:type="pct"/>
            <w:tcBorders>
              <w:bottom w:val="single" w:sz="4" w:space="0" w:color="939598"/>
            </w:tcBorders>
            <w:vAlign w:val="bottom"/>
          </w:tcPr>
          <w:p w14:paraId="37C9AE94" w14:textId="77777777" w:rsidR="00DF636C" w:rsidRPr="00E25744" w:rsidRDefault="00DF636C" w:rsidP="00D1601A">
            <w:pPr>
              <w:pStyle w:val="Table"/>
              <w:jc w:val="center"/>
              <w:rPr>
                <w:rFonts w:cs="Arial"/>
              </w:rPr>
            </w:pPr>
          </w:p>
        </w:tc>
      </w:tr>
      <w:tr w:rsidR="00DF636C" w:rsidRPr="00E25744" w14:paraId="2CA1534C" w14:textId="77777777" w:rsidTr="00DF636C">
        <w:tc>
          <w:tcPr>
            <w:tcW w:w="1662" w:type="pct"/>
            <w:tcBorders>
              <w:top w:val="single" w:sz="4" w:space="0" w:color="939598"/>
            </w:tcBorders>
            <w:vAlign w:val="bottom"/>
          </w:tcPr>
          <w:p w14:paraId="2BBA9762" w14:textId="77777777" w:rsidR="00DF636C" w:rsidRPr="00E25744" w:rsidRDefault="00DF636C" w:rsidP="00D1601A">
            <w:pPr>
              <w:pStyle w:val="Table"/>
              <w:rPr>
                <w:rFonts w:cs="Arial"/>
                <w:b/>
              </w:rPr>
            </w:pPr>
            <w:r w:rsidRPr="00E25744">
              <w:rPr>
                <w:rFonts w:cs="Arial"/>
                <w:b/>
              </w:rPr>
              <w:t>(b) Salary</w:t>
            </w:r>
          </w:p>
        </w:tc>
        <w:tc>
          <w:tcPr>
            <w:tcW w:w="834" w:type="pct"/>
            <w:tcBorders>
              <w:top w:val="single" w:sz="4" w:space="0" w:color="939598"/>
            </w:tcBorders>
            <w:vAlign w:val="bottom"/>
          </w:tcPr>
          <w:p w14:paraId="304E53A8" w14:textId="77777777" w:rsidR="00DF636C" w:rsidRPr="00E25744" w:rsidRDefault="00DF636C" w:rsidP="00D1601A">
            <w:pPr>
              <w:pStyle w:val="Table"/>
              <w:jc w:val="center"/>
              <w:rPr>
                <w:rFonts w:cs="Arial"/>
              </w:rPr>
            </w:pPr>
          </w:p>
        </w:tc>
        <w:tc>
          <w:tcPr>
            <w:tcW w:w="835" w:type="pct"/>
            <w:tcBorders>
              <w:top w:val="single" w:sz="4" w:space="0" w:color="939598"/>
            </w:tcBorders>
            <w:vAlign w:val="bottom"/>
          </w:tcPr>
          <w:p w14:paraId="47EC31B1" w14:textId="77777777" w:rsidR="00DF636C" w:rsidRPr="00E25744" w:rsidRDefault="00DF636C" w:rsidP="00D1601A">
            <w:pPr>
              <w:pStyle w:val="Table"/>
              <w:jc w:val="center"/>
              <w:rPr>
                <w:rFonts w:cs="Arial"/>
              </w:rPr>
            </w:pPr>
          </w:p>
        </w:tc>
        <w:tc>
          <w:tcPr>
            <w:tcW w:w="836" w:type="pct"/>
            <w:tcBorders>
              <w:top w:val="single" w:sz="4" w:space="0" w:color="939598"/>
            </w:tcBorders>
            <w:vAlign w:val="bottom"/>
          </w:tcPr>
          <w:p w14:paraId="4B3B2F16" w14:textId="77777777" w:rsidR="00DF636C" w:rsidRPr="00E25744" w:rsidRDefault="00DF636C" w:rsidP="00D1601A">
            <w:pPr>
              <w:pStyle w:val="Table"/>
              <w:jc w:val="center"/>
              <w:rPr>
                <w:rFonts w:cs="Arial"/>
              </w:rPr>
            </w:pPr>
          </w:p>
        </w:tc>
        <w:tc>
          <w:tcPr>
            <w:tcW w:w="834" w:type="pct"/>
            <w:tcBorders>
              <w:top w:val="single" w:sz="4" w:space="0" w:color="939598"/>
            </w:tcBorders>
            <w:vAlign w:val="bottom"/>
          </w:tcPr>
          <w:p w14:paraId="388A4C63" w14:textId="77777777" w:rsidR="00DF636C" w:rsidRPr="00E25744" w:rsidRDefault="00DF636C" w:rsidP="00D1601A">
            <w:pPr>
              <w:pStyle w:val="Table"/>
              <w:jc w:val="center"/>
              <w:rPr>
                <w:rFonts w:cs="Arial"/>
              </w:rPr>
            </w:pPr>
          </w:p>
        </w:tc>
      </w:tr>
      <w:tr w:rsidR="00DF636C" w:rsidRPr="00E25744" w14:paraId="334BDECF" w14:textId="77777777" w:rsidTr="00DF636C">
        <w:tc>
          <w:tcPr>
            <w:tcW w:w="1662" w:type="pct"/>
            <w:vAlign w:val="bottom"/>
          </w:tcPr>
          <w:p w14:paraId="44056293" w14:textId="77777777" w:rsidR="00DF636C" w:rsidRPr="00E25744" w:rsidRDefault="00DF636C" w:rsidP="00D1601A">
            <w:pPr>
              <w:pStyle w:val="Table"/>
              <w:rPr>
                <w:rFonts w:cs="Arial"/>
              </w:rPr>
            </w:pPr>
            <w:r w:rsidRPr="00E25744">
              <w:rPr>
                <w:rFonts w:cs="Arial"/>
              </w:rPr>
              <w:t>Equivalent to providing a salary of:</w:t>
            </w:r>
          </w:p>
        </w:tc>
        <w:tc>
          <w:tcPr>
            <w:tcW w:w="834" w:type="pct"/>
            <w:vAlign w:val="bottom"/>
          </w:tcPr>
          <w:p w14:paraId="1DA384AF" w14:textId="77777777" w:rsidR="00DF636C" w:rsidRPr="00E25744" w:rsidRDefault="00DF636C" w:rsidP="00D1601A">
            <w:pPr>
              <w:pStyle w:val="Table"/>
              <w:jc w:val="center"/>
              <w:rPr>
                <w:rFonts w:cs="Arial"/>
              </w:rPr>
            </w:pPr>
          </w:p>
        </w:tc>
        <w:tc>
          <w:tcPr>
            <w:tcW w:w="835" w:type="pct"/>
            <w:vAlign w:val="bottom"/>
          </w:tcPr>
          <w:p w14:paraId="2525FAE7" w14:textId="77777777" w:rsidR="00DF636C" w:rsidRPr="00E25744" w:rsidRDefault="00DF636C" w:rsidP="00D1601A">
            <w:pPr>
              <w:pStyle w:val="Table"/>
              <w:jc w:val="center"/>
              <w:rPr>
                <w:rFonts w:cs="Arial"/>
              </w:rPr>
            </w:pPr>
          </w:p>
        </w:tc>
        <w:tc>
          <w:tcPr>
            <w:tcW w:w="836" w:type="pct"/>
            <w:vAlign w:val="bottom"/>
          </w:tcPr>
          <w:p w14:paraId="3D1734C7" w14:textId="77777777" w:rsidR="00DF636C" w:rsidRPr="00E25744" w:rsidRDefault="00DF636C" w:rsidP="00D1601A">
            <w:pPr>
              <w:pStyle w:val="Table"/>
              <w:jc w:val="center"/>
              <w:rPr>
                <w:rFonts w:cs="Arial"/>
              </w:rPr>
            </w:pPr>
          </w:p>
        </w:tc>
        <w:tc>
          <w:tcPr>
            <w:tcW w:w="834" w:type="pct"/>
            <w:vAlign w:val="bottom"/>
          </w:tcPr>
          <w:p w14:paraId="3E508D5C" w14:textId="77777777" w:rsidR="00DF636C" w:rsidRPr="00E25744" w:rsidRDefault="00DF636C" w:rsidP="00D1601A">
            <w:pPr>
              <w:pStyle w:val="Table"/>
              <w:jc w:val="center"/>
              <w:rPr>
                <w:rFonts w:cs="Arial"/>
              </w:rPr>
            </w:pPr>
          </w:p>
        </w:tc>
      </w:tr>
      <w:tr w:rsidR="00DF636C" w:rsidRPr="00E25744" w14:paraId="64D7C94F" w14:textId="77777777" w:rsidTr="00DF636C">
        <w:tc>
          <w:tcPr>
            <w:tcW w:w="1662" w:type="pct"/>
            <w:vAlign w:val="bottom"/>
          </w:tcPr>
          <w:p w14:paraId="00AF839E" w14:textId="77777777" w:rsidR="00DF636C" w:rsidRPr="00E25744" w:rsidRDefault="00DF636C" w:rsidP="00D1601A">
            <w:pPr>
              <w:pStyle w:val="Table"/>
              <w:rPr>
                <w:rFonts w:cs="Arial"/>
              </w:rPr>
            </w:pPr>
            <w:r w:rsidRPr="00E25744">
              <w:rPr>
                <w:rFonts w:cs="Arial"/>
              </w:rPr>
              <w:t>Gross salary to employee</w:t>
            </w:r>
          </w:p>
        </w:tc>
        <w:tc>
          <w:tcPr>
            <w:tcW w:w="834" w:type="pct"/>
            <w:vAlign w:val="bottom"/>
          </w:tcPr>
          <w:p w14:paraId="685904C2" w14:textId="77777777" w:rsidR="00DF636C" w:rsidRPr="00E25744" w:rsidRDefault="00DF636C" w:rsidP="00D1601A">
            <w:pPr>
              <w:pStyle w:val="Table"/>
              <w:jc w:val="center"/>
              <w:rPr>
                <w:rFonts w:cs="Arial"/>
              </w:rPr>
            </w:pPr>
            <w:r w:rsidRPr="00E25744">
              <w:rPr>
                <w:rFonts w:cs="Arial"/>
              </w:rPr>
              <w:t>2,</w:t>
            </w:r>
            <w:r>
              <w:rPr>
                <w:rFonts w:cs="Arial"/>
              </w:rPr>
              <w:t>075</w:t>
            </w:r>
          </w:p>
        </w:tc>
        <w:tc>
          <w:tcPr>
            <w:tcW w:w="835" w:type="pct"/>
            <w:vAlign w:val="bottom"/>
          </w:tcPr>
          <w:p w14:paraId="3A1887CE" w14:textId="77777777" w:rsidR="00DF636C" w:rsidRPr="00E25744" w:rsidRDefault="00DF636C" w:rsidP="00D1601A">
            <w:pPr>
              <w:pStyle w:val="Table"/>
              <w:jc w:val="center"/>
              <w:rPr>
                <w:rFonts w:cs="Arial"/>
              </w:rPr>
            </w:pPr>
          </w:p>
        </w:tc>
        <w:tc>
          <w:tcPr>
            <w:tcW w:w="836" w:type="pct"/>
            <w:vAlign w:val="bottom"/>
          </w:tcPr>
          <w:p w14:paraId="5A1EBC68" w14:textId="77777777" w:rsidR="00DF636C" w:rsidRPr="00E25744" w:rsidRDefault="00DF636C" w:rsidP="00D1601A">
            <w:pPr>
              <w:pStyle w:val="Table"/>
              <w:jc w:val="center"/>
              <w:rPr>
                <w:rFonts w:cs="Arial"/>
              </w:rPr>
            </w:pPr>
            <w:r w:rsidRPr="00E25744">
              <w:rPr>
                <w:rFonts w:cs="Arial"/>
              </w:rPr>
              <w:t>2,</w:t>
            </w:r>
            <w:r>
              <w:rPr>
                <w:rFonts w:cs="Arial"/>
              </w:rPr>
              <w:t>075</w:t>
            </w:r>
          </w:p>
        </w:tc>
        <w:tc>
          <w:tcPr>
            <w:tcW w:w="834" w:type="pct"/>
            <w:vAlign w:val="bottom"/>
          </w:tcPr>
          <w:p w14:paraId="682EC210" w14:textId="77777777" w:rsidR="00DF636C" w:rsidRPr="00E25744" w:rsidRDefault="00DF636C" w:rsidP="00D1601A">
            <w:pPr>
              <w:pStyle w:val="Table"/>
              <w:jc w:val="center"/>
              <w:rPr>
                <w:rFonts w:cs="Arial"/>
              </w:rPr>
            </w:pPr>
          </w:p>
        </w:tc>
      </w:tr>
      <w:tr w:rsidR="00DF636C" w:rsidRPr="00E25744" w14:paraId="4F6FB9D6" w14:textId="77777777" w:rsidTr="00DF636C">
        <w:tc>
          <w:tcPr>
            <w:tcW w:w="1662" w:type="pct"/>
            <w:vAlign w:val="bottom"/>
          </w:tcPr>
          <w:p w14:paraId="4552D250" w14:textId="77777777" w:rsidR="00DF636C" w:rsidRPr="00E25744" w:rsidRDefault="00DF636C" w:rsidP="00D1601A">
            <w:pPr>
              <w:pStyle w:val="Table"/>
              <w:rPr>
                <w:rFonts w:cs="Arial"/>
              </w:rPr>
            </w:pPr>
            <w:r>
              <w:rPr>
                <w:rFonts w:cs="Arial"/>
              </w:rPr>
              <w:t>Less Income tax deduction at 25</w:t>
            </w:r>
            <w:r w:rsidRPr="00E25744">
              <w:rPr>
                <w:rFonts w:cs="Arial"/>
              </w:rPr>
              <w:t>%</w:t>
            </w:r>
          </w:p>
        </w:tc>
        <w:tc>
          <w:tcPr>
            <w:tcW w:w="834" w:type="pct"/>
            <w:vAlign w:val="bottom"/>
          </w:tcPr>
          <w:p w14:paraId="155B0F25" w14:textId="77777777" w:rsidR="00DF636C" w:rsidRPr="00E25744" w:rsidRDefault="00DF636C" w:rsidP="00D1601A">
            <w:pPr>
              <w:pStyle w:val="Table"/>
              <w:jc w:val="center"/>
              <w:rPr>
                <w:rFonts w:cs="Arial"/>
              </w:rPr>
            </w:pPr>
            <w:r>
              <w:rPr>
                <w:rFonts w:cs="Arial"/>
              </w:rPr>
              <w:t>519</w:t>
            </w:r>
          </w:p>
        </w:tc>
        <w:tc>
          <w:tcPr>
            <w:tcW w:w="835" w:type="pct"/>
            <w:vAlign w:val="bottom"/>
          </w:tcPr>
          <w:p w14:paraId="6160CE3D" w14:textId="77777777" w:rsidR="00DF636C" w:rsidRPr="00E25744" w:rsidRDefault="00DF636C" w:rsidP="00D1601A">
            <w:pPr>
              <w:pStyle w:val="Table"/>
              <w:jc w:val="center"/>
              <w:rPr>
                <w:rFonts w:cs="Arial"/>
              </w:rPr>
            </w:pPr>
          </w:p>
        </w:tc>
        <w:tc>
          <w:tcPr>
            <w:tcW w:w="836" w:type="pct"/>
            <w:vAlign w:val="bottom"/>
          </w:tcPr>
          <w:p w14:paraId="59D4E528" w14:textId="77777777" w:rsidR="00DF636C" w:rsidRPr="00E25744" w:rsidRDefault="00DF636C" w:rsidP="00D1601A">
            <w:pPr>
              <w:pStyle w:val="Table"/>
              <w:jc w:val="center"/>
              <w:rPr>
                <w:rFonts w:cs="Arial"/>
              </w:rPr>
            </w:pPr>
            <w:r>
              <w:rPr>
                <w:rFonts w:cs="Arial"/>
              </w:rPr>
              <w:t>519</w:t>
            </w:r>
          </w:p>
        </w:tc>
        <w:tc>
          <w:tcPr>
            <w:tcW w:w="834" w:type="pct"/>
            <w:vAlign w:val="bottom"/>
          </w:tcPr>
          <w:p w14:paraId="5768180E" w14:textId="77777777" w:rsidR="00DF636C" w:rsidRPr="00E25744" w:rsidRDefault="00DF636C" w:rsidP="00D1601A">
            <w:pPr>
              <w:pStyle w:val="Table"/>
              <w:jc w:val="center"/>
              <w:rPr>
                <w:rFonts w:cs="Arial"/>
              </w:rPr>
            </w:pPr>
          </w:p>
        </w:tc>
      </w:tr>
      <w:tr w:rsidR="00DF636C" w:rsidRPr="00E25744" w14:paraId="7EDDA820" w14:textId="77777777" w:rsidTr="00DF636C">
        <w:tc>
          <w:tcPr>
            <w:tcW w:w="1662" w:type="pct"/>
            <w:tcBorders>
              <w:bottom w:val="single" w:sz="4" w:space="0" w:color="BFBFBF" w:themeColor="background1" w:themeShade="BF"/>
            </w:tcBorders>
            <w:vAlign w:val="bottom"/>
          </w:tcPr>
          <w:p w14:paraId="0C391E0A" w14:textId="77777777" w:rsidR="00DF636C" w:rsidRPr="00E25744" w:rsidRDefault="00DF636C" w:rsidP="00D1601A">
            <w:pPr>
              <w:pStyle w:val="Table"/>
              <w:rPr>
                <w:rFonts w:cs="Arial"/>
              </w:rPr>
            </w:pPr>
            <w:r w:rsidRPr="00E25744">
              <w:rPr>
                <w:rFonts w:cs="Arial"/>
              </w:rPr>
              <w:t>Cost to employer</w:t>
            </w:r>
          </w:p>
        </w:tc>
        <w:tc>
          <w:tcPr>
            <w:tcW w:w="834" w:type="pct"/>
            <w:tcBorders>
              <w:bottom w:val="single" w:sz="4" w:space="0" w:color="BFBFBF" w:themeColor="background1" w:themeShade="BF"/>
            </w:tcBorders>
            <w:vAlign w:val="bottom"/>
          </w:tcPr>
          <w:p w14:paraId="06420A34" w14:textId="77777777" w:rsidR="00DF636C" w:rsidRPr="00E25744" w:rsidRDefault="00DF636C" w:rsidP="00D1601A">
            <w:pPr>
              <w:pStyle w:val="Table"/>
              <w:jc w:val="center"/>
              <w:rPr>
                <w:rFonts w:cs="Arial"/>
                <w:b/>
              </w:rPr>
            </w:pPr>
            <w:r w:rsidRPr="00E25744">
              <w:rPr>
                <w:rFonts w:cs="Arial"/>
                <w:b/>
              </w:rPr>
              <w:t>1,</w:t>
            </w:r>
            <w:r>
              <w:rPr>
                <w:rFonts w:cs="Arial"/>
                <w:b/>
              </w:rPr>
              <w:t>557</w:t>
            </w:r>
          </w:p>
        </w:tc>
        <w:tc>
          <w:tcPr>
            <w:tcW w:w="835" w:type="pct"/>
            <w:tcBorders>
              <w:bottom w:val="single" w:sz="4" w:space="0" w:color="BFBFBF" w:themeColor="background1" w:themeShade="BF"/>
            </w:tcBorders>
            <w:vAlign w:val="bottom"/>
          </w:tcPr>
          <w:p w14:paraId="2E8E1295" w14:textId="77777777" w:rsidR="00DF636C" w:rsidRPr="00E25744" w:rsidRDefault="00DF636C" w:rsidP="00D1601A">
            <w:pPr>
              <w:pStyle w:val="Table"/>
              <w:jc w:val="center"/>
              <w:rPr>
                <w:rFonts w:cs="Arial"/>
              </w:rPr>
            </w:pPr>
          </w:p>
        </w:tc>
        <w:tc>
          <w:tcPr>
            <w:tcW w:w="836" w:type="pct"/>
            <w:tcBorders>
              <w:bottom w:val="single" w:sz="4" w:space="0" w:color="BFBFBF" w:themeColor="background1" w:themeShade="BF"/>
            </w:tcBorders>
            <w:vAlign w:val="bottom"/>
          </w:tcPr>
          <w:p w14:paraId="1B6B9F9E" w14:textId="77777777" w:rsidR="00DF636C" w:rsidRPr="00E25744" w:rsidRDefault="00DF636C" w:rsidP="00D1601A">
            <w:pPr>
              <w:pStyle w:val="Table"/>
              <w:jc w:val="center"/>
              <w:rPr>
                <w:rFonts w:cs="Arial"/>
                <w:b/>
              </w:rPr>
            </w:pPr>
            <w:r w:rsidRPr="00E25744">
              <w:rPr>
                <w:rFonts w:cs="Arial"/>
                <w:b/>
              </w:rPr>
              <w:t>1,</w:t>
            </w:r>
            <w:r>
              <w:rPr>
                <w:rFonts w:cs="Arial"/>
                <w:b/>
              </w:rPr>
              <w:t>557</w:t>
            </w:r>
          </w:p>
        </w:tc>
        <w:tc>
          <w:tcPr>
            <w:tcW w:w="834" w:type="pct"/>
            <w:tcBorders>
              <w:bottom w:val="single" w:sz="4" w:space="0" w:color="BFBFBF" w:themeColor="background1" w:themeShade="BF"/>
            </w:tcBorders>
            <w:vAlign w:val="bottom"/>
          </w:tcPr>
          <w:p w14:paraId="0AD740CD" w14:textId="77777777" w:rsidR="00DF636C" w:rsidRPr="00E25744" w:rsidRDefault="00DF636C" w:rsidP="00D1601A">
            <w:pPr>
              <w:pStyle w:val="Table"/>
              <w:jc w:val="center"/>
              <w:rPr>
                <w:rFonts w:cs="Arial"/>
              </w:rPr>
            </w:pPr>
          </w:p>
        </w:tc>
      </w:tr>
      <w:tr w:rsidR="00DF636C" w:rsidRPr="00E25744" w14:paraId="25EEB257" w14:textId="77777777" w:rsidTr="00DF636C">
        <w:tc>
          <w:tcPr>
            <w:tcW w:w="1662" w:type="pct"/>
            <w:tcBorders>
              <w:top w:val="single" w:sz="4" w:space="0" w:color="BFBFBF" w:themeColor="background1" w:themeShade="BF"/>
            </w:tcBorders>
            <w:vAlign w:val="bottom"/>
          </w:tcPr>
          <w:p w14:paraId="1887C18C" w14:textId="77777777" w:rsidR="00DF636C" w:rsidRPr="00E25744" w:rsidRDefault="00DF636C" w:rsidP="00D1601A">
            <w:pPr>
              <w:pStyle w:val="Table"/>
              <w:rPr>
                <w:rFonts w:cs="Arial"/>
                <w:b/>
              </w:rPr>
            </w:pPr>
            <w:r w:rsidRPr="00E25744">
              <w:rPr>
                <w:rFonts w:cs="Arial"/>
                <w:b/>
                <w:szCs w:val="16"/>
                <w:lang w:val="en-GB" w:eastAsia="ja-JP"/>
              </w:rPr>
              <w:t>(2) Cost to employee</w:t>
            </w:r>
          </w:p>
        </w:tc>
        <w:tc>
          <w:tcPr>
            <w:tcW w:w="834" w:type="pct"/>
            <w:tcBorders>
              <w:top w:val="single" w:sz="4" w:space="0" w:color="BFBFBF" w:themeColor="background1" w:themeShade="BF"/>
            </w:tcBorders>
            <w:vAlign w:val="bottom"/>
          </w:tcPr>
          <w:p w14:paraId="2B18DD52" w14:textId="77777777" w:rsidR="00DF636C" w:rsidRPr="00E25744" w:rsidRDefault="00DF636C" w:rsidP="00D1601A">
            <w:pPr>
              <w:pStyle w:val="Table"/>
              <w:jc w:val="center"/>
              <w:rPr>
                <w:rFonts w:cs="Arial"/>
                <w:b/>
              </w:rPr>
            </w:pPr>
          </w:p>
        </w:tc>
        <w:tc>
          <w:tcPr>
            <w:tcW w:w="835" w:type="pct"/>
            <w:tcBorders>
              <w:top w:val="single" w:sz="4" w:space="0" w:color="BFBFBF" w:themeColor="background1" w:themeShade="BF"/>
            </w:tcBorders>
            <w:vAlign w:val="bottom"/>
          </w:tcPr>
          <w:p w14:paraId="73EF54DF" w14:textId="77777777" w:rsidR="00DF636C" w:rsidRPr="00E25744" w:rsidRDefault="00DF636C" w:rsidP="00D1601A">
            <w:pPr>
              <w:pStyle w:val="Table"/>
              <w:jc w:val="center"/>
              <w:rPr>
                <w:rFonts w:cs="Arial"/>
                <w:b/>
              </w:rPr>
            </w:pPr>
          </w:p>
        </w:tc>
        <w:tc>
          <w:tcPr>
            <w:tcW w:w="836" w:type="pct"/>
            <w:tcBorders>
              <w:top w:val="single" w:sz="4" w:space="0" w:color="BFBFBF" w:themeColor="background1" w:themeShade="BF"/>
            </w:tcBorders>
            <w:vAlign w:val="bottom"/>
          </w:tcPr>
          <w:p w14:paraId="3F97F728" w14:textId="77777777" w:rsidR="00DF636C" w:rsidRPr="00E25744" w:rsidRDefault="00DF636C" w:rsidP="00D1601A">
            <w:pPr>
              <w:pStyle w:val="Table"/>
              <w:jc w:val="center"/>
              <w:rPr>
                <w:rFonts w:cs="Arial"/>
                <w:b/>
              </w:rPr>
            </w:pPr>
          </w:p>
        </w:tc>
        <w:tc>
          <w:tcPr>
            <w:tcW w:w="834" w:type="pct"/>
            <w:tcBorders>
              <w:top w:val="single" w:sz="4" w:space="0" w:color="BFBFBF" w:themeColor="background1" w:themeShade="BF"/>
            </w:tcBorders>
            <w:vAlign w:val="bottom"/>
          </w:tcPr>
          <w:p w14:paraId="43F19505" w14:textId="77777777" w:rsidR="00DF636C" w:rsidRPr="00E25744" w:rsidRDefault="00DF636C" w:rsidP="00D1601A">
            <w:pPr>
              <w:pStyle w:val="Table"/>
              <w:jc w:val="center"/>
              <w:rPr>
                <w:rFonts w:cs="Arial"/>
                <w:b/>
              </w:rPr>
            </w:pPr>
          </w:p>
        </w:tc>
      </w:tr>
      <w:tr w:rsidR="00DF636C" w:rsidRPr="00E25744" w14:paraId="53147182" w14:textId="77777777" w:rsidTr="00DF636C">
        <w:tc>
          <w:tcPr>
            <w:tcW w:w="1662" w:type="pct"/>
            <w:vAlign w:val="bottom"/>
          </w:tcPr>
          <w:p w14:paraId="513C7F0F" w14:textId="77777777" w:rsidR="00DF636C" w:rsidRPr="00E25744" w:rsidRDefault="00DF636C" w:rsidP="00D1601A">
            <w:pPr>
              <w:pStyle w:val="Table"/>
              <w:rPr>
                <w:rFonts w:cs="Arial"/>
                <w:b/>
              </w:rPr>
            </w:pPr>
            <w:r w:rsidRPr="00E25744">
              <w:rPr>
                <w:rFonts w:cs="Arial"/>
                <w:b/>
                <w:szCs w:val="16"/>
                <w:lang w:val="en-GB" w:eastAsia="ja-JP"/>
              </w:rPr>
              <w:t>(</w:t>
            </w:r>
            <w:r>
              <w:rPr>
                <w:rFonts w:cs="Arial"/>
                <w:b/>
                <w:szCs w:val="16"/>
                <w:lang w:val="en-GB" w:eastAsia="ja-JP"/>
              </w:rPr>
              <w:t>a</w:t>
            </w:r>
            <w:r w:rsidRPr="00E25744">
              <w:rPr>
                <w:rFonts w:cs="Arial"/>
                <w:b/>
                <w:szCs w:val="16"/>
                <w:lang w:val="en-GB" w:eastAsia="ja-JP"/>
              </w:rPr>
              <w:t>) Salary</w:t>
            </w:r>
          </w:p>
        </w:tc>
        <w:tc>
          <w:tcPr>
            <w:tcW w:w="834" w:type="pct"/>
            <w:vAlign w:val="bottom"/>
          </w:tcPr>
          <w:p w14:paraId="18E338EB" w14:textId="77777777" w:rsidR="00DF636C" w:rsidRPr="00E25744" w:rsidRDefault="00DF636C" w:rsidP="00D1601A">
            <w:pPr>
              <w:pStyle w:val="Table"/>
              <w:jc w:val="center"/>
              <w:rPr>
                <w:rFonts w:cs="Arial"/>
              </w:rPr>
            </w:pPr>
          </w:p>
        </w:tc>
        <w:tc>
          <w:tcPr>
            <w:tcW w:w="835" w:type="pct"/>
            <w:vAlign w:val="bottom"/>
          </w:tcPr>
          <w:p w14:paraId="600B5A5F" w14:textId="77777777" w:rsidR="00DF636C" w:rsidRPr="00E25744" w:rsidRDefault="00DF636C" w:rsidP="00D1601A">
            <w:pPr>
              <w:pStyle w:val="Table"/>
              <w:jc w:val="center"/>
              <w:rPr>
                <w:rFonts w:cs="Arial"/>
              </w:rPr>
            </w:pPr>
          </w:p>
        </w:tc>
        <w:tc>
          <w:tcPr>
            <w:tcW w:w="836" w:type="pct"/>
            <w:vAlign w:val="bottom"/>
          </w:tcPr>
          <w:p w14:paraId="2E96E7E6" w14:textId="77777777" w:rsidR="00DF636C" w:rsidRPr="00E25744" w:rsidRDefault="00DF636C" w:rsidP="00D1601A">
            <w:pPr>
              <w:pStyle w:val="Table"/>
              <w:jc w:val="center"/>
              <w:rPr>
                <w:rFonts w:cs="Arial"/>
              </w:rPr>
            </w:pPr>
          </w:p>
        </w:tc>
        <w:tc>
          <w:tcPr>
            <w:tcW w:w="834" w:type="pct"/>
            <w:vAlign w:val="bottom"/>
          </w:tcPr>
          <w:p w14:paraId="6E4B1FEB" w14:textId="77777777" w:rsidR="00DF636C" w:rsidRPr="00E25744" w:rsidRDefault="00DF636C" w:rsidP="00D1601A">
            <w:pPr>
              <w:pStyle w:val="Table"/>
              <w:jc w:val="center"/>
              <w:rPr>
                <w:rFonts w:cs="Arial"/>
              </w:rPr>
            </w:pPr>
          </w:p>
        </w:tc>
      </w:tr>
      <w:tr w:rsidR="00DF636C" w:rsidRPr="00E25744" w14:paraId="22C723CD" w14:textId="77777777" w:rsidTr="00DF636C">
        <w:tc>
          <w:tcPr>
            <w:tcW w:w="1662" w:type="pct"/>
            <w:vAlign w:val="bottom"/>
          </w:tcPr>
          <w:p w14:paraId="52535ADF" w14:textId="77777777" w:rsidR="00DF636C" w:rsidRPr="00E25744" w:rsidRDefault="00DF636C" w:rsidP="00D1601A">
            <w:pPr>
              <w:pStyle w:val="Table"/>
              <w:rPr>
                <w:rFonts w:cs="Arial"/>
              </w:rPr>
            </w:pPr>
            <w:r w:rsidRPr="00E25744">
              <w:rPr>
                <w:rFonts w:cs="Arial"/>
                <w:szCs w:val="16"/>
                <w:lang w:val="en-GB" w:eastAsia="ja-JP"/>
              </w:rPr>
              <w:t>This is equivalent to receiving a salary of:</w:t>
            </w:r>
          </w:p>
        </w:tc>
        <w:tc>
          <w:tcPr>
            <w:tcW w:w="834" w:type="pct"/>
            <w:vAlign w:val="bottom"/>
          </w:tcPr>
          <w:p w14:paraId="62D20443" w14:textId="77777777" w:rsidR="00DF636C" w:rsidRPr="00E25744" w:rsidRDefault="00DF636C" w:rsidP="00D1601A">
            <w:pPr>
              <w:pStyle w:val="Table"/>
              <w:jc w:val="center"/>
              <w:rPr>
                <w:rFonts w:cs="Arial"/>
              </w:rPr>
            </w:pPr>
          </w:p>
        </w:tc>
        <w:tc>
          <w:tcPr>
            <w:tcW w:w="835" w:type="pct"/>
            <w:vAlign w:val="bottom"/>
          </w:tcPr>
          <w:p w14:paraId="2DFA63B8" w14:textId="77777777" w:rsidR="00DF636C" w:rsidRPr="00E25744" w:rsidRDefault="00DF636C" w:rsidP="00D1601A">
            <w:pPr>
              <w:pStyle w:val="Table"/>
              <w:jc w:val="center"/>
              <w:rPr>
                <w:rFonts w:cs="Arial"/>
              </w:rPr>
            </w:pPr>
          </w:p>
        </w:tc>
        <w:tc>
          <w:tcPr>
            <w:tcW w:w="836" w:type="pct"/>
            <w:vAlign w:val="bottom"/>
          </w:tcPr>
          <w:p w14:paraId="79D05A77" w14:textId="77777777" w:rsidR="00DF636C" w:rsidRPr="00E25744" w:rsidRDefault="00DF636C" w:rsidP="00D1601A">
            <w:pPr>
              <w:pStyle w:val="Table"/>
              <w:jc w:val="center"/>
              <w:rPr>
                <w:rFonts w:cs="Arial"/>
              </w:rPr>
            </w:pPr>
          </w:p>
        </w:tc>
        <w:tc>
          <w:tcPr>
            <w:tcW w:w="834" w:type="pct"/>
            <w:vAlign w:val="bottom"/>
          </w:tcPr>
          <w:p w14:paraId="492B7227" w14:textId="77777777" w:rsidR="00DF636C" w:rsidRPr="00E25744" w:rsidRDefault="00DF636C" w:rsidP="00D1601A">
            <w:pPr>
              <w:pStyle w:val="Table"/>
              <w:jc w:val="center"/>
              <w:rPr>
                <w:rFonts w:cs="Arial"/>
              </w:rPr>
            </w:pPr>
          </w:p>
        </w:tc>
      </w:tr>
      <w:tr w:rsidR="00DF636C" w:rsidRPr="00E25744" w14:paraId="7D7E7480" w14:textId="77777777" w:rsidTr="00DF636C">
        <w:tc>
          <w:tcPr>
            <w:tcW w:w="1662" w:type="pct"/>
            <w:vAlign w:val="bottom"/>
          </w:tcPr>
          <w:p w14:paraId="4CB53CF3" w14:textId="77777777" w:rsidR="00DF636C" w:rsidRPr="00E25744" w:rsidRDefault="00DF636C" w:rsidP="00D1601A">
            <w:pPr>
              <w:pStyle w:val="Table"/>
              <w:rPr>
                <w:rFonts w:cs="Arial"/>
              </w:rPr>
            </w:pPr>
            <w:r w:rsidRPr="00E25744">
              <w:rPr>
                <w:rFonts w:cs="Arial"/>
                <w:szCs w:val="16"/>
                <w:lang w:val="en-GB" w:eastAsia="ja-JP"/>
              </w:rPr>
              <w:t>Gross salary</w:t>
            </w:r>
          </w:p>
        </w:tc>
        <w:tc>
          <w:tcPr>
            <w:tcW w:w="834" w:type="pct"/>
            <w:vAlign w:val="bottom"/>
          </w:tcPr>
          <w:p w14:paraId="5FF00912" w14:textId="77777777" w:rsidR="00DF636C" w:rsidRPr="00E25744" w:rsidRDefault="00DF636C" w:rsidP="00D1601A">
            <w:pPr>
              <w:pStyle w:val="Table"/>
              <w:jc w:val="center"/>
              <w:rPr>
                <w:rFonts w:cs="Arial"/>
              </w:rPr>
            </w:pPr>
            <w:r w:rsidRPr="00E25744">
              <w:rPr>
                <w:rFonts w:cs="Arial"/>
                <w:szCs w:val="16"/>
                <w:lang w:val="en-GB" w:eastAsia="ja-JP"/>
              </w:rPr>
              <w:t>2,</w:t>
            </w:r>
            <w:r>
              <w:rPr>
                <w:rFonts w:cs="Arial"/>
                <w:szCs w:val="16"/>
                <w:lang w:val="en-GB" w:eastAsia="ja-JP"/>
              </w:rPr>
              <w:t>075</w:t>
            </w:r>
          </w:p>
        </w:tc>
        <w:tc>
          <w:tcPr>
            <w:tcW w:w="835" w:type="pct"/>
            <w:vAlign w:val="bottom"/>
          </w:tcPr>
          <w:p w14:paraId="1698ECBB" w14:textId="77777777" w:rsidR="00DF636C" w:rsidRPr="00E25744" w:rsidRDefault="00DF636C" w:rsidP="00D1601A">
            <w:pPr>
              <w:pStyle w:val="Table"/>
              <w:jc w:val="center"/>
              <w:rPr>
                <w:rFonts w:cs="Arial"/>
              </w:rPr>
            </w:pPr>
          </w:p>
        </w:tc>
        <w:tc>
          <w:tcPr>
            <w:tcW w:w="836" w:type="pct"/>
            <w:vAlign w:val="bottom"/>
          </w:tcPr>
          <w:p w14:paraId="03BE78B6" w14:textId="77777777" w:rsidR="00DF636C" w:rsidRPr="00E25744" w:rsidRDefault="00DF636C" w:rsidP="00D1601A">
            <w:pPr>
              <w:pStyle w:val="Table"/>
              <w:jc w:val="center"/>
              <w:rPr>
                <w:rFonts w:cs="Arial"/>
              </w:rPr>
            </w:pPr>
            <w:r w:rsidRPr="00E25744">
              <w:rPr>
                <w:rFonts w:cs="Arial"/>
                <w:szCs w:val="16"/>
                <w:lang w:val="en-GB" w:eastAsia="ja-JP"/>
              </w:rPr>
              <w:t>2,</w:t>
            </w:r>
            <w:r>
              <w:rPr>
                <w:rFonts w:cs="Arial"/>
                <w:szCs w:val="16"/>
                <w:lang w:val="en-GB" w:eastAsia="ja-JP"/>
              </w:rPr>
              <w:t>075</w:t>
            </w:r>
          </w:p>
        </w:tc>
        <w:tc>
          <w:tcPr>
            <w:tcW w:w="834" w:type="pct"/>
            <w:vAlign w:val="bottom"/>
          </w:tcPr>
          <w:p w14:paraId="3D298920" w14:textId="77777777" w:rsidR="00DF636C" w:rsidRPr="00E25744" w:rsidRDefault="00DF636C" w:rsidP="00D1601A">
            <w:pPr>
              <w:pStyle w:val="Table"/>
              <w:jc w:val="center"/>
              <w:rPr>
                <w:rFonts w:cs="Arial"/>
              </w:rPr>
            </w:pPr>
          </w:p>
        </w:tc>
      </w:tr>
      <w:tr w:rsidR="00DF636C" w:rsidRPr="00E25744" w14:paraId="37A802C4" w14:textId="77777777" w:rsidTr="00DF636C">
        <w:tc>
          <w:tcPr>
            <w:tcW w:w="1662" w:type="pct"/>
            <w:vAlign w:val="bottom"/>
          </w:tcPr>
          <w:p w14:paraId="77485792" w14:textId="77777777" w:rsidR="00DF636C" w:rsidRPr="00E25744" w:rsidRDefault="00DF636C" w:rsidP="00D1601A">
            <w:pPr>
              <w:pStyle w:val="Table"/>
              <w:rPr>
                <w:rFonts w:cs="Arial"/>
              </w:rPr>
            </w:pPr>
            <w:r w:rsidRPr="00E25744">
              <w:rPr>
                <w:rFonts w:cs="Arial"/>
                <w:szCs w:val="16"/>
                <w:lang w:val="en-GB" w:eastAsia="ja-JP"/>
              </w:rPr>
              <w:t>Tax payable at 4</w:t>
            </w:r>
            <w:r>
              <w:rPr>
                <w:rFonts w:cs="Arial"/>
                <w:szCs w:val="16"/>
                <w:lang w:val="en-GB" w:eastAsia="ja-JP"/>
              </w:rPr>
              <w:t>7</w:t>
            </w:r>
            <w:r w:rsidRPr="00E25744">
              <w:rPr>
                <w:rFonts w:cs="Arial"/>
                <w:szCs w:val="16"/>
                <w:lang w:val="en-GB" w:eastAsia="ja-JP"/>
              </w:rPr>
              <w:t>%</w:t>
            </w:r>
          </w:p>
        </w:tc>
        <w:tc>
          <w:tcPr>
            <w:tcW w:w="834" w:type="pct"/>
            <w:tcBorders>
              <w:bottom w:val="single" w:sz="4" w:space="0" w:color="939598"/>
            </w:tcBorders>
            <w:vAlign w:val="bottom"/>
          </w:tcPr>
          <w:p w14:paraId="2D546CA8" w14:textId="77777777" w:rsidR="00DF636C" w:rsidRPr="00E25744" w:rsidRDefault="00DF636C" w:rsidP="00D1601A">
            <w:pPr>
              <w:pStyle w:val="Table"/>
              <w:jc w:val="center"/>
              <w:rPr>
                <w:rFonts w:cs="Arial"/>
              </w:rPr>
            </w:pPr>
            <w:r>
              <w:rPr>
                <w:rFonts w:cs="Arial"/>
                <w:szCs w:val="16"/>
                <w:lang w:val="en-GB" w:eastAsia="ja-JP"/>
              </w:rPr>
              <w:t>975</w:t>
            </w:r>
          </w:p>
        </w:tc>
        <w:tc>
          <w:tcPr>
            <w:tcW w:w="835" w:type="pct"/>
            <w:vAlign w:val="bottom"/>
          </w:tcPr>
          <w:p w14:paraId="1AD9432C" w14:textId="77777777" w:rsidR="00DF636C" w:rsidRPr="00E25744" w:rsidRDefault="00DF636C" w:rsidP="00D1601A">
            <w:pPr>
              <w:pStyle w:val="Table"/>
              <w:jc w:val="center"/>
              <w:rPr>
                <w:rFonts w:cs="Arial"/>
              </w:rPr>
            </w:pPr>
          </w:p>
        </w:tc>
        <w:tc>
          <w:tcPr>
            <w:tcW w:w="836" w:type="pct"/>
            <w:tcBorders>
              <w:bottom w:val="single" w:sz="4" w:space="0" w:color="939598"/>
            </w:tcBorders>
            <w:vAlign w:val="bottom"/>
          </w:tcPr>
          <w:p w14:paraId="1BF2B62B" w14:textId="77777777" w:rsidR="00DF636C" w:rsidRPr="00E25744" w:rsidRDefault="00DF636C" w:rsidP="00D1601A">
            <w:pPr>
              <w:pStyle w:val="Table"/>
              <w:jc w:val="center"/>
              <w:rPr>
                <w:rFonts w:cs="Arial"/>
              </w:rPr>
            </w:pPr>
            <w:r>
              <w:rPr>
                <w:rFonts w:cs="Arial"/>
                <w:szCs w:val="16"/>
                <w:lang w:val="en-GB" w:eastAsia="ja-JP"/>
              </w:rPr>
              <w:t>975</w:t>
            </w:r>
          </w:p>
        </w:tc>
        <w:tc>
          <w:tcPr>
            <w:tcW w:w="834" w:type="pct"/>
            <w:vAlign w:val="bottom"/>
          </w:tcPr>
          <w:p w14:paraId="49435887" w14:textId="77777777" w:rsidR="00DF636C" w:rsidRPr="00E25744" w:rsidRDefault="00DF636C" w:rsidP="00D1601A">
            <w:pPr>
              <w:pStyle w:val="Table"/>
              <w:jc w:val="center"/>
              <w:rPr>
                <w:rFonts w:cs="Arial"/>
              </w:rPr>
            </w:pPr>
          </w:p>
        </w:tc>
      </w:tr>
      <w:tr w:rsidR="00DF636C" w:rsidRPr="00E25744" w14:paraId="7572FF5A" w14:textId="77777777" w:rsidTr="00DF636C">
        <w:tc>
          <w:tcPr>
            <w:tcW w:w="1662" w:type="pct"/>
            <w:tcBorders>
              <w:bottom w:val="single" w:sz="4" w:space="0" w:color="939598"/>
            </w:tcBorders>
            <w:vAlign w:val="bottom"/>
          </w:tcPr>
          <w:p w14:paraId="437EFD3C" w14:textId="77777777" w:rsidR="00DF636C" w:rsidRPr="00E25744" w:rsidRDefault="00DF636C" w:rsidP="00D1601A">
            <w:pPr>
              <w:pStyle w:val="Table"/>
              <w:rPr>
                <w:rFonts w:cs="Arial"/>
              </w:rPr>
            </w:pPr>
            <w:r w:rsidRPr="00E25744">
              <w:rPr>
                <w:rFonts w:cs="Arial"/>
                <w:szCs w:val="16"/>
                <w:lang w:val="en-GB" w:eastAsia="ja-JP"/>
              </w:rPr>
              <w:t>Cost to employee</w:t>
            </w:r>
          </w:p>
        </w:tc>
        <w:tc>
          <w:tcPr>
            <w:tcW w:w="834" w:type="pct"/>
            <w:tcBorders>
              <w:top w:val="single" w:sz="4" w:space="0" w:color="939598"/>
              <w:bottom w:val="single" w:sz="4" w:space="0" w:color="939598"/>
            </w:tcBorders>
            <w:vAlign w:val="bottom"/>
          </w:tcPr>
          <w:p w14:paraId="79C5AD14" w14:textId="77777777" w:rsidR="00DF636C" w:rsidRPr="00E25744" w:rsidRDefault="00DF636C" w:rsidP="00D1601A">
            <w:pPr>
              <w:pStyle w:val="Table"/>
              <w:jc w:val="center"/>
              <w:rPr>
                <w:rFonts w:cs="Arial"/>
                <w:b/>
              </w:rPr>
            </w:pPr>
            <w:r w:rsidRPr="00E25744">
              <w:rPr>
                <w:rFonts w:cs="Arial"/>
                <w:b/>
                <w:szCs w:val="16"/>
                <w:lang w:val="en-GB" w:eastAsia="ja-JP"/>
              </w:rPr>
              <w:t>1,100</w:t>
            </w:r>
          </w:p>
        </w:tc>
        <w:tc>
          <w:tcPr>
            <w:tcW w:w="835" w:type="pct"/>
            <w:tcBorders>
              <w:bottom w:val="single" w:sz="4" w:space="0" w:color="939598"/>
            </w:tcBorders>
            <w:vAlign w:val="bottom"/>
          </w:tcPr>
          <w:p w14:paraId="2F8DC0A4" w14:textId="77777777" w:rsidR="00DF636C" w:rsidRPr="00E25744" w:rsidRDefault="00DF636C" w:rsidP="00D1601A">
            <w:pPr>
              <w:pStyle w:val="Table"/>
              <w:jc w:val="center"/>
              <w:rPr>
                <w:rFonts w:cs="Arial"/>
              </w:rPr>
            </w:pPr>
          </w:p>
        </w:tc>
        <w:tc>
          <w:tcPr>
            <w:tcW w:w="836" w:type="pct"/>
            <w:tcBorders>
              <w:top w:val="single" w:sz="4" w:space="0" w:color="939598"/>
              <w:bottom w:val="single" w:sz="4" w:space="0" w:color="939598"/>
            </w:tcBorders>
            <w:vAlign w:val="bottom"/>
          </w:tcPr>
          <w:p w14:paraId="6C242E77" w14:textId="77777777" w:rsidR="00DF636C" w:rsidRPr="00E25744" w:rsidRDefault="00DF636C" w:rsidP="00D1601A">
            <w:pPr>
              <w:pStyle w:val="Table"/>
              <w:jc w:val="center"/>
              <w:rPr>
                <w:rFonts w:cs="Arial"/>
                <w:b/>
              </w:rPr>
            </w:pPr>
            <w:r w:rsidRPr="00E25744">
              <w:rPr>
                <w:rFonts w:cs="Arial"/>
                <w:b/>
                <w:szCs w:val="16"/>
                <w:lang w:val="en-GB" w:eastAsia="ja-JP"/>
              </w:rPr>
              <w:t>1,</w:t>
            </w:r>
            <w:r>
              <w:rPr>
                <w:rFonts w:cs="Arial"/>
                <w:b/>
                <w:szCs w:val="16"/>
                <w:lang w:val="en-GB" w:eastAsia="ja-JP"/>
              </w:rPr>
              <w:t>100</w:t>
            </w:r>
          </w:p>
        </w:tc>
        <w:tc>
          <w:tcPr>
            <w:tcW w:w="834" w:type="pct"/>
            <w:tcBorders>
              <w:bottom w:val="single" w:sz="4" w:space="0" w:color="939598"/>
            </w:tcBorders>
            <w:vAlign w:val="bottom"/>
          </w:tcPr>
          <w:p w14:paraId="431771BC" w14:textId="77777777" w:rsidR="00DF636C" w:rsidRPr="00E25744" w:rsidRDefault="00DF636C" w:rsidP="00D1601A">
            <w:pPr>
              <w:pStyle w:val="Table"/>
              <w:jc w:val="center"/>
              <w:rPr>
                <w:rFonts w:cs="Arial"/>
              </w:rPr>
            </w:pPr>
          </w:p>
        </w:tc>
      </w:tr>
      <w:tr w:rsidR="00DF636C" w14:paraId="18A6DCA1" w14:textId="77777777" w:rsidTr="00DF636C">
        <w:tc>
          <w:tcPr>
            <w:tcW w:w="1662" w:type="pct"/>
            <w:tcBorders>
              <w:top w:val="single" w:sz="4" w:space="0" w:color="939598"/>
            </w:tcBorders>
            <w:vAlign w:val="bottom"/>
          </w:tcPr>
          <w:p w14:paraId="57BB1987" w14:textId="77777777" w:rsidR="00DF636C" w:rsidRPr="008D4B62" w:rsidRDefault="00DF636C" w:rsidP="00D1601A">
            <w:pPr>
              <w:pStyle w:val="Table"/>
            </w:pPr>
          </w:p>
        </w:tc>
        <w:tc>
          <w:tcPr>
            <w:tcW w:w="834" w:type="pct"/>
            <w:tcBorders>
              <w:top w:val="single" w:sz="4" w:space="0" w:color="939598"/>
            </w:tcBorders>
            <w:vAlign w:val="bottom"/>
          </w:tcPr>
          <w:p w14:paraId="3FCF375F" w14:textId="77777777" w:rsidR="00DF636C" w:rsidRDefault="00DF636C" w:rsidP="00D1601A">
            <w:pPr>
              <w:pStyle w:val="Table"/>
              <w:jc w:val="center"/>
            </w:pPr>
          </w:p>
        </w:tc>
        <w:tc>
          <w:tcPr>
            <w:tcW w:w="835" w:type="pct"/>
            <w:tcBorders>
              <w:top w:val="single" w:sz="4" w:space="0" w:color="939598"/>
            </w:tcBorders>
            <w:vAlign w:val="bottom"/>
          </w:tcPr>
          <w:p w14:paraId="0B8BFD80" w14:textId="77777777" w:rsidR="00DF636C" w:rsidRDefault="00DF636C" w:rsidP="00D1601A">
            <w:pPr>
              <w:pStyle w:val="Table"/>
              <w:jc w:val="center"/>
            </w:pPr>
          </w:p>
        </w:tc>
        <w:tc>
          <w:tcPr>
            <w:tcW w:w="836" w:type="pct"/>
            <w:tcBorders>
              <w:top w:val="single" w:sz="4" w:space="0" w:color="939598"/>
            </w:tcBorders>
            <w:vAlign w:val="bottom"/>
          </w:tcPr>
          <w:p w14:paraId="1488BDA4" w14:textId="77777777" w:rsidR="00DF636C" w:rsidRDefault="00DF636C" w:rsidP="00D1601A">
            <w:pPr>
              <w:pStyle w:val="Table"/>
              <w:jc w:val="center"/>
            </w:pPr>
          </w:p>
        </w:tc>
        <w:tc>
          <w:tcPr>
            <w:tcW w:w="834" w:type="pct"/>
            <w:tcBorders>
              <w:top w:val="single" w:sz="4" w:space="0" w:color="939598"/>
            </w:tcBorders>
            <w:vAlign w:val="bottom"/>
          </w:tcPr>
          <w:p w14:paraId="5CE00183" w14:textId="77777777" w:rsidR="00DF636C" w:rsidRDefault="00DF636C" w:rsidP="00D1601A">
            <w:pPr>
              <w:pStyle w:val="Table"/>
              <w:jc w:val="center"/>
            </w:pPr>
          </w:p>
        </w:tc>
      </w:tr>
    </w:tbl>
    <w:p w14:paraId="7D437EAB" w14:textId="77777777" w:rsidR="00B21DE8" w:rsidRDefault="00B21DE8" w:rsidP="00B21DE8">
      <w:pPr>
        <w:pStyle w:val="Heading2"/>
      </w:pPr>
    </w:p>
    <w:p w14:paraId="4C20FE6A" w14:textId="42BD8FD4" w:rsidR="00DF636C" w:rsidRPr="004445F6" w:rsidRDefault="00DF636C" w:rsidP="00B21DE8">
      <w:pPr>
        <w:pStyle w:val="Heading2"/>
      </w:pPr>
      <w:r w:rsidRPr="004445F6">
        <w:t>Reportable fringe benefits and payment summaries</w:t>
      </w:r>
    </w:p>
    <w:p w14:paraId="28CD123C" w14:textId="21C5B3D5" w:rsidR="00DF636C" w:rsidRPr="00E4159F" w:rsidRDefault="00DF636C" w:rsidP="00B21DE8">
      <w:pPr>
        <w:rPr>
          <w:lang w:val="en-GB" w:eastAsia="ja-JP"/>
        </w:rPr>
      </w:pPr>
      <w:r w:rsidRPr="00E4159F">
        <w:rPr>
          <w:lang w:val="en-GB" w:eastAsia="ja-JP"/>
        </w:rPr>
        <w:t>Where an employee’s total taxable value (i.e. non</w:t>
      </w:r>
      <w:r>
        <w:rPr>
          <w:lang w:val="en-GB" w:eastAsia="ja-JP"/>
        </w:rPr>
        <w:t>-</w:t>
      </w:r>
      <w:r w:rsidRPr="00E4159F">
        <w:rPr>
          <w:lang w:val="en-GB" w:eastAsia="ja-JP"/>
        </w:rPr>
        <w:t>grossed-up value) of fringe benefits provided exceeds $2,000, the employer is required to include the grossed-up taxable amount of the fringe benefits provided to the employee on the employee’s payment summary. For the purposes of calculating this $2,000 cap certain fringe benefits are excluded</w:t>
      </w:r>
      <w:r>
        <w:rPr>
          <w:lang w:val="en-GB" w:eastAsia="ja-JP"/>
        </w:rPr>
        <w:t>,</w:t>
      </w:r>
      <w:r w:rsidRPr="00E4159F">
        <w:rPr>
          <w:lang w:val="en-GB" w:eastAsia="ja-JP"/>
        </w:rPr>
        <w:t xml:space="preserve"> such as meal entertainment benefits, car parking benefits and certain remote area fringe benefits. The gross-up rate to be used for the </w:t>
      </w:r>
      <w:r w:rsidR="003A5FCE">
        <w:rPr>
          <w:lang w:val="en-GB" w:eastAsia="ja-JP"/>
        </w:rPr>
        <w:t xml:space="preserve">2024 </w:t>
      </w:r>
      <w:r w:rsidRPr="00E4159F">
        <w:rPr>
          <w:lang w:val="en-GB" w:eastAsia="ja-JP"/>
        </w:rPr>
        <w:t xml:space="preserve"> FBT year in respect of reportable fringe benefits is 1.8868 regardless of whether the benefits provided are Type 1 or Type 2 benefits. </w:t>
      </w:r>
    </w:p>
    <w:p w14:paraId="5E414696" w14:textId="77777777" w:rsidR="00DF636C" w:rsidRPr="00683F7C" w:rsidRDefault="00DF636C" w:rsidP="00B21DE8">
      <w:pPr>
        <w:rPr>
          <w:lang w:val="en-GB" w:eastAsia="ja-JP"/>
        </w:rPr>
      </w:pPr>
      <w:r w:rsidRPr="00E4159F">
        <w:rPr>
          <w:lang w:val="en-GB" w:eastAsia="ja-JP"/>
        </w:rPr>
        <w:t>An employee’s reportable fringe benefits amount will be taken into account for the purposes of, amongst other things, applying the Medicare Levy Surcharge, calculating Higher Education Loan Payment (HELP) repayments or determining an individual’s entitlement to the spouse superannuation tax offset</w:t>
      </w:r>
      <w:r>
        <w:rPr>
          <w:lang w:val="en-GB" w:eastAsia="ja-JP"/>
        </w:rPr>
        <w:t>.</w:t>
      </w:r>
    </w:p>
    <w:p w14:paraId="093DCA94" w14:textId="77777777" w:rsidR="00DF636C" w:rsidRPr="00F25BCF" w:rsidRDefault="00DF636C" w:rsidP="00F64EED">
      <w:pPr>
        <w:pStyle w:val="Heading2"/>
        <w:rPr>
          <w:lang w:val="en-GB" w:eastAsia="ja-JP"/>
        </w:rPr>
      </w:pPr>
      <w:r w:rsidRPr="00F25BCF">
        <w:rPr>
          <w:lang w:val="en-GB" w:eastAsia="ja-JP"/>
        </w:rPr>
        <w:t>FBT and COVID-19</w:t>
      </w:r>
    </w:p>
    <w:p w14:paraId="73261B7B" w14:textId="2E7AF47F" w:rsidR="003A5FCE" w:rsidRDefault="003A5FCE" w:rsidP="00F64EED">
      <w:pPr>
        <w:rPr>
          <w:lang w:val="en-GB" w:eastAsia="ja-JP"/>
        </w:rPr>
      </w:pPr>
      <w:r>
        <w:rPr>
          <w:lang w:val="en-GB" w:eastAsia="ja-JP"/>
        </w:rPr>
        <w:t>In prior years, the ATO announced administrative concessions to assist employers impacted by COVID-19.  Please refer to prior year FBT Checklist</w:t>
      </w:r>
      <w:r w:rsidR="003F56D8">
        <w:rPr>
          <w:lang w:val="en-GB" w:eastAsia="ja-JP"/>
        </w:rPr>
        <w:t>s</w:t>
      </w:r>
      <w:r>
        <w:rPr>
          <w:lang w:val="en-GB" w:eastAsia="ja-JP"/>
        </w:rPr>
        <w:t xml:space="preserve"> if amendments to prior year FBT returns is required.</w:t>
      </w:r>
    </w:p>
    <w:p w14:paraId="222FAF82" w14:textId="341108D7" w:rsidR="00DF636C" w:rsidRDefault="00DF636C" w:rsidP="00DF636C">
      <w:pPr>
        <w:pStyle w:val="Heading1"/>
      </w:pPr>
      <w:r>
        <w:t xml:space="preserve">Declarations and other records </w:t>
      </w:r>
    </w:p>
    <w:p w14:paraId="743FC476" w14:textId="77777777" w:rsidR="00DF636C" w:rsidRPr="004445F6" w:rsidRDefault="00DF636C" w:rsidP="002C00D7">
      <w:pPr>
        <w:pStyle w:val="Heading2"/>
      </w:pPr>
      <w:r w:rsidRPr="004445F6">
        <w:t>Declarations</w:t>
      </w:r>
    </w:p>
    <w:p w14:paraId="4D60D0B6" w14:textId="77777777" w:rsidR="00DF636C" w:rsidRDefault="00DF636C" w:rsidP="002C00D7">
      <w:r>
        <w:t>Declarations that may be required include:</w:t>
      </w:r>
    </w:p>
    <w:p w14:paraId="1633BB0C" w14:textId="77777777" w:rsidR="00DF636C" w:rsidRPr="00E4159F" w:rsidRDefault="00DF636C" w:rsidP="002C00D7">
      <w:pPr>
        <w:pStyle w:val="ListBullet"/>
      </w:pPr>
      <w:r w:rsidRPr="00E4159F">
        <w:t>car fringe benefit declaration</w:t>
      </w:r>
    </w:p>
    <w:p w14:paraId="599B8889" w14:textId="77777777" w:rsidR="00DF636C" w:rsidRPr="00E4159F" w:rsidRDefault="00DF636C" w:rsidP="002C00D7">
      <w:pPr>
        <w:pStyle w:val="ListBullet"/>
      </w:pPr>
      <w:r w:rsidRPr="00E4159F">
        <w:t>expense/residual/property benefit declaration. If applicable</w:t>
      </w:r>
      <w:r>
        <w:t>,</w:t>
      </w:r>
      <w:r w:rsidRPr="00E4159F">
        <w:t xml:space="preserve"> one of the following declarations can be made in its place:</w:t>
      </w:r>
    </w:p>
    <w:p w14:paraId="3ED1CD0E" w14:textId="77777777" w:rsidR="00DF636C" w:rsidRPr="00E4159F" w:rsidRDefault="00DF636C" w:rsidP="002C00D7">
      <w:pPr>
        <w:pStyle w:val="ListBullet2"/>
      </w:pPr>
      <w:r w:rsidRPr="00E4159F">
        <w:t>no private use declaration</w:t>
      </w:r>
    </w:p>
    <w:p w14:paraId="11B47166" w14:textId="77777777" w:rsidR="00DF636C" w:rsidRPr="00E4159F" w:rsidRDefault="00DF636C" w:rsidP="002C00D7">
      <w:pPr>
        <w:pStyle w:val="ListBullet2"/>
      </w:pPr>
      <w:r w:rsidRPr="00E4159F">
        <w:t>recurring benefits declaration (can be used for a period of up to five years)</w:t>
      </w:r>
    </w:p>
    <w:p w14:paraId="526F0B54" w14:textId="77777777" w:rsidR="00DF636C" w:rsidRPr="00E4159F" w:rsidRDefault="00DF636C" w:rsidP="002C00D7">
      <w:r w:rsidRPr="00E4159F">
        <w:rPr>
          <w:b/>
        </w:rPr>
        <w:t>Note:</w:t>
      </w:r>
      <w:r w:rsidRPr="00E4159F">
        <w:t xml:space="preserve"> For expense payment fringe benefits in relation to ‘extended travel’ a travel diary is required. Also, the no private use declaration is not available for property fringe benefits.</w:t>
      </w:r>
    </w:p>
    <w:p w14:paraId="091274FA" w14:textId="77777777" w:rsidR="00DF636C" w:rsidRPr="00E4159F" w:rsidRDefault="00DF636C" w:rsidP="002C00D7">
      <w:pPr>
        <w:pStyle w:val="ListBullet"/>
      </w:pPr>
      <w:r w:rsidRPr="00E4159F">
        <w:t>loan fringe benefit declaration</w:t>
      </w:r>
    </w:p>
    <w:p w14:paraId="241E5E08" w14:textId="77777777" w:rsidR="00DF636C" w:rsidRPr="00E4159F" w:rsidRDefault="00DF636C" w:rsidP="002C00D7">
      <w:pPr>
        <w:pStyle w:val="ListBullet"/>
      </w:pPr>
      <w:r w:rsidRPr="00E4159F">
        <w:t xml:space="preserve">living away from home declaration. There are </w:t>
      </w:r>
      <w:r>
        <w:t>three</w:t>
      </w:r>
      <w:r w:rsidRPr="00E4159F">
        <w:t xml:space="preserve"> possible declarations to complete </w:t>
      </w:r>
      <w:r>
        <w:t>for LAFHA arrangements</w:t>
      </w:r>
      <w:r w:rsidRPr="00E4159F">
        <w:t>:</w:t>
      </w:r>
    </w:p>
    <w:p w14:paraId="3C0A3020" w14:textId="77777777" w:rsidR="00DF636C" w:rsidRPr="00E4159F" w:rsidRDefault="00DF636C" w:rsidP="002C00D7">
      <w:pPr>
        <w:pStyle w:val="ListBullet2"/>
      </w:pPr>
      <w:r w:rsidRPr="00E4159F">
        <w:t>living away from home declaration (employees who fly-in fly-out or drive-in drive-out)</w:t>
      </w:r>
    </w:p>
    <w:p w14:paraId="6DE4FF95" w14:textId="77777777" w:rsidR="00DF636C" w:rsidRPr="00E4159F" w:rsidRDefault="00DF636C" w:rsidP="002C00D7">
      <w:pPr>
        <w:pStyle w:val="ListBullet2"/>
      </w:pPr>
      <w:r w:rsidRPr="00E4159F">
        <w:t>living away from home declaration (employee-related expenses)</w:t>
      </w:r>
    </w:p>
    <w:p w14:paraId="052DEDAB" w14:textId="77777777" w:rsidR="00DF636C" w:rsidRPr="00E4159F" w:rsidRDefault="00DF636C" w:rsidP="002C00D7">
      <w:pPr>
        <w:pStyle w:val="ListBullet2"/>
      </w:pPr>
      <w:r w:rsidRPr="00E4159F">
        <w:t>living away from home declaration (employees who maintain an Australian home)</w:t>
      </w:r>
    </w:p>
    <w:p w14:paraId="4E037A62" w14:textId="77777777" w:rsidR="00DF636C" w:rsidRPr="00E4159F" w:rsidRDefault="00DF636C" w:rsidP="002C00D7">
      <w:pPr>
        <w:pStyle w:val="ListBullet"/>
      </w:pPr>
      <w:r w:rsidRPr="00E4159F">
        <w:t>relocation/remote area holiday transport declaration</w:t>
      </w:r>
    </w:p>
    <w:p w14:paraId="767AE374" w14:textId="77777777" w:rsidR="00DF636C" w:rsidRPr="00E4159F" w:rsidRDefault="00DF636C" w:rsidP="002C00D7">
      <w:pPr>
        <w:pStyle w:val="ListBullet"/>
      </w:pPr>
      <w:r w:rsidRPr="00E4159F">
        <w:t>meal entertainment election</w:t>
      </w:r>
    </w:p>
    <w:p w14:paraId="6374E1E2" w14:textId="77777777" w:rsidR="00DF636C" w:rsidRPr="00E4159F" w:rsidRDefault="00DF636C" w:rsidP="002C00D7">
      <w:pPr>
        <w:pStyle w:val="ListBullet"/>
      </w:pPr>
      <w:r w:rsidRPr="00E4159F">
        <w:t>car parking fringe benefit election</w:t>
      </w:r>
      <w:r>
        <w:t>.</w:t>
      </w:r>
    </w:p>
    <w:p w14:paraId="160A87FA" w14:textId="77777777" w:rsidR="00DF636C" w:rsidRDefault="00DF636C" w:rsidP="002C00D7">
      <w:pPr>
        <w:pStyle w:val="Heading3"/>
      </w:pPr>
      <w:r w:rsidRPr="004445F6">
        <w:t xml:space="preserve">Key features of declarations </w:t>
      </w:r>
    </w:p>
    <w:p w14:paraId="2D0F3260" w14:textId="77777777" w:rsidR="00DF636C" w:rsidRPr="00FC70D6" w:rsidRDefault="00DF636C" w:rsidP="002C00D7">
      <w:r w:rsidRPr="00FC70D6">
        <w:t>Declarations normally include the following:</w:t>
      </w:r>
    </w:p>
    <w:p w14:paraId="3B0C5B53" w14:textId="77777777" w:rsidR="00DF636C" w:rsidRPr="00E4159F" w:rsidRDefault="00DF636C" w:rsidP="002C00D7">
      <w:pPr>
        <w:pStyle w:val="ListBullet"/>
      </w:pPr>
      <w:r w:rsidRPr="00E4159F">
        <w:t>name of employee</w:t>
      </w:r>
    </w:p>
    <w:p w14:paraId="64185FCF" w14:textId="77777777" w:rsidR="00DF636C" w:rsidRPr="00E4159F" w:rsidRDefault="00DF636C" w:rsidP="002C00D7">
      <w:pPr>
        <w:pStyle w:val="ListBullet"/>
      </w:pPr>
      <w:r w:rsidRPr="00E4159F">
        <w:t>applicable dates</w:t>
      </w:r>
    </w:p>
    <w:p w14:paraId="16206E2E" w14:textId="77777777" w:rsidR="00DF636C" w:rsidRPr="00E4159F" w:rsidRDefault="00DF636C" w:rsidP="002C00D7">
      <w:pPr>
        <w:pStyle w:val="ListBullet"/>
      </w:pPr>
      <w:r w:rsidRPr="00E4159F">
        <w:t>nature of the expense</w:t>
      </w:r>
    </w:p>
    <w:p w14:paraId="752F965A" w14:textId="77777777" w:rsidR="00DF636C" w:rsidRPr="00E4159F" w:rsidRDefault="00DF636C" w:rsidP="002C00D7">
      <w:pPr>
        <w:pStyle w:val="ListBullet"/>
      </w:pPr>
      <w:r w:rsidRPr="00E4159F">
        <w:t>purpose of incurring the expenses</w:t>
      </w:r>
    </w:p>
    <w:p w14:paraId="3DA7EB03" w14:textId="77777777" w:rsidR="00DF636C" w:rsidRPr="00E4159F" w:rsidRDefault="00DF636C" w:rsidP="002C00D7">
      <w:pPr>
        <w:pStyle w:val="ListBullet"/>
      </w:pPr>
      <w:r w:rsidRPr="00E4159F">
        <w:t xml:space="preserve">the </w:t>
      </w:r>
      <w:r>
        <w:t>extent to which</w:t>
      </w:r>
      <w:r w:rsidRPr="00E4159F">
        <w:t xml:space="preserve"> the expenses, etc. were included in earning assessable income</w:t>
      </w:r>
      <w:r>
        <w:t>.</w:t>
      </w:r>
    </w:p>
    <w:p w14:paraId="0C8CEA23" w14:textId="5A7A5DFD" w:rsidR="00DF636C" w:rsidRDefault="00DF636C" w:rsidP="00DF636C"/>
    <w:p w14:paraId="23749059" w14:textId="7895325F" w:rsidR="00DF636C" w:rsidRDefault="00DF636C" w:rsidP="00DF636C">
      <w:r>
        <w:rPr>
          <w:noProof/>
          <w:lang w:eastAsia="en-AU"/>
        </w:rPr>
        <w:drawing>
          <wp:inline distT="0" distB="0" distL="0" distR="0" wp14:anchorId="11C2AE13" wp14:editId="749CDC3A">
            <wp:extent cx="4021667" cy="19431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0227" cy="1947236"/>
                    </a:xfrm>
                    <a:prstGeom prst="rect">
                      <a:avLst/>
                    </a:prstGeom>
                    <a:noFill/>
                    <a:ln>
                      <a:noFill/>
                    </a:ln>
                  </pic:spPr>
                </pic:pic>
              </a:graphicData>
            </a:graphic>
          </wp:inline>
        </w:drawing>
      </w:r>
    </w:p>
    <w:p w14:paraId="0EBA5EB3" w14:textId="19086686" w:rsidR="00DF636C" w:rsidRDefault="00DF636C" w:rsidP="00DF636C"/>
    <w:p w14:paraId="1E9846CA" w14:textId="77777777" w:rsidR="00DF636C" w:rsidRPr="00AC16A5" w:rsidRDefault="00DF636C" w:rsidP="002C00D7">
      <w:pPr>
        <w:pStyle w:val="Heading2"/>
      </w:pPr>
      <w:r w:rsidRPr="00B879AD">
        <w:t>Log books</w:t>
      </w:r>
    </w:p>
    <w:p w14:paraId="52E079E4" w14:textId="77777777" w:rsidR="00DF636C" w:rsidRDefault="00DF636C" w:rsidP="002C00D7">
      <w:r w:rsidRPr="00E4159F">
        <w:t>To establish the business use of a motor vehicle under the operating costs method</w:t>
      </w:r>
      <w:r>
        <w:t>,</w:t>
      </w:r>
      <w:r w:rsidRPr="00E4159F">
        <w:t xml:space="preserve"> there are two types of records that must be maintained – being log book records and odometer records. In a log book year</w:t>
      </w:r>
      <w:r>
        <w:t>,</w:t>
      </w:r>
      <w:r w:rsidRPr="00E4159F">
        <w:t xml:space="preserve"> both types of records must be maintained. A log book generally must be completed once every five years, and must contain information such as the date, the odometer readings at the beginning and end of each journey, the distance travelled and the purpose of the journey. Odometer records are the total distance travelled during the FBT year.</w:t>
      </w:r>
    </w:p>
    <w:p w14:paraId="3EEB61A0" w14:textId="77777777" w:rsidR="005E35D3" w:rsidRDefault="005E35D3" w:rsidP="005E35D3">
      <w:pPr>
        <w:pStyle w:val="Heading3"/>
      </w:pPr>
      <w:r>
        <w:t>Reduction to FBT record-keeping requirements – from 1 April 2024</w:t>
      </w:r>
    </w:p>
    <w:p w14:paraId="670D0439" w14:textId="1095D312" w:rsidR="005E35D3" w:rsidRDefault="005E35D3" w:rsidP="005E35D3">
      <w:pPr>
        <w:rPr>
          <w:lang w:val="en-GB" w:eastAsia="ja-JP"/>
        </w:rPr>
      </w:pPr>
      <w:r>
        <w:rPr>
          <w:lang w:val="en-GB" w:eastAsia="ja-JP"/>
        </w:rPr>
        <w:t xml:space="preserve">An employer is required to keep records for 5 years that identify and explain all transactions relevant to determined their FBT liability (section 132 of </w:t>
      </w:r>
      <w:r w:rsidR="008F6E92">
        <w:rPr>
          <w:lang w:val="en-GB" w:eastAsia="ja-JP"/>
        </w:rPr>
        <w:t>Fringe Benefits Tax Assessment Act 1986</w:t>
      </w:r>
      <w:r w:rsidR="00CF5045">
        <w:rPr>
          <w:lang w:val="en-GB" w:eastAsia="ja-JP"/>
        </w:rPr>
        <w:t xml:space="preserve"> (FBTAA)</w:t>
      </w:r>
      <w:r>
        <w:rPr>
          <w:lang w:val="en-GB" w:eastAsia="ja-JP"/>
        </w:rPr>
        <w:t>).</w:t>
      </w:r>
    </w:p>
    <w:p w14:paraId="7967FB62" w14:textId="5ECF03A6" w:rsidR="005E35D3" w:rsidRDefault="005E35D3" w:rsidP="005E35D3">
      <w:pPr>
        <w:rPr>
          <w:lang w:val="en-GB" w:eastAsia="ja-JP"/>
        </w:rPr>
      </w:pPr>
      <w:r>
        <w:rPr>
          <w:lang w:val="en-GB" w:eastAsia="ja-JP"/>
        </w:rPr>
        <w:t xml:space="preserve">From 1 April 2024, and in relation to the substantiation of fringe benefits payable in 2025 FBT Returns, to ensure FBT record keeping requirements are satisfied, employers will be able to use existing corporate records in certain circumstances, rather than the current prescribed methods (eg employee declarations </w:t>
      </w:r>
      <w:r w:rsidR="00CF5045">
        <w:rPr>
          <w:lang w:val="en-GB" w:eastAsia="ja-JP"/>
        </w:rPr>
        <w:t>–</w:t>
      </w:r>
      <w:r>
        <w:rPr>
          <w:lang w:val="en-GB" w:eastAsia="ja-JP"/>
        </w:rPr>
        <w:t xml:space="preserve"> refer above) and in order to comply with their FBT record-keeping obligations.  </w:t>
      </w:r>
    </w:p>
    <w:p w14:paraId="2523E866" w14:textId="46CBD44A" w:rsidR="005E35D3" w:rsidRDefault="005E35D3" w:rsidP="401C1377">
      <w:pPr>
        <w:rPr>
          <w:lang w:eastAsia="ja-JP"/>
        </w:rPr>
      </w:pPr>
      <w:r w:rsidRPr="401C1377">
        <w:rPr>
          <w:lang w:eastAsia="ja-JP"/>
        </w:rPr>
        <w:t>Instead of requiring employers to create additional records and employee declarations, in 2023, the ATO were given administrative powers to determine new adequate alternative record keeping requirements in order to reduce business FBT compliance costs (refer section 123AA of the</w:t>
      </w:r>
      <w:r w:rsidR="00CF5045" w:rsidRPr="401C1377">
        <w:rPr>
          <w:lang w:eastAsia="ja-JP"/>
        </w:rPr>
        <w:t xml:space="preserve"> FBTAA</w:t>
      </w:r>
      <w:r w:rsidRPr="401C1377">
        <w:rPr>
          <w:lang w:eastAsia="ja-JP"/>
        </w:rPr>
        <w:t xml:space="preserve">).  </w:t>
      </w:r>
    </w:p>
    <w:p w14:paraId="6D974607" w14:textId="77777777" w:rsidR="005E35D3" w:rsidRDefault="005E35D3" w:rsidP="005E35D3">
      <w:pPr>
        <w:rPr>
          <w:lang w:val="en-GB" w:eastAsia="ja-JP"/>
        </w:rPr>
      </w:pPr>
      <w:r>
        <w:rPr>
          <w:lang w:val="en-GB" w:eastAsia="ja-JP"/>
        </w:rPr>
        <w:t>At the date of this publication, and for preparation of the 2025 FBT Returns, a list of the current FBT determinations for reduced FBT record-keeping requirements is contained in Appendix C.</w:t>
      </w:r>
    </w:p>
    <w:p w14:paraId="43DD6586" w14:textId="77777777" w:rsidR="005E35D3" w:rsidRPr="0023149C" w:rsidRDefault="005E35D3" w:rsidP="002C00D7"/>
    <w:p w14:paraId="1FC8A435" w14:textId="1E0C5520" w:rsidR="00DF636C" w:rsidRDefault="00DF636C" w:rsidP="00DF636C">
      <w:pPr>
        <w:pStyle w:val="Heading1"/>
      </w:pPr>
      <w:r>
        <w:t xml:space="preserve">Planning techniques </w:t>
      </w:r>
    </w:p>
    <w:p w14:paraId="1D1EB07A" w14:textId="77777777" w:rsidR="00DF636C" w:rsidRPr="00E4159F" w:rsidRDefault="00DF636C" w:rsidP="002C00D7">
      <w:pPr>
        <w:pStyle w:val="Heading2"/>
      </w:pPr>
      <w:r w:rsidRPr="00E4159F">
        <w:t>FBT rate</w:t>
      </w:r>
    </w:p>
    <w:p w14:paraId="3D64FBAE" w14:textId="406C7355" w:rsidR="00DF636C" w:rsidRPr="00E4159F" w:rsidRDefault="00DF636C" w:rsidP="002C00D7">
      <w:r w:rsidRPr="00B33521">
        <w:t>FBT is payable on the sum of the employer’s type 1 aggregate fringe benefit amount and type 2 aggregate fringe benefit amount (i.e. the grossed-up value of taxable fringe benefits). The FBT rate is 47</w:t>
      </w:r>
      <w:r>
        <w:t>%</w:t>
      </w:r>
      <w:r w:rsidRPr="00B33521">
        <w:t xml:space="preserve"> for the FBT year ended 31 March </w:t>
      </w:r>
      <w:r w:rsidR="003A5FCE">
        <w:t>2024.</w:t>
      </w:r>
    </w:p>
    <w:p w14:paraId="6618275D" w14:textId="77777777" w:rsidR="00DF636C" w:rsidRPr="00E4159F" w:rsidRDefault="00DF636C" w:rsidP="002C00D7">
      <w:pPr>
        <w:pStyle w:val="Heading2"/>
      </w:pPr>
      <w:r w:rsidRPr="00E4159F">
        <w:t>Otherwise deductible rule</w:t>
      </w:r>
    </w:p>
    <w:p w14:paraId="47AAFCDE" w14:textId="77777777" w:rsidR="00DF636C" w:rsidRPr="00E4159F" w:rsidRDefault="00DF636C" w:rsidP="002C00D7">
      <w:r w:rsidRPr="00E4159F">
        <w:t xml:space="preserve">The taxable value of a fringe benefit can generally be reduced to the extent that the employee would be entitled to a </w:t>
      </w:r>
      <w:r>
        <w:t>‘</w:t>
      </w:r>
      <w:r w:rsidRPr="00E4159F">
        <w:t>once only</w:t>
      </w:r>
      <w:r>
        <w:t>’</w:t>
      </w:r>
      <w:r w:rsidRPr="00E4159F">
        <w:t xml:space="preserve"> income tax deduction had he/she purchased the benefit.</w:t>
      </w:r>
    </w:p>
    <w:p w14:paraId="05B3A193" w14:textId="77777777" w:rsidR="00DF636C" w:rsidRPr="00E4159F" w:rsidRDefault="00DF636C" w:rsidP="002C00D7">
      <w:pPr>
        <w:pStyle w:val="Heading2"/>
      </w:pPr>
      <w:r w:rsidRPr="00E4159F">
        <w:t>General advantages of salary packaging</w:t>
      </w:r>
    </w:p>
    <w:p w14:paraId="574A3E78" w14:textId="77777777" w:rsidR="00DF636C" w:rsidRDefault="00DF636C" w:rsidP="002C00D7">
      <w:r>
        <w:t>Salary packaging can be advantageous because:</w:t>
      </w:r>
    </w:p>
    <w:p w14:paraId="564B7907" w14:textId="77777777" w:rsidR="00DF636C" w:rsidRPr="00DB4E5D" w:rsidRDefault="00DF636C" w:rsidP="002C00D7">
      <w:pPr>
        <w:pStyle w:val="ListBullet"/>
      </w:pPr>
      <w:r w:rsidRPr="00DB4E5D">
        <w:t>the net cost of exempt and concessionally taxed fringe benefits are less than the net cost of funding the purchase of such benefits from an employee’s after-tax salary</w:t>
      </w:r>
    </w:p>
    <w:p w14:paraId="286EEFEA" w14:textId="77777777" w:rsidR="00DF636C" w:rsidRDefault="00DF636C" w:rsidP="002C00D7">
      <w:pPr>
        <w:pStyle w:val="ListBullet"/>
      </w:pPr>
      <w:r w:rsidRPr="00E4159F">
        <w:t>exempt and concessionally taxed benefits are not fully subject to Payroll tax and WorkCover</w:t>
      </w:r>
    </w:p>
    <w:p w14:paraId="42F6ACD7" w14:textId="77777777" w:rsidR="00DF636C" w:rsidRPr="00DB4E5D" w:rsidRDefault="00DF636C" w:rsidP="002C00D7">
      <w:pPr>
        <w:pStyle w:val="ListBullet"/>
      </w:pPr>
      <w:r w:rsidRPr="00DB4E5D">
        <w:t>employee loyalty</w:t>
      </w:r>
      <w:r>
        <w:t xml:space="preserve"> benefits can arise, for example, </w:t>
      </w:r>
      <w:r w:rsidRPr="00DB4E5D">
        <w:t>employees may be more likely to remain with an employer where a significant portion of their salary is packaged</w:t>
      </w:r>
      <w:r>
        <w:t>.</w:t>
      </w:r>
    </w:p>
    <w:p w14:paraId="0C517CDD" w14:textId="77777777" w:rsidR="00DF636C" w:rsidRPr="00E4159F" w:rsidRDefault="00DF636C" w:rsidP="002C00D7">
      <w:pPr>
        <w:pStyle w:val="Heading2"/>
      </w:pPr>
      <w:r w:rsidRPr="00E4159F">
        <w:t>Cars</w:t>
      </w:r>
    </w:p>
    <w:p w14:paraId="2D2FEC13" w14:textId="77777777" w:rsidR="00DF636C" w:rsidRPr="00E4159F" w:rsidRDefault="00DF636C" w:rsidP="002C00D7">
      <w:r w:rsidRPr="00E4159F">
        <w:t>The statutory formula method in relation to the calculation of a car fringe benefit still results in the provision of a car benefit being concessionally taxed.</w:t>
      </w:r>
    </w:p>
    <w:p w14:paraId="22805AD0" w14:textId="77777777" w:rsidR="00DF636C" w:rsidRPr="00E4159F" w:rsidRDefault="00DF636C" w:rsidP="002C00D7">
      <w:r w:rsidRPr="00E4159F">
        <w:t>As the statutory formula method of calculating fringe benefits is based on the number of days the car is available for private use, there is the possibility of reducing the taxable value of the fringe benefit by reducing the number of days the car is</w:t>
      </w:r>
      <w:r>
        <w:t xml:space="preserve"> available for private</w:t>
      </w:r>
      <w:r w:rsidRPr="00E4159F">
        <w:t xml:space="preserve"> use. For example, if an employee has two cars available to use, the high cost car could remain garaged on the employer’s premises during the working week and </w:t>
      </w:r>
      <w:r>
        <w:t xml:space="preserve">only be </w:t>
      </w:r>
      <w:r w:rsidRPr="00E4159F">
        <w:t>used on the weekends. The second vehicle, which is owned by the employee can be used during the week to travel to and from work. The taxable value of the car can be reduced significantly using this strategy.</w:t>
      </w:r>
    </w:p>
    <w:p w14:paraId="3128A319" w14:textId="77777777" w:rsidR="00DF636C" w:rsidRPr="00E4159F" w:rsidRDefault="00DF636C" w:rsidP="002C00D7">
      <w:r w:rsidRPr="00E4159F">
        <w:t xml:space="preserve">It is important to note that a flat statutory </w:t>
      </w:r>
      <w:r>
        <w:t>fraction of 0.2</w:t>
      </w:r>
      <w:r w:rsidRPr="00E4159F">
        <w:t xml:space="preserve"> will apply in calculating the taxable value of a car fringe benefit under the statutory formula method unless the car was acquired under an agreement entered into prior to 7.30 p.m. on 10 May 2011, and there has been no change to the pre-existing commitments under that agreement after that date. Accordingly, the estimated number of kilometres travelled is generally no longer a factor in the provision of car fringe benefits. </w:t>
      </w:r>
    </w:p>
    <w:p w14:paraId="7F05BF22" w14:textId="0290BA55" w:rsidR="00DF636C" w:rsidRPr="00E4159F" w:rsidRDefault="00DF636C" w:rsidP="002C00D7">
      <w:r w:rsidRPr="00E4159F">
        <w:t xml:space="preserve">Leases entered into after 20 August 1996 may affect the method of packaging an employee’s motor vehicle. Leases for motor vehicles in excess of </w:t>
      </w:r>
      <w:r w:rsidR="00755DA9">
        <w:t>$68,108</w:t>
      </w:r>
      <w:r w:rsidRPr="00E4159F">
        <w:t xml:space="preserve"> (i.e. the depreciation cost limit for the </w:t>
      </w:r>
      <w:r w:rsidR="003A5FCE">
        <w:t xml:space="preserve">2023-24 </w:t>
      </w:r>
      <w:r w:rsidRPr="00E4159F">
        <w:t xml:space="preserve"> financial year) entered into after this date will be treated in a similar way as hire purchase arrangements.</w:t>
      </w:r>
    </w:p>
    <w:p w14:paraId="1A827F61" w14:textId="77777777" w:rsidR="00DF636C" w:rsidRPr="00E4159F" w:rsidRDefault="00DF636C" w:rsidP="002C00D7">
      <w:r w:rsidRPr="00E4159F">
        <w:t>Where an employee purchases a motor vehicle at the end of a lease, there will be no FBT implications if the amount paid by the employee equals the residual payment and the lease was a bona fide lease. Income Tax Ruling IT 28 set</w:t>
      </w:r>
      <w:r>
        <w:t>s</w:t>
      </w:r>
      <w:r w:rsidRPr="00E4159F">
        <w:t xml:space="preserve"> out that a lease is bona fide where the residual value exceeds the minimum residual value taking into account the original cost of the motor vehicle and the term of the lease. Also, there are no FBT implications if the employee subsequently sells the motor vehicle for a value higher than the residual payment.</w:t>
      </w:r>
    </w:p>
    <w:p w14:paraId="1B5D61D1" w14:textId="77777777" w:rsidR="00DF636C" w:rsidRDefault="00DF636C" w:rsidP="002C00D7">
      <w:r w:rsidRPr="00E4159F">
        <w:t>The fringe benefits reporting exclusion for the pooled or shared private use by employees of their employer’s cars commenced on 1</w:t>
      </w:r>
      <w:r>
        <w:t> </w:t>
      </w:r>
      <w:r w:rsidRPr="00E4159F">
        <w:t>April 2007. The reporting exclusion means that the provision of that benefit is not required to be reported on the employee’s payment summary. A pooled or shared car is a car that is used by more than one employee for private purposes (including home to work travel) during the FBT year.</w:t>
      </w:r>
    </w:p>
    <w:p w14:paraId="687E3D87" w14:textId="77777777" w:rsidR="00DF636C" w:rsidRPr="00254504" w:rsidRDefault="00DF636C" w:rsidP="002C00D7">
      <w:pPr>
        <w:rPr>
          <w:rFonts w:cs="Arial"/>
        </w:rPr>
      </w:pPr>
      <w:r w:rsidRPr="00254504">
        <w:rPr>
          <w:rFonts w:cs="Arial"/>
          <w:b/>
          <w:bCs/>
        </w:rPr>
        <w:t xml:space="preserve">Electric vehicles exemption: </w:t>
      </w:r>
      <w:r w:rsidRPr="00254504">
        <w:rPr>
          <w:rFonts w:cs="Arial"/>
        </w:rPr>
        <w:t xml:space="preserve">From 1 July 2022 employers will not pay FBT on eligible electric cars and associated car expenses if all of the conditions are met: </w:t>
      </w:r>
    </w:p>
    <w:p w14:paraId="4E0B637F" w14:textId="77777777" w:rsidR="00DF636C" w:rsidRPr="00254504" w:rsidRDefault="00DF636C" w:rsidP="002C00D7">
      <w:pPr>
        <w:pStyle w:val="ListNumber"/>
        <w:rPr>
          <w:shd w:val="clear" w:color="auto" w:fill="FFFFFF"/>
        </w:rPr>
      </w:pPr>
      <w:r w:rsidRPr="00017F85">
        <w:rPr>
          <w:rStyle w:val="Emphasis"/>
          <w:rFonts w:cs="Arial"/>
          <w:color w:val="232323"/>
          <w:bdr w:val="none" w:sz="0" w:space="0" w:color="auto" w:frame="1"/>
          <w:shd w:val="clear" w:color="auto" w:fill="FFFFFF"/>
        </w:rPr>
        <w:t>The car is a zero or low emissions vehicle.</w:t>
      </w:r>
      <w:r w:rsidRPr="00017F85">
        <w:rPr>
          <w:sz w:val="32"/>
          <w:szCs w:val="32"/>
          <w:shd w:val="clear" w:color="auto" w:fill="FFFFFF"/>
        </w:rPr>
        <w:t> </w:t>
      </w:r>
      <w:r w:rsidRPr="00254504">
        <w:rPr>
          <w:shd w:val="clear" w:color="auto" w:fill="FFFFFF"/>
        </w:rPr>
        <w:t>A zero or low emissions vehicle is a battery electric vehicle, a hydrogen fuel cell electric vehicle, or a plug-in hybrid electric vehicle (</w:t>
      </w:r>
      <w:r w:rsidRPr="00254504">
        <w:rPr>
          <w:b/>
          <w:bCs/>
          <w:shd w:val="clear" w:color="auto" w:fill="FFFFFF"/>
        </w:rPr>
        <w:t>PLEV</w:t>
      </w:r>
      <w:r w:rsidRPr="00254504">
        <w:rPr>
          <w:shd w:val="clear" w:color="auto" w:fill="FFFFFF"/>
        </w:rPr>
        <w:t>). From 1 April 2025, PLEV will not be available for FBT exemption. The exemption only applies to vehicles that are “cars” for FBT purposes, i.e., designed to carry a load of less than one tonne and less than 9 passengers. Other types of electric vehicles, such as electric motorcycles and scooters, will not qualify for the exemption.</w:t>
      </w:r>
    </w:p>
    <w:p w14:paraId="25F4D7DB" w14:textId="77777777" w:rsidR="00DF636C" w:rsidRPr="00352D99" w:rsidRDefault="00DF636C" w:rsidP="002C00D7">
      <w:pPr>
        <w:pStyle w:val="ListNumber"/>
        <w:rPr>
          <w:shd w:val="clear" w:color="auto" w:fill="FFFFFF"/>
        </w:rPr>
      </w:pPr>
      <w:r w:rsidRPr="00352D99">
        <w:rPr>
          <w:shd w:val="clear" w:color="auto" w:fill="FFFFFF"/>
        </w:rPr>
        <w:t>The first time the car is both held and used is on or after 1 July 2022. The car can be held prior to 1 July 2022; however, its first use must be after that date. “Held” means owned, leased, or otherwise made available by another entity.</w:t>
      </w:r>
    </w:p>
    <w:p w14:paraId="3D09A26F" w14:textId="77777777" w:rsidR="00DF636C" w:rsidRPr="00352D99" w:rsidRDefault="00DF636C" w:rsidP="002C00D7">
      <w:pPr>
        <w:pStyle w:val="ListNumber"/>
        <w:rPr>
          <w:shd w:val="clear" w:color="auto" w:fill="FFFFFF"/>
        </w:rPr>
      </w:pPr>
      <w:r w:rsidRPr="00352D99">
        <w:rPr>
          <w:shd w:val="clear" w:color="auto" w:fill="FFFFFF"/>
        </w:rPr>
        <w:t>The car is used by a current employee or their associates (including family members).</w:t>
      </w:r>
    </w:p>
    <w:p w14:paraId="35A946CE" w14:textId="05490B5A" w:rsidR="00DF636C" w:rsidRPr="00254504" w:rsidRDefault="00DF636C" w:rsidP="002C00D7">
      <w:pPr>
        <w:pStyle w:val="ListNumber"/>
        <w:rPr>
          <w:shd w:val="clear" w:color="auto" w:fill="FFFFFF"/>
        </w:rPr>
      </w:pPr>
      <w:r w:rsidRPr="00352D99">
        <w:rPr>
          <w:shd w:val="clear" w:color="auto" w:fill="FFFFFF"/>
        </w:rPr>
        <w:t>No amount of luxury car tax was payable on the supply or importation of the car. This means that the value of the car at the first retail sale must be below the luxury car tax threshold for fuel efficient vehicles (</w:t>
      </w:r>
      <w:r w:rsidR="003206A3">
        <w:rPr>
          <w:shd w:val="clear" w:color="auto" w:fill="FFFFFF"/>
        </w:rPr>
        <w:t>$89,332 in 2023-24</w:t>
      </w:r>
      <w:r w:rsidRPr="00352D99">
        <w:rPr>
          <w:shd w:val="clear" w:color="auto" w:fill="FFFFFF"/>
        </w:rPr>
        <w:t>).</w:t>
      </w:r>
    </w:p>
    <w:p w14:paraId="5720E58B" w14:textId="3EAA13FF" w:rsidR="00DF636C" w:rsidRPr="00352D99" w:rsidRDefault="00DF636C" w:rsidP="00162F9C">
      <w:pPr>
        <w:rPr>
          <w:shd w:val="clear" w:color="auto" w:fill="FFFFFF"/>
        </w:rPr>
      </w:pPr>
      <w:r w:rsidRPr="00352D99">
        <w:rPr>
          <w:shd w:val="clear" w:color="auto" w:fill="FFFFFF"/>
        </w:rPr>
        <w:t xml:space="preserve">Where these conditions are met, the FBT exemption will </w:t>
      </w:r>
      <w:r w:rsidRPr="00254504">
        <w:rPr>
          <w:shd w:val="clear" w:color="auto" w:fill="FFFFFF"/>
        </w:rPr>
        <w:t>include</w:t>
      </w:r>
      <w:r w:rsidRPr="00352D99">
        <w:rPr>
          <w:shd w:val="clear" w:color="auto" w:fill="FFFFFF"/>
        </w:rPr>
        <w:t xml:space="preserve"> associated car expenses for that vehicle, e.g., registration, insurance, repairs or maintenance, and fuel costs. Fuel costs will include the cost of electricity to charge and run the vehicle</w:t>
      </w:r>
      <w:r w:rsidR="00B518DA">
        <w:rPr>
          <w:shd w:val="clear" w:color="auto" w:fill="FFFFFF"/>
        </w:rPr>
        <w:t xml:space="preserve"> </w:t>
      </w:r>
      <w:r w:rsidR="003206A3">
        <w:rPr>
          <w:shd w:val="clear" w:color="auto" w:fill="FFFFFF"/>
        </w:rPr>
        <w:t>(from 1 April 2022, the home charging rate for users of electric vehicles is $0.042 per km – refer ATO PCG 2024/2).</w:t>
      </w:r>
      <w:r w:rsidRPr="00352D99">
        <w:rPr>
          <w:shd w:val="clear" w:color="auto" w:fill="FFFFFF"/>
        </w:rPr>
        <w:t xml:space="preserve"> </w:t>
      </w:r>
    </w:p>
    <w:p w14:paraId="2412EF99" w14:textId="77777777" w:rsidR="00DF636C" w:rsidRPr="00254504" w:rsidRDefault="00DF636C" w:rsidP="00162F9C">
      <w:pPr>
        <w:rPr>
          <w:shd w:val="clear" w:color="auto" w:fill="FFFFFF"/>
        </w:rPr>
      </w:pPr>
      <w:r w:rsidRPr="00352D99">
        <w:rPr>
          <w:shd w:val="clear" w:color="auto" w:fill="FFFFFF"/>
        </w:rPr>
        <w:t>Note that a home charging station is not a car expense associated with providing a car fringe benefit for electric cars</w:t>
      </w:r>
      <w:r w:rsidRPr="00254504">
        <w:rPr>
          <w:shd w:val="clear" w:color="auto" w:fill="FFFFFF"/>
        </w:rPr>
        <w:t xml:space="preserve"> so is not exempt, and if provided will be subject to FBT either as a property fringe benefit or an expense payment fringe benefit. </w:t>
      </w:r>
    </w:p>
    <w:p w14:paraId="057E7BDB" w14:textId="77777777" w:rsidR="00DF636C" w:rsidRPr="00254504" w:rsidRDefault="00DF636C" w:rsidP="00162F9C">
      <w:pPr>
        <w:rPr>
          <w:shd w:val="clear" w:color="auto" w:fill="FFFFFF"/>
        </w:rPr>
      </w:pPr>
      <w:r w:rsidRPr="00254504">
        <w:rPr>
          <w:b/>
          <w:bCs/>
          <w:shd w:val="clear" w:color="auto" w:fill="FFFFFF"/>
        </w:rPr>
        <w:t xml:space="preserve">Critically, exempt electric cars benefit provided are reportable fringe benefits </w:t>
      </w:r>
      <w:r w:rsidRPr="00254504">
        <w:rPr>
          <w:shd w:val="clear" w:color="auto" w:fill="FFFFFF"/>
        </w:rPr>
        <w:t>and though exempt, the value of the benefit must be worked out and included as part of an employee’s reportable fringe benefit amount (</w:t>
      </w:r>
      <w:r w:rsidRPr="00254504">
        <w:rPr>
          <w:b/>
          <w:bCs/>
          <w:shd w:val="clear" w:color="auto" w:fill="FFFFFF"/>
        </w:rPr>
        <w:t>RFBA</w:t>
      </w:r>
      <w:r w:rsidRPr="00254504">
        <w:rPr>
          <w:shd w:val="clear" w:color="auto" w:fill="FFFFFF"/>
        </w:rPr>
        <w:t>). Employers must work out the notional taxable value of the benefits associated with the private use of the exempt electric car. An employee has an RFBA if the total taxable value of certain fringe benefits provided to them (or their associate) is more than $2,000 in an FBT year. The RFBA must be reported through Single Touch Payroll or on the employee’s payment summary.</w:t>
      </w:r>
    </w:p>
    <w:p w14:paraId="606227AB" w14:textId="4799A5CB" w:rsidR="00DF636C" w:rsidRPr="00352D99" w:rsidRDefault="00DF636C" w:rsidP="00162F9C">
      <w:pPr>
        <w:rPr>
          <w:b/>
          <w:bCs/>
          <w:shd w:val="clear" w:color="auto" w:fill="FFFFFF"/>
        </w:rPr>
      </w:pPr>
      <w:r w:rsidRPr="00254504">
        <w:rPr>
          <w:shd w:val="clear" w:color="auto" w:fill="FFFFFF"/>
        </w:rPr>
        <w:t xml:space="preserve">The ATO has released </w:t>
      </w:r>
      <w:bookmarkStart w:id="8" w:name="_Hlk161228701"/>
      <w:r w:rsidR="00A86AC7">
        <w:fldChar w:fldCharType="begin"/>
      </w:r>
      <w:r w:rsidR="00755DA9">
        <w:instrText>HYPERLINK "https://www.ato.gov.au/businesses-and-organisations/hiring-and-paying-your-workers/fringe-benefits-tax/types-of-fringe-benefits/fbt-on-cars-other-vehicles-parking-and-tolls/electric-cars-exemption"</w:instrText>
      </w:r>
      <w:r w:rsidR="00A86AC7">
        <w:fldChar w:fldCharType="separate"/>
      </w:r>
      <w:r w:rsidRPr="00254504">
        <w:rPr>
          <w:rStyle w:val="Hyperlink"/>
          <w:rFonts w:cs="Arial"/>
          <w:i/>
          <w:iCs/>
          <w:sz w:val="17"/>
          <w:szCs w:val="17"/>
          <w:shd w:val="clear" w:color="auto" w:fill="FFFFFF"/>
        </w:rPr>
        <w:t>Electric Cars Exemption</w:t>
      </w:r>
      <w:r w:rsidR="00A86AC7">
        <w:rPr>
          <w:rStyle w:val="Hyperlink"/>
          <w:rFonts w:cs="Arial"/>
          <w:i/>
          <w:iCs/>
          <w:sz w:val="17"/>
          <w:szCs w:val="17"/>
          <w:shd w:val="clear" w:color="auto" w:fill="FFFFFF"/>
        </w:rPr>
        <w:fldChar w:fldCharType="end"/>
      </w:r>
      <w:r w:rsidRPr="00254504">
        <w:rPr>
          <w:i/>
          <w:iCs/>
          <w:shd w:val="clear" w:color="auto" w:fill="FFFFFF"/>
        </w:rPr>
        <w:t xml:space="preserve"> </w:t>
      </w:r>
      <w:bookmarkEnd w:id="8"/>
      <w:r w:rsidRPr="00254504">
        <w:rPr>
          <w:shd w:val="clear" w:color="auto" w:fill="FFFFFF"/>
        </w:rPr>
        <w:t xml:space="preserve">which should be reviewed in implementing this for employees.  </w:t>
      </w:r>
      <w:r w:rsidRPr="00254504">
        <w:rPr>
          <w:b/>
          <w:bCs/>
          <w:shd w:val="clear" w:color="auto" w:fill="FFFFFF"/>
        </w:rPr>
        <w:t xml:space="preserve"> </w:t>
      </w:r>
    </w:p>
    <w:p w14:paraId="6FAECCFA" w14:textId="77777777" w:rsidR="00DF636C" w:rsidRPr="00162F9C" w:rsidRDefault="00DF636C" w:rsidP="00162F9C">
      <w:pPr>
        <w:pStyle w:val="Heading2"/>
      </w:pPr>
      <w:r w:rsidRPr="00162F9C">
        <w:t>Superannuation</w:t>
      </w:r>
    </w:p>
    <w:p w14:paraId="1FFA9652" w14:textId="77777777" w:rsidR="00DF636C" w:rsidRPr="00E4159F" w:rsidRDefault="00DF636C" w:rsidP="00162F9C">
      <w:r w:rsidRPr="00E4159F">
        <w:t>Complying superannuation funds (including benefits paid from such funds) are exempt from FBT as they are concessionally taxed under separate provisions in the income tax law.</w:t>
      </w:r>
    </w:p>
    <w:p w14:paraId="487E39EA" w14:textId="60AFD500" w:rsidR="009D54D5" w:rsidRDefault="00DF636C" w:rsidP="00162F9C">
      <w:r w:rsidRPr="00E4159F">
        <w:t>The attractiveness of salary packaging additional superannuation contributions has been somewhat diminished by reporting requirements in relation to ‘reportable employer superannuation contributions’ (RESC) in payment summaries. RESC include salary sacrifice</w:t>
      </w:r>
      <w:r>
        <w:t>d</w:t>
      </w:r>
      <w:r w:rsidRPr="00E4159F">
        <w:t xml:space="preserve"> amounts and superannuation contributions above the minimum prescribed </w:t>
      </w:r>
      <w:r>
        <w:t>rate</w:t>
      </w:r>
      <w:r w:rsidRPr="00E4159F">
        <w:t xml:space="preserve"> which is currently </w:t>
      </w:r>
      <w:r w:rsidR="009D7A5C">
        <w:t>11</w:t>
      </w:r>
      <w:r>
        <w:t>%</w:t>
      </w:r>
      <w:r w:rsidR="009D7A5C">
        <w:t xml:space="preserve"> in 2023-24</w:t>
      </w:r>
      <w:r w:rsidRPr="00E4159F">
        <w:t xml:space="preserve">. </w:t>
      </w:r>
    </w:p>
    <w:p w14:paraId="6B65993C" w14:textId="366B2BDB" w:rsidR="00DF636C" w:rsidRPr="00E4159F" w:rsidRDefault="00DF636C" w:rsidP="00162F9C">
      <w:r>
        <w:t>S</w:t>
      </w:r>
      <w:r w:rsidRPr="00E4159F">
        <w:t>alary sacrificed superannuation contributions are included in the income tests used to determine an individual’s eligibility for various tax offsets and/or social security programs such as the Family Tax Benefit, Child Care Benefit, Medicare Levy Surcharge and HELP. These changes apply from 1 July 2009.</w:t>
      </w:r>
      <w:r>
        <w:t xml:space="preserve"> </w:t>
      </w:r>
    </w:p>
    <w:p w14:paraId="33B47DA5" w14:textId="548B3811" w:rsidR="00DF636C" w:rsidRDefault="00DF636C" w:rsidP="00162F9C">
      <w:pPr>
        <w:rPr>
          <w:color w:val="051C3C"/>
        </w:rPr>
      </w:pPr>
      <w:r w:rsidRPr="00E4159F">
        <w:t xml:space="preserve">The </w:t>
      </w:r>
      <w:r w:rsidR="00755DA9">
        <w:t>2023-2024</w:t>
      </w:r>
      <w:r w:rsidRPr="00E4159F">
        <w:t xml:space="preserve"> concessional contributions cap for superannuation contributions made to a complying superannuation fund(s) in respect of a member is $2</w:t>
      </w:r>
      <w:r>
        <w:t>7</w:t>
      </w:r>
      <w:r w:rsidRPr="00E4159F">
        <w:t>,</w:t>
      </w:r>
      <w:r>
        <w:t>5</w:t>
      </w:r>
      <w:r w:rsidRPr="00E4159F">
        <w:t>00 for all individuals</w:t>
      </w:r>
      <w:r>
        <w:t>,</w:t>
      </w:r>
      <w:r w:rsidRPr="00E4159F">
        <w:t xml:space="preserve"> regardless of age</w:t>
      </w:r>
      <w:r>
        <w:t xml:space="preserve">. </w:t>
      </w:r>
    </w:p>
    <w:p w14:paraId="27C4D4C7" w14:textId="77777777" w:rsidR="00DF636C" w:rsidRPr="00E4159F" w:rsidRDefault="00DF636C" w:rsidP="00162F9C">
      <w:pPr>
        <w:pStyle w:val="Heading2"/>
      </w:pPr>
      <w:r w:rsidRPr="00E4159F">
        <w:t>From 13 May 2008 – Eligible Work-Related Items</w:t>
      </w:r>
    </w:p>
    <w:p w14:paraId="4523A498" w14:textId="77777777" w:rsidR="00DF636C" w:rsidRPr="00E4159F" w:rsidRDefault="00DF636C" w:rsidP="00162F9C">
      <w:r w:rsidRPr="00E4159F">
        <w:t>The following items may be exempt eligible work-related items provided that they are intended to be used primarily in employee’s employment:</w:t>
      </w:r>
    </w:p>
    <w:p w14:paraId="036E2DF2" w14:textId="77777777" w:rsidR="00DF636C" w:rsidRPr="00E4159F" w:rsidRDefault="00DF636C" w:rsidP="00162F9C">
      <w:pPr>
        <w:pStyle w:val="ListBullet"/>
      </w:pPr>
      <w:r w:rsidRPr="00E4159F">
        <w:t>portable electronic device, including laptops, tablets, mobile phones</w:t>
      </w:r>
      <w:r>
        <w:t>,</w:t>
      </w:r>
      <w:r w:rsidRPr="00E4159F">
        <w:t xml:space="preserve"> portable printers</w:t>
      </w:r>
      <w:r>
        <w:t xml:space="preserve"> and smart watches</w:t>
      </w:r>
    </w:p>
    <w:p w14:paraId="34E53E68" w14:textId="77777777" w:rsidR="00DF636C" w:rsidRPr="00E4159F" w:rsidRDefault="00DF636C" w:rsidP="00162F9C">
      <w:pPr>
        <w:pStyle w:val="ListBullet"/>
      </w:pPr>
      <w:r w:rsidRPr="00E4159F">
        <w:t>computer software</w:t>
      </w:r>
    </w:p>
    <w:p w14:paraId="5997FD09" w14:textId="77777777" w:rsidR="00DF636C" w:rsidRPr="00E4159F" w:rsidRDefault="00DF636C" w:rsidP="00162F9C">
      <w:pPr>
        <w:pStyle w:val="ListBullet"/>
      </w:pPr>
      <w:r w:rsidRPr="00E4159F">
        <w:t>protective clothing</w:t>
      </w:r>
    </w:p>
    <w:p w14:paraId="36D339A2" w14:textId="77777777" w:rsidR="00DF636C" w:rsidRPr="00E4159F" w:rsidRDefault="00DF636C" w:rsidP="00162F9C">
      <w:pPr>
        <w:pStyle w:val="ListBullet"/>
      </w:pPr>
      <w:r w:rsidRPr="00E4159F">
        <w:t>briefcase</w:t>
      </w:r>
      <w:r>
        <w:t>s</w:t>
      </w:r>
    </w:p>
    <w:p w14:paraId="6056BCE3" w14:textId="77777777" w:rsidR="00DF636C" w:rsidRPr="00E4159F" w:rsidRDefault="00DF636C" w:rsidP="00162F9C">
      <w:pPr>
        <w:pStyle w:val="ListBullet"/>
      </w:pPr>
      <w:r w:rsidRPr="00E4159F">
        <w:t>tools of trade.</w:t>
      </w:r>
    </w:p>
    <w:p w14:paraId="7A9943C7" w14:textId="77777777" w:rsidR="00DF636C" w:rsidRPr="00E4159F" w:rsidRDefault="00DF636C" w:rsidP="00162F9C">
      <w:r w:rsidRPr="00E4159F">
        <w:t xml:space="preserve">A laptop may therefore qualify as an eligible work-related item as a portable electronic device and is FBT exempt provided that it is intended to be used primarily for work-related purposes. </w:t>
      </w:r>
    </w:p>
    <w:p w14:paraId="64CA1809" w14:textId="77777777" w:rsidR="00DF636C" w:rsidRPr="00E4159F" w:rsidRDefault="00DF636C" w:rsidP="00162F9C">
      <w:r w:rsidRPr="00E4159F">
        <w:t>An employee can be provided with more than one portable electronic device, provided the items do not have substantially identical functions and are used primarily for work-related purposes.</w:t>
      </w:r>
    </w:p>
    <w:p w14:paraId="3808FD18" w14:textId="77777777" w:rsidR="00DF636C" w:rsidRPr="00E4159F" w:rsidRDefault="00DF636C" w:rsidP="00162F9C">
      <w:r w:rsidRPr="00E4159F">
        <w:t>This exemption is limited to one item per FBT year for items that have a substantially identical function, unless the item is a replacement item.</w:t>
      </w:r>
    </w:p>
    <w:p w14:paraId="4BE243CE" w14:textId="7BF2C08F" w:rsidR="00DF636C" w:rsidRPr="00E4159F" w:rsidRDefault="00DF636C" w:rsidP="00162F9C">
      <w:r>
        <w:t>F</w:t>
      </w:r>
      <w:r w:rsidRPr="00E4159F">
        <w:t xml:space="preserve">rom 1 April 2016, an employer who is a small business entity </w:t>
      </w:r>
      <w:r>
        <w:t>is</w:t>
      </w:r>
      <w:r w:rsidRPr="00E4159F">
        <w:t xml:space="preserve"> able to provide more than one electronic device to an employee which have substantially identical functions which will be exempt provided the primary work test is met for each device. An entity will be regarded as a small business entity for the </w:t>
      </w:r>
      <w:r>
        <w:t>202</w:t>
      </w:r>
      <w:r w:rsidR="00162390">
        <w:t>4</w:t>
      </w:r>
      <w:r w:rsidRPr="00E4159F">
        <w:t xml:space="preserve"> FBT year if it carries on a business and its aggregated turnover is less than $</w:t>
      </w:r>
      <w:r>
        <w:t>50</w:t>
      </w:r>
      <w:r w:rsidRPr="00E4159F">
        <w:t xml:space="preserve"> million</w:t>
      </w:r>
      <w:r>
        <w:t>.</w:t>
      </w:r>
      <w:r w:rsidRPr="00E4159F">
        <w:t xml:space="preserve"> </w:t>
      </w:r>
    </w:p>
    <w:p w14:paraId="53B31834" w14:textId="2AE891FF" w:rsidR="00162F9C" w:rsidRPr="00162F9C" w:rsidRDefault="00DF636C" w:rsidP="00162F9C">
      <w:r w:rsidRPr="00E4159F">
        <w:t>Appropriate substantiation must be retained to show that the items are used primarily for work-related purposes.</w:t>
      </w:r>
    </w:p>
    <w:p w14:paraId="433BBFBF" w14:textId="77777777" w:rsidR="00DF636C" w:rsidRPr="00E4159F" w:rsidRDefault="00DF636C" w:rsidP="00162F9C">
      <w:pPr>
        <w:pStyle w:val="Heading2"/>
      </w:pPr>
      <w:r w:rsidRPr="00E4159F">
        <w:t>Other exemptions include:</w:t>
      </w:r>
    </w:p>
    <w:p w14:paraId="6637E43E" w14:textId="77777777" w:rsidR="00DF636C" w:rsidRPr="00E4159F" w:rsidRDefault="00DF636C" w:rsidP="00162F9C">
      <w:pPr>
        <w:pStyle w:val="ListBullet"/>
      </w:pPr>
      <w:r w:rsidRPr="00E4159F">
        <w:t>use of employer’s staff amenities</w:t>
      </w:r>
    </w:p>
    <w:p w14:paraId="093C00E8" w14:textId="77777777" w:rsidR="00DF636C" w:rsidRPr="00E4159F" w:rsidRDefault="00DF636C" w:rsidP="00162F9C">
      <w:pPr>
        <w:pStyle w:val="ListBullet"/>
      </w:pPr>
      <w:r w:rsidRPr="00E4159F">
        <w:t>compassionate travel</w:t>
      </w:r>
    </w:p>
    <w:p w14:paraId="5DFB8AB6" w14:textId="77777777" w:rsidR="00DF636C" w:rsidRPr="00E4159F" w:rsidRDefault="00DF636C" w:rsidP="00162F9C">
      <w:pPr>
        <w:pStyle w:val="ListBullet"/>
      </w:pPr>
      <w:r w:rsidRPr="00E4159F">
        <w:t>fly-in fly-out arrangements where the work is performed in a remote area in Australia (e.g. on an oil rig)</w:t>
      </w:r>
    </w:p>
    <w:p w14:paraId="16055E6F" w14:textId="77777777" w:rsidR="00DF636C" w:rsidRPr="00E4159F" w:rsidRDefault="00DF636C" w:rsidP="00162F9C">
      <w:pPr>
        <w:pStyle w:val="ListBullet"/>
      </w:pPr>
      <w:r w:rsidRPr="00E4159F">
        <w:t>costs incurred in respect of travel for employees and future employees in relation to employment interviews and selection tests</w:t>
      </w:r>
    </w:p>
    <w:p w14:paraId="67047488" w14:textId="77777777" w:rsidR="00DF636C" w:rsidRPr="00E4159F" w:rsidRDefault="00DF636C" w:rsidP="00162F9C">
      <w:pPr>
        <w:pStyle w:val="ListBullet"/>
      </w:pPr>
      <w:r w:rsidRPr="00E4159F">
        <w:t>certain long service leave and safety awards</w:t>
      </w:r>
    </w:p>
    <w:p w14:paraId="30F765B1" w14:textId="77777777" w:rsidR="00DF636C" w:rsidRPr="00E4159F" w:rsidRDefault="00DF636C" w:rsidP="00162F9C">
      <w:pPr>
        <w:pStyle w:val="ListBullet"/>
      </w:pPr>
      <w:r w:rsidRPr="00E4159F">
        <w:t>certain emergency assistance given in respect of health care</w:t>
      </w:r>
    </w:p>
    <w:p w14:paraId="1E04FA70" w14:textId="77777777" w:rsidR="00DF636C" w:rsidRPr="00E4159F" w:rsidRDefault="00DF636C" w:rsidP="00162F9C">
      <w:pPr>
        <w:pStyle w:val="ListBullet"/>
      </w:pPr>
      <w:r w:rsidRPr="00E4159F">
        <w:t>where trainees are engaged under an Australian traineeship system, an exemption is provided in respect of food, drink and accommodation</w:t>
      </w:r>
    </w:p>
    <w:p w14:paraId="40086AF0" w14:textId="77777777" w:rsidR="00DF636C" w:rsidRPr="00E4159F" w:rsidRDefault="00DF636C" w:rsidP="00162F9C">
      <w:pPr>
        <w:pStyle w:val="ListBullet"/>
      </w:pPr>
      <w:r w:rsidRPr="00E4159F">
        <w:t>food and drink provided for non live-in domestic employees where the employer is a natural person or a religious institution</w:t>
      </w:r>
    </w:p>
    <w:p w14:paraId="1DFB4145" w14:textId="77777777" w:rsidR="00DF636C" w:rsidRDefault="00DF636C" w:rsidP="00162F9C">
      <w:pPr>
        <w:pStyle w:val="ListBullet"/>
      </w:pPr>
      <w:r w:rsidRPr="00E4159F">
        <w:t>food, drink and accommodation provided for live-in help for elderly or disadvantaged persons. There is also an exemption where the person is employed by a religious institution.</w:t>
      </w:r>
    </w:p>
    <w:p w14:paraId="4B03C3DD" w14:textId="77777777" w:rsidR="00DF636C" w:rsidRPr="00E4159F" w:rsidRDefault="00DF636C" w:rsidP="00162F9C">
      <w:pPr>
        <w:pStyle w:val="ListBullet"/>
      </w:pPr>
      <w:r>
        <w:t xml:space="preserve">Retraining expenses </w:t>
      </w:r>
    </w:p>
    <w:p w14:paraId="6A7DE048" w14:textId="77777777" w:rsidR="00DF636C" w:rsidRPr="00E4159F" w:rsidRDefault="00DF636C" w:rsidP="00162F9C">
      <w:pPr>
        <w:pStyle w:val="Heading2"/>
      </w:pPr>
      <w:r w:rsidRPr="00E4159F">
        <w:t>Childcare and recreational facilities</w:t>
      </w:r>
    </w:p>
    <w:p w14:paraId="7A1212AE" w14:textId="77777777" w:rsidR="00DF636C" w:rsidRPr="00E4159F" w:rsidRDefault="00DF636C" w:rsidP="00162F9C">
      <w:r w:rsidRPr="00E4159F">
        <w:t>The provision of childcare on the employer’s premises is an exempt residual fringe benefit. Recreational facilities</w:t>
      </w:r>
      <w:r>
        <w:t>, e.g. gym facilities</w:t>
      </w:r>
      <w:r w:rsidRPr="00E4159F">
        <w:t xml:space="preserve"> are also exempt when they are on the employer’s premises.</w:t>
      </w:r>
      <w:r>
        <w:t xml:space="preserve"> However, instructor led gym classes may not be exempt.</w:t>
      </w:r>
    </w:p>
    <w:p w14:paraId="226385F6" w14:textId="77777777" w:rsidR="00DF636C" w:rsidRDefault="00DF636C" w:rsidP="00162F9C">
      <w:r w:rsidRPr="00E4159F">
        <w:t xml:space="preserve">Payment of an external childcare facility priority access fee is an exempt fringe benefit. However, if the employer pays or reimburses the childcare fees, it will be subject to </w:t>
      </w:r>
      <w:r>
        <w:t>FBT</w:t>
      </w:r>
      <w:r w:rsidRPr="00E4159F">
        <w:t>.</w:t>
      </w:r>
    </w:p>
    <w:p w14:paraId="5F1705CF" w14:textId="77777777" w:rsidR="00DF636C" w:rsidRPr="00162F9C" w:rsidRDefault="00DF636C" w:rsidP="00DF636C">
      <w:pPr>
        <w:pStyle w:val="BodyHeading4"/>
        <w:spacing w:before="100" w:after="100" w:line="276" w:lineRule="auto"/>
        <w:rPr>
          <w:rFonts w:asciiTheme="majorHAnsi" w:eastAsiaTheme="minorHAnsi" w:hAnsiTheme="majorHAnsi"/>
          <w:b w:val="0"/>
          <w:color w:val="090D46" w:themeColor="text1"/>
          <w:spacing w:val="20"/>
          <w:sz w:val="28"/>
          <w:szCs w:val="28"/>
          <w:lang w:val="en-AU" w:eastAsia="en-US"/>
        </w:rPr>
      </w:pPr>
      <w:r w:rsidRPr="00162F9C">
        <w:rPr>
          <w:rFonts w:asciiTheme="majorHAnsi" w:eastAsiaTheme="minorHAnsi" w:hAnsiTheme="majorHAnsi"/>
          <w:b w:val="0"/>
          <w:color w:val="090D46" w:themeColor="text1"/>
          <w:spacing w:val="20"/>
          <w:sz w:val="28"/>
          <w:szCs w:val="28"/>
          <w:lang w:val="en-AU" w:eastAsia="en-US"/>
        </w:rPr>
        <w:t>Employee share plans</w:t>
      </w:r>
    </w:p>
    <w:p w14:paraId="1146AF11" w14:textId="77777777" w:rsidR="00DF636C" w:rsidRPr="00E4159F" w:rsidRDefault="00DF636C" w:rsidP="00162F9C">
      <w:r w:rsidRPr="00E4159F">
        <w:t xml:space="preserve">Employee share plans </w:t>
      </w:r>
      <w:r>
        <w:t>subject</w:t>
      </w:r>
      <w:r w:rsidRPr="00E4159F">
        <w:t xml:space="preserve"> to Division 83A of </w:t>
      </w:r>
      <w:r w:rsidRPr="00DB4E5D">
        <w:rPr>
          <w:i/>
        </w:rPr>
        <w:t>the Income Tax Assessment Act</w:t>
      </w:r>
      <w:r w:rsidRPr="00E4159F">
        <w:t xml:space="preserve"> </w:t>
      </w:r>
      <w:r w:rsidRPr="00FC70D6">
        <w:rPr>
          <w:i/>
        </w:rPr>
        <w:t>1997</w:t>
      </w:r>
      <w:r w:rsidRPr="00E4159F">
        <w:t xml:space="preserve"> are exempt from </w:t>
      </w:r>
      <w:r>
        <w:t>FBT</w:t>
      </w:r>
      <w:r w:rsidRPr="00E4159F">
        <w:t>. In addition, under Division 83A</w:t>
      </w:r>
      <w:r>
        <w:t xml:space="preserve">, </w:t>
      </w:r>
      <w:r w:rsidRPr="00E4159F">
        <w:t xml:space="preserve">if certain conditions are satisfied, the first $1,000 of the discount received will be exempt from tax in the hands of the employee, or the timing of </w:t>
      </w:r>
      <w:r>
        <w:t>the assessability of an</w:t>
      </w:r>
      <w:r w:rsidRPr="00E4159F">
        <w:t xml:space="preserve">y discount on employee share scheme interests can be deferred. Also, </w:t>
      </w:r>
      <w:r>
        <w:t>f</w:t>
      </w:r>
      <w:r w:rsidRPr="00E4159F">
        <w:t>rom 1 July 2015</w:t>
      </w:r>
      <w:r>
        <w:t>,</w:t>
      </w:r>
      <w:r w:rsidRPr="00E4159F">
        <w:t xml:space="preserve"> additional tax concessions for shares or rights acquired in eligible start-up companies</w:t>
      </w:r>
      <w:r>
        <w:t xml:space="preserve"> may be available</w:t>
      </w:r>
      <w:r w:rsidRPr="00E4159F">
        <w:t>.</w:t>
      </w:r>
    </w:p>
    <w:p w14:paraId="5FB6E2FC" w14:textId="77777777" w:rsidR="00DF636C" w:rsidRPr="00162F9C" w:rsidRDefault="00DF636C" w:rsidP="00DF636C">
      <w:pPr>
        <w:pStyle w:val="BodyHeading4"/>
        <w:spacing w:before="100" w:after="100" w:line="276" w:lineRule="auto"/>
        <w:rPr>
          <w:rFonts w:asciiTheme="majorHAnsi" w:eastAsiaTheme="minorHAnsi" w:hAnsiTheme="majorHAnsi"/>
          <w:b w:val="0"/>
          <w:color w:val="090D46" w:themeColor="text1"/>
          <w:spacing w:val="20"/>
          <w:sz w:val="28"/>
          <w:szCs w:val="28"/>
          <w:lang w:val="en-AU" w:eastAsia="en-US"/>
        </w:rPr>
      </w:pPr>
      <w:r w:rsidRPr="00162F9C">
        <w:rPr>
          <w:rFonts w:asciiTheme="majorHAnsi" w:eastAsiaTheme="minorHAnsi" w:hAnsiTheme="majorHAnsi"/>
          <w:b w:val="0"/>
          <w:color w:val="090D46" w:themeColor="text1"/>
          <w:spacing w:val="20"/>
          <w:sz w:val="28"/>
          <w:szCs w:val="28"/>
          <w:lang w:val="en-AU" w:eastAsia="en-US"/>
        </w:rPr>
        <w:t>Relocation benefits</w:t>
      </w:r>
    </w:p>
    <w:p w14:paraId="062EC627" w14:textId="77777777" w:rsidR="00DF636C" w:rsidRPr="00E4159F" w:rsidRDefault="00DF636C" w:rsidP="00162F9C">
      <w:r w:rsidRPr="00E4159F">
        <w:t xml:space="preserve">There are a number of relocation benefits that can be provided, which will be exempt from </w:t>
      </w:r>
      <w:r>
        <w:t>FBT</w:t>
      </w:r>
      <w:r w:rsidRPr="00E4159F">
        <w:t>. For example, relocation transport travel</w:t>
      </w:r>
      <w:r>
        <w:t xml:space="preserve"> and</w:t>
      </w:r>
      <w:r w:rsidRPr="00E4159F">
        <w:t xml:space="preserve"> removal and storage expenses for both the employee and his</w:t>
      </w:r>
      <w:r>
        <w:t xml:space="preserve"> or </w:t>
      </w:r>
      <w:r w:rsidRPr="00E4159F">
        <w:t>her family are exempt benefits.</w:t>
      </w:r>
    </w:p>
    <w:p w14:paraId="4B746929" w14:textId="77777777" w:rsidR="00DF636C" w:rsidRPr="00E4159F" w:rsidRDefault="00DF636C" w:rsidP="00162F9C">
      <w:r w:rsidRPr="00E4159F">
        <w:t>Costs associated with the sale or purchase of a house are exempt, as well as hotel accommodation and meals in limited circumstances.</w:t>
      </w:r>
    </w:p>
    <w:p w14:paraId="4BF31D11" w14:textId="77777777" w:rsidR="00DF636C" w:rsidRPr="00162F9C" w:rsidRDefault="00DF636C" w:rsidP="00DF636C">
      <w:pPr>
        <w:pStyle w:val="BodyHeading4"/>
        <w:spacing w:before="100" w:after="100" w:line="276" w:lineRule="auto"/>
        <w:rPr>
          <w:rFonts w:asciiTheme="majorHAnsi" w:eastAsiaTheme="minorHAnsi" w:hAnsiTheme="majorHAnsi"/>
          <w:b w:val="0"/>
          <w:color w:val="090D46" w:themeColor="text1"/>
          <w:spacing w:val="20"/>
          <w:sz w:val="28"/>
          <w:szCs w:val="28"/>
          <w:lang w:val="en-AU" w:eastAsia="en-US"/>
        </w:rPr>
      </w:pPr>
      <w:r w:rsidRPr="00162F9C">
        <w:rPr>
          <w:rFonts w:asciiTheme="majorHAnsi" w:eastAsiaTheme="minorHAnsi" w:hAnsiTheme="majorHAnsi"/>
          <w:b w:val="0"/>
          <w:color w:val="090D46" w:themeColor="text1"/>
          <w:spacing w:val="20"/>
          <w:sz w:val="28"/>
          <w:szCs w:val="28"/>
          <w:lang w:val="en-AU" w:eastAsia="en-US"/>
        </w:rPr>
        <w:t>Exempt employers</w:t>
      </w:r>
    </w:p>
    <w:p w14:paraId="48AEE07A" w14:textId="77777777" w:rsidR="00DF636C" w:rsidRPr="00E4159F" w:rsidRDefault="00DF636C" w:rsidP="00162F9C">
      <w:r w:rsidRPr="00E4159F">
        <w:t>The following types of employers are not subject to FBT:</w:t>
      </w:r>
    </w:p>
    <w:p w14:paraId="77E69736" w14:textId="77777777" w:rsidR="00DF636C" w:rsidRPr="00E4159F" w:rsidRDefault="00DF636C" w:rsidP="00162F9C">
      <w:pPr>
        <w:pStyle w:val="ListBullet"/>
      </w:pPr>
      <w:r w:rsidRPr="00E4159F">
        <w:t>religious institutions, where the benefits are provided to religious practitioners engaged in pastoral duties</w:t>
      </w:r>
    </w:p>
    <w:p w14:paraId="6443EC39" w14:textId="77777777" w:rsidR="00DF636C" w:rsidRPr="00E4159F" w:rsidRDefault="00DF636C" w:rsidP="00162F9C">
      <w:pPr>
        <w:pStyle w:val="ListBullet"/>
      </w:pPr>
      <w:r w:rsidRPr="00E4159F">
        <w:t>international bodies</w:t>
      </w:r>
      <w:r>
        <w:t>: a</w:t>
      </w:r>
      <w:r w:rsidRPr="00254504">
        <w:t>ny benefits provided by organisations covered by the International Organisations (Privileges and Immunities) Act 1963 or granted an exemption by an international agreement to which Australia is a party.</w:t>
      </w:r>
    </w:p>
    <w:p w14:paraId="1CCA3F6B" w14:textId="0B9ACCA2" w:rsidR="00DF636C" w:rsidRDefault="00DF636C" w:rsidP="00162F9C">
      <w:pPr>
        <w:pStyle w:val="ListBullet"/>
      </w:pPr>
      <w:r>
        <w:t xml:space="preserve">employers to which </w:t>
      </w:r>
      <w:r w:rsidRPr="00E4159F">
        <w:t xml:space="preserve">diplomatic </w:t>
      </w:r>
      <w:r>
        <w:t xml:space="preserve">and </w:t>
      </w:r>
      <w:r w:rsidRPr="00E4159F">
        <w:t>consular immunities</w:t>
      </w:r>
      <w:r>
        <w:t xml:space="preserve"> apply</w:t>
      </w:r>
      <w:r w:rsidRPr="00E4159F">
        <w:t>.</w:t>
      </w:r>
    </w:p>
    <w:p w14:paraId="4CA92829" w14:textId="77777777" w:rsidR="00162F9C" w:rsidRPr="00E4159F" w:rsidRDefault="00162F9C" w:rsidP="006654AD">
      <w:pPr>
        <w:pStyle w:val="ListBullet"/>
        <w:numPr>
          <w:ilvl w:val="0"/>
          <w:numId w:val="0"/>
        </w:numPr>
        <w:ind w:left="360"/>
      </w:pPr>
    </w:p>
    <w:p w14:paraId="15EFB740" w14:textId="77777777" w:rsidR="00DF636C" w:rsidRPr="00162F9C" w:rsidRDefault="00DF636C" w:rsidP="00DF636C">
      <w:pPr>
        <w:pStyle w:val="BodyHeading4"/>
        <w:spacing w:before="100" w:after="100" w:line="276" w:lineRule="auto"/>
        <w:rPr>
          <w:rFonts w:asciiTheme="majorHAnsi" w:eastAsiaTheme="minorHAnsi" w:hAnsiTheme="majorHAnsi"/>
          <w:b w:val="0"/>
          <w:color w:val="090D46" w:themeColor="text1"/>
          <w:spacing w:val="20"/>
          <w:sz w:val="28"/>
          <w:szCs w:val="28"/>
          <w:lang w:val="en-AU" w:eastAsia="en-US"/>
        </w:rPr>
      </w:pPr>
      <w:r w:rsidRPr="00162F9C">
        <w:rPr>
          <w:rFonts w:asciiTheme="majorHAnsi" w:eastAsiaTheme="minorHAnsi" w:hAnsiTheme="majorHAnsi"/>
          <w:b w:val="0"/>
          <w:color w:val="090D46" w:themeColor="text1"/>
          <w:spacing w:val="20"/>
          <w:sz w:val="28"/>
          <w:szCs w:val="28"/>
          <w:lang w:val="en-AU" w:eastAsia="en-US"/>
        </w:rPr>
        <w:t>$1,000 exemption</w:t>
      </w:r>
    </w:p>
    <w:p w14:paraId="2855E1C0" w14:textId="77777777" w:rsidR="00DF636C" w:rsidRPr="00E4159F" w:rsidRDefault="00DF636C" w:rsidP="00162F9C">
      <w:r w:rsidRPr="00E4159F">
        <w:t xml:space="preserve">Concessional valuation rules apply to in-house property, residual and expense payment fringe benefits. </w:t>
      </w:r>
      <w:r>
        <w:t>T</w:t>
      </w:r>
      <w:r w:rsidRPr="00E4159F">
        <w:t xml:space="preserve">he first $1,000 of the aggregate of the taxable values of certain ‘in-house’ fringe benefits given to an employee each year are exempt from </w:t>
      </w:r>
      <w:r>
        <w:t>FBT</w:t>
      </w:r>
      <w:r w:rsidRPr="00E4159F">
        <w:t>.</w:t>
      </w:r>
    </w:p>
    <w:p w14:paraId="01C251E1" w14:textId="77777777" w:rsidR="00DF636C" w:rsidRPr="00E4159F" w:rsidRDefault="00DF636C" w:rsidP="00162F9C">
      <w:r w:rsidRPr="00E4159F">
        <w:t xml:space="preserve">This exemption does not apply where the benefit is provided under a salary packaging arrangement. </w:t>
      </w:r>
    </w:p>
    <w:p w14:paraId="3E86A03F" w14:textId="77777777" w:rsidR="009D54D5" w:rsidRDefault="009D54D5" w:rsidP="00DF636C">
      <w:pPr>
        <w:pStyle w:val="BodyHeading4"/>
        <w:spacing w:before="100" w:after="100" w:line="276" w:lineRule="auto"/>
        <w:rPr>
          <w:rFonts w:asciiTheme="majorHAnsi" w:eastAsiaTheme="minorHAnsi" w:hAnsiTheme="majorHAnsi"/>
          <w:b w:val="0"/>
          <w:color w:val="090D46" w:themeColor="text1"/>
          <w:spacing w:val="20"/>
          <w:sz w:val="28"/>
          <w:szCs w:val="28"/>
          <w:lang w:val="en-AU" w:eastAsia="en-US"/>
        </w:rPr>
      </w:pPr>
    </w:p>
    <w:p w14:paraId="16CBD106" w14:textId="45007B4A" w:rsidR="00DF636C" w:rsidRPr="00162F9C" w:rsidRDefault="00DF636C" w:rsidP="00DF636C">
      <w:pPr>
        <w:pStyle w:val="BodyHeading4"/>
        <w:spacing w:before="100" w:after="100" w:line="276" w:lineRule="auto"/>
        <w:rPr>
          <w:rFonts w:asciiTheme="majorHAnsi" w:eastAsiaTheme="minorHAnsi" w:hAnsiTheme="majorHAnsi"/>
          <w:b w:val="0"/>
          <w:color w:val="090D46" w:themeColor="text1"/>
          <w:spacing w:val="20"/>
          <w:sz w:val="28"/>
          <w:szCs w:val="28"/>
          <w:lang w:val="en-AU" w:eastAsia="en-US"/>
        </w:rPr>
      </w:pPr>
      <w:r w:rsidRPr="00162F9C">
        <w:rPr>
          <w:rFonts w:asciiTheme="majorHAnsi" w:eastAsiaTheme="minorHAnsi" w:hAnsiTheme="majorHAnsi"/>
          <w:b w:val="0"/>
          <w:color w:val="090D46" w:themeColor="text1"/>
          <w:spacing w:val="20"/>
          <w:sz w:val="28"/>
          <w:szCs w:val="28"/>
          <w:lang w:val="en-AU" w:eastAsia="en-US"/>
        </w:rPr>
        <w:t>Minor benefits</w:t>
      </w:r>
    </w:p>
    <w:p w14:paraId="241E9412" w14:textId="77777777" w:rsidR="00DF636C" w:rsidRPr="00E4159F" w:rsidRDefault="00DF636C" w:rsidP="00162F9C">
      <w:r w:rsidRPr="00E4159F">
        <w:t>Where a benefit is provided that is minor, infrequent and irregular and the taxable value is less than $300 (incl</w:t>
      </w:r>
      <w:r>
        <w:t>uding</w:t>
      </w:r>
      <w:r w:rsidRPr="00E4159F">
        <w:t xml:space="preserve"> GST), it will be exempt from</w:t>
      </w:r>
      <w:r>
        <w:t xml:space="preserve"> FBT</w:t>
      </w:r>
      <w:r w:rsidRPr="00E4159F">
        <w:t>. For a benefit to be considered a minor benefit (refer to Taxation Ruling TR 2007/12), attention must be given to:</w:t>
      </w:r>
    </w:p>
    <w:p w14:paraId="44234C8F" w14:textId="77777777" w:rsidR="00DF636C" w:rsidRPr="00E4159F" w:rsidRDefault="00DF636C" w:rsidP="00162F9C">
      <w:pPr>
        <w:pStyle w:val="ListBullet"/>
      </w:pPr>
      <w:r w:rsidRPr="00E4159F">
        <w:t>the frequency and regularity with which similar or identical benefits are provided</w:t>
      </w:r>
    </w:p>
    <w:p w14:paraId="193CD182" w14:textId="77777777" w:rsidR="00DF636C" w:rsidRPr="00E4159F" w:rsidRDefault="00DF636C" w:rsidP="00162F9C">
      <w:pPr>
        <w:pStyle w:val="ListBullet"/>
      </w:pPr>
      <w:r w:rsidRPr="00E4159F">
        <w:t xml:space="preserve">the sum of the value of </w:t>
      </w:r>
      <w:r>
        <w:t>identical or similar</w:t>
      </w:r>
      <w:r w:rsidRPr="00E4159F">
        <w:t xml:space="preserve"> benefits provided in the year</w:t>
      </w:r>
    </w:p>
    <w:p w14:paraId="4D3E2D9C" w14:textId="11F54034" w:rsidR="00DF636C" w:rsidRDefault="00DF636C" w:rsidP="00162F9C">
      <w:pPr>
        <w:pStyle w:val="ListBullet"/>
      </w:pPr>
      <w:r w:rsidRPr="00E4159F">
        <w:t>the circumstances in which the benefits are provided, i.e. whether they are provided as a reward for services.</w:t>
      </w:r>
    </w:p>
    <w:p w14:paraId="08ACBEE5" w14:textId="0E4BA61A" w:rsidR="00162F9C" w:rsidRDefault="00162F9C" w:rsidP="00162F9C">
      <w:pPr>
        <w:pStyle w:val="ListBullet"/>
        <w:numPr>
          <w:ilvl w:val="0"/>
          <w:numId w:val="0"/>
        </w:numPr>
        <w:ind w:left="360" w:hanging="360"/>
      </w:pPr>
    </w:p>
    <w:p w14:paraId="072FE487" w14:textId="632C04DA" w:rsidR="00162F9C" w:rsidRDefault="00162F9C" w:rsidP="00162F9C">
      <w:pPr>
        <w:pStyle w:val="ListBullet"/>
        <w:numPr>
          <w:ilvl w:val="0"/>
          <w:numId w:val="0"/>
        </w:numPr>
        <w:ind w:left="360" w:hanging="360"/>
      </w:pPr>
    </w:p>
    <w:p w14:paraId="2AC30074" w14:textId="70E36329" w:rsidR="00162F9C" w:rsidRDefault="00162F9C" w:rsidP="00162F9C">
      <w:pPr>
        <w:pStyle w:val="ListBullet"/>
        <w:numPr>
          <w:ilvl w:val="0"/>
          <w:numId w:val="0"/>
        </w:numPr>
        <w:ind w:left="360" w:hanging="360"/>
      </w:pPr>
    </w:p>
    <w:p w14:paraId="5E6014E7" w14:textId="6B4F2757" w:rsidR="00162F9C" w:rsidRDefault="00162F9C" w:rsidP="00162F9C">
      <w:pPr>
        <w:pStyle w:val="ListBullet"/>
        <w:numPr>
          <w:ilvl w:val="0"/>
          <w:numId w:val="0"/>
        </w:numPr>
        <w:ind w:left="360" w:hanging="360"/>
      </w:pPr>
    </w:p>
    <w:p w14:paraId="6B5DA57C" w14:textId="77777777" w:rsidR="009D54D5" w:rsidRDefault="009D54D5" w:rsidP="00162F9C">
      <w:pPr>
        <w:pStyle w:val="ListBullet"/>
        <w:numPr>
          <w:ilvl w:val="0"/>
          <w:numId w:val="0"/>
        </w:numPr>
        <w:ind w:left="360" w:hanging="360"/>
      </w:pPr>
    </w:p>
    <w:p w14:paraId="27E8A8E4" w14:textId="77777777" w:rsidR="009D54D5" w:rsidRDefault="009D54D5" w:rsidP="00162F9C">
      <w:pPr>
        <w:pStyle w:val="ListBullet"/>
        <w:numPr>
          <w:ilvl w:val="0"/>
          <w:numId w:val="0"/>
        </w:numPr>
        <w:ind w:left="360" w:hanging="360"/>
      </w:pPr>
    </w:p>
    <w:p w14:paraId="28224621" w14:textId="77777777" w:rsidR="009D54D5" w:rsidRDefault="009D54D5" w:rsidP="00162F9C">
      <w:pPr>
        <w:pStyle w:val="ListBullet"/>
        <w:numPr>
          <w:ilvl w:val="0"/>
          <w:numId w:val="0"/>
        </w:numPr>
        <w:ind w:left="360" w:hanging="360"/>
      </w:pPr>
    </w:p>
    <w:p w14:paraId="4B4EEB1C" w14:textId="77777777" w:rsidR="009D54D5" w:rsidRDefault="009D54D5" w:rsidP="00162F9C">
      <w:pPr>
        <w:pStyle w:val="ListBullet"/>
        <w:numPr>
          <w:ilvl w:val="0"/>
          <w:numId w:val="0"/>
        </w:numPr>
        <w:ind w:left="360" w:hanging="360"/>
      </w:pPr>
    </w:p>
    <w:p w14:paraId="3D03A3E5" w14:textId="77777777" w:rsidR="009D54D5" w:rsidRDefault="009D54D5" w:rsidP="00162F9C">
      <w:pPr>
        <w:pStyle w:val="ListBullet"/>
        <w:numPr>
          <w:ilvl w:val="0"/>
          <w:numId w:val="0"/>
        </w:numPr>
        <w:ind w:left="360" w:hanging="360"/>
      </w:pPr>
    </w:p>
    <w:p w14:paraId="250126B2" w14:textId="77777777" w:rsidR="009D54D5" w:rsidRDefault="009D54D5" w:rsidP="00162F9C">
      <w:pPr>
        <w:pStyle w:val="ListBullet"/>
        <w:numPr>
          <w:ilvl w:val="0"/>
          <w:numId w:val="0"/>
        </w:numPr>
        <w:ind w:left="360" w:hanging="360"/>
      </w:pPr>
    </w:p>
    <w:p w14:paraId="0AB33AC4" w14:textId="77777777" w:rsidR="00EE6AF5" w:rsidRDefault="00EE6AF5" w:rsidP="00162F9C">
      <w:pPr>
        <w:pStyle w:val="ListBullet"/>
        <w:numPr>
          <w:ilvl w:val="0"/>
          <w:numId w:val="0"/>
        </w:numPr>
        <w:ind w:left="360" w:hanging="360"/>
      </w:pPr>
    </w:p>
    <w:p w14:paraId="0B2639EE" w14:textId="77777777" w:rsidR="00EE6AF5" w:rsidRDefault="00EE6AF5" w:rsidP="00162F9C">
      <w:pPr>
        <w:pStyle w:val="ListBullet"/>
        <w:numPr>
          <w:ilvl w:val="0"/>
          <w:numId w:val="0"/>
        </w:numPr>
        <w:ind w:left="360" w:hanging="360"/>
      </w:pPr>
    </w:p>
    <w:p w14:paraId="4E072614" w14:textId="77777777" w:rsidR="00EE6AF5" w:rsidRDefault="00EE6AF5" w:rsidP="00162F9C">
      <w:pPr>
        <w:pStyle w:val="ListBullet"/>
        <w:numPr>
          <w:ilvl w:val="0"/>
          <w:numId w:val="0"/>
        </w:numPr>
        <w:ind w:left="360" w:hanging="360"/>
      </w:pPr>
    </w:p>
    <w:p w14:paraId="27B5F2D5" w14:textId="77777777" w:rsidR="00EE6AF5" w:rsidRDefault="00EE6AF5" w:rsidP="00162F9C">
      <w:pPr>
        <w:pStyle w:val="ListBullet"/>
        <w:numPr>
          <w:ilvl w:val="0"/>
          <w:numId w:val="0"/>
        </w:numPr>
        <w:ind w:left="360" w:hanging="360"/>
      </w:pPr>
    </w:p>
    <w:p w14:paraId="3AB995D5" w14:textId="77777777" w:rsidR="00EE6AF5" w:rsidRDefault="00EE6AF5" w:rsidP="00162F9C">
      <w:pPr>
        <w:pStyle w:val="ListBullet"/>
        <w:numPr>
          <w:ilvl w:val="0"/>
          <w:numId w:val="0"/>
        </w:numPr>
        <w:ind w:left="360" w:hanging="360"/>
      </w:pPr>
    </w:p>
    <w:p w14:paraId="42EC2868" w14:textId="77777777" w:rsidR="00EE6AF5" w:rsidRDefault="00EE6AF5" w:rsidP="00162F9C">
      <w:pPr>
        <w:pStyle w:val="ListBullet"/>
        <w:numPr>
          <w:ilvl w:val="0"/>
          <w:numId w:val="0"/>
        </w:numPr>
        <w:ind w:left="360" w:hanging="360"/>
      </w:pPr>
    </w:p>
    <w:p w14:paraId="6D1DED0E" w14:textId="77777777" w:rsidR="00EE6AF5" w:rsidRDefault="00EE6AF5" w:rsidP="00162F9C">
      <w:pPr>
        <w:pStyle w:val="ListBullet"/>
        <w:numPr>
          <w:ilvl w:val="0"/>
          <w:numId w:val="0"/>
        </w:numPr>
        <w:ind w:left="360" w:hanging="360"/>
      </w:pPr>
    </w:p>
    <w:p w14:paraId="375FDD3E" w14:textId="77777777" w:rsidR="00EE6AF5" w:rsidRDefault="00EE6AF5" w:rsidP="00162F9C">
      <w:pPr>
        <w:pStyle w:val="ListBullet"/>
        <w:numPr>
          <w:ilvl w:val="0"/>
          <w:numId w:val="0"/>
        </w:numPr>
        <w:ind w:left="360" w:hanging="360"/>
      </w:pPr>
    </w:p>
    <w:p w14:paraId="5A2A6784" w14:textId="74A50993" w:rsidR="00DF636C" w:rsidRDefault="00DF636C" w:rsidP="00DF636C">
      <w:pPr>
        <w:pStyle w:val="Heading1"/>
      </w:pPr>
      <w:r>
        <w:t xml:space="preserve">Appendix A </w:t>
      </w:r>
    </w:p>
    <w:p w14:paraId="05B2BB76" w14:textId="5191C7D5" w:rsidR="00DF636C" w:rsidRDefault="00DF636C" w:rsidP="00DF636C"/>
    <w:tbl>
      <w:tblPr>
        <w:tblStyle w:val="RACVTable"/>
        <w:tblW w:w="4885" w:type="pct"/>
        <w:tblLook w:val="04A0" w:firstRow="1" w:lastRow="0" w:firstColumn="1" w:lastColumn="0" w:noHBand="0" w:noVBand="1"/>
      </w:tblPr>
      <w:tblGrid>
        <w:gridCol w:w="2745"/>
        <w:gridCol w:w="2334"/>
        <w:gridCol w:w="2334"/>
        <w:gridCol w:w="1234"/>
        <w:gridCol w:w="1102"/>
      </w:tblGrid>
      <w:tr w:rsidR="00DF636C" w14:paraId="17022215" w14:textId="77777777" w:rsidTr="001A738B">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6E7B9B4F" w14:textId="77777777" w:rsidR="00DF636C" w:rsidRPr="00E4159F" w:rsidRDefault="00DF636C" w:rsidP="00D1601A">
            <w:pPr>
              <w:pStyle w:val="Table"/>
              <w:spacing w:before="100" w:after="100"/>
              <w:jc w:val="center"/>
              <w:rPr>
                <w:sz w:val="18"/>
                <w:szCs w:val="18"/>
              </w:rPr>
            </w:pPr>
            <w:r w:rsidRPr="00E4159F">
              <w:rPr>
                <w:sz w:val="18"/>
                <w:szCs w:val="18"/>
              </w:rPr>
              <w:t>Summary of entertainment deductibility and FBT treatment for taxable employers</w:t>
            </w:r>
          </w:p>
        </w:tc>
      </w:tr>
      <w:tr w:rsidR="00DF636C" w:rsidRPr="008B77E4" w14:paraId="69B523ED" w14:textId="77777777" w:rsidTr="001A738B">
        <w:trPr>
          <w:cnfStyle w:val="000000100000" w:firstRow="0" w:lastRow="0" w:firstColumn="0" w:lastColumn="0" w:oddVBand="0" w:evenVBand="0" w:oddHBand="1" w:evenHBand="0" w:firstRowFirstColumn="0" w:firstRowLastColumn="0" w:lastRowFirstColumn="0" w:lastRowLastColumn="0"/>
        </w:trPr>
        <w:tc>
          <w:tcPr>
            <w:tcW w:w="1408" w:type="pct"/>
          </w:tcPr>
          <w:p w14:paraId="47E2472F" w14:textId="77777777" w:rsidR="00DF636C" w:rsidRPr="001A738B" w:rsidRDefault="00DF636C" w:rsidP="001A738B">
            <w:pPr>
              <w:rPr>
                <w:b/>
                <w:bCs/>
              </w:rPr>
            </w:pPr>
            <w:r w:rsidRPr="001A738B">
              <w:rPr>
                <w:b/>
                <w:bCs/>
              </w:rPr>
              <w:t>Location</w:t>
            </w:r>
          </w:p>
        </w:tc>
        <w:tc>
          <w:tcPr>
            <w:tcW w:w="1197" w:type="pct"/>
          </w:tcPr>
          <w:p w14:paraId="4ED1C1D2" w14:textId="77777777" w:rsidR="00DF636C" w:rsidRPr="001A738B" w:rsidRDefault="00DF636C" w:rsidP="001A738B">
            <w:pPr>
              <w:rPr>
                <w:b/>
                <w:bCs/>
              </w:rPr>
            </w:pPr>
            <w:r w:rsidRPr="001A738B">
              <w:rPr>
                <w:b/>
                <w:bCs/>
              </w:rPr>
              <w:t>Nature of expenditure</w:t>
            </w:r>
          </w:p>
        </w:tc>
        <w:tc>
          <w:tcPr>
            <w:tcW w:w="1197" w:type="pct"/>
          </w:tcPr>
          <w:p w14:paraId="600576C5" w14:textId="77777777" w:rsidR="00DF636C" w:rsidRPr="001A738B" w:rsidRDefault="00DF636C" w:rsidP="001A738B">
            <w:pPr>
              <w:rPr>
                <w:b/>
                <w:bCs/>
              </w:rPr>
            </w:pPr>
            <w:r w:rsidRPr="001A738B">
              <w:rPr>
                <w:b/>
                <w:bCs/>
              </w:rPr>
              <w:t>Attendee</w:t>
            </w:r>
          </w:p>
        </w:tc>
        <w:tc>
          <w:tcPr>
            <w:tcW w:w="633" w:type="pct"/>
          </w:tcPr>
          <w:p w14:paraId="4CAA4978" w14:textId="77777777" w:rsidR="00DF636C" w:rsidRPr="001A738B" w:rsidRDefault="00DF636C" w:rsidP="001A738B">
            <w:pPr>
              <w:rPr>
                <w:b/>
                <w:bCs/>
              </w:rPr>
            </w:pPr>
            <w:r w:rsidRPr="001A738B">
              <w:rPr>
                <w:b/>
                <w:bCs/>
              </w:rPr>
              <w:t xml:space="preserve">Tax deductible </w:t>
            </w:r>
          </w:p>
        </w:tc>
        <w:tc>
          <w:tcPr>
            <w:tcW w:w="565" w:type="pct"/>
          </w:tcPr>
          <w:p w14:paraId="3BD15BA2" w14:textId="77777777" w:rsidR="00DF636C" w:rsidRPr="001A738B" w:rsidRDefault="00DF636C" w:rsidP="001A738B">
            <w:pPr>
              <w:rPr>
                <w:b/>
                <w:bCs/>
              </w:rPr>
            </w:pPr>
            <w:r w:rsidRPr="001A738B">
              <w:rPr>
                <w:b/>
                <w:bCs/>
              </w:rPr>
              <w:t>FBT payable</w:t>
            </w:r>
          </w:p>
        </w:tc>
      </w:tr>
      <w:tr w:rsidR="00DF636C" w14:paraId="0FF1C49B" w14:textId="77777777" w:rsidTr="001A738B">
        <w:tc>
          <w:tcPr>
            <w:tcW w:w="1408" w:type="pct"/>
            <w:vMerge w:val="restart"/>
          </w:tcPr>
          <w:p w14:paraId="65301F46" w14:textId="77777777" w:rsidR="00DF636C" w:rsidRPr="00E4159F" w:rsidRDefault="00DF636C" w:rsidP="001A738B">
            <w:r w:rsidRPr="00E4159F">
              <w:t>Employer premises but not in an ‘in-house dining facility’.</w:t>
            </w:r>
          </w:p>
        </w:tc>
        <w:tc>
          <w:tcPr>
            <w:tcW w:w="1197" w:type="pct"/>
          </w:tcPr>
          <w:p w14:paraId="022CBB04" w14:textId="77777777" w:rsidR="00DF636C" w:rsidRPr="0012767A" w:rsidRDefault="00DF636C" w:rsidP="001A738B">
            <w:pPr>
              <w:rPr>
                <w:rFonts w:cs="Arial"/>
              </w:rPr>
            </w:pPr>
            <w:r w:rsidRPr="0012767A">
              <w:rPr>
                <w:rFonts w:cs="Arial"/>
              </w:rPr>
              <w:t>Non-entertainment*</w:t>
            </w:r>
          </w:p>
        </w:tc>
        <w:tc>
          <w:tcPr>
            <w:tcW w:w="1197" w:type="pct"/>
          </w:tcPr>
          <w:p w14:paraId="090F423A" w14:textId="77777777" w:rsidR="00DF636C" w:rsidRPr="0012767A" w:rsidRDefault="00DF636C" w:rsidP="001A738B">
            <w:pPr>
              <w:rPr>
                <w:rFonts w:cs="Arial"/>
              </w:rPr>
            </w:pPr>
            <w:r w:rsidRPr="0012767A">
              <w:rPr>
                <w:rFonts w:cs="Arial"/>
              </w:rPr>
              <w:t>Employee</w:t>
            </w:r>
          </w:p>
        </w:tc>
        <w:tc>
          <w:tcPr>
            <w:tcW w:w="633" w:type="pct"/>
          </w:tcPr>
          <w:p w14:paraId="296C6046" w14:textId="77777777" w:rsidR="00DF636C" w:rsidRPr="0012767A" w:rsidRDefault="00DF636C" w:rsidP="001A738B">
            <w:pPr>
              <w:rPr>
                <w:rFonts w:cs="Arial"/>
              </w:rPr>
            </w:pPr>
            <w:r w:rsidRPr="0012767A">
              <w:rPr>
                <w:rFonts w:cs="Arial"/>
                <w:lang w:val="en-GB" w:eastAsia="ja-JP"/>
              </w:rPr>
              <w:t>Yes</w:t>
            </w:r>
          </w:p>
        </w:tc>
        <w:tc>
          <w:tcPr>
            <w:tcW w:w="565" w:type="pct"/>
          </w:tcPr>
          <w:p w14:paraId="3DB6268D" w14:textId="77777777" w:rsidR="00DF636C" w:rsidRPr="0012767A" w:rsidRDefault="00DF636C" w:rsidP="001A738B">
            <w:pPr>
              <w:rPr>
                <w:rFonts w:cs="Arial"/>
              </w:rPr>
            </w:pPr>
            <w:r w:rsidRPr="0012767A">
              <w:rPr>
                <w:rFonts w:cs="Arial"/>
                <w:lang w:val="en-GB" w:eastAsia="ja-JP"/>
              </w:rPr>
              <w:t>No**</w:t>
            </w:r>
          </w:p>
        </w:tc>
      </w:tr>
      <w:tr w:rsidR="00DF636C" w14:paraId="2396E02B" w14:textId="77777777" w:rsidTr="001A738B">
        <w:trPr>
          <w:cnfStyle w:val="000000100000" w:firstRow="0" w:lastRow="0" w:firstColumn="0" w:lastColumn="0" w:oddVBand="0" w:evenVBand="0" w:oddHBand="1" w:evenHBand="0" w:firstRowFirstColumn="0" w:firstRowLastColumn="0" w:lastRowFirstColumn="0" w:lastRowLastColumn="0"/>
        </w:trPr>
        <w:tc>
          <w:tcPr>
            <w:tcW w:w="1408" w:type="pct"/>
            <w:vMerge/>
          </w:tcPr>
          <w:p w14:paraId="49103424" w14:textId="77777777" w:rsidR="00DF636C" w:rsidRPr="00E4159F" w:rsidRDefault="00DF636C" w:rsidP="001A738B"/>
        </w:tc>
        <w:tc>
          <w:tcPr>
            <w:tcW w:w="1197" w:type="pct"/>
          </w:tcPr>
          <w:p w14:paraId="0DAD2E03" w14:textId="77777777" w:rsidR="00DF636C" w:rsidRPr="0012767A" w:rsidRDefault="00DF636C" w:rsidP="001A738B">
            <w:pPr>
              <w:rPr>
                <w:rFonts w:cs="Arial"/>
              </w:rPr>
            </w:pPr>
          </w:p>
        </w:tc>
        <w:tc>
          <w:tcPr>
            <w:tcW w:w="1197" w:type="pct"/>
          </w:tcPr>
          <w:p w14:paraId="47CACFE7" w14:textId="77777777" w:rsidR="00DF636C" w:rsidRPr="0012767A" w:rsidRDefault="00DF636C" w:rsidP="001A738B">
            <w:pPr>
              <w:rPr>
                <w:rFonts w:cs="Arial"/>
              </w:rPr>
            </w:pPr>
            <w:r w:rsidRPr="0012767A">
              <w:rPr>
                <w:rFonts w:cs="Arial"/>
              </w:rPr>
              <w:t>Client</w:t>
            </w:r>
          </w:p>
        </w:tc>
        <w:tc>
          <w:tcPr>
            <w:tcW w:w="633" w:type="pct"/>
          </w:tcPr>
          <w:p w14:paraId="4A96AE34" w14:textId="77777777" w:rsidR="00DF636C" w:rsidRPr="0012767A" w:rsidRDefault="00DF636C" w:rsidP="001A738B">
            <w:pPr>
              <w:rPr>
                <w:rFonts w:cs="Arial"/>
              </w:rPr>
            </w:pPr>
            <w:r w:rsidRPr="0012767A">
              <w:rPr>
                <w:rFonts w:cs="Arial"/>
                <w:lang w:val="en-GB" w:eastAsia="ja-JP"/>
              </w:rPr>
              <w:t>Yes</w:t>
            </w:r>
          </w:p>
        </w:tc>
        <w:tc>
          <w:tcPr>
            <w:tcW w:w="565" w:type="pct"/>
          </w:tcPr>
          <w:p w14:paraId="11A5E034" w14:textId="77777777" w:rsidR="00DF636C" w:rsidRPr="0012767A" w:rsidRDefault="00DF636C" w:rsidP="001A738B">
            <w:pPr>
              <w:rPr>
                <w:rFonts w:cs="Arial"/>
              </w:rPr>
            </w:pPr>
            <w:r w:rsidRPr="0012767A">
              <w:rPr>
                <w:rFonts w:cs="Arial"/>
                <w:lang w:val="en-GB" w:eastAsia="ja-JP"/>
              </w:rPr>
              <w:t>No**</w:t>
            </w:r>
          </w:p>
        </w:tc>
      </w:tr>
      <w:tr w:rsidR="00DF636C" w14:paraId="364F7356" w14:textId="77777777" w:rsidTr="001A738B">
        <w:tc>
          <w:tcPr>
            <w:tcW w:w="1408" w:type="pct"/>
            <w:vMerge/>
          </w:tcPr>
          <w:p w14:paraId="6E228AB7" w14:textId="77777777" w:rsidR="00DF636C" w:rsidRPr="00E4159F" w:rsidRDefault="00DF636C" w:rsidP="001A738B"/>
        </w:tc>
        <w:tc>
          <w:tcPr>
            <w:tcW w:w="1197" w:type="pct"/>
          </w:tcPr>
          <w:p w14:paraId="3E30780E" w14:textId="77777777" w:rsidR="00DF636C" w:rsidRPr="0012767A" w:rsidRDefault="00DF636C" w:rsidP="001A738B">
            <w:pPr>
              <w:rPr>
                <w:rFonts w:cs="Arial"/>
              </w:rPr>
            </w:pPr>
            <w:r w:rsidRPr="0012767A">
              <w:rPr>
                <w:rFonts w:cs="Arial"/>
                <w:lang w:val="en-GB" w:eastAsia="ja-JP"/>
              </w:rPr>
              <w:t>Entertainment</w:t>
            </w:r>
          </w:p>
        </w:tc>
        <w:tc>
          <w:tcPr>
            <w:tcW w:w="1197" w:type="pct"/>
          </w:tcPr>
          <w:p w14:paraId="647A8860" w14:textId="77777777" w:rsidR="00DF636C" w:rsidRPr="0012767A" w:rsidRDefault="00DF636C" w:rsidP="001A738B">
            <w:pPr>
              <w:rPr>
                <w:rFonts w:cs="Arial"/>
              </w:rPr>
            </w:pPr>
            <w:r w:rsidRPr="0012767A">
              <w:rPr>
                <w:rFonts w:cs="Arial"/>
              </w:rPr>
              <w:t>Employee</w:t>
            </w:r>
          </w:p>
        </w:tc>
        <w:tc>
          <w:tcPr>
            <w:tcW w:w="633" w:type="pct"/>
          </w:tcPr>
          <w:p w14:paraId="4BCEBC2B" w14:textId="77777777" w:rsidR="00DF636C" w:rsidRPr="0012767A" w:rsidRDefault="00DF636C" w:rsidP="001A738B">
            <w:pPr>
              <w:rPr>
                <w:rFonts w:cs="Arial"/>
              </w:rPr>
            </w:pPr>
            <w:r w:rsidRPr="0012767A">
              <w:rPr>
                <w:rFonts w:cs="Arial"/>
                <w:lang w:val="en-GB" w:eastAsia="ja-JP"/>
              </w:rPr>
              <w:t>No**</w:t>
            </w:r>
          </w:p>
        </w:tc>
        <w:tc>
          <w:tcPr>
            <w:tcW w:w="565" w:type="pct"/>
          </w:tcPr>
          <w:p w14:paraId="551589AC" w14:textId="77777777" w:rsidR="00DF636C" w:rsidRPr="0012767A" w:rsidRDefault="00DF636C" w:rsidP="001A738B">
            <w:pPr>
              <w:rPr>
                <w:rFonts w:cs="Arial"/>
              </w:rPr>
            </w:pPr>
            <w:r w:rsidRPr="0012767A">
              <w:rPr>
                <w:rFonts w:cs="Arial"/>
                <w:lang w:val="en-GB" w:eastAsia="ja-JP"/>
              </w:rPr>
              <w:t>No**</w:t>
            </w:r>
          </w:p>
        </w:tc>
      </w:tr>
      <w:tr w:rsidR="00DF636C" w14:paraId="2C2EBA3C" w14:textId="77777777" w:rsidTr="001A738B">
        <w:trPr>
          <w:cnfStyle w:val="000000100000" w:firstRow="0" w:lastRow="0" w:firstColumn="0" w:lastColumn="0" w:oddVBand="0" w:evenVBand="0" w:oddHBand="1" w:evenHBand="0" w:firstRowFirstColumn="0" w:firstRowLastColumn="0" w:lastRowFirstColumn="0" w:lastRowLastColumn="0"/>
        </w:trPr>
        <w:tc>
          <w:tcPr>
            <w:tcW w:w="1408" w:type="pct"/>
            <w:vMerge/>
          </w:tcPr>
          <w:p w14:paraId="21087AA4" w14:textId="77777777" w:rsidR="00DF636C" w:rsidRPr="00E4159F" w:rsidRDefault="00DF636C" w:rsidP="001A738B"/>
        </w:tc>
        <w:tc>
          <w:tcPr>
            <w:tcW w:w="1197" w:type="pct"/>
          </w:tcPr>
          <w:p w14:paraId="5D55BB98" w14:textId="77777777" w:rsidR="00DF636C" w:rsidRPr="0012767A" w:rsidRDefault="00DF636C" w:rsidP="001A738B">
            <w:pPr>
              <w:rPr>
                <w:rFonts w:cs="Arial"/>
              </w:rPr>
            </w:pPr>
          </w:p>
        </w:tc>
        <w:tc>
          <w:tcPr>
            <w:tcW w:w="1197" w:type="pct"/>
          </w:tcPr>
          <w:p w14:paraId="3D0AA424" w14:textId="77777777" w:rsidR="00DF636C" w:rsidRPr="0012767A" w:rsidRDefault="00DF636C" w:rsidP="001A738B">
            <w:pPr>
              <w:rPr>
                <w:rFonts w:cs="Arial"/>
              </w:rPr>
            </w:pPr>
            <w:r w:rsidRPr="0012767A">
              <w:rPr>
                <w:rFonts w:cs="Arial"/>
              </w:rPr>
              <w:t>Client</w:t>
            </w:r>
          </w:p>
        </w:tc>
        <w:tc>
          <w:tcPr>
            <w:tcW w:w="633" w:type="pct"/>
          </w:tcPr>
          <w:p w14:paraId="5C47BE76" w14:textId="77777777" w:rsidR="00DF636C" w:rsidRPr="0012767A" w:rsidRDefault="00DF636C" w:rsidP="001A738B">
            <w:pPr>
              <w:rPr>
                <w:rFonts w:cs="Arial"/>
              </w:rPr>
            </w:pPr>
            <w:r w:rsidRPr="0012767A">
              <w:rPr>
                <w:rFonts w:cs="Arial"/>
                <w:lang w:val="en-GB" w:eastAsia="ja-JP"/>
              </w:rPr>
              <w:t>No</w:t>
            </w:r>
          </w:p>
        </w:tc>
        <w:tc>
          <w:tcPr>
            <w:tcW w:w="565" w:type="pct"/>
          </w:tcPr>
          <w:p w14:paraId="47629659" w14:textId="77777777" w:rsidR="00DF636C" w:rsidRPr="0012767A" w:rsidRDefault="00DF636C" w:rsidP="001A738B">
            <w:pPr>
              <w:rPr>
                <w:rFonts w:cs="Arial"/>
              </w:rPr>
            </w:pPr>
            <w:r w:rsidRPr="0012767A">
              <w:rPr>
                <w:rFonts w:cs="Arial"/>
                <w:lang w:val="en-GB" w:eastAsia="ja-JP"/>
              </w:rPr>
              <w:t>No</w:t>
            </w:r>
          </w:p>
        </w:tc>
      </w:tr>
      <w:tr w:rsidR="00DF636C" w14:paraId="5ECEA369" w14:textId="77777777" w:rsidTr="001A738B">
        <w:trPr>
          <w:trHeight w:val="565"/>
        </w:trPr>
        <w:tc>
          <w:tcPr>
            <w:tcW w:w="1408" w:type="pct"/>
            <w:vMerge/>
          </w:tcPr>
          <w:p w14:paraId="17AB6AD6" w14:textId="77777777" w:rsidR="00DF636C" w:rsidRPr="00E4159F" w:rsidRDefault="00DF636C" w:rsidP="001A738B"/>
        </w:tc>
        <w:tc>
          <w:tcPr>
            <w:tcW w:w="1197" w:type="pct"/>
          </w:tcPr>
          <w:p w14:paraId="262E61D2" w14:textId="77777777" w:rsidR="00DF636C" w:rsidRPr="0012767A" w:rsidRDefault="00DF636C" w:rsidP="001A738B">
            <w:pPr>
              <w:rPr>
                <w:rFonts w:cs="Arial"/>
              </w:rPr>
            </w:pPr>
            <w:r w:rsidRPr="0012767A">
              <w:rPr>
                <w:rFonts w:cs="Arial"/>
                <w:lang w:val="en-GB" w:eastAsia="ja-JP"/>
              </w:rPr>
              <w:t>Entertainment</w:t>
            </w:r>
          </w:p>
        </w:tc>
        <w:tc>
          <w:tcPr>
            <w:tcW w:w="1197" w:type="pct"/>
          </w:tcPr>
          <w:p w14:paraId="5C6B731A" w14:textId="77777777" w:rsidR="00DF636C" w:rsidRPr="0012767A" w:rsidRDefault="00DF636C" w:rsidP="001A738B">
            <w:pPr>
              <w:rPr>
                <w:rFonts w:cs="Arial"/>
              </w:rPr>
            </w:pPr>
            <w:r w:rsidRPr="0012767A">
              <w:rPr>
                <w:rFonts w:cs="Arial"/>
                <w:lang w:val="en-GB" w:eastAsia="ja-JP"/>
              </w:rPr>
              <w:t>Employee (social occasions)</w:t>
            </w:r>
          </w:p>
        </w:tc>
        <w:tc>
          <w:tcPr>
            <w:tcW w:w="633" w:type="pct"/>
          </w:tcPr>
          <w:p w14:paraId="212BA708" w14:textId="77777777" w:rsidR="00DF636C" w:rsidRPr="0012767A" w:rsidRDefault="00DF636C" w:rsidP="001A738B">
            <w:pPr>
              <w:rPr>
                <w:rFonts w:cs="Arial"/>
              </w:rPr>
            </w:pPr>
            <w:r w:rsidRPr="0012767A">
              <w:rPr>
                <w:rFonts w:cs="Arial"/>
                <w:lang w:val="en-GB" w:eastAsia="ja-JP"/>
              </w:rPr>
              <w:t>No**</w:t>
            </w:r>
          </w:p>
        </w:tc>
        <w:tc>
          <w:tcPr>
            <w:tcW w:w="565" w:type="pct"/>
          </w:tcPr>
          <w:p w14:paraId="22B397AE" w14:textId="77777777" w:rsidR="00DF636C" w:rsidRPr="0012767A" w:rsidRDefault="00DF636C" w:rsidP="001A738B">
            <w:pPr>
              <w:rPr>
                <w:rFonts w:cs="Arial"/>
              </w:rPr>
            </w:pPr>
            <w:r w:rsidRPr="0012767A">
              <w:rPr>
                <w:rFonts w:cs="Arial"/>
                <w:lang w:val="en-GB" w:eastAsia="ja-JP"/>
              </w:rPr>
              <w:t>No**</w:t>
            </w:r>
          </w:p>
        </w:tc>
      </w:tr>
      <w:tr w:rsidR="00DF636C" w14:paraId="20B2D5BB" w14:textId="77777777" w:rsidTr="001A738B">
        <w:trPr>
          <w:cnfStyle w:val="000000100000" w:firstRow="0" w:lastRow="0" w:firstColumn="0" w:lastColumn="0" w:oddVBand="0" w:evenVBand="0" w:oddHBand="1" w:evenHBand="0" w:firstRowFirstColumn="0" w:firstRowLastColumn="0" w:lastRowFirstColumn="0" w:lastRowLastColumn="0"/>
        </w:trPr>
        <w:tc>
          <w:tcPr>
            <w:tcW w:w="1408" w:type="pct"/>
            <w:vMerge w:val="restart"/>
          </w:tcPr>
          <w:p w14:paraId="385FCBA3" w14:textId="77777777" w:rsidR="00DF636C" w:rsidRPr="00E4159F" w:rsidRDefault="00DF636C" w:rsidP="001A738B">
            <w:r w:rsidRPr="0012767A">
              <w:rPr>
                <w:rFonts w:cs="Arial"/>
                <w:lang w:val="en-GB" w:eastAsia="ja-JP"/>
              </w:rPr>
              <w:t>Employer premises in an ‘in-house dining facility’ – an area set aside wholly or principally for provision of food and drink to employees on a working day, such as a cafeteria</w:t>
            </w:r>
            <w:r w:rsidRPr="00E4159F">
              <w:rPr>
                <w:rFonts w:ascii="HelveticaNeueLTPro-Lt" w:hAnsi="HelveticaNeueLTPro-Lt" w:cs="HelveticaNeueLTPro-Lt"/>
                <w:lang w:val="en-GB" w:eastAsia="ja-JP"/>
              </w:rPr>
              <w:t>.</w:t>
            </w:r>
          </w:p>
        </w:tc>
        <w:tc>
          <w:tcPr>
            <w:tcW w:w="1197" w:type="pct"/>
          </w:tcPr>
          <w:p w14:paraId="4E13F38C" w14:textId="77777777" w:rsidR="00DF636C" w:rsidRPr="0012767A" w:rsidRDefault="00DF636C" w:rsidP="001A738B">
            <w:pPr>
              <w:rPr>
                <w:rFonts w:cs="Arial"/>
              </w:rPr>
            </w:pPr>
            <w:r w:rsidRPr="0012767A">
              <w:rPr>
                <w:rFonts w:cs="Arial"/>
              </w:rPr>
              <w:t>Non-entertainment*</w:t>
            </w:r>
          </w:p>
        </w:tc>
        <w:tc>
          <w:tcPr>
            <w:tcW w:w="1197" w:type="pct"/>
          </w:tcPr>
          <w:p w14:paraId="6E7318B3" w14:textId="77777777" w:rsidR="00DF636C" w:rsidRPr="0012767A" w:rsidRDefault="00DF636C" w:rsidP="001A738B">
            <w:pPr>
              <w:rPr>
                <w:rFonts w:cs="Arial"/>
              </w:rPr>
            </w:pPr>
            <w:r w:rsidRPr="0012767A">
              <w:rPr>
                <w:rFonts w:cs="Arial"/>
              </w:rPr>
              <w:t>Employee</w:t>
            </w:r>
          </w:p>
        </w:tc>
        <w:tc>
          <w:tcPr>
            <w:tcW w:w="633" w:type="pct"/>
          </w:tcPr>
          <w:p w14:paraId="508778DF" w14:textId="77777777" w:rsidR="00DF636C" w:rsidRPr="0012767A" w:rsidRDefault="00DF636C" w:rsidP="001A738B">
            <w:pPr>
              <w:rPr>
                <w:rFonts w:cs="Arial"/>
              </w:rPr>
            </w:pPr>
            <w:r w:rsidRPr="0012767A">
              <w:rPr>
                <w:rFonts w:cs="Arial"/>
                <w:lang w:val="en-GB" w:eastAsia="ja-JP"/>
              </w:rPr>
              <w:t>Yes</w:t>
            </w:r>
          </w:p>
        </w:tc>
        <w:tc>
          <w:tcPr>
            <w:tcW w:w="565" w:type="pct"/>
          </w:tcPr>
          <w:p w14:paraId="7834E7F0" w14:textId="77777777" w:rsidR="00DF636C" w:rsidRPr="0012767A" w:rsidRDefault="00DF636C" w:rsidP="001A738B">
            <w:pPr>
              <w:rPr>
                <w:rFonts w:cs="Arial"/>
              </w:rPr>
            </w:pPr>
            <w:r w:rsidRPr="0012767A">
              <w:rPr>
                <w:rFonts w:cs="Arial"/>
                <w:lang w:val="en-GB" w:eastAsia="ja-JP"/>
              </w:rPr>
              <w:t>No**</w:t>
            </w:r>
          </w:p>
        </w:tc>
      </w:tr>
      <w:tr w:rsidR="00DF636C" w14:paraId="534A0FB8" w14:textId="77777777" w:rsidTr="001A738B">
        <w:tc>
          <w:tcPr>
            <w:tcW w:w="1408" w:type="pct"/>
            <w:vMerge/>
          </w:tcPr>
          <w:p w14:paraId="07BE1E02" w14:textId="77777777" w:rsidR="00DF636C" w:rsidRPr="00E4159F" w:rsidRDefault="00DF636C" w:rsidP="001A738B"/>
        </w:tc>
        <w:tc>
          <w:tcPr>
            <w:tcW w:w="1197" w:type="pct"/>
          </w:tcPr>
          <w:p w14:paraId="2391F99C" w14:textId="77777777" w:rsidR="00DF636C" w:rsidRPr="0012767A" w:rsidRDefault="00DF636C" w:rsidP="001A738B">
            <w:pPr>
              <w:rPr>
                <w:rFonts w:cs="Arial"/>
              </w:rPr>
            </w:pPr>
          </w:p>
        </w:tc>
        <w:tc>
          <w:tcPr>
            <w:tcW w:w="1197" w:type="pct"/>
          </w:tcPr>
          <w:p w14:paraId="3221A911" w14:textId="77777777" w:rsidR="00DF636C" w:rsidRPr="0012767A" w:rsidRDefault="00DF636C" w:rsidP="001A738B">
            <w:pPr>
              <w:rPr>
                <w:rFonts w:cs="Arial"/>
              </w:rPr>
            </w:pPr>
            <w:r w:rsidRPr="0012767A">
              <w:rPr>
                <w:rFonts w:cs="Arial"/>
              </w:rPr>
              <w:t>Client</w:t>
            </w:r>
          </w:p>
        </w:tc>
        <w:tc>
          <w:tcPr>
            <w:tcW w:w="633" w:type="pct"/>
          </w:tcPr>
          <w:p w14:paraId="505FD162" w14:textId="77777777" w:rsidR="00DF636C" w:rsidRPr="0012767A" w:rsidRDefault="00DF636C" w:rsidP="001A738B">
            <w:pPr>
              <w:rPr>
                <w:rFonts w:cs="Arial"/>
              </w:rPr>
            </w:pPr>
            <w:r w:rsidRPr="0012767A">
              <w:rPr>
                <w:rFonts w:cs="Arial"/>
                <w:lang w:val="en-GB" w:eastAsia="ja-JP"/>
              </w:rPr>
              <w:t>Yes#</w:t>
            </w:r>
          </w:p>
        </w:tc>
        <w:tc>
          <w:tcPr>
            <w:tcW w:w="565" w:type="pct"/>
          </w:tcPr>
          <w:p w14:paraId="06F07F23" w14:textId="77777777" w:rsidR="00DF636C" w:rsidRPr="0012767A" w:rsidRDefault="00DF636C" w:rsidP="001A738B">
            <w:pPr>
              <w:rPr>
                <w:rFonts w:cs="Arial"/>
              </w:rPr>
            </w:pPr>
            <w:r w:rsidRPr="0012767A">
              <w:rPr>
                <w:rFonts w:cs="Arial"/>
                <w:lang w:val="en-GB" w:eastAsia="ja-JP"/>
              </w:rPr>
              <w:t>No</w:t>
            </w:r>
          </w:p>
        </w:tc>
      </w:tr>
      <w:tr w:rsidR="00DF636C" w14:paraId="74D11EC1" w14:textId="77777777" w:rsidTr="001A738B">
        <w:trPr>
          <w:cnfStyle w:val="000000100000" w:firstRow="0" w:lastRow="0" w:firstColumn="0" w:lastColumn="0" w:oddVBand="0" w:evenVBand="0" w:oddHBand="1" w:evenHBand="0" w:firstRowFirstColumn="0" w:firstRowLastColumn="0" w:lastRowFirstColumn="0" w:lastRowLastColumn="0"/>
        </w:trPr>
        <w:tc>
          <w:tcPr>
            <w:tcW w:w="1408" w:type="pct"/>
            <w:vMerge/>
          </w:tcPr>
          <w:p w14:paraId="5B49F3E9" w14:textId="77777777" w:rsidR="00DF636C" w:rsidRPr="00E4159F" w:rsidRDefault="00DF636C" w:rsidP="001A738B"/>
        </w:tc>
        <w:tc>
          <w:tcPr>
            <w:tcW w:w="1197" w:type="pct"/>
          </w:tcPr>
          <w:p w14:paraId="3F1F2B54" w14:textId="77777777" w:rsidR="00DF636C" w:rsidRPr="0012767A" w:rsidRDefault="00DF636C" w:rsidP="001A738B">
            <w:pPr>
              <w:rPr>
                <w:rFonts w:cs="Arial"/>
              </w:rPr>
            </w:pPr>
            <w:r w:rsidRPr="0012767A">
              <w:rPr>
                <w:rFonts w:cs="Arial"/>
                <w:lang w:val="en-GB" w:eastAsia="ja-JP"/>
              </w:rPr>
              <w:t>Entertainment</w:t>
            </w:r>
          </w:p>
        </w:tc>
        <w:tc>
          <w:tcPr>
            <w:tcW w:w="1197" w:type="pct"/>
          </w:tcPr>
          <w:p w14:paraId="29CE0EC2" w14:textId="77777777" w:rsidR="00DF636C" w:rsidRPr="0012767A" w:rsidRDefault="00DF636C" w:rsidP="001A738B">
            <w:pPr>
              <w:rPr>
                <w:rFonts w:cs="Arial"/>
              </w:rPr>
            </w:pPr>
            <w:r w:rsidRPr="0012767A">
              <w:rPr>
                <w:rFonts w:cs="Arial"/>
              </w:rPr>
              <w:t>Employee</w:t>
            </w:r>
          </w:p>
        </w:tc>
        <w:tc>
          <w:tcPr>
            <w:tcW w:w="633" w:type="pct"/>
          </w:tcPr>
          <w:p w14:paraId="6118E8C3" w14:textId="77777777" w:rsidR="00DF636C" w:rsidRPr="0012767A" w:rsidRDefault="00DF636C" w:rsidP="001A738B">
            <w:pPr>
              <w:rPr>
                <w:rFonts w:cs="Arial"/>
              </w:rPr>
            </w:pPr>
            <w:r w:rsidRPr="0012767A">
              <w:rPr>
                <w:rFonts w:cs="Arial"/>
                <w:lang w:val="en-GB" w:eastAsia="ja-JP"/>
              </w:rPr>
              <w:t>Yes</w:t>
            </w:r>
          </w:p>
        </w:tc>
        <w:tc>
          <w:tcPr>
            <w:tcW w:w="565" w:type="pct"/>
          </w:tcPr>
          <w:p w14:paraId="13A67B33" w14:textId="77777777" w:rsidR="00DF636C" w:rsidRPr="0012767A" w:rsidRDefault="00DF636C" w:rsidP="001A738B">
            <w:pPr>
              <w:rPr>
                <w:rFonts w:cs="Arial"/>
              </w:rPr>
            </w:pPr>
            <w:r w:rsidRPr="0012767A">
              <w:rPr>
                <w:rFonts w:cs="Arial"/>
                <w:lang w:val="en-GB" w:eastAsia="ja-JP"/>
              </w:rPr>
              <w:t>No**</w:t>
            </w:r>
          </w:p>
        </w:tc>
      </w:tr>
      <w:tr w:rsidR="00DF636C" w14:paraId="48C54FAD" w14:textId="77777777" w:rsidTr="001A738B">
        <w:tc>
          <w:tcPr>
            <w:tcW w:w="1408" w:type="pct"/>
            <w:vMerge/>
          </w:tcPr>
          <w:p w14:paraId="1595BA0B" w14:textId="77777777" w:rsidR="00DF636C" w:rsidRPr="00E4159F" w:rsidRDefault="00DF636C" w:rsidP="001A738B"/>
        </w:tc>
        <w:tc>
          <w:tcPr>
            <w:tcW w:w="1197" w:type="pct"/>
          </w:tcPr>
          <w:p w14:paraId="2C0EE913" w14:textId="77777777" w:rsidR="00DF636C" w:rsidRPr="0012767A" w:rsidRDefault="00DF636C" w:rsidP="001A738B">
            <w:pPr>
              <w:rPr>
                <w:rFonts w:cs="Arial"/>
              </w:rPr>
            </w:pPr>
          </w:p>
        </w:tc>
        <w:tc>
          <w:tcPr>
            <w:tcW w:w="1197" w:type="pct"/>
          </w:tcPr>
          <w:p w14:paraId="531056C4" w14:textId="77777777" w:rsidR="00DF636C" w:rsidRPr="0012767A" w:rsidRDefault="00DF636C" w:rsidP="001A738B">
            <w:pPr>
              <w:rPr>
                <w:rFonts w:cs="Arial"/>
              </w:rPr>
            </w:pPr>
            <w:r w:rsidRPr="0012767A">
              <w:rPr>
                <w:rFonts w:cs="Arial"/>
              </w:rPr>
              <w:t>Client</w:t>
            </w:r>
          </w:p>
        </w:tc>
        <w:tc>
          <w:tcPr>
            <w:tcW w:w="633" w:type="pct"/>
          </w:tcPr>
          <w:p w14:paraId="34DD8761" w14:textId="77777777" w:rsidR="00DF636C" w:rsidRPr="0012767A" w:rsidRDefault="00DF636C" w:rsidP="001A738B">
            <w:pPr>
              <w:rPr>
                <w:rFonts w:cs="Arial"/>
              </w:rPr>
            </w:pPr>
            <w:r w:rsidRPr="0012767A">
              <w:rPr>
                <w:rFonts w:cs="Arial"/>
                <w:lang w:val="en-GB" w:eastAsia="ja-JP"/>
              </w:rPr>
              <w:t>Yes#</w:t>
            </w:r>
          </w:p>
        </w:tc>
        <w:tc>
          <w:tcPr>
            <w:tcW w:w="565" w:type="pct"/>
          </w:tcPr>
          <w:p w14:paraId="319F567A" w14:textId="77777777" w:rsidR="00DF636C" w:rsidRPr="0012767A" w:rsidRDefault="00DF636C" w:rsidP="001A738B">
            <w:pPr>
              <w:rPr>
                <w:rFonts w:cs="Arial"/>
              </w:rPr>
            </w:pPr>
            <w:r w:rsidRPr="0012767A">
              <w:rPr>
                <w:rFonts w:cs="Arial"/>
                <w:lang w:val="en-GB" w:eastAsia="ja-JP"/>
              </w:rPr>
              <w:t>No</w:t>
            </w:r>
          </w:p>
        </w:tc>
      </w:tr>
      <w:tr w:rsidR="00DF636C" w14:paraId="00B29A46" w14:textId="77777777" w:rsidTr="001A738B">
        <w:trPr>
          <w:cnfStyle w:val="000000100000" w:firstRow="0" w:lastRow="0" w:firstColumn="0" w:lastColumn="0" w:oddVBand="0" w:evenVBand="0" w:oddHBand="1" w:evenHBand="0" w:firstRowFirstColumn="0" w:firstRowLastColumn="0" w:lastRowFirstColumn="0" w:lastRowLastColumn="0"/>
          <w:trHeight w:val="591"/>
        </w:trPr>
        <w:tc>
          <w:tcPr>
            <w:tcW w:w="1408" w:type="pct"/>
            <w:vMerge/>
          </w:tcPr>
          <w:p w14:paraId="548E7304" w14:textId="77777777" w:rsidR="00DF636C" w:rsidRPr="00E4159F" w:rsidRDefault="00DF636C" w:rsidP="001A738B"/>
        </w:tc>
        <w:tc>
          <w:tcPr>
            <w:tcW w:w="1197" w:type="pct"/>
          </w:tcPr>
          <w:p w14:paraId="77DF521E" w14:textId="77777777" w:rsidR="00DF636C" w:rsidRPr="0012767A" w:rsidRDefault="00DF636C" w:rsidP="001A738B">
            <w:pPr>
              <w:rPr>
                <w:rFonts w:cs="Arial"/>
              </w:rPr>
            </w:pPr>
            <w:r w:rsidRPr="0012767A">
              <w:rPr>
                <w:rFonts w:cs="Arial"/>
                <w:lang w:val="en-GB" w:eastAsia="ja-JP"/>
              </w:rPr>
              <w:t>Entertainment</w:t>
            </w:r>
          </w:p>
        </w:tc>
        <w:tc>
          <w:tcPr>
            <w:tcW w:w="1197" w:type="pct"/>
          </w:tcPr>
          <w:p w14:paraId="4D5E37CB" w14:textId="77777777" w:rsidR="00DF636C" w:rsidRPr="0012767A" w:rsidRDefault="00DF636C" w:rsidP="001A738B">
            <w:pPr>
              <w:rPr>
                <w:rFonts w:cs="Arial"/>
              </w:rPr>
            </w:pPr>
            <w:r w:rsidRPr="0012767A">
              <w:rPr>
                <w:rFonts w:cs="Arial"/>
                <w:lang w:val="en-GB" w:eastAsia="ja-JP"/>
              </w:rPr>
              <w:t>Employee (social occasions)</w:t>
            </w:r>
          </w:p>
        </w:tc>
        <w:tc>
          <w:tcPr>
            <w:tcW w:w="633" w:type="pct"/>
          </w:tcPr>
          <w:p w14:paraId="328F39FE" w14:textId="77777777" w:rsidR="00DF636C" w:rsidRPr="0012767A" w:rsidRDefault="00DF636C" w:rsidP="001A738B">
            <w:pPr>
              <w:rPr>
                <w:rFonts w:cs="Arial"/>
              </w:rPr>
            </w:pPr>
            <w:r w:rsidRPr="0012767A">
              <w:rPr>
                <w:rFonts w:cs="Arial"/>
                <w:lang w:val="en-GB" w:eastAsia="ja-JP"/>
              </w:rPr>
              <w:t>No**</w:t>
            </w:r>
          </w:p>
        </w:tc>
        <w:tc>
          <w:tcPr>
            <w:tcW w:w="565" w:type="pct"/>
          </w:tcPr>
          <w:p w14:paraId="3BB0978C" w14:textId="77777777" w:rsidR="00DF636C" w:rsidRPr="0012767A" w:rsidRDefault="00DF636C" w:rsidP="001A738B">
            <w:pPr>
              <w:rPr>
                <w:rFonts w:cs="Arial"/>
              </w:rPr>
            </w:pPr>
            <w:r w:rsidRPr="0012767A">
              <w:rPr>
                <w:rFonts w:cs="Arial"/>
                <w:lang w:val="en-GB" w:eastAsia="ja-JP"/>
              </w:rPr>
              <w:t>No**</w:t>
            </w:r>
          </w:p>
        </w:tc>
      </w:tr>
      <w:tr w:rsidR="00DF636C" w14:paraId="4F79A351" w14:textId="77777777" w:rsidTr="001A738B">
        <w:tc>
          <w:tcPr>
            <w:tcW w:w="1408" w:type="pct"/>
            <w:vMerge w:val="restart"/>
          </w:tcPr>
          <w:p w14:paraId="5ED51CAF" w14:textId="77777777" w:rsidR="00DF636C" w:rsidRPr="00E4159F" w:rsidRDefault="00DF636C" w:rsidP="001A738B">
            <w:r w:rsidRPr="00E4159F">
              <w:t>Non-employer premises such as a restaurant or reception centre.</w:t>
            </w:r>
          </w:p>
        </w:tc>
        <w:tc>
          <w:tcPr>
            <w:tcW w:w="1197" w:type="pct"/>
          </w:tcPr>
          <w:p w14:paraId="30BA5AB1" w14:textId="77777777" w:rsidR="00DF636C" w:rsidRPr="0012767A" w:rsidRDefault="00DF636C" w:rsidP="001A738B">
            <w:pPr>
              <w:rPr>
                <w:rFonts w:cs="Arial"/>
                <w:lang w:val="en-GB" w:eastAsia="ja-JP"/>
              </w:rPr>
            </w:pPr>
            <w:r w:rsidRPr="0012767A">
              <w:rPr>
                <w:rFonts w:cs="Arial"/>
                <w:lang w:val="en-GB" w:eastAsia="ja-JP"/>
              </w:rPr>
              <w:t xml:space="preserve">Non-entertainment </w:t>
            </w:r>
            <w:r w:rsidRPr="0012767A">
              <w:rPr>
                <w:rFonts w:cs="Arial"/>
                <w:lang w:val="en-GB" w:eastAsia="ja-JP"/>
              </w:rPr>
              <w:br/>
              <w:t>(meals taken whilst travelling)</w:t>
            </w:r>
          </w:p>
        </w:tc>
        <w:tc>
          <w:tcPr>
            <w:tcW w:w="1197" w:type="pct"/>
          </w:tcPr>
          <w:p w14:paraId="7835F391" w14:textId="77777777" w:rsidR="00DF636C" w:rsidRPr="0012767A" w:rsidRDefault="00DF636C" w:rsidP="001A738B">
            <w:pPr>
              <w:rPr>
                <w:rFonts w:cs="Arial"/>
              </w:rPr>
            </w:pPr>
            <w:r w:rsidRPr="0012767A">
              <w:rPr>
                <w:rFonts w:cs="Arial"/>
              </w:rPr>
              <w:t>Employee</w:t>
            </w:r>
          </w:p>
        </w:tc>
        <w:tc>
          <w:tcPr>
            <w:tcW w:w="633" w:type="pct"/>
          </w:tcPr>
          <w:p w14:paraId="48CDF584" w14:textId="77777777" w:rsidR="00DF636C" w:rsidRPr="0012767A" w:rsidRDefault="00DF636C" w:rsidP="001A738B">
            <w:pPr>
              <w:rPr>
                <w:rFonts w:cs="Arial"/>
              </w:rPr>
            </w:pPr>
            <w:r w:rsidRPr="0012767A">
              <w:rPr>
                <w:rFonts w:cs="Arial"/>
                <w:lang w:val="en-GB" w:eastAsia="ja-JP"/>
              </w:rPr>
              <w:t>Yes</w:t>
            </w:r>
          </w:p>
        </w:tc>
        <w:tc>
          <w:tcPr>
            <w:tcW w:w="565" w:type="pct"/>
          </w:tcPr>
          <w:p w14:paraId="20509BE7" w14:textId="77777777" w:rsidR="00DF636C" w:rsidRPr="0012767A" w:rsidRDefault="00DF636C" w:rsidP="001A738B">
            <w:pPr>
              <w:rPr>
                <w:rFonts w:cs="Arial"/>
              </w:rPr>
            </w:pPr>
            <w:r w:rsidRPr="0012767A">
              <w:rPr>
                <w:rFonts w:cs="Arial"/>
                <w:lang w:val="en-GB" w:eastAsia="ja-JP"/>
              </w:rPr>
              <w:t>No</w:t>
            </w:r>
          </w:p>
        </w:tc>
      </w:tr>
      <w:tr w:rsidR="00DF636C" w14:paraId="3FEE7206" w14:textId="77777777" w:rsidTr="001A738B">
        <w:trPr>
          <w:cnfStyle w:val="000000100000" w:firstRow="0" w:lastRow="0" w:firstColumn="0" w:lastColumn="0" w:oddVBand="0" w:evenVBand="0" w:oddHBand="1" w:evenHBand="0" w:firstRowFirstColumn="0" w:firstRowLastColumn="0" w:lastRowFirstColumn="0" w:lastRowLastColumn="0"/>
        </w:trPr>
        <w:tc>
          <w:tcPr>
            <w:tcW w:w="1408" w:type="pct"/>
            <w:vMerge/>
          </w:tcPr>
          <w:p w14:paraId="087B2F53" w14:textId="77777777" w:rsidR="00DF636C" w:rsidRPr="00E4159F" w:rsidRDefault="00DF636C" w:rsidP="001A738B"/>
        </w:tc>
        <w:tc>
          <w:tcPr>
            <w:tcW w:w="1197" w:type="pct"/>
          </w:tcPr>
          <w:p w14:paraId="78D32EE8" w14:textId="77777777" w:rsidR="00DF636C" w:rsidRPr="0012767A" w:rsidRDefault="00DF636C" w:rsidP="001A738B">
            <w:pPr>
              <w:rPr>
                <w:rFonts w:cs="Arial"/>
              </w:rPr>
            </w:pPr>
            <w:r w:rsidRPr="0012767A">
              <w:rPr>
                <w:rFonts w:cs="Arial"/>
                <w:lang w:val="en-GB" w:eastAsia="ja-JP"/>
              </w:rPr>
              <w:t>Entertainment</w:t>
            </w:r>
          </w:p>
        </w:tc>
        <w:tc>
          <w:tcPr>
            <w:tcW w:w="1197" w:type="pct"/>
          </w:tcPr>
          <w:p w14:paraId="58BB7D7B" w14:textId="77777777" w:rsidR="00DF636C" w:rsidRPr="0012767A" w:rsidRDefault="00DF636C" w:rsidP="001A738B">
            <w:pPr>
              <w:rPr>
                <w:rFonts w:cs="Arial"/>
              </w:rPr>
            </w:pPr>
            <w:r w:rsidRPr="0012767A">
              <w:rPr>
                <w:rFonts w:cs="Arial"/>
              </w:rPr>
              <w:t>Employee</w:t>
            </w:r>
          </w:p>
        </w:tc>
        <w:tc>
          <w:tcPr>
            <w:tcW w:w="633" w:type="pct"/>
          </w:tcPr>
          <w:p w14:paraId="2BC9B39F" w14:textId="77777777" w:rsidR="00DF636C" w:rsidRPr="0012767A" w:rsidRDefault="00DF636C" w:rsidP="001A738B">
            <w:pPr>
              <w:rPr>
                <w:rFonts w:cs="Arial"/>
                <w:lang w:val="en-GB" w:eastAsia="ja-JP"/>
              </w:rPr>
            </w:pPr>
            <w:r w:rsidRPr="0012767A">
              <w:rPr>
                <w:rFonts w:cs="Arial"/>
                <w:lang w:val="en-GB" w:eastAsia="ja-JP"/>
              </w:rPr>
              <w:t>Yes</w:t>
            </w:r>
          </w:p>
        </w:tc>
        <w:tc>
          <w:tcPr>
            <w:tcW w:w="565" w:type="pct"/>
          </w:tcPr>
          <w:p w14:paraId="73FCAFBA" w14:textId="77777777" w:rsidR="00DF636C" w:rsidRPr="0012767A" w:rsidRDefault="00DF636C" w:rsidP="001A738B">
            <w:pPr>
              <w:rPr>
                <w:rFonts w:cs="Arial"/>
                <w:lang w:val="en-GB" w:eastAsia="ja-JP"/>
              </w:rPr>
            </w:pPr>
            <w:r w:rsidRPr="0012767A">
              <w:rPr>
                <w:rFonts w:cs="Arial"/>
                <w:lang w:val="en-GB" w:eastAsia="ja-JP"/>
              </w:rPr>
              <w:t>Yes</w:t>
            </w:r>
          </w:p>
        </w:tc>
      </w:tr>
      <w:tr w:rsidR="00DF636C" w14:paraId="09D1DEF2" w14:textId="77777777" w:rsidTr="001A738B">
        <w:tc>
          <w:tcPr>
            <w:tcW w:w="1408" w:type="pct"/>
            <w:vMerge/>
          </w:tcPr>
          <w:p w14:paraId="399928F8" w14:textId="77777777" w:rsidR="00DF636C" w:rsidRPr="00E4159F" w:rsidRDefault="00DF636C" w:rsidP="001A738B"/>
        </w:tc>
        <w:tc>
          <w:tcPr>
            <w:tcW w:w="1197" w:type="pct"/>
          </w:tcPr>
          <w:p w14:paraId="43C5954D" w14:textId="77777777" w:rsidR="00DF636C" w:rsidRPr="0012767A" w:rsidRDefault="00DF636C" w:rsidP="001A738B">
            <w:pPr>
              <w:rPr>
                <w:rFonts w:cs="Arial"/>
              </w:rPr>
            </w:pPr>
          </w:p>
        </w:tc>
        <w:tc>
          <w:tcPr>
            <w:tcW w:w="1197" w:type="pct"/>
          </w:tcPr>
          <w:p w14:paraId="0DFD7155" w14:textId="77777777" w:rsidR="00DF636C" w:rsidRPr="0012767A" w:rsidRDefault="00DF636C" w:rsidP="001A738B">
            <w:pPr>
              <w:rPr>
                <w:rFonts w:cs="Arial"/>
              </w:rPr>
            </w:pPr>
            <w:r w:rsidRPr="0012767A">
              <w:rPr>
                <w:rFonts w:cs="Arial"/>
              </w:rPr>
              <w:t>Client</w:t>
            </w:r>
          </w:p>
        </w:tc>
        <w:tc>
          <w:tcPr>
            <w:tcW w:w="633" w:type="pct"/>
          </w:tcPr>
          <w:p w14:paraId="4EF192DC" w14:textId="77777777" w:rsidR="00DF636C" w:rsidRPr="0012767A" w:rsidRDefault="00DF636C" w:rsidP="001A738B">
            <w:pPr>
              <w:rPr>
                <w:rFonts w:cs="Arial"/>
                <w:lang w:val="en-GB" w:eastAsia="ja-JP"/>
              </w:rPr>
            </w:pPr>
            <w:r w:rsidRPr="0012767A">
              <w:rPr>
                <w:rFonts w:cs="Arial"/>
                <w:lang w:val="en-GB" w:eastAsia="ja-JP"/>
              </w:rPr>
              <w:t>No</w:t>
            </w:r>
          </w:p>
        </w:tc>
        <w:tc>
          <w:tcPr>
            <w:tcW w:w="565" w:type="pct"/>
          </w:tcPr>
          <w:p w14:paraId="249BD89E" w14:textId="77777777" w:rsidR="00DF636C" w:rsidRPr="0012767A" w:rsidRDefault="00DF636C" w:rsidP="001A738B">
            <w:pPr>
              <w:rPr>
                <w:rFonts w:cs="Arial"/>
                <w:lang w:val="en-GB" w:eastAsia="ja-JP"/>
              </w:rPr>
            </w:pPr>
            <w:r w:rsidRPr="0012767A">
              <w:rPr>
                <w:rFonts w:cs="Arial"/>
                <w:lang w:val="en-GB" w:eastAsia="ja-JP"/>
              </w:rPr>
              <w:t>No</w:t>
            </w:r>
          </w:p>
        </w:tc>
      </w:tr>
      <w:tr w:rsidR="00DF636C" w14:paraId="3F7802A2" w14:textId="77777777" w:rsidTr="001A738B">
        <w:trPr>
          <w:cnfStyle w:val="000000100000" w:firstRow="0" w:lastRow="0" w:firstColumn="0" w:lastColumn="0" w:oddVBand="0" w:evenVBand="0" w:oddHBand="1" w:evenHBand="0" w:firstRowFirstColumn="0" w:firstRowLastColumn="0" w:lastRowFirstColumn="0" w:lastRowLastColumn="0"/>
          <w:trHeight w:val="553"/>
        </w:trPr>
        <w:tc>
          <w:tcPr>
            <w:tcW w:w="1408" w:type="pct"/>
            <w:vMerge/>
          </w:tcPr>
          <w:p w14:paraId="5362B092" w14:textId="77777777" w:rsidR="00DF636C" w:rsidRPr="00E4159F" w:rsidRDefault="00DF636C" w:rsidP="001A738B"/>
        </w:tc>
        <w:tc>
          <w:tcPr>
            <w:tcW w:w="1197" w:type="pct"/>
          </w:tcPr>
          <w:p w14:paraId="0C1CB5E5" w14:textId="77777777" w:rsidR="00DF636C" w:rsidRPr="0012767A" w:rsidRDefault="00DF636C" w:rsidP="001A738B">
            <w:pPr>
              <w:rPr>
                <w:rFonts w:cs="Arial"/>
              </w:rPr>
            </w:pPr>
            <w:r w:rsidRPr="0012767A">
              <w:rPr>
                <w:rFonts w:cs="Arial"/>
                <w:lang w:val="en-GB" w:eastAsia="ja-JP"/>
              </w:rPr>
              <w:t>Entertainment</w:t>
            </w:r>
          </w:p>
        </w:tc>
        <w:tc>
          <w:tcPr>
            <w:tcW w:w="1197" w:type="pct"/>
          </w:tcPr>
          <w:p w14:paraId="447AD866" w14:textId="77777777" w:rsidR="00DF636C" w:rsidRPr="0012767A" w:rsidRDefault="00DF636C" w:rsidP="001A738B">
            <w:pPr>
              <w:rPr>
                <w:rFonts w:cs="Arial"/>
              </w:rPr>
            </w:pPr>
            <w:r w:rsidRPr="0012767A">
              <w:rPr>
                <w:rFonts w:cs="Arial"/>
                <w:lang w:val="en-GB" w:eastAsia="ja-JP"/>
              </w:rPr>
              <w:t>Employee (social occasions)</w:t>
            </w:r>
          </w:p>
        </w:tc>
        <w:tc>
          <w:tcPr>
            <w:tcW w:w="633" w:type="pct"/>
          </w:tcPr>
          <w:p w14:paraId="37CCA276" w14:textId="77777777" w:rsidR="00DF636C" w:rsidRPr="0012767A" w:rsidRDefault="00DF636C" w:rsidP="001A738B">
            <w:pPr>
              <w:rPr>
                <w:rFonts w:cs="Arial"/>
                <w:lang w:val="en-GB" w:eastAsia="ja-JP"/>
              </w:rPr>
            </w:pPr>
            <w:r w:rsidRPr="0012767A">
              <w:rPr>
                <w:rFonts w:cs="Arial"/>
                <w:lang w:val="en-GB" w:eastAsia="ja-JP"/>
              </w:rPr>
              <w:t>Yes</w:t>
            </w:r>
          </w:p>
        </w:tc>
        <w:tc>
          <w:tcPr>
            <w:tcW w:w="565" w:type="pct"/>
          </w:tcPr>
          <w:p w14:paraId="408167CD" w14:textId="77777777" w:rsidR="00DF636C" w:rsidRPr="0012767A" w:rsidRDefault="00DF636C" w:rsidP="001A738B">
            <w:pPr>
              <w:rPr>
                <w:rFonts w:cs="Arial"/>
                <w:lang w:val="en-GB" w:eastAsia="ja-JP"/>
              </w:rPr>
            </w:pPr>
            <w:r w:rsidRPr="0012767A">
              <w:rPr>
                <w:rFonts w:cs="Arial"/>
                <w:lang w:val="en-GB" w:eastAsia="ja-JP"/>
              </w:rPr>
              <w:t>Yes</w:t>
            </w:r>
          </w:p>
        </w:tc>
      </w:tr>
      <w:tr w:rsidR="00DF636C" w14:paraId="60D10835" w14:textId="77777777" w:rsidTr="001A738B">
        <w:trPr>
          <w:trHeight w:val="1128"/>
        </w:trPr>
        <w:tc>
          <w:tcPr>
            <w:tcW w:w="5000" w:type="pct"/>
            <w:gridSpan w:val="5"/>
          </w:tcPr>
          <w:p w14:paraId="7A09CE8D" w14:textId="77777777" w:rsidR="00DF636C" w:rsidRPr="00E4159F" w:rsidRDefault="00DF636C" w:rsidP="001A738B">
            <w:r w:rsidRPr="00E4159F">
              <w:t>* Non-entertainment includes morning and afternoon teas, light meals but excludes alcohol and elaborate meals.</w:t>
            </w:r>
          </w:p>
          <w:p w14:paraId="6545DEEC" w14:textId="77777777" w:rsidR="00DF636C" w:rsidRPr="00E4159F" w:rsidRDefault="00DF636C" w:rsidP="001A738B">
            <w:r w:rsidRPr="00E4159F">
              <w:t>** ‘No’ only applies if entertainment consists of food and drink provided on working days to employees: otherwise read as ‘Yes’.</w:t>
            </w:r>
          </w:p>
          <w:p w14:paraId="4485EC8F" w14:textId="77777777" w:rsidR="00DF636C" w:rsidRPr="00DB7E01" w:rsidRDefault="00DF636C" w:rsidP="001A738B">
            <w:r w:rsidRPr="00E4159F">
              <w:t># The amount of expenditure relating to the client will only be deductible to the employer where the amount of $30 per client is added back to the employer’s taxable income and the food and drink is not provided at a party, reception or other social function.</w:t>
            </w:r>
          </w:p>
        </w:tc>
      </w:tr>
    </w:tbl>
    <w:p w14:paraId="60AC1C0E" w14:textId="1BE36647" w:rsidR="00DF636C" w:rsidRDefault="00DF636C" w:rsidP="00DF636C"/>
    <w:p w14:paraId="6C6451BA" w14:textId="77777777" w:rsidR="00BB2668" w:rsidRDefault="00BB2668" w:rsidP="00DF636C">
      <w:pPr>
        <w:pStyle w:val="Heading1"/>
        <w:sectPr w:rsidR="00BB2668" w:rsidSect="00DF636C">
          <w:headerReference w:type="default" r:id="rId16"/>
          <w:footerReference w:type="default" r:id="rId17"/>
          <w:pgSz w:w="11906" w:h="16838" w:code="9"/>
          <w:pgMar w:top="1701" w:right="964" w:bottom="1701" w:left="964" w:header="737" w:footer="680" w:gutter="0"/>
          <w:cols w:space="708"/>
          <w:docGrid w:linePitch="360"/>
        </w:sectPr>
      </w:pPr>
    </w:p>
    <w:p w14:paraId="1269D4AB" w14:textId="3013A010" w:rsidR="00DF636C" w:rsidRDefault="00DF636C" w:rsidP="001A738B">
      <w:pPr>
        <w:pStyle w:val="Heading1"/>
      </w:pPr>
      <w:r>
        <w:t>Appendix B</w:t>
      </w:r>
    </w:p>
    <w:p w14:paraId="4F61AF18" w14:textId="77777777" w:rsidR="00DF636C" w:rsidRPr="00E4159F" w:rsidRDefault="00DF636C" w:rsidP="001A738B">
      <w:pPr>
        <w:rPr>
          <w:b/>
          <w:sz w:val="18"/>
          <w:szCs w:val="18"/>
        </w:rPr>
      </w:pPr>
      <w:r>
        <w:rPr>
          <w:b/>
          <w:sz w:val="18"/>
          <w:szCs w:val="18"/>
        </w:rPr>
        <w:t>FBT</w:t>
      </w:r>
    </w:p>
    <w:p w14:paraId="71871C68" w14:textId="77777777" w:rsidR="00DF636C" w:rsidRPr="00E4159F" w:rsidRDefault="00DF636C" w:rsidP="001A738B">
      <w:pPr>
        <w:rPr>
          <w:b/>
          <w:sz w:val="18"/>
          <w:szCs w:val="18"/>
        </w:rPr>
      </w:pPr>
      <w:r w:rsidRPr="00E4159F">
        <w:rPr>
          <w:b/>
          <w:sz w:val="18"/>
          <w:szCs w:val="18"/>
        </w:rPr>
        <w:t>Internal and external entertainment</w:t>
      </w:r>
    </w:p>
    <w:tbl>
      <w:tblPr>
        <w:tblStyle w:val="RACVTable"/>
        <w:tblW w:w="4946" w:type="pct"/>
        <w:tblLook w:val="04A0" w:firstRow="1" w:lastRow="0" w:firstColumn="1" w:lastColumn="0" w:noHBand="0" w:noVBand="1"/>
      </w:tblPr>
      <w:tblGrid>
        <w:gridCol w:w="695"/>
        <w:gridCol w:w="1324"/>
        <w:gridCol w:w="1318"/>
        <w:gridCol w:w="284"/>
        <w:gridCol w:w="1050"/>
        <w:gridCol w:w="1175"/>
        <w:gridCol w:w="1034"/>
        <w:gridCol w:w="715"/>
        <w:gridCol w:w="1465"/>
        <w:gridCol w:w="1467"/>
        <w:gridCol w:w="1467"/>
        <w:gridCol w:w="1297"/>
      </w:tblGrid>
      <w:tr w:rsidR="00DF636C" w14:paraId="4312769C" w14:textId="77777777" w:rsidTr="001A738B">
        <w:trPr>
          <w:cnfStyle w:val="100000000000" w:firstRow="1" w:lastRow="0" w:firstColumn="0" w:lastColumn="0" w:oddVBand="0" w:evenVBand="0" w:oddHBand="0" w:evenHBand="0" w:firstRowFirstColumn="0" w:firstRowLastColumn="0" w:lastRowFirstColumn="0" w:lastRowLastColumn="0"/>
        </w:trPr>
        <w:tc>
          <w:tcPr>
            <w:tcW w:w="1255" w:type="pct"/>
            <w:gridSpan w:val="3"/>
          </w:tcPr>
          <w:p w14:paraId="077E59AD" w14:textId="77777777" w:rsidR="00DF636C" w:rsidRPr="00E4159F" w:rsidRDefault="00DF636C" w:rsidP="00D1601A">
            <w:pPr>
              <w:pStyle w:val="Table"/>
              <w:spacing w:before="100" w:after="100"/>
              <w:rPr>
                <w:b w:val="0"/>
                <w:sz w:val="18"/>
                <w:szCs w:val="18"/>
              </w:rPr>
            </w:pPr>
            <w:r>
              <w:rPr>
                <w:sz w:val="18"/>
                <w:szCs w:val="18"/>
              </w:rPr>
              <w:t>FBT</w:t>
            </w:r>
            <w:r w:rsidRPr="00E4159F">
              <w:rPr>
                <w:sz w:val="18"/>
                <w:szCs w:val="18"/>
              </w:rPr>
              <w:t xml:space="preserve"> year ending 31 March</w:t>
            </w:r>
          </w:p>
        </w:tc>
        <w:tc>
          <w:tcPr>
            <w:tcW w:w="3745" w:type="pct"/>
            <w:gridSpan w:val="9"/>
          </w:tcPr>
          <w:p w14:paraId="1542E9DD" w14:textId="77777777" w:rsidR="00DF636C" w:rsidRPr="00E4159F" w:rsidRDefault="00DF636C" w:rsidP="00D1601A">
            <w:pPr>
              <w:pStyle w:val="Table"/>
              <w:spacing w:before="100" w:after="100"/>
              <w:rPr>
                <w:b w:val="0"/>
                <w:sz w:val="18"/>
                <w:szCs w:val="18"/>
              </w:rPr>
            </w:pPr>
            <w:r w:rsidRPr="00E4159F">
              <w:rPr>
                <w:sz w:val="18"/>
                <w:szCs w:val="18"/>
              </w:rPr>
              <w:t>Name of client:</w:t>
            </w:r>
          </w:p>
        </w:tc>
      </w:tr>
      <w:tr w:rsidR="00BB2668" w:rsidRPr="008B77E4" w14:paraId="671F1522" w14:textId="77777777" w:rsidTr="001A738B">
        <w:trPr>
          <w:cnfStyle w:val="000000100000" w:firstRow="0" w:lastRow="0" w:firstColumn="0" w:lastColumn="0" w:oddVBand="0" w:evenVBand="0" w:oddHBand="1" w:evenHBand="0" w:firstRowFirstColumn="0" w:firstRowLastColumn="0" w:lastRowFirstColumn="0" w:lastRowLastColumn="0"/>
        </w:trPr>
        <w:tc>
          <w:tcPr>
            <w:tcW w:w="261" w:type="pct"/>
          </w:tcPr>
          <w:p w14:paraId="365D28C5" w14:textId="77777777" w:rsidR="00DF636C" w:rsidRPr="008B77E4" w:rsidRDefault="00DF636C" w:rsidP="001A738B">
            <w:r>
              <w:t>1</w:t>
            </w:r>
          </w:p>
        </w:tc>
        <w:tc>
          <w:tcPr>
            <w:tcW w:w="498" w:type="pct"/>
          </w:tcPr>
          <w:p w14:paraId="2EF1EF33" w14:textId="77777777" w:rsidR="00DF636C" w:rsidRPr="008B77E4" w:rsidRDefault="00DF636C" w:rsidP="001A738B">
            <w:r>
              <w:t>2</w:t>
            </w:r>
          </w:p>
        </w:tc>
        <w:tc>
          <w:tcPr>
            <w:tcW w:w="603" w:type="pct"/>
            <w:gridSpan w:val="2"/>
          </w:tcPr>
          <w:p w14:paraId="12724502" w14:textId="77777777" w:rsidR="00DF636C" w:rsidRPr="008B77E4" w:rsidRDefault="00DF636C" w:rsidP="001A738B">
            <w:r>
              <w:t>3</w:t>
            </w:r>
          </w:p>
        </w:tc>
        <w:tc>
          <w:tcPr>
            <w:tcW w:w="395" w:type="pct"/>
          </w:tcPr>
          <w:p w14:paraId="44CE0A29" w14:textId="77777777" w:rsidR="00DF636C" w:rsidRPr="008B77E4" w:rsidRDefault="00DF636C" w:rsidP="001A738B">
            <w:r>
              <w:t>4</w:t>
            </w:r>
          </w:p>
        </w:tc>
        <w:tc>
          <w:tcPr>
            <w:tcW w:w="442" w:type="pct"/>
          </w:tcPr>
          <w:p w14:paraId="2F6895B8" w14:textId="77777777" w:rsidR="00DF636C" w:rsidRPr="008B77E4" w:rsidRDefault="00DF636C" w:rsidP="001A738B">
            <w:r>
              <w:t>5</w:t>
            </w:r>
          </w:p>
        </w:tc>
        <w:tc>
          <w:tcPr>
            <w:tcW w:w="389" w:type="pct"/>
          </w:tcPr>
          <w:p w14:paraId="5A4490FA" w14:textId="77777777" w:rsidR="00DF636C" w:rsidRPr="008B77E4" w:rsidRDefault="00DF636C" w:rsidP="001A738B">
            <w:r>
              <w:t>6</w:t>
            </w:r>
          </w:p>
        </w:tc>
        <w:tc>
          <w:tcPr>
            <w:tcW w:w="269" w:type="pct"/>
          </w:tcPr>
          <w:p w14:paraId="137ABE8F" w14:textId="77777777" w:rsidR="00DF636C" w:rsidRPr="008B77E4" w:rsidRDefault="00DF636C" w:rsidP="001A738B">
            <w:r>
              <w:t>7</w:t>
            </w:r>
          </w:p>
        </w:tc>
        <w:tc>
          <w:tcPr>
            <w:tcW w:w="551" w:type="pct"/>
          </w:tcPr>
          <w:p w14:paraId="66ED3177" w14:textId="77777777" w:rsidR="00DF636C" w:rsidRPr="008B77E4" w:rsidRDefault="00DF636C" w:rsidP="001A738B">
            <w:r>
              <w:t>8</w:t>
            </w:r>
          </w:p>
        </w:tc>
        <w:tc>
          <w:tcPr>
            <w:tcW w:w="552" w:type="pct"/>
          </w:tcPr>
          <w:p w14:paraId="348F80F1" w14:textId="77777777" w:rsidR="00DF636C" w:rsidRPr="008B77E4" w:rsidRDefault="00DF636C" w:rsidP="001A738B">
            <w:r>
              <w:t>9</w:t>
            </w:r>
          </w:p>
        </w:tc>
        <w:tc>
          <w:tcPr>
            <w:tcW w:w="552" w:type="pct"/>
          </w:tcPr>
          <w:p w14:paraId="005267CF" w14:textId="77777777" w:rsidR="00DF636C" w:rsidRPr="008B77E4" w:rsidRDefault="00DF636C" w:rsidP="001A738B">
            <w:r>
              <w:t>10</w:t>
            </w:r>
          </w:p>
        </w:tc>
        <w:tc>
          <w:tcPr>
            <w:tcW w:w="488" w:type="pct"/>
          </w:tcPr>
          <w:p w14:paraId="746523E6" w14:textId="77777777" w:rsidR="00DF636C" w:rsidRDefault="00DF636C" w:rsidP="001A738B">
            <w:r>
              <w:t>11</w:t>
            </w:r>
          </w:p>
        </w:tc>
      </w:tr>
      <w:tr w:rsidR="00DF636C" w14:paraId="471B63EC" w14:textId="77777777" w:rsidTr="001A738B">
        <w:tc>
          <w:tcPr>
            <w:tcW w:w="261" w:type="pct"/>
          </w:tcPr>
          <w:p w14:paraId="2E7A94D7" w14:textId="77777777" w:rsidR="00DF636C" w:rsidRPr="00E4159F" w:rsidRDefault="00DF636C" w:rsidP="001A738B">
            <w:pPr>
              <w:rPr>
                <w:sz w:val="17"/>
                <w:szCs w:val="17"/>
              </w:rPr>
            </w:pPr>
            <w:r w:rsidRPr="00E4159F">
              <w:rPr>
                <w:sz w:val="17"/>
                <w:szCs w:val="17"/>
              </w:rPr>
              <w:t>Date</w:t>
            </w:r>
          </w:p>
        </w:tc>
        <w:tc>
          <w:tcPr>
            <w:tcW w:w="498" w:type="pct"/>
          </w:tcPr>
          <w:p w14:paraId="2FACCDA1" w14:textId="77777777" w:rsidR="00DF636C" w:rsidRPr="00E4159F" w:rsidRDefault="00DF636C" w:rsidP="001A738B">
            <w:pPr>
              <w:rPr>
                <w:sz w:val="17"/>
                <w:szCs w:val="17"/>
              </w:rPr>
            </w:pPr>
            <w:r w:rsidRPr="00E4159F">
              <w:rPr>
                <w:sz w:val="17"/>
                <w:szCs w:val="17"/>
              </w:rPr>
              <w:t>Venue/Type</w:t>
            </w:r>
            <w:r>
              <w:rPr>
                <w:sz w:val="17"/>
                <w:szCs w:val="17"/>
              </w:rPr>
              <w:t xml:space="preserve"> </w:t>
            </w:r>
            <w:r w:rsidRPr="00E4159F">
              <w:rPr>
                <w:sz w:val="17"/>
                <w:szCs w:val="17"/>
              </w:rPr>
              <w:t>of function</w:t>
            </w:r>
          </w:p>
        </w:tc>
        <w:tc>
          <w:tcPr>
            <w:tcW w:w="603" w:type="pct"/>
            <w:gridSpan w:val="2"/>
          </w:tcPr>
          <w:p w14:paraId="135964F2" w14:textId="77777777" w:rsidR="00DF636C" w:rsidRPr="00E4159F" w:rsidRDefault="00DF636C" w:rsidP="001A738B">
            <w:pPr>
              <w:rPr>
                <w:sz w:val="17"/>
                <w:szCs w:val="17"/>
              </w:rPr>
            </w:pPr>
            <w:r w:rsidRPr="00E4159F">
              <w:rPr>
                <w:sz w:val="17"/>
                <w:szCs w:val="17"/>
              </w:rPr>
              <w:t>*</w:t>
            </w:r>
            <w:r>
              <w:rPr>
                <w:sz w:val="17"/>
                <w:szCs w:val="17"/>
              </w:rPr>
              <w:t xml:space="preserve"> </w:t>
            </w:r>
            <w:r w:rsidRPr="00E4159F">
              <w:rPr>
                <w:sz w:val="17"/>
                <w:szCs w:val="17"/>
              </w:rPr>
              <w:t>Cost of</w:t>
            </w:r>
            <w:r>
              <w:rPr>
                <w:sz w:val="17"/>
                <w:szCs w:val="17"/>
              </w:rPr>
              <w:t xml:space="preserve"> </w:t>
            </w:r>
            <w:r w:rsidRPr="00E4159F">
              <w:rPr>
                <w:sz w:val="17"/>
                <w:szCs w:val="17"/>
              </w:rPr>
              <w:t>function</w:t>
            </w:r>
          </w:p>
          <w:p w14:paraId="67824804" w14:textId="77777777" w:rsidR="00DF636C" w:rsidRPr="00E4159F" w:rsidRDefault="00DF636C" w:rsidP="001A738B">
            <w:pPr>
              <w:rPr>
                <w:sz w:val="17"/>
                <w:szCs w:val="17"/>
              </w:rPr>
            </w:pPr>
            <w:r w:rsidRPr="00E4159F">
              <w:rPr>
                <w:sz w:val="17"/>
                <w:szCs w:val="17"/>
              </w:rPr>
              <w:t xml:space="preserve">$ </w:t>
            </w:r>
            <w:r w:rsidRPr="00E4159F">
              <w:rPr>
                <w:sz w:val="17"/>
                <w:szCs w:val="17"/>
              </w:rPr>
              <w:tab/>
              <w:t>c</w:t>
            </w:r>
          </w:p>
        </w:tc>
        <w:tc>
          <w:tcPr>
            <w:tcW w:w="395" w:type="pct"/>
          </w:tcPr>
          <w:p w14:paraId="0C11B2D3" w14:textId="77777777" w:rsidR="00DF636C" w:rsidRPr="00E4159F" w:rsidRDefault="00DF636C" w:rsidP="001A738B">
            <w:pPr>
              <w:rPr>
                <w:sz w:val="17"/>
                <w:szCs w:val="17"/>
              </w:rPr>
            </w:pPr>
            <w:r w:rsidRPr="00E4159F">
              <w:rPr>
                <w:sz w:val="17"/>
                <w:szCs w:val="17"/>
              </w:rPr>
              <w:t>No. of</w:t>
            </w:r>
            <w:r>
              <w:rPr>
                <w:sz w:val="17"/>
                <w:szCs w:val="17"/>
              </w:rPr>
              <w:t xml:space="preserve"> e</w:t>
            </w:r>
            <w:r w:rsidRPr="00E4159F">
              <w:rPr>
                <w:sz w:val="17"/>
                <w:szCs w:val="17"/>
              </w:rPr>
              <w:t>mployees</w:t>
            </w:r>
            <w:r>
              <w:rPr>
                <w:sz w:val="17"/>
                <w:szCs w:val="17"/>
              </w:rPr>
              <w:t xml:space="preserve"> and associates</w:t>
            </w:r>
          </w:p>
        </w:tc>
        <w:tc>
          <w:tcPr>
            <w:tcW w:w="442" w:type="pct"/>
          </w:tcPr>
          <w:p w14:paraId="1E05F550" w14:textId="77777777" w:rsidR="00DF636C" w:rsidRPr="00E4159F" w:rsidRDefault="00DF636C" w:rsidP="001A738B">
            <w:pPr>
              <w:rPr>
                <w:sz w:val="17"/>
                <w:szCs w:val="17"/>
              </w:rPr>
            </w:pPr>
            <w:r w:rsidRPr="00E4159F">
              <w:rPr>
                <w:sz w:val="17"/>
                <w:szCs w:val="17"/>
              </w:rPr>
              <w:t>No. of</w:t>
            </w:r>
            <w:r>
              <w:rPr>
                <w:sz w:val="17"/>
                <w:szCs w:val="17"/>
              </w:rPr>
              <w:t xml:space="preserve"> c</w:t>
            </w:r>
            <w:r w:rsidRPr="00E4159F">
              <w:rPr>
                <w:sz w:val="17"/>
                <w:szCs w:val="17"/>
              </w:rPr>
              <w:t>lients</w:t>
            </w:r>
            <w:r>
              <w:rPr>
                <w:sz w:val="17"/>
                <w:szCs w:val="17"/>
              </w:rPr>
              <w:t xml:space="preserve"> </w:t>
            </w:r>
            <w:r w:rsidRPr="00E4159F">
              <w:rPr>
                <w:sz w:val="17"/>
                <w:szCs w:val="17"/>
              </w:rPr>
              <w:t>/</w:t>
            </w:r>
            <w:r>
              <w:rPr>
                <w:sz w:val="17"/>
                <w:szCs w:val="17"/>
              </w:rPr>
              <w:t xml:space="preserve"> </w:t>
            </w:r>
            <w:r w:rsidRPr="00E4159F">
              <w:rPr>
                <w:sz w:val="17"/>
                <w:szCs w:val="17"/>
              </w:rPr>
              <w:t>customers</w:t>
            </w:r>
          </w:p>
        </w:tc>
        <w:tc>
          <w:tcPr>
            <w:tcW w:w="389" w:type="pct"/>
          </w:tcPr>
          <w:p w14:paraId="65A0BB6D" w14:textId="77777777" w:rsidR="00DF636C" w:rsidRDefault="00DF636C" w:rsidP="001A738B">
            <w:pPr>
              <w:rPr>
                <w:sz w:val="17"/>
                <w:szCs w:val="17"/>
              </w:rPr>
            </w:pPr>
            <w:r w:rsidRPr="00E4159F">
              <w:rPr>
                <w:sz w:val="17"/>
                <w:szCs w:val="17"/>
              </w:rPr>
              <w:t>Total</w:t>
            </w:r>
            <w:r>
              <w:rPr>
                <w:sz w:val="17"/>
                <w:szCs w:val="17"/>
              </w:rPr>
              <w:t xml:space="preserve"> </w:t>
            </w:r>
            <w:r w:rsidRPr="00E4159F">
              <w:rPr>
                <w:sz w:val="17"/>
                <w:szCs w:val="17"/>
              </w:rPr>
              <w:t>no. attended</w:t>
            </w:r>
          </w:p>
          <w:p w14:paraId="62433BBB" w14:textId="77777777" w:rsidR="00DF636C" w:rsidRPr="00E4159F" w:rsidRDefault="00DF636C" w:rsidP="001A738B">
            <w:pPr>
              <w:rPr>
                <w:sz w:val="17"/>
                <w:szCs w:val="17"/>
              </w:rPr>
            </w:pPr>
            <w:r>
              <w:rPr>
                <w:sz w:val="17"/>
                <w:szCs w:val="17"/>
              </w:rPr>
              <w:t>(4 + 5)</w:t>
            </w:r>
          </w:p>
        </w:tc>
        <w:tc>
          <w:tcPr>
            <w:tcW w:w="269" w:type="pct"/>
          </w:tcPr>
          <w:p w14:paraId="48576DCB" w14:textId="77777777" w:rsidR="00DF636C" w:rsidRDefault="00DF636C" w:rsidP="001A738B">
            <w:pPr>
              <w:rPr>
                <w:sz w:val="17"/>
                <w:szCs w:val="17"/>
              </w:rPr>
            </w:pPr>
            <w:r w:rsidRPr="00E4159F">
              <w:rPr>
                <w:sz w:val="17"/>
                <w:szCs w:val="17"/>
              </w:rPr>
              <w:t>Cost per</w:t>
            </w:r>
            <w:r>
              <w:rPr>
                <w:sz w:val="17"/>
                <w:szCs w:val="17"/>
              </w:rPr>
              <w:t xml:space="preserve"> h</w:t>
            </w:r>
            <w:r w:rsidRPr="00E4159F">
              <w:rPr>
                <w:sz w:val="17"/>
                <w:szCs w:val="17"/>
              </w:rPr>
              <w:t>ead</w:t>
            </w:r>
          </w:p>
          <w:p w14:paraId="5D1BDE0F" w14:textId="77777777" w:rsidR="00DF636C" w:rsidRPr="00E4159F" w:rsidRDefault="00DF636C" w:rsidP="001A738B">
            <w:pPr>
              <w:rPr>
                <w:sz w:val="17"/>
                <w:szCs w:val="17"/>
              </w:rPr>
            </w:pPr>
            <w:r>
              <w:rPr>
                <w:sz w:val="17"/>
                <w:szCs w:val="17"/>
              </w:rPr>
              <w:t>(3/6)</w:t>
            </w:r>
          </w:p>
        </w:tc>
        <w:tc>
          <w:tcPr>
            <w:tcW w:w="551" w:type="pct"/>
          </w:tcPr>
          <w:p w14:paraId="1122D313" w14:textId="77777777" w:rsidR="00DF636C" w:rsidRPr="00E4159F" w:rsidRDefault="00DF636C" w:rsidP="001A738B">
            <w:pPr>
              <w:rPr>
                <w:sz w:val="17"/>
                <w:szCs w:val="17"/>
              </w:rPr>
            </w:pPr>
            <w:r w:rsidRPr="00E4159F">
              <w:rPr>
                <w:sz w:val="17"/>
                <w:szCs w:val="17"/>
              </w:rPr>
              <w:t>Non-deductible</w:t>
            </w:r>
            <w:r>
              <w:rPr>
                <w:sz w:val="17"/>
                <w:szCs w:val="17"/>
              </w:rPr>
              <w:t xml:space="preserve"> </w:t>
            </w:r>
            <w:r w:rsidRPr="00E4159F">
              <w:rPr>
                <w:sz w:val="17"/>
                <w:szCs w:val="17"/>
              </w:rPr>
              <w:t>entertainment</w:t>
            </w:r>
          </w:p>
          <w:p w14:paraId="0008296B" w14:textId="77777777" w:rsidR="00DF636C" w:rsidRDefault="00DF636C" w:rsidP="001A738B">
            <w:pPr>
              <w:rPr>
                <w:sz w:val="17"/>
                <w:szCs w:val="17"/>
              </w:rPr>
            </w:pPr>
            <w:r w:rsidRPr="00E4159F">
              <w:rPr>
                <w:sz w:val="17"/>
                <w:szCs w:val="17"/>
              </w:rPr>
              <w:t xml:space="preserve">$ </w:t>
            </w:r>
            <w:r w:rsidRPr="00E4159F">
              <w:rPr>
                <w:sz w:val="17"/>
                <w:szCs w:val="17"/>
              </w:rPr>
              <w:tab/>
              <w:t>c</w:t>
            </w:r>
          </w:p>
          <w:p w14:paraId="5429931C" w14:textId="77777777" w:rsidR="00DF636C" w:rsidRPr="00E4159F" w:rsidRDefault="00DF636C" w:rsidP="001A738B">
            <w:pPr>
              <w:rPr>
                <w:sz w:val="17"/>
                <w:szCs w:val="17"/>
              </w:rPr>
            </w:pPr>
            <w:r>
              <w:rPr>
                <w:sz w:val="17"/>
                <w:szCs w:val="17"/>
              </w:rPr>
              <w:t>(5 * 7)</w:t>
            </w:r>
          </w:p>
        </w:tc>
        <w:tc>
          <w:tcPr>
            <w:tcW w:w="552" w:type="pct"/>
          </w:tcPr>
          <w:p w14:paraId="59FD7D93" w14:textId="77777777" w:rsidR="00DF636C" w:rsidRPr="00E4159F" w:rsidRDefault="00DF636C" w:rsidP="001A738B">
            <w:pPr>
              <w:rPr>
                <w:sz w:val="17"/>
                <w:szCs w:val="17"/>
              </w:rPr>
            </w:pPr>
            <w:r w:rsidRPr="00E4159F">
              <w:rPr>
                <w:sz w:val="17"/>
                <w:szCs w:val="17"/>
              </w:rPr>
              <w:t>Deductible</w:t>
            </w:r>
            <w:r>
              <w:rPr>
                <w:sz w:val="17"/>
                <w:szCs w:val="17"/>
              </w:rPr>
              <w:t xml:space="preserve"> </w:t>
            </w:r>
            <w:r w:rsidRPr="00E4159F">
              <w:rPr>
                <w:sz w:val="17"/>
                <w:szCs w:val="17"/>
              </w:rPr>
              <w:t>entertainment</w:t>
            </w:r>
          </w:p>
          <w:p w14:paraId="6CC76729" w14:textId="77777777" w:rsidR="00DF636C" w:rsidRDefault="00DF636C" w:rsidP="001A738B">
            <w:pPr>
              <w:rPr>
                <w:sz w:val="17"/>
                <w:szCs w:val="17"/>
              </w:rPr>
            </w:pPr>
            <w:r w:rsidRPr="00E4159F">
              <w:rPr>
                <w:sz w:val="17"/>
                <w:szCs w:val="17"/>
              </w:rPr>
              <w:t xml:space="preserve">$ </w:t>
            </w:r>
            <w:r w:rsidRPr="00E4159F">
              <w:rPr>
                <w:sz w:val="17"/>
                <w:szCs w:val="17"/>
              </w:rPr>
              <w:tab/>
              <w:t>c</w:t>
            </w:r>
          </w:p>
          <w:p w14:paraId="38CD8C47" w14:textId="77777777" w:rsidR="00DF636C" w:rsidRPr="00E4159F" w:rsidRDefault="00DF636C" w:rsidP="001A738B">
            <w:pPr>
              <w:rPr>
                <w:sz w:val="17"/>
                <w:szCs w:val="17"/>
              </w:rPr>
            </w:pPr>
            <w:r>
              <w:rPr>
                <w:sz w:val="17"/>
                <w:szCs w:val="17"/>
              </w:rPr>
              <w:t>(4*7)</w:t>
            </w:r>
          </w:p>
        </w:tc>
        <w:tc>
          <w:tcPr>
            <w:tcW w:w="552" w:type="pct"/>
          </w:tcPr>
          <w:p w14:paraId="408B475A" w14:textId="77777777" w:rsidR="00DF636C" w:rsidRPr="00E4159F" w:rsidRDefault="00DF636C" w:rsidP="001A738B">
            <w:pPr>
              <w:rPr>
                <w:sz w:val="17"/>
                <w:szCs w:val="17"/>
              </w:rPr>
            </w:pPr>
            <w:r w:rsidRPr="00E4159F">
              <w:rPr>
                <w:sz w:val="17"/>
                <w:szCs w:val="17"/>
              </w:rPr>
              <w:t>Total</w:t>
            </w:r>
            <w:r>
              <w:rPr>
                <w:sz w:val="17"/>
                <w:szCs w:val="17"/>
              </w:rPr>
              <w:t xml:space="preserve"> </w:t>
            </w:r>
            <w:r w:rsidRPr="00E4159F">
              <w:rPr>
                <w:sz w:val="17"/>
                <w:szCs w:val="17"/>
              </w:rPr>
              <w:t>entertainment</w:t>
            </w:r>
          </w:p>
          <w:p w14:paraId="3A3D0D14" w14:textId="77777777" w:rsidR="00DF636C" w:rsidRPr="00E4159F" w:rsidRDefault="00DF636C" w:rsidP="001A738B">
            <w:pPr>
              <w:rPr>
                <w:sz w:val="17"/>
                <w:szCs w:val="17"/>
              </w:rPr>
            </w:pPr>
            <w:r w:rsidRPr="00E4159F">
              <w:rPr>
                <w:sz w:val="17"/>
                <w:szCs w:val="17"/>
              </w:rPr>
              <w:t xml:space="preserve">$ </w:t>
            </w:r>
            <w:r w:rsidRPr="00E4159F">
              <w:rPr>
                <w:sz w:val="17"/>
                <w:szCs w:val="17"/>
              </w:rPr>
              <w:tab/>
              <w:t>c</w:t>
            </w:r>
          </w:p>
        </w:tc>
        <w:tc>
          <w:tcPr>
            <w:tcW w:w="488" w:type="pct"/>
          </w:tcPr>
          <w:p w14:paraId="532B99BF" w14:textId="77777777" w:rsidR="00DF636C" w:rsidRPr="00E4159F" w:rsidRDefault="00DF636C" w:rsidP="001A738B">
            <w:pPr>
              <w:rPr>
                <w:sz w:val="17"/>
                <w:szCs w:val="17"/>
              </w:rPr>
            </w:pPr>
            <w:r w:rsidRPr="00E4159F">
              <w:rPr>
                <w:sz w:val="17"/>
                <w:szCs w:val="17"/>
              </w:rPr>
              <w:t>FBT taxable</w:t>
            </w:r>
            <w:r>
              <w:rPr>
                <w:sz w:val="17"/>
                <w:szCs w:val="17"/>
              </w:rPr>
              <w:t xml:space="preserve"> </w:t>
            </w:r>
            <w:r w:rsidRPr="00E4159F">
              <w:rPr>
                <w:sz w:val="17"/>
                <w:szCs w:val="17"/>
              </w:rPr>
              <w:t>value</w:t>
            </w:r>
          </w:p>
          <w:p w14:paraId="4AB61A4A" w14:textId="77777777" w:rsidR="00DF636C" w:rsidRPr="00E4159F" w:rsidRDefault="00DF636C" w:rsidP="001A738B">
            <w:pPr>
              <w:rPr>
                <w:sz w:val="17"/>
                <w:szCs w:val="17"/>
              </w:rPr>
            </w:pPr>
            <w:r w:rsidRPr="00E4159F">
              <w:rPr>
                <w:sz w:val="17"/>
                <w:szCs w:val="17"/>
              </w:rPr>
              <w:t xml:space="preserve">$ </w:t>
            </w:r>
            <w:r w:rsidRPr="00E4159F">
              <w:rPr>
                <w:sz w:val="17"/>
                <w:szCs w:val="17"/>
              </w:rPr>
              <w:tab/>
              <w:t>c</w:t>
            </w:r>
          </w:p>
        </w:tc>
      </w:tr>
      <w:tr w:rsidR="00DF636C" w14:paraId="1F65C937" w14:textId="77777777" w:rsidTr="001A738B">
        <w:trPr>
          <w:cnfStyle w:val="000000100000" w:firstRow="0" w:lastRow="0" w:firstColumn="0" w:lastColumn="0" w:oddVBand="0" w:evenVBand="0" w:oddHBand="1" w:evenHBand="0" w:firstRowFirstColumn="0" w:firstRowLastColumn="0" w:lastRowFirstColumn="0" w:lastRowLastColumn="0"/>
        </w:trPr>
        <w:tc>
          <w:tcPr>
            <w:tcW w:w="261" w:type="pct"/>
          </w:tcPr>
          <w:p w14:paraId="00D522D0" w14:textId="77777777" w:rsidR="00DF636C" w:rsidRPr="008B77E4" w:rsidRDefault="00DF636C" w:rsidP="001A738B"/>
        </w:tc>
        <w:tc>
          <w:tcPr>
            <w:tcW w:w="498" w:type="pct"/>
          </w:tcPr>
          <w:p w14:paraId="0BA54362" w14:textId="77777777" w:rsidR="00DF636C" w:rsidRDefault="00DF636C" w:rsidP="001A738B"/>
        </w:tc>
        <w:tc>
          <w:tcPr>
            <w:tcW w:w="603" w:type="pct"/>
            <w:gridSpan w:val="2"/>
          </w:tcPr>
          <w:p w14:paraId="5E16B475" w14:textId="77777777" w:rsidR="00DF636C" w:rsidRDefault="00DF636C" w:rsidP="001A738B"/>
        </w:tc>
        <w:tc>
          <w:tcPr>
            <w:tcW w:w="395" w:type="pct"/>
          </w:tcPr>
          <w:p w14:paraId="2815D824" w14:textId="77777777" w:rsidR="00DF636C" w:rsidRDefault="00DF636C" w:rsidP="001A738B"/>
        </w:tc>
        <w:tc>
          <w:tcPr>
            <w:tcW w:w="442" w:type="pct"/>
          </w:tcPr>
          <w:p w14:paraId="6911A0F6" w14:textId="77777777" w:rsidR="00DF636C" w:rsidRDefault="00DF636C" w:rsidP="001A738B"/>
        </w:tc>
        <w:tc>
          <w:tcPr>
            <w:tcW w:w="389" w:type="pct"/>
          </w:tcPr>
          <w:p w14:paraId="6458ECEF" w14:textId="77777777" w:rsidR="00DF636C" w:rsidRDefault="00DF636C" w:rsidP="001A738B"/>
        </w:tc>
        <w:tc>
          <w:tcPr>
            <w:tcW w:w="269" w:type="pct"/>
          </w:tcPr>
          <w:p w14:paraId="4286786C" w14:textId="77777777" w:rsidR="00DF636C" w:rsidRDefault="00DF636C" w:rsidP="001A738B"/>
        </w:tc>
        <w:tc>
          <w:tcPr>
            <w:tcW w:w="551" w:type="pct"/>
          </w:tcPr>
          <w:p w14:paraId="3BC69AC8" w14:textId="77777777" w:rsidR="00DF636C" w:rsidRDefault="00DF636C" w:rsidP="001A738B"/>
        </w:tc>
        <w:tc>
          <w:tcPr>
            <w:tcW w:w="552" w:type="pct"/>
          </w:tcPr>
          <w:p w14:paraId="4D2CB270" w14:textId="77777777" w:rsidR="00DF636C" w:rsidRDefault="00DF636C" w:rsidP="001A738B"/>
        </w:tc>
        <w:tc>
          <w:tcPr>
            <w:tcW w:w="552" w:type="pct"/>
          </w:tcPr>
          <w:p w14:paraId="46C64CFA" w14:textId="77777777" w:rsidR="00DF636C" w:rsidRDefault="00DF636C" w:rsidP="001A738B"/>
        </w:tc>
        <w:tc>
          <w:tcPr>
            <w:tcW w:w="488" w:type="pct"/>
          </w:tcPr>
          <w:p w14:paraId="4083E7F0" w14:textId="77777777" w:rsidR="00DF636C" w:rsidRDefault="00DF636C" w:rsidP="001A738B"/>
        </w:tc>
      </w:tr>
      <w:tr w:rsidR="00BB2668" w14:paraId="1BB8DF9C" w14:textId="77777777" w:rsidTr="001A738B">
        <w:tc>
          <w:tcPr>
            <w:tcW w:w="261" w:type="pct"/>
          </w:tcPr>
          <w:p w14:paraId="1EE51375" w14:textId="77777777" w:rsidR="00DF636C" w:rsidRPr="008B77E4" w:rsidRDefault="00DF636C" w:rsidP="001A738B"/>
        </w:tc>
        <w:tc>
          <w:tcPr>
            <w:tcW w:w="498" w:type="pct"/>
          </w:tcPr>
          <w:p w14:paraId="55282620" w14:textId="77777777" w:rsidR="00DF636C" w:rsidRDefault="00DF636C" w:rsidP="001A738B"/>
        </w:tc>
        <w:tc>
          <w:tcPr>
            <w:tcW w:w="603" w:type="pct"/>
            <w:gridSpan w:val="2"/>
          </w:tcPr>
          <w:p w14:paraId="004B836E" w14:textId="77777777" w:rsidR="00DF636C" w:rsidRDefault="00DF636C" w:rsidP="001A738B"/>
        </w:tc>
        <w:tc>
          <w:tcPr>
            <w:tcW w:w="395" w:type="pct"/>
          </w:tcPr>
          <w:p w14:paraId="6BFDB25B" w14:textId="77777777" w:rsidR="00DF636C" w:rsidRDefault="00DF636C" w:rsidP="001A738B"/>
        </w:tc>
        <w:tc>
          <w:tcPr>
            <w:tcW w:w="442" w:type="pct"/>
          </w:tcPr>
          <w:p w14:paraId="7EB02B04" w14:textId="77777777" w:rsidR="00DF636C" w:rsidRDefault="00DF636C" w:rsidP="001A738B"/>
        </w:tc>
        <w:tc>
          <w:tcPr>
            <w:tcW w:w="389" w:type="pct"/>
          </w:tcPr>
          <w:p w14:paraId="476F3E80" w14:textId="77777777" w:rsidR="00DF636C" w:rsidRDefault="00DF636C" w:rsidP="001A738B"/>
        </w:tc>
        <w:tc>
          <w:tcPr>
            <w:tcW w:w="269" w:type="pct"/>
          </w:tcPr>
          <w:p w14:paraId="11BD8CB2" w14:textId="77777777" w:rsidR="00DF636C" w:rsidRDefault="00DF636C" w:rsidP="001A738B"/>
        </w:tc>
        <w:tc>
          <w:tcPr>
            <w:tcW w:w="551" w:type="pct"/>
          </w:tcPr>
          <w:p w14:paraId="2FCB3420" w14:textId="77777777" w:rsidR="00DF636C" w:rsidRDefault="00DF636C" w:rsidP="001A738B"/>
        </w:tc>
        <w:tc>
          <w:tcPr>
            <w:tcW w:w="552" w:type="pct"/>
          </w:tcPr>
          <w:p w14:paraId="219B7097" w14:textId="77777777" w:rsidR="00DF636C" w:rsidRDefault="00DF636C" w:rsidP="001A738B"/>
        </w:tc>
        <w:tc>
          <w:tcPr>
            <w:tcW w:w="552" w:type="pct"/>
          </w:tcPr>
          <w:p w14:paraId="633B16D6" w14:textId="77777777" w:rsidR="00DF636C" w:rsidRDefault="00DF636C" w:rsidP="001A738B"/>
        </w:tc>
        <w:tc>
          <w:tcPr>
            <w:tcW w:w="488" w:type="pct"/>
          </w:tcPr>
          <w:p w14:paraId="6CE8029B" w14:textId="77777777" w:rsidR="00DF636C" w:rsidRDefault="00DF636C" w:rsidP="001A738B"/>
        </w:tc>
      </w:tr>
      <w:tr w:rsidR="00DF636C" w14:paraId="09F6FA56" w14:textId="77777777" w:rsidTr="001A738B">
        <w:trPr>
          <w:cnfStyle w:val="000000100000" w:firstRow="0" w:lastRow="0" w:firstColumn="0" w:lastColumn="0" w:oddVBand="0" w:evenVBand="0" w:oddHBand="1" w:evenHBand="0" w:firstRowFirstColumn="0" w:firstRowLastColumn="0" w:lastRowFirstColumn="0" w:lastRowLastColumn="0"/>
        </w:trPr>
        <w:tc>
          <w:tcPr>
            <w:tcW w:w="261" w:type="pct"/>
          </w:tcPr>
          <w:p w14:paraId="1E671B59" w14:textId="77777777" w:rsidR="00DF636C" w:rsidRPr="008B77E4" w:rsidRDefault="00DF636C" w:rsidP="001A738B"/>
        </w:tc>
        <w:tc>
          <w:tcPr>
            <w:tcW w:w="498" w:type="pct"/>
          </w:tcPr>
          <w:p w14:paraId="7490D73B" w14:textId="77777777" w:rsidR="00DF636C" w:rsidRDefault="00DF636C" w:rsidP="001A738B"/>
        </w:tc>
        <w:tc>
          <w:tcPr>
            <w:tcW w:w="603" w:type="pct"/>
            <w:gridSpan w:val="2"/>
          </w:tcPr>
          <w:p w14:paraId="739DF196" w14:textId="77777777" w:rsidR="00DF636C" w:rsidRDefault="00DF636C" w:rsidP="001A738B"/>
        </w:tc>
        <w:tc>
          <w:tcPr>
            <w:tcW w:w="395" w:type="pct"/>
          </w:tcPr>
          <w:p w14:paraId="0D49EAC7" w14:textId="77777777" w:rsidR="00DF636C" w:rsidRDefault="00DF636C" w:rsidP="001A738B"/>
        </w:tc>
        <w:tc>
          <w:tcPr>
            <w:tcW w:w="442" w:type="pct"/>
          </w:tcPr>
          <w:p w14:paraId="67C07B54" w14:textId="77777777" w:rsidR="00DF636C" w:rsidRDefault="00DF636C" w:rsidP="001A738B"/>
        </w:tc>
        <w:tc>
          <w:tcPr>
            <w:tcW w:w="389" w:type="pct"/>
          </w:tcPr>
          <w:p w14:paraId="5E4837B4" w14:textId="77777777" w:rsidR="00DF636C" w:rsidRDefault="00DF636C" w:rsidP="001A738B"/>
        </w:tc>
        <w:tc>
          <w:tcPr>
            <w:tcW w:w="269" w:type="pct"/>
          </w:tcPr>
          <w:p w14:paraId="138DEDB4" w14:textId="77777777" w:rsidR="00DF636C" w:rsidRDefault="00DF636C" w:rsidP="001A738B"/>
        </w:tc>
        <w:tc>
          <w:tcPr>
            <w:tcW w:w="551" w:type="pct"/>
          </w:tcPr>
          <w:p w14:paraId="46E4C8CA" w14:textId="77777777" w:rsidR="00DF636C" w:rsidRDefault="00DF636C" w:rsidP="001A738B"/>
        </w:tc>
        <w:tc>
          <w:tcPr>
            <w:tcW w:w="552" w:type="pct"/>
          </w:tcPr>
          <w:p w14:paraId="51F7C247" w14:textId="77777777" w:rsidR="00DF636C" w:rsidRDefault="00DF636C" w:rsidP="001A738B"/>
        </w:tc>
        <w:tc>
          <w:tcPr>
            <w:tcW w:w="552" w:type="pct"/>
          </w:tcPr>
          <w:p w14:paraId="28E4EFEB" w14:textId="77777777" w:rsidR="00DF636C" w:rsidRDefault="00DF636C" w:rsidP="001A738B"/>
        </w:tc>
        <w:tc>
          <w:tcPr>
            <w:tcW w:w="488" w:type="pct"/>
          </w:tcPr>
          <w:p w14:paraId="71D4C0D7" w14:textId="77777777" w:rsidR="00DF636C" w:rsidRDefault="00DF636C" w:rsidP="001A738B"/>
        </w:tc>
      </w:tr>
      <w:tr w:rsidR="00BB2668" w14:paraId="00D8B929" w14:textId="77777777" w:rsidTr="001A738B">
        <w:tc>
          <w:tcPr>
            <w:tcW w:w="261" w:type="pct"/>
          </w:tcPr>
          <w:p w14:paraId="62EE5D07" w14:textId="77777777" w:rsidR="00DF636C" w:rsidRPr="008B77E4" w:rsidRDefault="00DF636C" w:rsidP="001A738B"/>
        </w:tc>
        <w:tc>
          <w:tcPr>
            <w:tcW w:w="498" w:type="pct"/>
          </w:tcPr>
          <w:p w14:paraId="6D73C0B0" w14:textId="77777777" w:rsidR="00DF636C" w:rsidRDefault="00DF636C" w:rsidP="001A738B"/>
        </w:tc>
        <w:tc>
          <w:tcPr>
            <w:tcW w:w="603" w:type="pct"/>
            <w:gridSpan w:val="2"/>
          </w:tcPr>
          <w:p w14:paraId="0CB41667" w14:textId="77777777" w:rsidR="00DF636C" w:rsidRDefault="00DF636C" w:rsidP="001A738B"/>
        </w:tc>
        <w:tc>
          <w:tcPr>
            <w:tcW w:w="395" w:type="pct"/>
          </w:tcPr>
          <w:p w14:paraId="73CC27A2" w14:textId="77777777" w:rsidR="00DF636C" w:rsidRDefault="00DF636C" w:rsidP="001A738B"/>
        </w:tc>
        <w:tc>
          <w:tcPr>
            <w:tcW w:w="442" w:type="pct"/>
          </w:tcPr>
          <w:p w14:paraId="7A197738" w14:textId="77777777" w:rsidR="00DF636C" w:rsidRDefault="00DF636C" w:rsidP="001A738B"/>
        </w:tc>
        <w:tc>
          <w:tcPr>
            <w:tcW w:w="389" w:type="pct"/>
          </w:tcPr>
          <w:p w14:paraId="3DFFABD6" w14:textId="77777777" w:rsidR="00DF636C" w:rsidRDefault="00DF636C" w:rsidP="001A738B"/>
        </w:tc>
        <w:tc>
          <w:tcPr>
            <w:tcW w:w="269" w:type="pct"/>
          </w:tcPr>
          <w:p w14:paraId="146FFA66" w14:textId="77777777" w:rsidR="00DF636C" w:rsidRDefault="00DF636C" w:rsidP="001A738B"/>
        </w:tc>
        <w:tc>
          <w:tcPr>
            <w:tcW w:w="551" w:type="pct"/>
          </w:tcPr>
          <w:p w14:paraId="26E5E3BD" w14:textId="77777777" w:rsidR="00DF636C" w:rsidRDefault="00DF636C" w:rsidP="001A738B"/>
        </w:tc>
        <w:tc>
          <w:tcPr>
            <w:tcW w:w="552" w:type="pct"/>
          </w:tcPr>
          <w:p w14:paraId="5C5E847A" w14:textId="77777777" w:rsidR="00DF636C" w:rsidRDefault="00DF636C" w:rsidP="001A738B"/>
        </w:tc>
        <w:tc>
          <w:tcPr>
            <w:tcW w:w="552" w:type="pct"/>
          </w:tcPr>
          <w:p w14:paraId="310D2CB7" w14:textId="77777777" w:rsidR="00DF636C" w:rsidRDefault="00DF636C" w:rsidP="001A738B"/>
        </w:tc>
        <w:tc>
          <w:tcPr>
            <w:tcW w:w="488" w:type="pct"/>
          </w:tcPr>
          <w:p w14:paraId="61792DA3" w14:textId="77777777" w:rsidR="00DF636C" w:rsidRDefault="00DF636C" w:rsidP="001A738B"/>
        </w:tc>
      </w:tr>
      <w:tr w:rsidR="00DF636C" w14:paraId="2F0C929A" w14:textId="77777777" w:rsidTr="001A738B">
        <w:trPr>
          <w:cnfStyle w:val="000000100000" w:firstRow="0" w:lastRow="0" w:firstColumn="0" w:lastColumn="0" w:oddVBand="0" w:evenVBand="0" w:oddHBand="1" w:evenHBand="0" w:firstRowFirstColumn="0" w:firstRowLastColumn="0" w:lastRowFirstColumn="0" w:lastRowLastColumn="0"/>
        </w:trPr>
        <w:tc>
          <w:tcPr>
            <w:tcW w:w="261" w:type="pct"/>
          </w:tcPr>
          <w:p w14:paraId="1543FF70" w14:textId="77777777" w:rsidR="00DF636C" w:rsidRPr="008B77E4" w:rsidRDefault="00DF636C" w:rsidP="001A738B"/>
        </w:tc>
        <w:tc>
          <w:tcPr>
            <w:tcW w:w="498" w:type="pct"/>
          </w:tcPr>
          <w:p w14:paraId="6CAB1F3D" w14:textId="77777777" w:rsidR="00DF636C" w:rsidRDefault="00DF636C" w:rsidP="001A738B"/>
        </w:tc>
        <w:tc>
          <w:tcPr>
            <w:tcW w:w="603" w:type="pct"/>
            <w:gridSpan w:val="2"/>
          </w:tcPr>
          <w:p w14:paraId="7BDA4B4C" w14:textId="77777777" w:rsidR="00DF636C" w:rsidRDefault="00DF636C" w:rsidP="001A738B"/>
        </w:tc>
        <w:tc>
          <w:tcPr>
            <w:tcW w:w="395" w:type="pct"/>
          </w:tcPr>
          <w:p w14:paraId="0087AD02" w14:textId="77777777" w:rsidR="00DF636C" w:rsidRDefault="00DF636C" w:rsidP="001A738B"/>
        </w:tc>
        <w:tc>
          <w:tcPr>
            <w:tcW w:w="442" w:type="pct"/>
          </w:tcPr>
          <w:p w14:paraId="7004C5B8" w14:textId="77777777" w:rsidR="00DF636C" w:rsidRDefault="00DF636C" w:rsidP="001A738B"/>
        </w:tc>
        <w:tc>
          <w:tcPr>
            <w:tcW w:w="389" w:type="pct"/>
          </w:tcPr>
          <w:p w14:paraId="02221331" w14:textId="77777777" w:rsidR="00DF636C" w:rsidRDefault="00DF636C" w:rsidP="001A738B"/>
        </w:tc>
        <w:tc>
          <w:tcPr>
            <w:tcW w:w="269" w:type="pct"/>
          </w:tcPr>
          <w:p w14:paraId="7046FAAA" w14:textId="77777777" w:rsidR="00DF636C" w:rsidRDefault="00DF636C" w:rsidP="001A738B"/>
        </w:tc>
        <w:tc>
          <w:tcPr>
            <w:tcW w:w="551" w:type="pct"/>
          </w:tcPr>
          <w:p w14:paraId="6E0B50FB" w14:textId="77777777" w:rsidR="00DF636C" w:rsidRDefault="00DF636C" w:rsidP="001A738B"/>
        </w:tc>
        <w:tc>
          <w:tcPr>
            <w:tcW w:w="552" w:type="pct"/>
          </w:tcPr>
          <w:p w14:paraId="432E9C74" w14:textId="77777777" w:rsidR="00DF636C" w:rsidRDefault="00DF636C" w:rsidP="001A738B"/>
        </w:tc>
        <w:tc>
          <w:tcPr>
            <w:tcW w:w="552" w:type="pct"/>
          </w:tcPr>
          <w:p w14:paraId="6E34DDF0" w14:textId="77777777" w:rsidR="00DF636C" w:rsidRDefault="00DF636C" w:rsidP="001A738B"/>
        </w:tc>
        <w:tc>
          <w:tcPr>
            <w:tcW w:w="488" w:type="pct"/>
          </w:tcPr>
          <w:p w14:paraId="7D332B2F" w14:textId="77777777" w:rsidR="00DF636C" w:rsidRDefault="00DF636C" w:rsidP="001A738B"/>
        </w:tc>
      </w:tr>
      <w:tr w:rsidR="00BB2668" w14:paraId="4DC8196A" w14:textId="77777777" w:rsidTr="001A738B">
        <w:tc>
          <w:tcPr>
            <w:tcW w:w="261" w:type="pct"/>
          </w:tcPr>
          <w:p w14:paraId="1060E069" w14:textId="77777777" w:rsidR="00DF636C" w:rsidRPr="008B77E4" w:rsidRDefault="00DF636C" w:rsidP="001A738B"/>
        </w:tc>
        <w:tc>
          <w:tcPr>
            <w:tcW w:w="498" w:type="pct"/>
          </w:tcPr>
          <w:p w14:paraId="6F8DD40A" w14:textId="77777777" w:rsidR="00DF636C" w:rsidRDefault="00DF636C" w:rsidP="001A738B"/>
        </w:tc>
        <w:tc>
          <w:tcPr>
            <w:tcW w:w="603" w:type="pct"/>
            <w:gridSpan w:val="2"/>
          </w:tcPr>
          <w:p w14:paraId="2F0C70CE" w14:textId="77777777" w:rsidR="00DF636C" w:rsidRDefault="00DF636C" w:rsidP="001A738B"/>
        </w:tc>
        <w:tc>
          <w:tcPr>
            <w:tcW w:w="395" w:type="pct"/>
          </w:tcPr>
          <w:p w14:paraId="0B505B57" w14:textId="77777777" w:rsidR="00DF636C" w:rsidRDefault="00DF636C" w:rsidP="001A738B"/>
        </w:tc>
        <w:tc>
          <w:tcPr>
            <w:tcW w:w="442" w:type="pct"/>
          </w:tcPr>
          <w:p w14:paraId="24CCDD8B" w14:textId="77777777" w:rsidR="00DF636C" w:rsidRDefault="00DF636C" w:rsidP="001A738B"/>
        </w:tc>
        <w:tc>
          <w:tcPr>
            <w:tcW w:w="389" w:type="pct"/>
          </w:tcPr>
          <w:p w14:paraId="625BD52B" w14:textId="77777777" w:rsidR="00DF636C" w:rsidRDefault="00DF636C" w:rsidP="001A738B"/>
        </w:tc>
        <w:tc>
          <w:tcPr>
            <w:tcW w:w="269" w:type="pct"/>
          </w:tcPr>
          <w:p w14:paraId="780DAAE2" w14:textId="77777777" w:rsidR="00DF636C" w:rsidRDefault="00DF636C" w:rsidP="001A738B"/>
        </w:tc>
        <w:tc>
          <w:tcPr>
            <w:tcW w:w="551" w:type="pct"/>
          </w:tcPr>
          <w:p w14:paraId="3F619F41" w14:textId="77777777" w:rsidR="00DF636C" w:rsidRDefault="00DF636C" w:rsidP="001A738B"/>
        </w:tc>
        <w:tc>
          <w:tcPr>
            <w:tcW w:w="552" w:type="pct"/>
          </w:tcPr>
          <w:p w14:paraId="1F2763E5" w14:textId="77777777" w:rsidR="00DF636C" w:rsidRDefault="00DF636C" w:rsidP="001A738B"/>
        </w:tc>
        <w:tc>
          <w:tcPr>
            <w:tcW w:w="552" w:type="pct"/>
          </w:tcPr>
          <w:p w14:paraId="45301584" w14:textId="77777777" w:rsidR="00DF636C" w:rsidRDefault="00DF636C" w:rsidP="001A738B"/>
        </w:tc>
        <w:tc>
          <w:tcPr>
            <w:tcW w:w="488" w:type="pct"/>
          </w:tcPr>
          <w:p w14:paraId="60B6542D" w14:textId="77777777" w:rsidR="00DF636C" w:rsidRDefault="00DF636C" w:rsidP="001A738B"/>
        </w:tc>
      </w:tr>
      <w:tr w:rsidR="00DF636C" w14:paraId="53389492" w14:textId="77777777" w:rsidTr="001A738B">
        <w:trPr>
          <w:cnfStyle w:val="000000100000" w:firstRow="0" w:lastRow="0" w:firstColumn="0" w:lastColumn="0" w:oddVBand="0" w:evenVBand="0" w:oddHBand="1" w:evenHBand="0" w:firstRowFirstColumn="0" w:firstRowLastColumn="0" w:lastRowFirstColumn="0" w:lastRowLastColumn="0"/>
        </w:trPr>
        <w:tc>
          <w:tcPr>
            <w:tcW w:w="261" w:type="pct"/>
          </w:tcPr>
          <w:p w14:paraId="1083D3E6" w14:textId="77777777" w:rsidR="00DF636C" w:rsidRPr="008B77E4" w:rsidRDefault="00DF636C" w:rsidP="001A738B"/>
        </w:tc>
        <w:tc>
          <w:tcPr>
            <w:tcW w:w="498" w:type="pct"/>
          </w:tcPr>
          <w:p w14:paraId="2C64D09C" w14:textId="77777777" w:rsidR="00DF636C" w:rsidRDefault="00DF636C" w:rsidP="001A738B"/>
        </w:tc>
        <w:tc>
          <w:tcPr>
            <w:tcW w:w="603" w:type="pct"/>
            <w:gridSpan w:val="2"/>
          </w:tcPr>
          <w:p w14:paraId="32A3B109" w14:textId="77777777" w:rsidR="00DF636C" w:rsidRDefault="00DF636C" w:rsidP="001A738B"/>
        </w:tc>
        <w:tc>
          <w:tcPr>
            <w:tcW w:w="395" w:type="pct"/>
          </w:tcPr>
          <w:p w14:paraId="4CCB813B" w14:textId="77777777" w:rsidR="00DF636C" w:rsidRDefault="00DF636C" w:rsidP="001A738B"/>
        </w:tc>
        <w:tc>
          <w:tcPr>
            <w:tcW w:w="442" w:type="pct"/>
          </w:tcPr>
          <w:p w14:paraId="3629A1E8" w14:textId="77777777" w:rsidR="00DF636C" w:rsidRDefault="00DF636C" w:rsidP="001A738B"/>
        </w:tc>
        <w:tc>
          <w:tcPr>
            <w:tcW w:w="389" w:type="pct"/>
          </w:tcPr>
          <w:p w14:paraId="76350337" w14:textId="77777777" w:rsidR="00DF636C" w:rsidRDefault="00DF636C" w:rsidP="001A738B"/>
        </w:tc>
        <w:tc>
          <w:tcPr>
            <w:tcW w:w="269" w:type="pct"/>
          </w:tcPr>
          <w:p w14:paraId="6AC94F30" w14:textId="77777777" w:rsidR="00DF636C" w:rsidRDefault="00DF636C" w:rsidP="001A738B"/>
        </w:tc>
        <w:tc>
          <w:tcPr>
            <w:tcW w:w="551" w:type="pct"/>
          </w:tcPr>
          <w:p w14:paraId="47EFC82B" w14:textId="77777777" w:rsidR="00DF636C" w:rsidRDefault="00DF636C" w:rsidP="001A738B"/>
        </w:tc>
        <w:tc>
          <w:tcPr>
            <w:tcW w:w="552" w:type="pct"/>
          </w:tcPr>
          <w:p w14:paraId="54DEEA78" w14:textId="77777777" w:rsidR="00DF636C" w:rsidRDefault="00DF636C" w:rsidP="001A738B"/>
        </w:tc>
        <w:tc>
          <w:tcPr>
            <w:tcW w:w="552" w:type="pct"/>
          </w:tcPr>
          <w:p w14:paraId="06D5D710" w14:textId="77777777" w:rsidR="00DF636C" w:rsidRDefault="00DF636C" w:rsidP="001A738B"/>
        </w:tc>
        <w:tc>
          <w:tcPr>
            <w:tcW w:w="488" w:type="pct"/>
          </w:tcPr>
          <w:p w14:paraId="54A82FA4" w14:textId="77777777" w:rsidR="00DF636C" w:rsidRDefault="00DF636C" w:rsidP="001A738B"/>
        </w:tc>
      </w:tr>
      <w:tr w:rsidR="00BB2668" w14:paraId="1BE8C805" w14:textId="77777777" w:rsidTr="001A738B">
        <w:tc>
          <w:tcPr>
            <w:tcW w:w="261" w:type="pct"/>
          </w:tcPr>
          <w:p w14:paraId="3CA897C1" w14:textId="77777777" w:rsidR="00DF636C" w:rsidRPr="008B77E4" w:rsidRDefault="00DF636C" w:rsidP="001A738B"/>
        </w:tc>
        <w:tc>
          <w:tcPr>
            <w:tcW w:w="498" w:type="pct"/>
          </w:tcPr>
          <w:p w14:paraId="2AD2A47A" w14:textId="77777777" w:rsidR="00DF636C" w:rsidRDefault="00DF636C" w:rsidP="001A738B"/>
        </w:tc>
        <w:tc>
          <w:tcPr>
            <w:tcW w:w="603" w:type="pct"/>
            <w:gridSpan w:val="2"/>
          </w:tcPr>
          <w:p w14:paraId="6DFC9C3B" w14:textId="77777777" w:rsidR="00DF636C" w:rsidRDefault="00DF636C" w:rsidP="001A738B"/>
        </w:tc>
        <w:tc>
          <w:tcPr>
            <w:tcW w:w="395" w:type="pct"/>
          </w:tcPr>
          <w:p w14:paraId="0F028151" w14:textId="77777777" w:rsidR="00DF636C" w:rsidRDefault="00DF636C" w:rsidP="001A738B"/>
        </w:tc>
        <w:tc>
          <w:tcPr>
            <w:tcW w:w="442" w:type="pct"/>
          </w:tcPr>
          <w:p w14:paraId="6E27B9E5" w14:textId="77777777" w:rsidR="00DF636C" w:rsidRDefault="00DF636C" w:rsidP="001A738B"/>
        </w:tc>
        <w:tc>
          <w:tcPr>
            <w:tcW w:w="389" w:type="pct"/>
          </w:tcPr>
          <w:p w14:paraId="05136C3F" w14:textId="77777777" w:rsidR="00DF636C" w:rsidRDefault="00DF636C" w:rsidP="001A738B"/>
        </w:tc>
        <w:tc>
          <w:tcPr>
            <w:tcW w:w="269" w:type="pct"/>
          </w:tcPr>
          <w:p w14:paraId="552C6FA6" w14:textId="77777777" w:rsidR="00DF636C" w:rsidRDefault="00DF636C" w:rsidP="001A738B"/>
        </w:tc>
        <w:tc>
          <w:tcPr>
            <w:tcW w:w="551" w:type="pct"/>
          </w:tcPr>
          <w:p w14:paraId="24C40714" w14:textId="77777777" w:rsidR="00DF636C" w:rsidRDefault="00DF636C" w:rsidP="001A738B"/>
        </w:tc>
        <w:tc>
          <w:tcPr>
            <w:tcW w:w="552" w:type="pct"/>
          </w:tcPr>
          <w:p w14:paraId="0F504098" w14:textId="77777777" w:rsidR="00DF636C" w:rsidRDefault="00DF636C" w:rsidP="001A738B"/>
        </w:tc>
        <w:tc>
          <w:tcPr>
            <w:tcW w:w="552" w:type="pct"/>
          </w:tcPr>
          <w:p w14:paraId="14CAAEC9" w14:textId="77777777" w:rsidR="00DF636C" w:rsidRDefault="00DF636C" w:rsidP="001A738B"/>
        </w:tc>
        <w:tc>
          <w:tcPr>
            <w:tcW w:w="488" w:type="pct"/>
          </w:tcPr>
          <w:p w14:paraId="3EA004E6" w14:textId="77777777" w:rsidR="00DF636C" w:rsidRDefault="00DF636C" w:rsidP="001A738B"/>
        </w:tc>
      </w:tr>
    </w:tbl>
    <w:p w14:paraId="54965693" w14:textId="77777777" w:rsidR="00BB2668" w:rsidRDefault="00BB2668" w:rsidP="001A738B">
      <w:bookmarkStart w:id="9" w:name="_Hlk129014226"/>
      <w:r w:rsidRPr="00E4159F">
        <w:t xml:space="preserve">* Includes travel, meals and entertainment </w:t>
      </w:r>
      <w:bookmarkEnd w:id="9"/>
      <w:r w:rsidRPr="00E4159F">
        <w:tab/>
      </w:r>
    </w:p>
    <w:p w14:paraId="63F918BF" w14:textId="77777777" w:rsidR="00024056" w:rsidRDefault="00024056" w:rsidP="001A738B"/>
    <w:p w14:paraId="27F58D3E" w14:textId="77777777" w:rsidR="00024056" w:rsidRDefault="00024056" w:rsidP="001A738B"/>
    <w:p w14:paraId="7C8AED9F" w14:textId="77777777" w:rsidR="00024056" w:rsidRDefault="00024056" w:rsidP="00024056">
      <w:pPr>
        <w:pStyle w:val="Heading1"/>
        <w:sectPr w:rsidR="00024056" w:rsidSect="00BB2668">
          <w:pgSz w:w="16838" w:h="11906" w:orient="landscape" w:code="9"/>
          <w:pgMar w:top="964" w:right="1701" w:bottom="964" w:left="1701" w:header="737" w:footer="680" w:gutter="0"/>
          <w:cols w:space="708"/>
          <w:docGrid w:linePitch="360"/>
        </w:sectPr>
      </w:pPr>
    </w:p>
    <w:p w14:paraId="04E8004F" w14:textId="3465C10B" w:rsidR="00024056" w:rsidRDefault="00024056" w:rsidP="00024056">
      <w:pPr>
        <w:pStyle w:val="Heading1"/>
      </w:pPr>
      <w:r>
        <w:t xml:space="preserve">Appendix C </w:t>
      </w:r>
    </w:p>
    <w:p w14:paraId="1C5925F7" w14:textId="77777777" w:rsidR="00A20764" w:rsidRDefault="00A20764" w:rsidP="00A20764">
      <w:pPr>
        <w:pStyle w:val="Heading3"/>
      </w:pPr>
      <w:r>
        <w:t>Reduction to FBT record-keeping requirements – from 1 July 2024</w:t>
      </w:r>
    </w:p>
    <w:p w14:paraId="577AEEA6" w14:textId="376A505A" w:rsidR="00024056" w:rsidRDefault="008747E4" w:rsidP="001A738B">
      <w:r>
        <w:t>At the date of this publication, the following 11 legislative instruments have been released:</w:t>
      </w:r>
    </w:p>
    <w:p w14:paraId="06FC8AA9" w14:textId="01E546F7" w:rsidR="00543E1E" w:rsidRDefault="00543E1E" w:rsidP="00543E1E">
      <w:r>
        <w:t>Fringe Benefits Tax Assessment (Adequate Alternative Records – Fly-in Fly-out and Drive-in Drive-out Employees) Determination 202</w:t>
      </w:r>
      <w:r w:rsidR="00B50F9F">
        <w:t>4</w:t>
      </w:r>
      <w:r>
        <w:t xml:space="preserve"> </w:t>
      </w:r>
      <w:hyperlink r:id="rId18" w:history="1">
        <w:hyperlink r:id="rId19" w:history="1">
          <w:r w:rsidRPr="008747E4">
            <w:rPr>
              <w:rStyle w:val="Hyperlink"/>
            </w:rPr>
            <w:t>(</w:t>
          </w:r>
          <w:r w:rsidRPr="00CB6805">
            <w:rPr>
              <w:rFonts w:cs="Arial"/>
              <w:shd w:val="clear" w:color="auto" w:fill="FFFFFF"/>
            </w:rPr>
            <w:t>LI 202</w:t>
          </w:r>
          <w:r>
            <w:rPr>
              <w:rFonts w:cs="Arial"/>
              <w:shd w:val="clear" w:color="auto" w:fill="FFFFFF"/>
            </w:rPr>
            <w:t>4</w:t>
          </w:r>
          <w:r w:rsidRPr="00CB6805">
            <w:rPr>
              <w:rFonts w:cs="Arial"/>
              <w:shd w:val="clear" w:color="auto" w:fill="FFFFFF"/>
            </w:rPr>
            <w:t>/</w:t>
          </w:r>
          <w:r>
            <w:rPr>
              <w:rFonts w:cs="Arial"/>
              <w:shd w:val="clear" w:color="auto" w:fill="FFFFFF"/>
            </w:rPr>
            <w:t>4</w:t>
          </w:r>
          <w:r w:rsidRPr="008747E4">
            <w:rPr>
              <w:rStyle w:val="Hyperlink"/>
            </w:rPr>
            <w:t>)</w:t>
          </w:r>
        </w:hyperlink>
      </w:hyperlink>
    </w:p>
    <w:p w14:paraId="6B48FB36" w14:textId="3FC934EC" w:rsidR="00543E1E" w:rsidRDefault="00543E1E" w:rsidP="00543E1E">
      <w:r>
        <w:t>Fringe Benefits Tax Assessment (Adequate Alternative Records – Living-Away-From-Home Allowance – Maintaining an Australian Home) Determination 2023</w:t>
      </w:r>
      <w:r w:rsidRPr="008747E4">
        <w:t xml:space="preserve"> </w:t>
      </w:r>
      <w:hyperlink r:id="rId20" w:history="1">
        <w:hyperlink r:id="rId21" w:history="1">
          <w:r w:rsidRPr="008747E4">
            <w:rPr>
              <w:rStyle w:val="Hyperlink"/>
            </w:rPr>
            <w:t>(</w:t>
          </w:r>
          <w:r w:rsidRPr="006654AD">
            <w:rPr>
              <w:rFonts w:cs="Arial"/>
              <w:shd w:val="clear" w:color="auto" w:fill="FFFFFF"/>
            </w:rPr>
            <w:t>LI 202</w:t>
          </w:r>
          <w:r>
            <w:rPr>
              <w:rFonts w:cs="Arial"/>
              <w:shd w:val="clear" w:color="auto" w:fill="FFFFFF"/>
            </w:rPr>
            <w:t>4</w:t>
          </w:r>
          <w:r w:rsidRPr="006654AD">
            <w:rPr>
              <w:rFonts w:cs="Arial"/>
              <w:shd w:val="clear" w:color="auto" w:fill="FFFFFF"/>
            </w:rPr>
            <w:t>/</w:t>
          </w:r>
          <w:r>
            <w:rPr>
              <w:rFonts w:cs="Arial"/>
              <w:shd w:val="clear" w:color="auto" w:fill="FFFFFF"/>
            </w:rPr>
            <w:t>5</w:t>
          </w:r>
          <w:r w:rsidRPr="008747E4">
            <w:rPr>
              <w:rStyle w:val="Hyperlink"/>
            </w:rPr>
            <w:t>)</w:t>
          </w:r>
        </w:hyperlink>
      </w:hyperlink>
    </w:p>
    <w:p w14:paraId="1297E9BA" w14:textId="0EF40783" w:rsidR="00543E1E" w:rsidRDefault="00543E1E" w:rsidP="00543E1E">
      <w:r>
        <w:t>Fringe Benefits Tax Assessment (Adequate Alternative Records – Otherwise Deductible Benefits) Determination 202</w:t>
      </w:r>
      <w:r w:rsidR="00727253">
        <w:t>4</w:t>
      </w:r>
      <w:r>
        <w:t xml:space="preserve"> </w:t>
      </w:r>
      <w:hyperlink r:id="rId22" w:history="1">
        <w:hyperlink r:id="rId23" w:history="1">
          <w:r w:rsidRPr="008747E4">
            <w:rPr>
              <w:rStyle w:val="Hyperlink"/>
            </w:rPr>
            <w:t>(</w:t>
          </w:r>
          <w:r w:rsidRPr="00CB6805">
            <w:rPr>
              <w:rFonts w:cs="Arial"/>
              <w:shd w:val="clear" w:color="auto" w:fill="FFFFFF"/>
            </w:rPr>
            <w:t>LI 202</w:t>
          </w:r>
          <w:r>
            <w:rPr>
              <w:rFonts w:cs="Arial"/>
              <w:shd w:val="clear" w:color="auto" w:fill="FFFFFF"/>
            </w:rPr>
            <w:t>4</w:t>
          </w:r>
          <w:r w:rsidRPr="00CB6805">
            <w:rPr>
              <w:rFonts w:cs="Arial"/>
              <w:shd w:val="clear" w:color="auto" w:fill="FFFFFF"/>
            </w:rPr>
            <w:t>/</w:t>
          </w:r>
          <w:r>
            <w:rPr>
              <w:rFonts w:cs="Arial"/>
              <w:shd w:val="clear" w:color="auto" w:fill="FFFFFF"/>
            </w:rPr>
            <w:t>6</w:t>
          </w:r>
          <w:r w:rsidRPr="008747E4">
            <w:rPr>
              <w:rStyle w:val="Hyperlink"/>
            </w:rPr>
            <w:t>)</w:t>
          </w:r>
        </w:hyperlink>
      </w:hyperlink>
    </w:p>
    <w:p w14:paraId="62CE5DC9" w14:textId="36A55A11" w:rsidR="00727253" w:rsidRPr="00E4159F" w:rsidRDefault="00727253" w:rsidP="00727253">
      <w:r>
        <w:t xml:space="preserve">Fringe Benefits Tax Assessment (Adequate Alternative Records – Private Use of Vehicles Other Than Cars) Determination 2024 </w:t>
      </w:r>
      <w:hyperlink r:id="rId24" w:history="1">
        <w:hyperlink r:id="rId25" w:history="1">
          <w:r w:rsidRPr="008747E4">
            <w:rPr>
              <w:rStyle w:val="Hyperlink"/>
            </w:rPr>
            <w:t>(</w:t>
          </w:r>
          <w:r w:rsidRPr="00CB6805">
            <w:rPr>
              <w:rFonts w:cs="Arial"/>
              <w:shd w:val="clear" w:color="auto" w:fill="FFFFFF"/>
            </w:rPr>
            <w:t>LI 202</w:t>
          </w:r>
          <w:r>
            <w:rPr>
              <w:rFonts w:cs="Arial"/>
              <w:shd w:val="clear" w:color="auto" w:fill="FFFFFF"/>
            </w:rPr>
            <w:t>4</w:t>
          </w:r>
          <w:r w:rsidRPr="00CB6805">
            <w:rPr>
              <w:rFonts w:cs="Arial"/>
              <w:shd w:val="clear" w:color="auto" w:fill="FFFFFF"/>
            </w:rPr>
            <w:t>/</w:t>
          </w:r>
          <w:r>
            <w:rPr>
              <w:rFonts w:cs="Arial"/>
              <w:shd w:val="clear" w:color="auto" w:fill="FFFFFF"/>
            </w:rPr>
            <w:t>7</w:t>
          </w:r>
          <w:r w:rsidRPr="008747E4">
            <w:rPr>
              <w:rStyle w:val="Hyperlink"/>
            </w:rPr>
            <w:t>)</w:t>
          </w:r>
        </w:hyperlink>
      </w:hyperlink>
    </w:p>
    <w:p w14:paraId="7B62D88C" w14:textId="367AB64A" w:rsidR="00727253" w:rsidRDefault="00727253" w:rsidP="00727253">
      <w:r>
        <w:t xml:space="preserve">Fringe Benefits Tax Assessment (Adequate Alternative Records – Temporary Accommodation Relating to Relocation) Determination 2024 </w:t>
      </w:r>
      <w:hyperlink r:id="rId26" w:history="1">
        <w:hyperlink r:id="rId27" w:history="1">
          <w:r w:rsidRPr="008747E4">
            <w:rPr>
              <w:rStyle w:val="Hyperlink"/>
            </w:rPr>
            <w:t>(</w:t>
          </w:r>
          <w:r w:rsidRPr="00CB6805">
            <w:rPr>
              <w:rFonts w:cs="Arial"/>
              <w:shd w:val="clear" w:color="auto" w:fill="FFFFFF"/>
            </w:rPr>
            <w:t>LI 202</w:t>
          </w:r>
          <w:r>
            <w:rPr>
              <w:rFonts w:cs="Arial"/>
              <w:shd w:val="clear" w:color="auto" w:fill="FFFFFF"/>
            </w:rPr>
            <w:t>4</w:t>
          </w:r>
          <w:r w:rsidRPr="00CB6805">
            <w:rPr>
              <w:rFonts w:cs="Arial"/>
              <w:shd w:val="clear" w:color="auto" w:fill="FFFFFF"/>
            </w:rPr>
            <w:t>/</w:t>
          </w:r>
          <w:r>
            <w:rPr>
              <w:rFonts w:cs="Arial"/>
              <w:shd w:val="clear" w:color="auto" w:fill="FFFFFF"/>
            </w:rPr>
            <w:t>8</w:t>
          </w:r>
          <w:r w:rsidRPr="008747E4">
            <w:rPr>
              <w:rStyle w:val="Hyperlink"/>
            </w:rPr>
            <w:t>)</w:t>
          </w:r>
        </w:hyperlink>
      </w:hyperlink>
    </w:p>
    <w:p w14:paraId="5CCE4955" w14:textId="602C82B3" w:rsidR="00727253" w:rsidRDefault="00727253" w:rsidP="00727253">
      <w:r>
        <w:t xml:space="preserve">Fringe Benefits Tax Assessment (Adequate Alternative Records – Car Travel to Certain Work-Related Activities) Determination 2024 </w:t>
      </w:r>
      <w:hyperlink r:id="rId28" w:history="1">
        <w:hyperlink r:id="rId29" w:history="1">
          <w:r w:rsidRPr="008747E4">
            <w:rPr>
              <w:rStyle w:val="Hyperlink"/>
            </w:rPr>
            <w:t>(</w:t>
          </w:r>
          <w:r w:rsidRPr="00CB6805">
            <w:rPr>
              <w:rFonts w:cs="Arial"/>
              <w:shd w:val="clear" w:color="auto" w:fill="FFFFFF"/>
            </w:rPr>
            <w:t>LI 202</w:t>
          </w:r>
          <w:r>
            <w:rPr>
              <w:rFonts w:cs="Arial"/>
              <w:shd w:val="clear" w:color="auto" w:fill="FFFFFF"/>
            </w:rPr>
            <w:t>4</w:t>
          </w:r>
          <w:r w:rsidRPr="00CB6805">
            <w:rPr>
              <w:rFonts w:cs="Arial"/>
              <w:shd w:val="clear" w:color="auto" w:fill="FFFFFF"/>
            </w:rPr>
            <w:t>/</w:t>
          </w:r>
          <w:r>
            <w:rPr>
              <w:rFonts w:cs="Arial"/>
              <w:shd w:val="clear" w:color="auto" w:fill="FFFFFF"/>
            </w:rPr>
            <w:t>9</w:t>
          </w:r>
          <w:r w:rsidRPr="008747E4">
            <w:rPr>
              <w:rStyle w:val="Hyperlink"/>
            </w:rPr>
            <w:t>)</w:t>
          </w:r>
        </w:hyperlink>
      </w:hyperlink>
    </w:p>
    <w:p w14:paraId="4327D881" w14:textId="26BB5B2C" w:rsidR="00727253" w:rsidRDefault="00727253" w:rsidP="00727253">
      <w:r>
        <w:t xml:space="preserve">Fringe Benefits Tax Assessment (Adequate Alternative Records – Remote Area Holiday Transport) Determination 2024 </w:t>
      </w:r>
      <w:hyperlink r:id="rId30" w:history="1">
        <w:hyperlink r:id="rId31" w:history="1">
          <w:r w:rsidRPr="008747E4">
            <w:rPr>
              <w:rStyle w:val="Hyperlink"/>
            </w:rPr>
            <w:t>(</w:t>
          </w:r>
          <w:r w:rsidRPr="00CB6805">
            <w:rPr>
              <w:rFonts w:cs="Arial"/>
              <w:shd w:val="clear" w:color="auto" w:fill="FFFFFF"/>
            </w:rPr>
            <w:t>LI 202</w:t>
          </w:r>
          <w:r>
            <w:rPr>
              <w:rFonts w:cs="Arial"/>
              <w:shd w:val="clear" w:color="auto" w:fill="FFFFFF"/>
            </w:rPr>
            <w:t>4</w:t>
          </w:r>
          <w:r w:rsidRPr="00CB6805">
            <w:rPr>
              <w:rFonts w:cs="Arial"/>
              <w:shd w:val="clear" w:color="auto" w:fill="FFFFFF"/>
            </w:rPr>
            <w:t>/</w:t>
          </w:r>
          <w:r>
            <w:rPr>
              <w:rFonts w:cs="Arial"/>
              <w:shd w:val="clear" w:color="auto" w:fill="FFFFFF"/>
            </w:rPr>
            <w:t>10</w:t>
          </w:r>
          <w:r w:rsidRPr="008747E4">
            <w:rPr>
              <w:rStyle w:val="Hyperlink"/>
            </w:rPr>
            <w:t>)</w:t>
          </w:r>
        </w:hyperlink>
      </w:hyperlink>
    </w:p>
    <w:p w14:paraId="4A21120E" w14:textId="12ACAC56" w:rsidR="00727253" w:rsidRDefault="00727253" w:rsidP="00727253">
      <w:r>
        <w:t xml:space="preserve">Fringe Benefits Tax Assessment – Adequate Alternative Records (Travel Diaries) Determination 2024 </w:t>
      </w:r>
      <w:hyperlink r:id="rId32" w:history="1">
        <w:hyperlink r:id="rId33" w:history="1">
          <w:r w:rsidRPr="008747E4">
            <w:rPr>
              <w:rStyle w:val="Hyperlink"/>
            </w:rPr>
            <w:t>(</w:t>
          </w:r>
          <w:r w:rsidRPr="00CB6805">
            <w:rPr>
              <w:rFonts w:cs="Arial"/>
              <w:shd w:val="clear" w:color="auto" w:fill="FFFFFF"/>
            </w:rPr>
            <w:t>LI 202</w:t>
          </w:r>
          <w:r>
            <w:rPr>
              <w:rFonts w:cs="Arial"/>
              <w:shd w:val="clear" w:color="auto" w:fill="FFFFFF"/>
            </w:rPr>
            <w:t>4</w:t>
          </w:r>
          <w:r w:rsidRPr="00CB6805">
            <w:rPr>
              <w:rFonts w:cs="Arial"/>
              <w:shd w:val="clear" w:color="auto" w:fill="FFFFFF"/>
            </w:rPr>
            <w:t>/</w:t>
          </w:r>
          <w:r>
            <w:rPr>
              <w:rFonts w:cs="Arial"/>
              <w:shd w:val="clear" w:color="auto" w:fill="FFFFFF"/>
            </w:rPr>
            <w:t>11</w:t>
          </w:r>
          <w:r w:rsidRPr="008747E4">
            <w:rPr>
              <w:rStyle w:val="Hyperlink"/>
            </w:rPr>
            <w:t>)</w:t>
          </w:r>
        </w:hyperlink>
      </w:hyperlink>
    </w:p>
    <w:p w14:paraId="2E1B9E2D" w14:textId="27260D56" w:rsidR="00727253" w:rsidRDefault="00727253" w:rsidP="00727253">
      <w:r>
        <w:t xml:space="preserve">Fringe Benefits Tax Assessment – Adequate Alternative Records (Relocation Transport) Determination 2024 </w:t>
      </w:r>
      <w:hyperlink r:id="rId34" w:history="1">
        <w:hyperlink r:id="rId35" w:history="1">
          <w:r w:rsidRPr="008747E4">
            <w:rPr>
              <w:rStyle w:val="Hyperlink"/>
            </w:rPr>
            <w:t>(</w:t>
          </w:r>
          <w:r w:rsidRPr="00CB6805">
            <w:rPr>
              <w:rFonts w:cs="Arial"/>
              <w:shd w:val="clear" w:color="auto" w:fill="FFFFFF"/>
            </w:rPr>
            <w:t>LI 202</w:t>
          </w:r>
          <w:r>
            <w:rPr>
              <w:rFonts w:cs="Arial"/>
              <w:shd w:val="clear" w:color="auto" w:fill="FFFFFF"/>
            </w:rPr>
            <w:t>4</w:t>
          </w:r>
          <w:r w:rsidRPr="00CB6805">
            <w:rPr>
              <w:rFonts w:cs="Arial"/>
              <w:shd w:val="clear" w:color="auto" w:fill="FFFFFF"/>
            </w:rPr>
            <w:t>/</w:t>
          </w:r>
          <w:r>
            <w:rPr>
              <w:rFonts w:cs="Arial"/>
              <w:shd w:val="clear" w:color="auto" w:fill="FFFFFF"/>
            </w:rPr>
            <w:t>12</w:t>
          </w:r>
          <w:r w:rsidRPr="008747E4">
            <w:rPr>
              <w:rStyle w:val="Hyperlink"/>
            </w:rPr>
            <w:t>)</w:t>
          </w:r>
        </w:hyperlink>
      </w:hyperlink>
    </w:p>
    <w:p w14:paraId="4FB835C1" w14:textId="68CA3051" w:rsidR="00727253" w:rsidRDefault="00727253" w:rsidP="00727253">
      <w:r>
        <w:t xml:space="preserve">Fringe Benefits Tax Assessment (Adequate Alternative Records – Overseas Employment Holiday Transport) Determination 2024 </w:t>
      </w:r>
      <w:hyperlink r:id="rId36" w:history="1">
        <w:hyperlink r:id="rId37" w:history="1">
          <w:r w:rsidRPr="008747E4">
            <w:rPr>
              <w:rStyle w:val="Hyperlink"/>
            </w:rPr>
            <w:t>(</w:t>
          </w:r>
          <w:r w:rsidRPr="00CB6805">
            <w:rPr>
              <w:rFonts w:cs="Arial"/>
              <w:shd w:val="clear" w:color="auto" w:fill="FFFFFF"/>
            </w:rPr>
            <w:t>LI 202</w:t>
          </w:r>
          <w:r>
            <w:rPr>
              <w:rFonts w:cs="Arial"/>
              <w:shd w:val="clear" w:color="auto" w:fill="FFFFFF"/>
            </w:rPr>
            <w:t>4</w:t>
          </w:r>
          <w:r w:rsidRPr="00CB6805">
            <w:rPr>
              <w:rFonts w:cs="Arial"/>
              <w:shd w:val="clear" w:color="auto" w:fill="FFFFFF"/>
            </w:rPr>
            <w:t>/</w:t>
          </w:r>
          <w:r>
            <w:rPr>
              <w:rFonts w:cs="Arial"/>
              <w:shd w:val="clear" w:color="auto" w:fill="FFFFFF"/>
            </w:rPr>
            <w:t>13</w:t>
          </w:r>
          <w:r w:rsidRPr="008747E4">
            <w:rPr>
              <w:rStyle w:val="Hyperlink"/>
            </w:rPr>
            <w:t>)</w:t>
          </w:r>
        </w:hyperlink>
      </w:hyperlink>
    </w:p>
    <w:p w14:paraId="22899988" w14:textId="6627B59F" w:rsidR="00B50F9F" w:rsidRDefault="00B50F9F" w:rsidP="00B50F9F">
      <w:r>
        <w:t xml:space="preserve">Fringe Benefits Tax Assessment (Adequate Alternative Records – Car Travel to Employment Interview or Selection Test) Determination 2024 </w:t>
      </w:r>
      <w:hyperlink r:id="rId38" w:history="1">
        <w:hyperlink r:id="rId39" w:history="1">
          <w:r w:rsidRPr="008747E4">
            <w:rPr>
              <w:rStyle w:val="Hyperlink"/>
            </w:rPr>
            <w:t>(</w:t>
          </w:r>
          <w:r w:rsidRPr="00CB6805">
            <w:rPr>
              <w:rFonts w:cs="Arial"/>
              <w:shd w:val="clear" w:color="auto" w:fill="FFFFFF"/>
            </w:rPr>
            <w:t>LI 202</w:t>
          </w:r>
          <w:r>
            <w:rPr>
              <w:rFonts w:cs="Arial"/>
              <w:shd w:val="clear" w:color="auto" w:fill="FFFFFF"/>
            </w:rPr>
            <w:t>4</w:t>
          </w:r>
          <w:r w:rsidRPr="00CB6805">
            <w:rPr>
              <w:rFonts w:cs="Arial"/>
              <w:shd w:val="clear" w:color="auto" w:fill="FFFFFF"/>
            </w:rPr>
            <w:t>/</w:t>
          </w:r>
          <w:r>
            <w:rPr>
              <w:rFonts w:cs="Arial"/>
              <w:shd w:val="clear" w:color="auto" w:fill="FFFFFF"/>
            </w:rPr>
            <w:t>14</w:t>
          </w:r>
          <w:r w:rsidRPr="008747E4">
            <w:rPr>
              <w:rStyle w:val="Hyperlink"/>
            </w:rPr>
            <w:t>)</w:t>
          </w:r>
        </w:hyperlink>
      </w:hyperlink>
    </w:p>
    <w:p w14:paraId="1F237DC3" w14:textId="77777777" w:rsidR="00543E1E" w:rsidRDefault="00543E1E" w:rsidP="00543E1E"/>
    <w:p w14:paraId="2D98A846" w14:textId="77777777" w:rsidR="00543E1E" w:rsidRDefault="00543E1E" w:rsidP="008747E4"/>
    <w:sectPr w:rsidR="00543E1E" w:rsidSect="00024056">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CFE97" w14:textId="77777777" w:rsidR="000C0CAC" w:rsidRDefault="000C0CAC" w:rsidP="001D0AFC">
      <w:r>
        <w:separator/>
      </w:r>
    </w:p>
    <w:p w14:paraId="33DFB41C" w14:textId="77777777" w:rsidR="000C0CAC" w:rsidRDefault="000C0CAC"/>
    <w:p w14:paraId="280D5410" w14:textId="77777777" w:rsidR="000C0CAC" w:rsidRDefault="000C0CAC"/>
  </w:endnote>
  <w:endnote w:type="continuationSeparator" w:id="0">
    <w:p w14:paraId="28B86D04" w14:textId="77777777" w:rsidR="000C0CAC" w:rsidRDefault="000C0CAC" w:rsidP="001D0AFC">
      <w:r>
        <w:continuationSeparator/>
      </w:r>
    </w:p>
    <w:p w14:paraId="463AE807" w14:textId="77777777" w:rsidR="000C0CAC" w:rsidRDefault="000C0CAC"/>
    <w:p w14:paraId="5CE42983" w14:textId="77777777" w:rsidR="000C0CAC" w:rsidRDefault="000C0CAC"/>
  </w:endnote>
  <w:endnote w:type="continuationNotice" w:id="1">
    <w:p w14:paraId="62B33BEA" w14:textId="77777777" w:rsidR="00F66BB2" w:rsidRDefault="00F66B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Pro-L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30B97309" w14:textId="77777777" w:rsidR="00483AB9" w:rsidRDefault="00483A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E5544" w14:textId="77777777" w:rsidR="000C0CAC" w:rsidRDefault="000C0CAC" w:rsidP="001D0AFC"/>
  </w:footnote>
  <w:footnote w:type="continuationSeparator" w:id="0">
    <w:p w14:paraId="4344E92D" w14:textId="77777777" w:rsidR="000C0CAC" w:rsidRDefault="000C0CAC" w:rsidP="001D0AFC"/>
  </w:footnote>
  <w:footnote w:type="continuationNotice" w:id="1">
    <w:p w14:paraId="63B6B707" w14:textId="77777777" w:rsidR="000C0CAC" w:rsidRDefault="000C0CA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E7F4F" w14:textId="70E26FD4" w:rsidR="003B7348" w:rsidRPr="00693244" w:rsidRDefault="009D7A5C" w:rsidP="00693244">
    <w:pPr>
      <w:pStyle w:val="Header"/>
    </w:pPr>
    <w:fldSimple w:instr="STYLEREF  Title  \* MERGEFORMAT">
      <w:r w:rsidR="00D1601A">
        <w:rPr>
          <w:noProof/>
        </w:rPr>
        <w:t>FBT Checklist 2024</w:t>
      </w:r>
    </w:fldSimple>
  </w:p>
  <w:p w14:paraId="6AB45F08" w14:textId="77777777" w:rsidR="00483AB9" w:rsidRDefault="00483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00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D86AE0"/>
    <w:multiLevelType w:val="hybridMultilevel"/>
    <w:tmpl w:val="C74074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6217BB"/>
    <w:multiLevelType w:val="hybridMultilevel"/>
    <w:tmpl w:val="1F1E1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4" w15:restartNumberingAfterBreak="0">
    <w:nsid w:val="3913573A"/>
    <w:multiLevelType w:val="hybridMultilevel"/>
    <w:tmpl w:val="0E9E4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365B5"/>
    <w:multiLevelType w:val="hybridMultilevel"/>
    <w:tmpl w:val="2B721F30"/>
    <w:lvl w:ilvl="0" w:tplc="C32AD6D0">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8E1FA2"/>
    <w:multiLevelType w:val="hybridMultilevel"/>
    <w:tmpl w:val="3ABA5F4C"/>
    <w:lvl w:ilvl="0" w:tplc="B210C484">
      <w:start w:val="1"/>
      <w:numFmt w:val="bullet"/>
      <w:pStyle w:val="TableBullet"/>
      <w:lvlText w:val=""/>
      <w:lvlJc w:val="left"/>
      <w:pPr>
        <w:ind w:left="360" w:hanging="360"/>
      </w:pPr>
      <w:rPr>
        <w:rFonts w:ascii="Symbol" w:hAnsi="Symbol" w:hint="default"/>
        <w:sz w:val="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0286F"/>
    <w:multiLevelType w:val="hybridMultilevel"/>
    <w:tmpl w:val="52109B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D547E0"/>
    <w:multiLevelType w:val="hybridMultilevel"/>
    <w:tmpl w:val="7F8EFDA6"/>
    <w:lvl w:ilvl="0" w:tplc="2B084DF8">
      <w:start w:val="11"/>
      <w:numFmt w:val="decimal"/>
      <w:lvlText w:val="%1."/>
      <w:lvlJc w:val="left"/>
      <w:pPr>
        <w:ind w:left="460" w:hanging="4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81C6DC1"/>
    <w:multiLevelType w:val="hybridMultilevel"/>
    <w:tmpl w:val="86CA6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5" w15:restartNumberingAfterBreak="0">
    <w:nsid w:val="7D4A6018"/>
    <w:multiLevelType w:val="multilevel"/>
    <w:tmpl w:val="A4BC5D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051C3C"/>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02979677">
    <w:abstractNumId w:val="9"/>
  </w:num>
  <w:num w:numId="2" w16cid:durableId="1467699266">
    <w:abstractNumId w:val="9"/>
  </w:num>
  <w:num w:numId="3" w16cid:durableId="1480077825">
    <w:abstractNumId w:val="8"/>
  </w:num>
  <w:num w:numId="4" w16cid:durableId="1761290190">
    <w:abstractNumId w:val="8"/>
  </w:num>
  <w:num w:numId="5" w16cid:durableId="1468015787">
    <w:abstractNumId w:val="9"/>
  </w:num>
  <w:num w:numId="6" w16cid:durableId="382675484">
    <w:abstractNumId w:val="8"/>
  </w:num>
  <w:num w:numId="7" w16cid:durableId="1558473532">
    <w:abstractNumId w:val="24"/>
  </w:num>
  <w:num w:numId="8" w16cid:durableId="1785539690">
    <w:abstractNumId w:val="7"/>
  </w:num>
  <w:num w:numId="9" w16cid:durableId="1722557103">
    <w:abstractNumId w:val="24"/>
  </w:num>
  <w:num w:numId="10" w16cid:durableId="1556165810">
    <w:abstractNumId w:val="6"/>
  </w:num>
  <w:num w:numId="11" w16cid:durableId="1686589986">
    <w:abstractNumId w:val="24"/>
  </w:num>
  <w:num w:numId="12" w16cid:durableId="961109197">
    <w:abstractNumId w:val="5"/>
  </w:num>
  <w:num w:numId="13" w16cid:durableId="352922813">
    <w:abstractNumId w:val="24"/>
  </w:num>
  <w:num w:numId="14" w16cid:durableId="1472483870">
    <w:abstractNumId w:val="4"/>
  </w:num>
  <w:num w:numId="15" w16cid:durableId="1559825511">
    <w:abstractNumId w:val="24"/>
  </w:num>
  <w:num w:numId="16" w16cid:durableId="1025205236">
    <w:abstractNumId w:val="22"/>
  </w:num>
  <w:num w:numId="17" w16cid:durableId="485827048">
    <w:abstractNumId w:val="3"/>
  </w:num>
  <w:num w:numId="18" w16cid:durableId="2116246442">
    <w:abstractNumId w:val="22"/>
  </w:num>
  <w:num w:numId="19" w16cid:durableId="1658193214">
    <w:abstractNumId w:val="2"/>
  </w:num>
  <w:num w:numId="20" w16cid:durableId="1979994049">
    <w:abstractNumId w:val="22"/>
  </w:num>
  <w:num w:numId="21" w16cid:durableId="1517039722">
    <w:abstractNumId w:val="1"/>
  </w:num>
  <w:num w:numId="22" w16cid:durableId="1703938393">
    <w:abstractNumId w:val="22"/>
  </w:num>
  <w:num w:numId="23" w16cid:durableId="1343436988">
    <w:abstractNumId w:val="0"/>
  </w:num>
  <w:num w:numId="24" w16cid:durableId="125438298">
    <w:abstractNumId w:val="22"/>
  </w:num>
  <w:num w:numId="25" w16cid:durableId="725489418">
    <w:abstractNumId w:val="13"/>
  </w:num>
  <w:num w:numId="26" w16cid:durableId="1159927963">
    <w:abstractNumId w:val="10"/>
  </w:num>
  <w:num w:numId="27" w16cid:durableId="2107388025">
    <w:abstractNumId w:val="23"/>
  </w:num>
  <w:num w:numId="28" w16cid:durableId="1255362982">
    <w:abstractNumId w:val="24"/>
  </w:num>
  <w:num w:numId="29" w16cid:durableId="128591945">
    <w:abstractNumId w:val="24"/>
  </w:num>
  <w:num w:numId="30" w16cid:durableId="2140492244">
    <w:abstractNumId w:val="24"/>
  </w:num>
  <w:num w:numId="31" w16cid:durableId="63376588">
    <w:abstractNumId w:val="24"/>
  </w:num>
  <w:num w:numId="32" w16cid:durableId="2051343683">
    <w:abstractNumId w:val="24"/>
  </w:num>
  <w:num w:numId="33" w16cid:durableId="664940736">
    <w:abstractNumId w:val="21"/>
  </w:num>
  <w:num w:numId="34" w16cid:durableId="904339026">
    <w:abstractNumId w:val="17"/>
  </w:num>
  <w:num w:numId="35" w16cid:durableId="1417089195">
    <w:abstractNumId w:val="16"/>
  </w:num>
  <w:num w:numId="36" w16cid:durableId="1720744074">
    <w:abstractNumId w:val="15"/>
  </w:num>
  <w:num w:numId="37" w16cid:durableId="423308540">
    <w:abstractNumId w:val="25"/>
  </w:num>
  <w:num w:numId="38" w16cid:durableId="2132817004">
    <w:abstractNumId w:val="14"/>
  </w:num>
  <w:num w:numId="39" w16cid:durableId="725178729">
    <w:abstractNumId w:val="20"/>
  </w:num>
  <w:num w:numId="40" w16cid:durableId="1438911669">
    <w:abstractNumId w:val="11"/>
  </w:num>
  <w:num w:numId="41" w16cid:durableId="496382651">
    <w:abstractNumId w:val="17"/>
  </w:num>
  <w:num w:numId="42" w16cid:durableId="718016492">
    <w:abstractNumId w:val="18"/>
  </w:num>
  <w:num w:numId="43" w16cid:durableId="2043553006">
    <w:abstractNumId w:val="19"/>
  </w:num>
  <w:num w:numId="44" w16cid:durableId="1630277026">
    <w:abstractNumId w:val="8"/>
  </w:num>
  <w:num w:numId="45" w16cid:durableId="3211564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17F85"/>
    <w:rsid w:val="000203CE"/>
    <w:rsid w:val="0002234B"/>
    <w:rsid w:val="00024056"/>
    <w:rsid w:val="00024813"/>
    <w:rsid w:val="000369EA"/>
    <w:rsid w:val="00036FE5"/>
    <w:rsid w:val="00037DE5"/>
    <w:rsid w:val="00041055"/>
    <w:rsid w:val="00042DA2"/>
    <w:rsid w:val="00045AB6"/>
    <w:rsid w:val="00053EBC"/>
    <w:rsid w:val="00054781"/>
    <w:rsid w:val="00056BC0"/>
    <w:rsid w:val="00057877"/>
    <w:rsid w:val="00061B61"/>
    <w:rsid w:val="000635BC"/>
    <w:rsid w:val="000671C4"/>
    <w:rsid w:val="00074231"/>
    <w:rsid w:val="0007550D"/>
    <w:rsid w:val="000760F4"/>
    <w:rsid w:val="000861C4"/>
    <w:rsid w:val="00086BC4"/>
    <w:rsid w:val="00091423"/>
    <w:rsid w:val="000949C8"/>
    <w:rsid w:val="000A1EF9"/>
    <w:rsid w:val="000A2A29"/>
    <w:rsid w:val="000A2E7B"/>
    <w:rsid w:val="000A72A7"/>
    <w:rsid w:val="000B4635"/>
    <w:rsid w:val="000B5598"/>
    <w:rsid w:val="000B5729"/>
    <w:rsid w:val="000C088B"/>
    <w:rsid w:val="000C0CAC"/>
    <w:rsid w:val="000C7AB0"/>
    <w:rsid w:val="000D35C6"/>
    <w:rsid w:val="000D43A9"/>
    <w:rsid w:val="000D5770"/>
    <w:rsid w:val="000D71C3"/>
    <w:rsid w:val="000D7D92"/>
    <w:rsid w:val="000E4E04"/>
    <w:rsid w:val="000F2EDC"/>
    <w:rsid w:val="000F6579"/>
    <w:rsid w:val="000F6589"/>
    <w:rsid w:val="00100A2F"/>
    <w:rsid w:val="0010364D"/>
    <w:rsid w:val="001049F6"/>
    <w:rsid w:val="00106F60"/>
    <w:rsid w:val="001141D0"/>
    <w:rsid w:val="00117894"/>
    <w:rsid w:val="0012062F"/>
    <w:rsid w:val="00132167"/>
    <w:rsid w:val="00136B50"/>
    <w:rsid w:val="00141033"/>
    <w:rsid w:val="001425A7"/>
    <w:rsid w:val="00143D18"/>
    <w:rsid w:val="00143DC7"/>
    <w:rsid w:val="001454BA"/>
    <w:rsid w:val="00145B0D"/>
    <w:rsid w:val="00147784"/>
    <w:rsid w:val="00152AC1"/>
    <w:rsid w:val="00153AEF"/>
    <w:rsid w:val="00154C1A"/>
    <w:rsid w:val="00156042"/>
    <w:rsid w:val="00157CE7"/>
    <w:rsid w:val="00162390"/>
    <w:rsid w:val="00162F9C"/>
    <w:rsid w:val="00176A5E"/>
    <w:rsid w:val="00191178"/>
    <w:rsid w:val="00192329"/>
    <w:rsid w:val="00193699"/>
    <w:rsid w:val="00197E66"/>
    <w:rsid w:val="001A03FE"/>
    <w:rsid w:val="001A1669"/>
    <w:rsid w:val="001A738B"/>
    <w:rsid w:val="001B026B"/>
    <w:rsid w:val="001B3928"/>
    <w:rsid w:val="001B7FA1"/>
    <w:rsid w:val="001C48D8"/>
    <w:rsid w:val="001C5149"/>
    <w:rsid w:val="001C52C2"/>
    <w:rsid w:val="001D0AFC"/>
    <w:rsid w:val="001D6F21"/>
    <w:rsid w:val="001E0ADE"/>
    <w:rsid w:val="001E3A54"/>
    <w:rsid w:val="001E49C9"/>
    <w:rsid w:val="001E563E"/>
    <w:rsid w:val="001E5F8E"/>
    <w:rsid w:val="00202C71"/>
    <w:rsid w:val="002072F4"/>
    <w:rsid w:val="00210409"/>
    <w:rsid w:val="00216AE0"/>
    <w:rsid w:val="0022078E"/>
    <w:rsid w:val="0022587B"/>
    <w:rsid w:val="00226249"/>
    <w:rsid w:val="00226FA6"/>
    <w:rsid w:val="002320CE"/>
    <w:rsid w:val="00233385"/>
    <w:rsid w:val="00242034"/>
    <w:rsid w:val="00243479"/>
    <w:rsid w:val="0025134E"/>
    <w:rsid w:val="0025657A"/>
    <w:rsid w:val="00262769"/>
    <w:rsid w:val="002632B7"/>
    <w:rsid w:val="002663DD"/>
    <w:rsid w:val="00272AAC"/>
    <w:rsid w:val="00277AA9"/>
    <w:rsid w:val="00291082"/>
    <w:rsid w:val="002958CD"/>
    <w:rsid w:val="00296ADC"/>
    <w:rsid w:val="00297CB5"/>
    <w:rsid w:val="002A0CC4"/>
    <w:rsid w:val="002A1211"/>
    <w:rsid w:val="002A12DA"/>
    <w:rsid w:val="002A1929"/>
    <w:rsid w:val="002A4903"/>
    <w:rsid w:val="002A4C97"/>
    <w:rsid w:val="002B16A7"/>
    <w:rsid w:val="002C00D7"/>
    <w:rsid w:val="002C2485"/>
    <w:rsid w:val="002C2769"/>
    <w:rsid w:val="002C2E1B"/>
    <w:rsid w:val="002D0A09"/>
    <w:rsid w:val="002D62CE"/>
    <w:rsid w:val="002D7462"/>
    <w:rsid w:val="002E038B"/>
    <w:rsid w:val="002E1998"/>
    <w:rsid w:val="002E41A9"/>
    <w:rsid w:val="002E76B8"/>
    <w:rsid w:val="002E7DDC"/>
    <w:rsid w:val="002F2993"/>
    <w:rsid w:val="002F3404"/>
    <w:rsid w:val="002F6357"/>
    <w:rsid w:val="002F6F32"/>
    <w:rsid w:val="003004FA"/>
    <w:rsid w:val="003069CB"/>
    <w:rsid w:val="003206A3"/>
    <w:rsid w:val="003233EA"/>
    <w:rsid w:val="00327D69"/>
    <w:rsid w:val="003300BD"/>
    <w:rsid w:val="00337255"/>
    <w:rsid w:val="00337769"/>
    <w:rsid w:val="003450AC"/>
    <w:rsid w:val="003454FB"/>
    <w:rsid w:val="00350D15"/>
    <w:rsid w:val="003577C5"/>
    <w:rsid w:val="0036434E"/>
    <w:rsid w:val="00371F4C"/>
    <w:rsid w:val="003777BD"/>
    <w:rsid w:val="00380050"/>
    <w:rsid w:val="00387DEF"/>
    <w:rsid w:val="00393930"/>
    <w:rsid w:val="00395BDF"/>
    <w:rsid w:val="003A0ACF"/>
    <w:rsid w:val="003A56E5"/>
    <w:rsid w:val="003A5FCE"/>
    <w:rsid w:val="003A68CB"/>
    <w:rsid w:val="003B075A"/>
    <w:rsid w:val="003B551F"/>
    <w:rsid w:val="003B5FE6"/>
    <w:rsid w:val="003B7348"/>
    <w:rsid w:val="003D5D9E"/>
    <w:rsid w:val="003E1AC6"/>
    <w:rsid w:val="003E3DA0"/>
    <w:rsid w:val="003E4D00"/>
    <w:rsid w:val="003F4678"/>
    <w:rsid w:val="003F4A7B"/>
    <w:rsid w:val="003F56D8"/>
    <w:rsid w:val="003F6533"/>
    <w:rsid w:val="004003DB"/>
    <w:rsid w:val="00401788"/>
    <w:rsid w:val="00411636"/>
    <w:rsid w:val="00416267"/>
    <w:rsid w:val="00420AB3"/>
    <w:rsid w:val="00424589"/>
    <w:rsid w:val="004265BE"/>
    <w:rsid w:val="00431975"/>
    <w:rsid w:val="004332DC"/>
    <w:rsid w:val="0044217F"/>
    <w:rsid w:val="00442A73"/>
    <w:rsid w:val="00444E48"/>
    <w:rsid w:val="004624F7"/>
    <w:rsid w:val="004642D9"/>
    <w:rsid w:val="00466FF8"/>
    <w:rsid w:val="00467CE7"/>
    <w:rsid w:val="00483AB9"/>
    <w:rsid w:val="00493C7F"/>
    <w:rsid w:val="00497959"/>
    <w:rsid w:val="004A0ED4"/>
    <w:rsid w:val="004A58E5"/>
    <w:rsid w:val="004A6A7C"/>
    <w:rsid w:val="004A6C0D"/>
    <w:rsid w:val="004C6084"/>
    <w:rsid w:val="004C768A"/>
    <w:rsid w:val="004E1DA0"/>
    <w:rsid w:val="004E691F"/>
    <w:rsid w:val="004F16FA"/>
    <w:rsid w:val="00500A1E"/>
    <w:rsid w:val="00502DF4"/>
    <w:rsid w:val="005060FF"/>
    <w:rsid w:val="00507DED"/>
    <w:rsid w:val="00512BE7"/>
    <w:rsid w:val="005138A5"/>
    <w:rsid w:val="00516AA3"/>
    <w:rsid w:val="00525593"/>
    <w:rsid w:val="00530AB2"/>
    <w:rsid w:val="005316C5"/>
    <w:rsid w:val="00531DB6"/>
    <w:rsid w:val="00532BCB"/>
    <w:rsid w:val="005410C1"/>
    <w:rsid w:val="00543E1E"/>
    <w:rsid w:val="005446A8"/>
    <w:rsid w:val="005447DF"/>
    <w:rsid w:val="00546C82"/>
    <w:rsid w:val="005504AA"/>
    <w:rsid w:val="005559C1"/>
    <w:rsid w:val="005644F3"/>
    <w:rsid w:val="0056463F"/>
    <w:rsid w:val="005646CD"/>
    <w:rsid w:val="0056489B"/>
    <w:rsid w:val="00574287"/>
    <w:rsid w:val="00582037"/>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76E3"/>
    <w:rsid w:val="005D02BC"/>
    <w:rsid w:val="005E35D3"/>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638E"/>
    <w:rsid w:val="0065754D"/>
    <w:rsid w:val="00664625"/>
    <w:rsid w:val="006654AD"/>
    <w:rsid w:val="0067422A"/>
    <w:rsid w:val="006818CB"/>
    <w:rsid w:val="00685C2A"/>
    <w:rsid w:val="00687FC3"/>
    <w:rsid w:val="006909B3"/>
    <w:rsid w:val="00691B1E"/>
    <w:rsid w:val="00693244"/>
    <w:rsid w:val="00693793"/>
    <w:rsid w:val="00693A71"/>
    <w:rsid w:val="006A3CDA"/>
    <w:rsid w:val="006A523D"/>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27253"/>
    <w:rsid w:val="00732F33"/>
    <w:rsid w:val="00733215"/>
    <w:rsid w:val="00733F4B"/>
    <w:rsid w:val="00734B65"/>
    <w:rsid w:val="00735B82"/>
    <w:rsid w:val="00752138"/>
    <w:rsid w:val="007531C4"/>
    <w:rsid w:val="00754945"/>
    <w:rsid w:val="00755567"/>
    <w:rsid w:val="00755DA9"/>
    <w:rsid w:val="007577DB"/>
    <w:rsid w:val="00760E66"/>
    <w:rsid w:val="00766841"/>
    <w:rsid w:val="00773AE8"/>
    <w:rsid w:val="0077668B"/>
    <w:rsid w:val="007776CE"/>
    <w:rsid w:val="00780046"/>
    <w:rsid w:val="00780354"/>
    <w:rsid w:val="007819DD"/>
    <w:rsid w:val="00783B88"/>
    <w:rsid w:val="0079323F"/>
    <w:rsid w:val="00794B03"/>
    <w:rsid w:val="007A4AB4"/>
    <w:rsid w:val="007A63DD"/>
    <w:rsid w:val="007B136B"/>
    <w:rsid w:val="007B4F3F"/>
    <w:rsid w:val="007B5FB6"/>
    <w:rsid w:val="007B730B"/>
    <w:rsid w:val="007C0AA7"/>
    <w:rsid w:val="007C4F39"/>
    <w:rsid w:val="007C68A4"/>
    <w:rsid w:val="007D0908"/>
    <w:rsid w:val="007D1CC1"/>
    <w:rsid w:val="007D2303"/>
    <w:rsid w:val="007D287B"/>
    <w:rsid w:val="007D4414"/>
    <w:rsid w:val="007D7746"/>
    <w:rsid w:val="007E5E09"/>
    <w:rsid w:val="007F11CC"/>
    <w:rsid w:val="007F1387"/>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44D1F"/>
    <w:rsid w:val="00850FF3"/>
    <w:rsid w:val="008520E2"/>
    <w:rsid w:val="00853537"/>
    <w:rsid w:val="008603FF"/>
    <w:rsid w:val="008609BF"/>
    <w:rsid w:val="00861E6D"/>
    <w:rsid w:val="00862D9B"/>
    <w:rsid w:val="008747E4"/>
    <w:rsid w:val="008806CE"/>
    <w:rsid w:val="0088797B"/>
    <w:rsid w:val="00896BFF"/>
    <w:rsid w:val="00896DBB"/>
    <w:rsid w:val="0089772F"/>
    <w:rsid w:val="008A1F47"/>
    <w:rsid w:val="008C20AC"/>
    <w:rsid w:val="008C21A4"/>
    <w:rsid w:val="008C3EF5"/>
    <w:rsid w:val="008D1C45"/>
    <w:rsid w:val="008D7966"/>
    <w:rsid w:val="008E0BDC"/>
    <w:rsid w:val="008E2748"/>
    <w:rsid w:val="008F6E92"/>
    <w:rsid w:val="00901DDE"/>
    <w:rsid w:val="009042B2"/>
    <w:rsid w:val="009173AC"/>
    <w:rsid w:val="00917817"/>
    <w:rsid w:val="00927619"/>
    <w:rsid w:val="009322DD"/>
    <w:rsid w:val="00932857"/>
    <w:rsid w:val="0093688A"/>
    <w:rsid w:val="00950E8B"/>
    <w:rsid w:val="0095480D"/>
    <w:rsid w:val="0096415D"/>
    <w:rsid w:val="00971499"/>
    <w:rsid w:val="00982861"/>
    <w:rsid w:val="00987DE1"/>
    <w:rsid w:val="00987F2B"/>
    <w:rsid w:val="009939C2"/>
    <w:rsid w:val="009A0A7A"/>
    <w:rsid w:val="009A570A"/>
    <w:rsid w:val="009A7E7C"/>
    <w:rsid w:val="009B08C9"/>
    <w:rsid w:val="009B1256"/>
    <w:rsid w:val="009B4023"/>
    <w:rsid w:val="009C1276"/>
    <w:rsid w:val="009C39D4"/>
    <w:rsid w:val="009D18FC"/>
    <w:rsid w:val="009D27F9"/>
    <w:rsid w:val="009D54D5"/>
    <w:rsid w:val="009D6654"/>
    <w:rsid w:val="009D6BAB"/>
    <w:rsid w:val="009D73DA"/>
    <w:rsid w:val="009D7A5C"/>
    <w:rsid w:val="009E0D5D"/>
    <w:rsid w:val="009E3ABE"/>
    <w:rsid w:val="009E54FF"/>
    <w:rsid w:val="009E7197"/>
    <w:rsid w:val="009F1238"/>
    <w:rsid w:val="009F4403"/>
    <w:rsid w:val="009F5406"/>
    <w:rsid w:val="009F629B"/>
    <w:rsid w:val="00A002B2"/>
    <w:rsid w:val="00A01089"/>
    <w:rsid w:val="00A05877"/>
    <w:rsid w:val="00A11010"/>
    <w:rsid w:val="00A11263"/>
    <w:rsid w:val="00A124BD"/>
    <w:rsid w:val="00A12FB3"/>
    <w:rsid w:val="00A16FBB"/>
    <w:rsid w:val="00A20764"/>
    <w:rsid w:val="00A237CC"/>
    <w:rsid w:val="00A23B4C"/>
    <w:rsid w:val="00A274A3"/>
    <w:rsid w:val="00A30CA2"/>
    <w:rsid w:val="00A379D0"/>
    <w:rsid w:val="00A40702"/>
    <w:rsid w:val="00A41D2C"/>
    <w:rsid w:val="00A438DA"/>
    <w:rsid w:val="00A45CA9"/>
    <w:rsid w:val="00A474EB"/>
    <w:rsid w:val="00A507A5"/>
    <w:rsid w:val="00A554CC"/>
    <w:rsid w:val="00A60798"/>
    <w:rsid w:val="00A61353"/>
    <w:rsid w:val="00A637AD"/>
    <w:rsid w:val="00A640ED"/>
    <w:rsid w:val="00A72917"/>
    <w:rsid w:val="00A738DB"/>
    <w:rsid w:val="00A76331"/>
    <w:rsid w:val="00A80C22"/>
    <w:rsid w:val="00A83619"/>
    <w:rsid w:val="00A852B5"/>
    <w:rsid w:val="00A856E6"/>
    <w:rsid w:val="00A86AC7"/>
    <w:rsid w:val="00A91389"/>
    <w:rsid w:val="00A96F4F"/>
    <w:rsid w:val="00A97EE7"/>
    <w:rsid w:val="00AB0D0F"/>
    <w:rsid w:val="00AB3114"/>
    <w:rsid w:val="00AB3E03"/>
    <w:rsid w:val="00AC2041"/>
    <w:rsid w:val="00AD16EE"/>
    <w:rsid w:val="00AD374F"/>
    <w:rsid w:val="00AE5EDF"/>
    <w:rsid w:val="00AE63B5"/>
    <w:rsid w:val="00AE6670"/>
    <w:rsid w:val="00AF74B0"/>
    <w:rsid w:val="00B0201E"/>
    <w:rsid w:val="00B0751F"/>
    <w:rsid w:val="00B17487"/>
    <w:rsid w:val="00B21DE8"/>
    <w:rsid w:val="00B23442"/>
    <w:rsid w:val="00B3480D"/>
    <w:rsid w:val="00B36484"/>
    <w:rsid w:val="00B36818"/>
    <w:rsid w:val="00B41956"/>
    <w:rsid w:val="00B50F9F"/>
    <w:rsid w:val="00B518DA"/>
    <w:rsid w:val="00B561B6"/>
    <w:rsid w:val="00B6707F"/>
    <w:rsid w:val="00B67DE1"/>
    <w:rsid w:val="00B72873"/>
    <w:rsid w:val="00B74B45"/>
    <w:rsid w:val="00B770FE"/>
    <w:rsid w:val="00B81FB3"/>
    <w:rsid w:val="00B8308B"/>
    <w:rsid w:val="00B86C42"/>
    <w:rsid w:val="00B93D2E"/>
    <w:rsid w:val="00B96478"/>
    <w:rsid w:val="00BA1D0B"/>
    <w:rsid w:val="00BA2410"/>
    <w:rsid w:val="00BB0557"/>
    <w:rsid w:val="00BB1DCF"/>
    <w:rsid w:val="00BB2668"/>
    <w:rsid w:val="00BB3E60"/>
    <w:rsid w:val="00BB4210"/>
    <w:rsid w:val="00BB7373"/>
    <w:rsid w:val="00BC488E"/>
    <w:rsid w:val="00BC6F42"/>
    <w:rsid w:val="00BD5D57"/>
    <w:rsid w:val="00BE2990"/>
    <w:rsid w:val="00BE29D9"/>
    <w:rsid w:val="00BE2DF2"/>
    <w:rsid w:val="00BE6AD3"/>
    <w:rsid w:val="00BF2A1B"/>
    <w:rsid w:val="00BF34A4"/>
    <w:rsid w:val="00BF4A9C"/>
    <w:rsid w:val="00C042AF"/>
    <w:rsid w:val="00C10D9D"/>
    <w:rsid w:val="00C11090"/>
    <w:rsid w:val="00C115C2"/>
    <w:rsid w:val="00C1257C"/>
    <w:rsid w:val="00C213C2"/>
    <w:rsid w:val="00C24FE9"/>
    <w:rsid w:val="00C27252"/>
    <w:rsid w:val="00C27DFA"/>
    <w:rsid w:val="00C328CC"/>
    <w:rsid w:val="00C33F20"/>
    <w:rsid w:val="00C409A5"/>
    <w:rsid w:val="00C45B5E"/>
    <w:rsid w:val="00C46294"/>
    <w:rsid w:val="00C46F97"/>
    <w:rsid w:val="00C52817"/>
    <w:rsid w:val="00C52D32"/>
    <w:rsid w:val="00C52F89"/>
    <w:rsid w:val="00C53054"/>
    <w:rsid w:val="00C563B6"/>
    <w:rsid w:val="00C5647F"/>
    <w:rsid w:val="00C56A46"/>
    <w:rsid w:val="00C57E87"/>
    <w:rsid w:val="00C646A8"/>
    <w:rsid w:val="00C6547C"/>
    <w:rsid w:val="00C73C0F"/>
    <w:rsid w:val="00C76B8E"/>
    <w:rsid w:val="00C774E3"/>
    <w:rsid w:val="00C84E10"/>
    <w:rsid w:val="00C84F8D"/>
    <w:rsid w:val="00C92E87"/>
    <w:rsid w:val="00C96C49"/>
    <w:rsid w:val="00CA4C94"/>
    <w:rsid w:val="00CA7572"/>
    <w:rsid w:val="00CA7F74"/>
    <w:rsid w:val="00CB6246"/>
    <w:rsid w:val="00CC3160"/>
    <w:rsid w:val="00CD29C2"/>
    <w:rsid w:val="00CD6207"/>
    <w:rsid w:val="00CE0219"/>
    <w:rsid w:val="00CE33B0"/>
    <w:rsid w:val="00CE39B8"/>
    <w:rsid w:val="00CF13A5"/>
    <w:rsid w:val="00CF20DC"/>
    <w:rsid w:val="00CF4344"/>
    <w:rsid w:val="00CF5045"/>
    <w:rsid w:val="00CF588E"/>
    <w:rsid w:val="00CF72D7"/>
    <w:rsid w:val="00D015A4"/>
    <w:rsid w:val="00D02F59"/>
    <w:rsid w:val="00D05EA7"/>
    <w:rsid w:val="00D1092B"/>
    <w:rsid w:val="00D10AC9"/>
    <w:rsid w:val="00D12870"/>
    <w:rsid w:val="00D1423F"/>
    <w:rsid w:val="00D1601A"/>
    <w:rsid w:val="00D177A0"/>
    <w:rsid w:val="00D20092"/>
    <w:rsid w:val="00D22E65"/>
    <w:rsid w:val="00D22EAF"/>
    <w:rsid w:val="00D23C7B"/>
    <w:rsid w:val="00D3078B"/>
    <w:rsid w:val="00D3118E"/>
    <w:rsid w:val="00D31438"/>
    <w:rsid w:val="00D32927"/>
    <w:rsid w:val="00D34BC5"/>
    <w:rsid w:val="00D36BA1"/>
    <w:rsid w:val="00D37F07"/>
    <w:rsid w:val="00D41BB8"/>
    <w:rsid w:val="00D54B50"/>
    <w:rsid w:val="00D56DE4"/>
    <w:rsid w:val="00D57039"/>
    <w:rsid w:val="00D63855"/>
    <w:rsid w:val="00D67892"/>
    <w:rsid w:val="00D7119E"/>
    <w:rsid w:val="00D73BD3"/>
    <w:rsid w:val="00D76340"/>
    <w:rsid w:val="00D85656"/>
    <w:rsid w:val="00D97DEA"/>
    <w:rsid w:val="00D97F78"/>
    <w:rsid w:val="00DA0378"/>
    <w:rsid w:val="00DA33AC"/>
    <w:rsid w:val="00DA4D73"/>
    <w:rsid w:val="00DA74BB"/>
    <w:rsid w:val="00DB62E8"/>
    <w:rsid w:val="00DB65A3"/>
    <w:rsid w:val="00DB78FC"/>
    <w:rsid w:val="00DC473D"/>
    <w:rsid w:val="00DC48F1"/>
    <w:rsid w:val="00DC58F4"/>
    <w:rsid w:val="00DC5BFB"/>
    <w:rsid w:val="00DC7B0C"/>
    <w:rsid w:val="00DD3EA6"/>
    <w:rsid w:val="00DE1D8B"/>
    <w:rsid w:val="00DE2ECF"/>
    <w:rsid w:val="00DE49E1"/>
    <w:rsid w:val="00DF172C"/>
    <w:rsid w:val="00DF5286"/>
    <w:rsid w:val="00DF636C"/>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433FF"/>
    <w:rsid w:val="00E43DB0"/>
    <w:rsid w:val="00E62A4B"/>
    <w:rsid w:val="00E63092"/>
    <w:rsid w:val="00E63BD8"/>
    <w:rsid w:val="00E65AC2"/>
    <w:rsid w:val="00E72913"/>
    <w:rsid w:val="00E753E2"/>
    <w:rsid w:val="00E75C04"/>
    <w:rsid w:val="00E768ED"/>
    <w:rsid w:val="00E773FF"/>
    <w:rsid w:val="00E80627"/>
    <w:rsid w:val="00E81A69"/>
    <w:rsid w:val="00E81D84"/>
    <w:rsid w:val="00E913E8"/>
    <w:rsid w:val="00EB62F3"/>
    <w:rsid w:val="00EC16FE"/>
    <w:rsid w:val="00EC21BE"/>
    <w:rsid w:val="00EC3938"/>
    <w:rsid w:val="00EC4F17"/>
    <w:rsid w:val="00EC643A"/>
    <w:rsid w:val="00ED1D2C"/>
    <w:rsid w:val="00ED31EB"/>
    <w:rsid w:val="00ED3441"/>
    <w:rsid w:val="00ED4643"/>
    <w:rsid w:val="00ED47B8"/>
    <w:rsid w:val="00EE36E8"/>
    <w:rsid w:val="00EE49E7"/>
    <w:rsid w:val="00EE54B9"/>
    <w:rsid w:val="00EE6AF5"/>
    <w:rsid w:val="00F07E01"/>
    <w:rsid w:val="00F12B0C"/>
    <w:rsid w:val="00F135E4"/>
    <w:rsid w:val="00F13655"/>
    <w:rsid w:val="00F15375"/>
    <w:rsid w:val="00F15421"/>
    <w:rsid w:val="00F15CD5"/>
    <w:rsid w:val="00F16393"/>
    <w:rsid w:val="00F20C42"/>
    <w:rsid w:val="00F21764"/>
    <w:rsid w:val="00F36D7A"/>
    <w:rsid w:val="00F41EF2"/>
    <w:rsid w:val="00F45ABD"/>
    <w:rsid w:val="00F47F82"/>
    <w:rsid w:val="00F51473"/>
    <w:rsid w:val="00F52BFF"/>
    <w:rsid w:val="00F53E64"/>
    <w:rsid w:val="00F56218"/>
    <w:rsid w:val="00F56615"/>
    <w:rsid w:val="00F64EED"/>
    <w:rsid w:val="00F66BB2"/>
    <w:rsid w:val="00F73511"/>
    <w:rsid w:val="00F76366"/>
    <w:rsid w:val="00F82439"/>
    <w:rsid w:val="00FA1ED8"/>
    <w:rsid w:val="00FB54CC"/>
    <w:rsid w:val="00FB67B6"/>
    <w:rsid w:val="00FC3883"/>
    <w:rsid w:val="00FC6061"/>
    <w:rsid w:val="00FC79D1"/>
    <w:rsid w:val="00FE0D43"/>
    <w:rsid w:val="00FE1E79"/>
    <w:rsid w:val="00FE4493"/>
    <w:rsid w:val="00FE5BFC"/>
    <w:rsid w:val="00FF4A25"/>
    <w:rsid w:val="00FF4D6B"/>
    <w:rsid w:val="00FF67A0"/>
    <w:rsid w:val="401C1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868473FA-CA59-42A5-9B5F-846E522E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C4"/>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paragraph" w:styleId="Heading5">
    <w:name w:val="heading 5"/>
    <w:basedOn w:val="Normal"/>
    <w:next w:val="Normal"/>
    <w:link w:val="Heading5Char"/>
    <w:uiPriority w:val="9"/>
    <w:qFormat/>
    <w:rsid w:val="00B41956"/>
    <w:pPr>
      <w:spacing w:before="240" w:after="60"/>
      <w:ind w:left="1008" w:hanging="1008"/>
      <w:outlineLvl w:val="4"/>
    </w:pPr>
    <w:rPr>
      <w:rFonts w:ascii="Calibri" w:eastAsia="MS Mincho" w:hAnsi="Calibri"/>
      <w:b/>
      <w:bCs/>
      <w:i/>
      <w:iCs/>
      <w:color w:val="auto"/>
      <w:sz w:val="26"/>
      <w:szCs w:val="26"/>
    </w:rPr>
  </w:style>
  <w:style w:type="paragraph" w:styleId="Heading6">
    <w:name w:val="heading 6"/>
    <w:basedOn w:val="Normal"/>
    <w:next w:val="Normal"/>
    <w:link w:val="Heading6Char"/>
    <w:uiPriority w:val="9"/>
    <w:qFormat/>
    <w:rsid w:val="00B41956"/>
    <w:pPr>
      <w:spacing w:before="240" w:after="60"/>
      <w:ind w:left="1152" w:hanging="1152"/>
      <w:outlineLvl w:val="5"/>
    </w:pPr>
    <w:rPr>
      <w:rFonts w:ascii="Calibri" w:eastAsia="MS Mincho" w:hAnsi="Calibri"/>
      <w:b/>
      <w:bCs/>
      <w:color w:val="auto"/>
    </w:rPr>
  </w:style>
  <w:style w:type="paragraph" w:styleId="Heading7">
    <w:name w:val="heading 7"/>
    <w:basedOn w:val="Normal"/>
    <w:next w:val="Normal"/>
    <w:link w:val="Heading7Char"/>
    <w:uiPriority w:val="9"/>
    <w:qFormat/>
    <w:rsid w:val="00B41956"/>
    <w:pPr>
      <w:spacing w:before="240" w:after="60"/>
      <w:ind w:left="1296" w:hanging="1296"/>
      <w:outlineLvl w:val="6"/>
    </w:pPr>
    <w:rPr>
      <w:rFonts w:ascii="Calibri" w:eastAsia="MS Mincho" w:hAnsi="Calibri"/>
      <w:color w:val="auto"/>
      <w:sz w:val="24"/>
      <w:szCs w:val="24"/>
    </w:rPr>
  </w:style>
  <w:style w:type="paragraph" w:styleId="Heading8">
    <w:name w:val="heading 8"/>
    <w:basedOn w:val="Normal"/>
    <w:next w:val="Normal"/>
    <w:link w:val="Heading8Char"/>
    <w:uiPriority w:val="9"/>
    <w:qFormat/>
    <w:rsid w:val="00B41956"/>
    <w:pPr>
      <w:spacing w:before="240" w:after="60"/>
      <w:ind w:left="1440" w:hanging="1440"/>
      <w:outlineLvl w:val="7"/>
    </w:pPr>
    <w:rPr>
      <w:rFonts w:ascii="Calibri" w:eastAsia="MS Mincho" w:hAnsi="Calibri"/>
      <w:i/>
      <w:iCs/>
      <w:color w:val="auto"/>
      <w:sz w:val="24"/>
      <w:szCs w:val="24"/>
    </w:rPr>
  </w:style>
  <w:style w:type="paragraph" w:styleId="Heading9">
    <w:name w:val="heading 9"/>
    <w:basedOn w:val="Normal"/>
    <w:next w:val="Normal"/>
    <w:link w:val="Heading9Char"/>
    <w:uiPriority w:val="9"/>
    <w:qFormat/>
    <w:rsid w:val="00B41956"/>
    <w:pPr>
      <w:spacing w:before="240" w:after="60"/>
      <w:ind w:left="1584" w:hanging="1584"/>
      <w:outlineLvl w:val="8"/>
    </w:pPr>
    <w:rPr>
      <w:rFonts w:ascii="Cambria" w:eastAsia="MS Gothic" w:hAnsi="Cambr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spacing w:after="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spacing w:after="0"/>
    </w:pPr>
    <w:rPr>
      <w:rFonts w:eastAsia="Times New Roman"/>
      <w:lang w:eastAsia="en-AU"/>
    </w:rPr>
  </w:style>
  <w:style w:type="paragraph" w:styleId="ListBullet4">
    <w:name w:val="List Bullet 4"/>
    <w:basedOn w:val="Normal"/>
    <w:uiPriority w:val="2"/>
    <w:semiHidden/>
    <w:rsid w:val="00BE6AD3"/>
    <w:pPr>
      <w:numPr>
        <w:ilvl w:val="3"/>
        <w:numId w:val="32"/>
      </w:numPr>
      <w:spacing w:after="0"/>
    </w:pPr>
    <w:rPr>
      <w:rFonts w:eastAsia="Times New Roman"/>
      <w:lang w:eastAsia="en-AU"/>
    </w:rPr>
  </w:style>
  <w:style w:type="paragraph" w:styleId="ListBullet5">
    <w:name w:val="List Bullet 5"/>
    <w:basedOn w:val="Normal"/>
    <w:uiPriority w:val="2"/>
    <w:semiHidden/>
    <w:rsid w:val="00BE6AD3"/>
    <w:pPr>
      <w:numPr>
        <w:ilvl w:val="4"/>
        <w:numId w:val="32"/>
      </w:numPr>
      <w:spacing w:after="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
    <w:name w:val="_Body"/>
    <w:basedOn w:val="Normal"/>
    <w:qFormat/>
    <w:rsid w:val="00B41956"/>
    <w:pPr>
      <w:spacing w:before="80" w:after="40"/>
    </w:pPr>
    <w:rPr>
      <w:rFonts w:ascii="Arial" w:eastAsia="MS Gothic" w:hAnsi="Arial"/>
      <w:color w:val="000000"/>
      <w:sz w:val="16"/>
      <w:szCs w:val="24"/>
    </w:rPr>
  </w:style>
  <w:style w:type="paragraph" w:customStyle="1" w:styleId="TableBullet">
    <w:name w:val="_Table Bullet"/>
    <w:basedOn w:val="Normal"/>
    <w:rsid w:val="00B41956"/>
    <w:pPr>
      <w:numPr>
        <w:numId w:val="34"/>
      </w:numPr>
      <w:tabs>
        <w:tab w:val="left" w:pos="170"/>
      </w:tabs>
      <w:spacing w:before="60" w:after="60"/>
    </w:pPr>
    <w:rPr>
      <w:rFonts w:ascii="Arial" w:eastAsia="MS Gothic" w:hAnsi="Arial"/>
      <w:color w:val="auto"/>
      <w:sz w:val="16"/>
      <w:szCs w:val="24"/>
    </w:rPr>
  </w:style>
  <w:style w:type="paragraph" w:customStyle="1" w:styleId="Table">
    <w:name w:val="_Table"/>
    <w:basedOn w:val="Normal"/>
    <w:qFormat/>
    <w:rsid w:val="00B41956"/>
    <w:pPr>
      <w:spacing w:before="60" w:after="60"/>
    </w:pPr>
    <w:rPr>
      <w:rFonts w:ascii="Arial" w:eastAsia="MS Gothic" w:hAnsi="Arial"/>
      <w:color w:val="auto"/>
      <w:sz w:val="16"/>
      <w:szCs w:val="24"/>
    </w:rPr>
  </w:style>
  <w:style w:type="paragraph" w:customStyle="1" w:styleId="Tableheading">
    <w:name w:val="_Table heading"/>
    <w:basedOn w:val="Table"/>
    <w:rsid w:val="00B41956"/>
    <w:rPr>
      <w:b/>
    </w:rPr>
  </w:style>
  <w:style w:type="paragraph" w:customStyle="1" w:styleId="Source">
    <w:name w:val="_Source"/>
    <w:basedOn w:val="Body"/>
    <w:qFormat/>
    <w:rsid w:val="00B41956"/>
    <w:pPr>
      <w:tabs>
        <w:tab w:val="left" w:pos="368"/>
      </w:tabs>
      <w:spacing w:before="60" w:after="120"/>
      <w:ind w:left="368" w:hanging="368"/>
    </w:pPr>
    <w:rPr>
      <w:sz w:val="12"/>
    </w:rPr>
  </w:style>
  <w:style w:type="paragraph" w:customStyle="1" w:styleId="TableBullet1">
    <w:name w:val="_Table Bullet 1"/>
    <w:basedOn w:val="TableBullet"/>
    <w:rsid w:val="00B41956"/>
    <w:pPr>
      <w:numPr>
        <w:numId w:val="36"/>
      </w:numPr>
      <w:tabs>
        <w:tab w:val="clear" w:pos="170"/>
        <w:tab w:val="left" w:pos="356"/>
      </w:tabs>
    </w:pPr>
  </w:style>
  <w:style w:type="character" w:customStyle="1" w:styleId="Heading5Char">
    <w:name w:val="Heading 5 Char"/>
    <w:basedOn w:val="DefaultParagraphFont"/>
    <w:link w:val="Heading5"/>
    <w:uiPriority w:val="9"/>
    <w:rsid w:val="00B41956"/>
    <w:rPr>
      <w:rFonts w:ascii="Calibri" w:eastAsia="MS Mincho" w:hAnsi="Calibri"/>
      <w:b/>
      <w:bCs/>
      <w:i/>
      <w:iCs/>
      <w:color w:val="auto"/>
      <w:sz w:val="26"/>
      <w:szCs w:val="26"/>
    </w:rPr>
  </w:style>
  <w:style w:type="character" w:customStyle="1" w:styleId="Heading6Char">
    <w:name w:val="Heading 6 Char"/>
    <w:basedOn w:val="DefaultParagraphFont"/>
    <w:link w:val="Heading6"/>
    <w:uiPriority w:val="9"/>
    <w:rsid w:val="00B41956"/>
    <w:rPr>
      <w:rFonts w:ascii="Calibri" w:eastAsia="MS Mincho" w:hAnsi="Calibri"/>
      <w:b/>
      <w:bCs/>
      <w:color w:val="auto"/>
    </w:rPr>
  </w:style>
  <w:style w:type="character" w:customStyle="1" w:styleId="Heading7Char">
    <w:name w:val="Heading 7 Char"/>
    <w:basedOn w:val="DefaultParagraphFont"/>
    <w:link w:val="Heading7"/>
    <w:uiPriority w:val="9"/>
    <w:rsid w:val="00B41956"/>
    <w:rPr>
      <w:rFonts w:ascii="Calibri" w:eastAsia="MS Mincho" w:hAnsi="Calibri"/>
      <w:color w:val="auto"/>
      <w:sz w:val="24"/>
      <w:szCs w:val="24"/>
    </w:rPr>
  </w:style>
  <w:style w:type="character" w:customStyle="1" w:styleId="Heading8Char">
    <w:name w:val="Heading 8 Char"/>
    <w:basedOn w:val="DefaultParagraphFont"/>
    <w:link w:val="Heading8"/>
    <w:uiPriority w:val="9"/>
    <w:rsid w:val="00B41956"/>
    <w:rPr>
      <w:rFonts w:ascii="Calibri" w:eastAsia="MS Mincho" w:hAnsi="Calibri"/>
      <w:i/>
      <w:iCs/>
      <w:color w:val="auto"/>
      <w:sz w:val="24"/>
      <w:szCs w:val="24"/>
    </w:rPr>
  </w:style>
  <w:style w:type="character" w:customStyle="1" w:styleId="Heading9Char">
    <w:name w:val="Heading 9 Char"/>
    <w:basedOn w:val="DefaultParagraphFont"/>
    <w:link w:val="Heading9"/>
    <w:uiPriority w:val="9"/>
    <w:rsid w:val="00B41956"/>
    <w:rPr>
      <w:rFonts w:ascii="Cambria" w:eastAsia="MS Gothic" w:hAnsi="Cambria"/>
      <w:color w:val="auto"/>
    </w:rPr>
  </w:style>
  <w:style w:type="paragraph" w:customStyle="1" w:styleId="BodyHeading2">
    <w:name w:val="_BodyHeading2"/>
    <w:basedOn w:val="Normal"/>
    <w:rsid w:val="00B41956"/>
    <w:pPr>
      <w:spacing w:before="200" w:after="60"/>
      <w:ind w:left="432" w:hanging="432"/>
    </w:pPr>
    <w:rPr>
      <w:rFonts w:ascii="Arial" w:eastAsia="MS Gothic" w:hAnsi="Arial"/>
      <w:b/>
      <w:color w:val="000000"/>
      <w:szCs w:val="24"/>
    </w:rPr>
  </w:style>
  <w:style w:type="paragraph" w:customStyle="1" w:styleId="BodyHeading3">
    <w:name w:val="_BodyHeading3"/>
    <w:basedOn w:val="BodyHeading2"/>
    <w:next w:val="Body"/>
    <w:rsid w:val="00B41956"/>
    <w:pPr>
      <w:ind w:left="576" w:hanging="576"/>
    </w:pPr>
    <w:rPr>
      <w:color w:val="003591"/>
      <w:sz w:val="18"/>
    </w:rPr>
  </w:style>
  <w:style w:type="paragraph" w:customStyle="1" w:styleId="BodyHeading">
    <w:name w:val="_BodyHeading"/>
    <w:basedOn w:val="Normal"/>
    <w:next w:val="Body"/>
    <w:qFormat/>
    <w:rsid w:val="00DF636C"/>
    <w:pPr>
      <w:pageBreakBefore/>
      <w:spacing w:after="600"/>
      <w:ind w:left="34"/>
    </w:pPr>
    <w:rPr>
      <w:rFonts w:ascii="Arial" w:eastAsia="MS Gothic" w:hAnsi="Arial"/>
      <w:b/>
      <w:color w:val="003591"/>
      <w:sz w:val="60"/>
      <w:szCs w:val="24"/>
    </w:rPr>
  </w:style>
  <w:style w:type="paragraph" w:customStyle="1" w:styleId="BodyHeading4">
    <w:name w:val="_BodyHeading4"/>
    <w:basedOn w:val="BodyHeading3"/>
    <w:rsid w:val="00DF636C"/>
    <w:pPr>
      <w:ind w:left="0" w:firstLine="0"/>
    </w:pPr>
    <w:rPr>
      <w:lang w:val="en-GB" w:eastAsia="ja-JP"/>
    </w:rPr>
  </w:style>
  <w:style w:type="paragraph" w:styleId="NormalWeb">
    <w:name w:val="Normal (Web)"/>
    <w:basedOn w:val="Normal"/>
    <w:uiPriority w:val="99"/>
    <w:unhideWhenUsed/>
    <w:rsid w:val="00DF636C"/>
    <w:pPr>
      <w:spacing w:before="0" w:after="0"/>
    </w:pPr>
    <w:rPr>
      <w:rFonts w:ascii="Times New Roman" w:eastAsia="Times New Roman" w:hAnsi="Times New Roman"/>
      <w:color w:val="auto"/>
      <w:sz w:val="24"/>
      <w:szCs w:val="24"/>
      <w:lang w:eastAsia="en-AU"/>
    </w:rPr>
  </w:style>
  <w:style w:type="paragraph" w:customStyle="1" w:styleId="BodyHeading5">
    <w:name w:val="_BodyHeading5"/>
    <w:basedOn w:val="BodyHeading2"/>
    <w:rsid w:val="00DF636C"/>
    <w:pPr>
      <w:ind w:left="431" w:hanging="431"/>
    </w:pPr>
    <w:rPr>
      <w:lang w:val="en-GB" w:eastAsia="ja-JP"/>
    </w:rPr>
  </w:style>
  <w:style w:type="character" w:styleId="Emphasis">
    <w:name w:val="Emphasis"/>
    <w:basedOn w:val="DefaultParagraphFont"/>
    <w:uiPriority w:val="20"/>
    <w:qFormat/>
    <w:rsid w:val="00DF636C"/>
    <w:rPr>
      <w:i/>
      <w:iCs/>
    </w:rPr>
  </w:style>
  <w:style w:type="character" w:styleId="CommentReference">
    <w:name w:val="annotation reference"/>
    <w:basedOn w:val="DefaultParagraphFont"/>
    <w:uiPriority w:val="99"/>
    <w:semiHidden/>
    <w:unhideWhenUsed/>
    <w:rsid w:val="00C774E3"/>
    <w:rPr>
      <w:sz w:val="16"/>
      <w:szCs w:val="16"/>
    </w:rPr>
  </w:style>
  <w:style w:type="paragraph" w:styleId="CommentText">
    <w:name w:val="annotation text"/>
    <w:basedOn w:val="Normal"/>
    <w:link w:val="CommentTextChar"/>
    <w:uiPriority w:val="99"/>
    <w:semiHidden/>
    <w:unhideWhenUsed/>
    <w:rsid w:val="00C774E3"/>
    <w:rPr>
      <w:sz w:val="20"/>
      <w:szCs w:val="20"/>
    </w:rPr>
  </w:style>
  <w:style w:type="character" w:customStyle="1" w:styleId="CommentTextChar">
    <w:name w:val="Comment Text Char"/>
    <w:basedOn w:val="DefaultParagraphFont"/>
    <w:link w:val="CommentText"/>
    <w:uiPriority w:val="99"/>
    <w:semiHidden/>
    <w:rsid w:val="00C774E3"/>
    <w:rPr>
      <w:sz w:val="20"/>
      <w:szCs w:val="20"/>
    </w:rPr>
  </w:style>
  <w:style w:type="paragraph" w:styleId="CommentSubject">
    <w:name w:val="annotation subject"/>
    <w:basedOn w:val="CommentText"/>
    <w:next w:val="CommentText"/>
    <w:link w:val="CommentSubjectChar"/>
    <w:uiPriority w:val="99"/>
    <w:semiHidden/>
    <w:unhideWhenUsed/>
    <w:rsid w:val="00C774E3"/>
    <w:rPr>
      <w:b/>
      <w:bCs/>
    </w:rPr>
  </w:style>
  <w:style w:type="character" w:customStyle="1" w:styleId="CommentSubjectChar">
    <w:name w:val="Comment Subject Char"/>
    <w:basedOn w:val="CommentTextChar"/>
    <w:link w:val="CommentSubject"/>
    <w:uiPriority w:val="99"/>
    <w:semiHidden/>
    <w:rsid w:val="00C774E3"/>
    <w:rPr>
      <w:b/>
      <w:bCs/>
      <w:sz w:val="20"/>
      <w:szCs w:val="20"/>
    </w:rPr>
  </w:style>
  <w:style w:type="paragraph" w:styleId="Revision">
    <w:name w:val="Revision"/>
    <w:hidden/>
    <w:uiPriority w:val="99"/>
    <w:semiHidden/>
    <w:rsid w:val="00226FA6"/>
    <w:pPr>
      <w:spacing w:before="0" w:after="0"/>
    </w:pPr>
  </w:style>
  <w:style w:type="character" w:styleId="FollowedHyperlink">
    <w:name w:val="FollowedHyperlink"/>
    <w:basedOn w:val="DefaultParagraphFont"/>
    <w:uiPriority w:val="99"/>
    <w:semiHidden/>
    <w:unhideWhenUsed/>
    <w:rsid w:val="003E3DA0"/>
    <w:rPr>
      <w:color w:val="090D46" w:themeColor="followedHyperlink"/>
      <w:u w:val="single"/>
    </w:rPr>
  </w:style>
  <w:style w:type="paragraph" w:styleId="ListParagraph">
    <w:name w:val="List Paragraph"/>
    <w:basedOn w:val="Normal"/>
    <w:uiPriority w:val="34"/>
    <w:rsid w:val="00024056"/>
    <w:pPr>
      <w:ind w:left="720"/>
      <w:contextualSpacing/>
    </w:pPr>
  </w:style>
  <w:style w:type="character" w:styleId="UnresolvedMention">
    <w:name w:val="Unresolved Mention"/>
    <w:basedOn w:val="DefaultParagraphFont"/>
    <w:uiPriority w:val="99"/>
    <w:semiHidden/>
    <w:unhideWhenUsed/>
    <w:rsid w:val="00874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to.gov.au/rates/fbt/?page=1" TargetMode="External"/><Relationship Id="rId18" Type="http://schemas.openxmlformats.org/officeDocument/2006/relationships/hyperlink" Target="https://www.ato.gov.au/law/view/document?DocID=OPS/LI2023D20/00001" TargetMode="External"/><Relationship Id="rId26" Type="http://schemas.openxmlformats.org/officeDocument/2006/relationships/hyperlink" Target="https://www.ato.gov.au/law/view/document?DocID=OPS/LI2023D20/00001" TargetMode="External"/><Relationship Id="rId39" Type="http://schemas.openxmlformats.org/officeDocument/2006/relationships/hyperlink" Target="https://www.ato.gov.au/law/view/document?docid=OPS/LI202414/00001" TargetMode="External"/><Relationship Id="rId21" Type="http://schemas.openxmlformats.org/officeDocument/2006/relationships/hyperlink" Target="https://www.ato.gov.au/law/view/document?docid=OPS/LI20245/00001" TargetMode="External"/><Relationship Id="rId34" Type="http://schemas.openxmlformats.org/officeDocument/2006/relationships/hyperlink" Target="https://www.ato.gov.au/law/view/document?DocID=OPS/LI2023D20/0000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ato.gov.au/law/view/document?DocID=OPS/LI2023D20/00001" TargetMode="External"/><Relationship Id="rId29" Type="http://schemas.openxmlformats.org/officeDocument/2006/relationships/hyperlink" Target="https://www.ato.gov.au/law/view/document?docid=OPS/LI20249/000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to.gov.au/law/view/document?DocID=OPS/LI2023D20/00001" TargetMode="External"/><Relationship Id="rId32" Type="http://schemas.openxmlformats.org/officeDocument/2006/relationships/hyperlink" Target="https://www.ato.gov.au/law/view/document?DocID=OPS/LI2023D20/00001" TargetMode="External"/><Relationship Id="rId37" Type="http://schemas.openxmlformats.org/officeDocument/2006/relationships/hyperlink" Target="https://www.ato.gov.au/law/view/document?docid=OPS/LI202413/00001"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www.ato.gov.au/law/view/document?docid=OPS/LI20246/00001" TargetMode="External"/><Relationship Id="rId28" Type="http://schemas.openxmlformats.org/officeDocument/2006/relationships/hyperlink" Target="https://www.ato.gov.au/law/view/document?DocID=OPS/LI2023D20/00001" TargetMode="External"/><Relationship Id="rId36" Type="http://schemas.openxmlformats.org/officeDocument/2006/relationships/hyperlink" Target="https://www.ato.gov.au/law/view/document?DocID=OPS/LI2023D20/00001" TargetMode="External"/><Relationship Id="rId10" Type="http://schemas.openxmlformats.org/officeDocument/2006/relationships/endnotes" Target="endnotes.xml"/><Relationship Id="rId19" Type="http://schemas.openxmlformats.org/officeDocument/2006/relationships/hyperlink" Target="https://www.ato.gov.au/law/view/document?docid=OPS/LI20244/00001" TargetMode="External"/><Relationship Id="rId31" Type="http://schemas.openxmlformats.org/officeDocument/2006/relationships/hyperlink" Target="https://www.ato.gov.au/law/view/document?docid=OPS/LI202410/000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Business/Fringe-benefits-tax/In-detail/Fringe-benefits-tax---remote-areas/" TargetMode="External"/><Relationship Id="rId22" Type="http://schemas.openxmlformats.org/officeDocument/2006/relationships/hyperlink" Target="https://www.ato.gov.au/law/view/document?DocID=OPS/LI2023D20/00001" TargetMode="External"/><Relationship Id="rId27" Type="http://schemas.openxmlformats.org/officeDocument/2006/relationships/hyperlink" Target="https://www.ato.gov.au/law/view/document?docid=OPS/LI20248/00001" TargetMode="External"/><Relationship Id="rId30" Type="http://schemas.openxmlformats.org/officeDocument/2006/relationships/hyperlink" Target="https://www.ato.gov.au/law/view/document?DocID=OPS/LI2023D20/00001" TargetMode="External"/><Relationship Id="rId35" Type="http://schemas.openxmlformats.org/officeDocument/2006/relationships/hyperlink" Target="https://www.ato.gov.au/law/view/document?docid=OPS/LI202412/00001"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know.cch.com.au/document/atagUio3385035sl1257287978/tr-2021-2-fbt-car-parking-benefits" TargetMode="External"/><Relationship Id="rId17" Type="http://schemas.openxmlformats.org/officeDocument/2006/relationships/footer" Target="footer1.xml"/><Relationship Id="rId25" Type="http://schemas.openxmlformats.org/officeDocument/2006/relationships/hyperlink" Target="https://www.ato.gov.au/law/view/document?docid=OPS/LI20247/00001" TargetMode="External"/><Relationship Id="rId33" Type="http://schemas.openxmlformats.org/officeDocument/2006/relationships/hyperlink" Target="https://www.ato.gov.au/law/view/document?docid=OPS/LI202411/00001" TargetMode="External"/><Relationship Id="rId38" Type="http://schemas.openxmlformats.org/officeDocument/2006/relationships/hyperlink" Target="https://www.ato.gov.au/law/view/document?DocID=OPS/LI2023D20/000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C07621E4935146A520EAA5CB9752EF" ma:contentTypeVersion="7" ma:contentTypeDescription="Create a new document." ma:contentTypeScope="" ma:versionID="d3b3f0e7473b973c9274398d76ca47f2">
  <xsd:schema xmlns:xsd="http://www.w3.org/2001/XMLSchema" xmlns:xs="http://www.w3.org/2001/XMLSchema" xmlns:p="http://schemas.microsoft.com/office/2006/metadata/properties" xmlns:ns2="c3b28de0-d61c-416d-b4a4-327900c41459" xmlns:ns3="73d2f32f-9e69-4ab5-8407-71966cd8087d" targetNamespace="http://schemas.microsoft.com/office/2006/metadata/properties" ma:root="true" ma:fieldsID="a1716f5e94f112e8b389b93e3a081805" ns2:_="" ns3:_="">
    <xsd:import namespace="c3b28de0-d61c-416d-b4a4-327900c41459"/>
    <xsd:import namespace="73d2f32f-9e69-4ab5-8407-71966cd808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28de0-d61c-416d-b4a4-327900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Notes" ma:index="13" nillable="true" ma:displayName="Notes" ma:format="Dropdown" ma:internalName="Notes">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d2f32f-9e69-4ab5-8407-71966cd808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c3b28de0-d61c-416d-b4a4-327900c4145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2.xml><?xml version="1.0" encoding="utf-8"?>
<ds:datastoreItem xmlns:ds="http://schemas.openxmlformats.org/officeDocument/2006/customXml" ds:itemID="{B3B52196-F11E-4C2B-AEFF-3F2B07796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28de0-d61c-416d-b4a4-327900c41459"/>
    <ds:schemaRef ds:uri="73d2f32f-9e69-4ab5-8407-71966cd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AFAC5-D227-4534-BCB0-9DFECFDA08B4}">
  <ds:schemaRefs>
    <ds:schemaRef ds:uri="c3b28de0-d61c-416d-b4a4-327900c4145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73d2f32f-9e69-4ab5-8407-71966cd8087d"/>
    <ds:schemaRef ds:uri="http://purl.org/dc/terms/"/>
  </ds:schemaRefs>
</ds:datastoreItem>
</file>

<file path=customXml/itemProps4.xml><?xml version="1.0" encoding="utf-8"?>
<ds:datastoreItem xmlns:ds="http://schemas.openxmlformats.org/officeDocument/2006/customXml" ds:itemID="{345BC4F5-FF01-4746-9F11-3897E76B20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Australia.dotx</Template>
  <TotalTime>35</TotalTime>
  <Pages>1</Pages>
  <Words>10807</Words>
  <Characters>61603</Characters>
  <Application>Microsoft Office Word</Application>
  <DocSecurity>4</DocSecurity>
  <Lines>513</Lines>
  <Paragraphs>144</Paragraphs>
  <ScaleCrop>false</ScaleCrop>
  <Company/>
  <LinksUpToDate>false</LinksUpToDate>
  <CharactersWithSpaces>72266</CharactersWithSpaces>
  <SharedDoc>false</SharedDoc>
  <HLinks>
    <vt:vector size="156" baseType="variant">
      <vt:variant>
        <vt:i4>458823</vt:i4>
      </vt:variant>
      <vt:variant>
        <vt:i4>74</vt:i4>
      </vt:variant>
      <vt:variant>
        <vt:i4>0</vt:i4>
      </vt:variant>
      <vt:variant>
        <vt:i4>5</vt:i4>
      </vt:variant>
      <vt:variant>
        <vt:lpwstr>https://www.ato.gov.au/law/view/document?docid=OPS/LI202414/00001</vt:lpwstr>
      </vt:variant>
      <vt:variant>
        <vt:lpwstr/>
      </vt:variant>
      <vt:variant>
        <vt:i4>8126569</vt:i4>
      </vt:variant>
      <vt:variant>
        <vt:i4>72</vt:i4>
      </vt:variant>
      <vt:variant>
        <vt:i4>0</vt:i4>
      </vt:variant>
      <vt:variant>
        <vt:i4>5</vt:i4>
      </vt:variant>
      <vt:variant>
        <vt:lpwstr>https://www.ato.gov.au/law/view/document?DocID=OPS/LI2023D20/00001</vt:lpwstr>
      </vt:variant>
      <vt:variant>
        <vt:lpwstr/>
      </vt:variant>
      <vt:variant>
        <vt:i4>458816</vt:i4>
      </vt:variant>
      <vt:variant>
        <vt:i4>68</vt:i4>
      </vt:variant>
      <vt:variant>
        <vt:i4>0</vt:i4>
      </vt:variant>
      <vt:variant>
        <vt:i4>5</vt:i4>
      </vt:variant>
      <vt:variant>
        <vt:lpwstr>https://www.ato.gov.au/law/view/document?docid=OPS/LI202413/00001</vt:lpwstr>
      </vt:variant>
      <vt:variant>
        <vt:lpwstr/>
      </vt:variant>
      <vt:variant>
        <vt:i4>8126569</vt:i4>
      </vt:variant>
      <vt:variant>
        <vt:i4>66</vt:i4>
      </vt:variant>
      <vt:variant>
        <vt:i4>0</vt:i4>
      </vt:variant>
      <vt:variant>
        <vt:i4>5</vt:i4>
      </vt:variant>
      <vt:variant>
        <vt:lpwstr>https://www.ato.gov.au/law/view/document?DocID=OPS/LI2023D20/00001</vt:lpwstr>
      </vt:variant>
      <vt:variant>
        <vt:lpwstr/>
      </vt:variant>
      <vt:variant>
        <vt:i4>458817</vt:i4>
      </vt:variant>
      <vt:variant>
        <vt:i4>62</vt:i4>
      </vt:variant>
      <vt:variant>
        <vt:i4>0</vt:i4>
      </vt:variant>
      <vt:variant>
        <vt:i4>5</vt:i4>
      </vt:variant>
      <vt:variant>
        <vt:lpwstr>https://www.ato.gov.au/law/view/document?docid=OPS/LI202412/00001</vt:lpwstr>
      </vt:variant>
      <vt:variant>
        <vt:lpwstr/>
      </vt:variant>
      <vt:variant>
        <vt:i4>8126569</vt:i4>
      </vt:variant>
      <vt:variant>
        <vt:i4>60</vt:i4>
      </vt:variant>
      <vt:variant>
        <vt:i4>0</vt:i4>
      </vt:variant>
      <vt:variant>
        <vt:i4>5</vt:i4>
      </vt:variant>
      <vt:variant>
        <vt:lpwstr>https://www.ato.gov.au/law/view/document?DocID=OPS/LI2023D20/00001</vt:lpwstr>
      </vt:variant>
      <vt:variant>
        <vt:lpwstr/>
      </vt:variant>
      <vt:variant>
        <vt:i4>458818</vt:i4>
      </vt:variant>
      <vt:variant>
        <vt:i4>56</vt:i4>
      </vt:variant>
      <vt:variant>
        <vt:i4>0</vt:i4>
      </vt:variant>
      <vt:variant>
        <vt:i4>5</vt:i4>
      </vt:variant>
      <vt:variant>
        <vt:lpwstr>https://www.ato.gov.au/law/view/document?docid=OPS/LI202411/00001</vt:lpwstr>
      </vt:variant>
      <vt:variant>
        <vt:lpwstr/>
      </vt:variant>
      <vt:variant>
        <vt:i4>8126569</vt:i4>
      </vt:variant>
      <vt:variant>
        <vt:i4>54</vt:i4>
      </vt:variant>
      <vt:variant>
        <vt:i4>0</vt:i4>
      </vt:variant>
      <vt:variant>
        <vt:i4>5</vt:i4>
      </vt:variant>
      <vt:variant>
        <vt:lpwstr>https://www.ato.gov.au/law/view/document?DocID=OPS/LI2023D20/00001</vt:lpwstr>
      </vt:variant>
      <vt:variant>
        <vt:lpwstr/>
      </vt:variant>
      <vt:variant>
        <vt:i4>458819</vt:i4>
      </vt:variant>
      <vt:variant>
        <vt:i4>50</vt:i4>
      </vt:variant>
      <vt:variant>
        <vt:i4>0</vt:i4>
      </vt:variant>
      <vt:variant>
        <vt:i4>5</vt:i4>
      </vt:variant>
      <vt:variant>
        <vt:lpwstr>https://www.ato.gov.au/law/view/document?docid=OPS/LI202410/00001</vt:lpwstr>
      </vt:variant>
      <vt:variant>
        <vt:lpwstr/>
      </vt:variant>
      <vt:variant>
        <vt:i4>8126569</vt:i4>
      </vt:variant>
      <vt:variant>
        <vt:i4>48</vt:i4>
      </vt:variant>
      <vt:variant>
        <vt:i4>0</vt:i4>
      </vt:variant>
      <vt:variant>
        <vt:i4>5</vt:i4>
      </vt:variant>
      <vt:variant>
        <vt:lpwstr>https://www.ato.gov.au/law/view/document?DocID=OPS/LI2023D20/00001</vt:lpwstr>
      </vt:variant>
      <vt:variant>
        <vt:lpwstr/>
      </vt:variant>
      <vt:variant>
        <vt:i4>1114204</vt:i4>
      </vt:variant>
      <vt:variant>
        <vt:i4>44</vt:i4>
      </vt:variant>
      <vt:variant>
        <vt:i4>0</vt:i4>
      </vt:variant>
      <vt:variant>
        <vt:i4>5</vt:i4>
      </vt:variant>
      <vt:variant>
        <vt:lpwstr>https://www.ato.gov.au/law/view/document?docid=OPS/LI20249/00001</vt:lpwstr>
      </vt:variant>
      <vt:variant>
        <vt:lpwstr/>
      </vt:variant>
      <vt:variant>
        <vt:i4>8126569</vt:i4>
      </vt:variant>
      <vt:variant>
        <vt:i4>42</vt:i4>
      </vt:variant>
      <vt:variant>
        <vt:i4>0</vt:i4>
      </vt:variant>
      <vt:variant>
        <vt:i4>5</vt:i4>
      </vt:variant>
      <vt:variant>
        <vt:lpwstr>https://www.ato.gov.au/law/view/document?DocID=OPS/LI2023D20/00001</vt:lpwstr>
      </vt:variant>
      <vt:variant>
        <vt:lpwstr/>
      </vt:variant>
      <vt:variant>
        <vt:i4>1048668</vt:i4>
      </vt:variant>
      <vt:variant>
        <vt:i4>38</vt:i4>
      </vt:variant>
      <vt:variant>
        <vt:i4>0</vt:i4>
      </vt:variant>
      <vt:variant>
        <vt:i4>5</vt:i4>
      </vt:variant>
      <vt:variant>
        <vt:lpwstr>https://www.ato.gov.au/law/view/document?docid=OPS/LI20248/00001</vt:lpwstr>
      </vt:variant>
      <vt:variant>
        <vt:lpwstr/>
      </vt:variant>
      <vt:variant>
        <vt:i4>8126569</vt:i4>
      </vt:variant>
      <vt:variant>
        <vt:i4>36</vt:i4>
      </vt:variant>
      <vt:variant>
        <vt:i4>0</vt:i4>
      </vt:variant>
      <vt:variant>
        <vt:i4>5</vt:i4>
      </vt:variant>
      <vt:variant>
        <vt:lpwstr>https://www.ato.gov.au/law/view/document?DocID=OPS/LI2023D20/00001</vt:lpwstr>
      </vt:variant>
      <vt:variant>
        <vt:lpwstr/>
      </vt:variant>
      <vt:variant>
        <vt:i4>2031708</vt:i4>
      </vt:variant>
      <vt:variant>
        <vt:i4>32</vt:i4>
      </vt:variant>
      <vt:variant>
        <vt:i4>0</vt:i4>
      </vt:variant>
      <vt:variant>
        <vt:i4>5</vt:i4>
      </vt:variant>
      <vt:variant>
        <vt:lpwstr>https://www.ato.gov.au/law/view/document?docid=OPS/LI20247/00001</vt:lpwstr>
      </vt:variant>
      <vt:variant>
        <vt:lpwstr/>
      </vt:variant>
      <vt:variant>
        <vt:i4>8126569</vt:i4>
      </vt:variant>
      <vt:variant>
        <vt:i4>30</vt:i4>
      </vt:variant>
      <vt:variant>
        <vt:i4>0</vt:i4>
      </vt:variant>
      <vt:variant>
        <vt:i4>5</vt:i4>
      </vt:variant>
      <vt:variant>
        <vt:lpwstr>https://www.ato.gov.au/law/view/document?DocID=OPS/LI2023D20/00001</vt:lpwstr>
      </vt:variant>
      <vt:variant>
        <vt:lpwstr/>
      </vt:variant>
      <vt:variant>
        <vt:i4>1966172</vt:i4>
      </vt:variant>
      <vt:variant>
        <vt:i4>26</vt:i4>
      </vt:variant>
      <vt:variant>
        <vt:i4>0</vt:i4>
      </vt:variant>
      <vt:variant>
        <vt:i4>5</vt:i4>
      </vt:variant>
      <vt:variant>
        <vt:lpwstr>https://www.ato.gov.au/law/view/document?docid=OPS/LI20246/00001</vt:lpwstr>
      </vt:variant>
      <vt:variant>
        <vt:lpwstr/>
      </vt:variant>
      <vt:variant>
        <vt:i4>8126569</vt:i4>
      </vt:variant>
      <vt:variant>
        <vt:i4>24</vt:i4>
      </vt:variant>
      <vt:variant>
        <vt:i4>0</vt:i4>
      </vt:variant>
      <vt:variant>
        <vt:i4>5</vt:i4>
      </vt:variant>
      <vt:variant>
        <vt:lpwstr>https://www.ato.gov.au/law/view/document?DocID=OPS/LI2023D20/00001</vt:lpwstr>
      </vt:variant>
      <vt:variant>
        <vt:lpwstr/>
      </vt:variant>
      <vt:variant>
        <vt:i4>1900636</vt:i4>
      </vt:variant>
      <vt:variant>
        <vt:i4>20</vt:i4>
      </vt:variant>
      <vt:variant>
        <vt:i4>0</vt:i4>
      </vt:variant>
      <vt:variant>
        <vt:i4>5</vt:i4>
      </vt:variant>
      <vt:variant>
        <vt:lpwstr>https://www.ato.gov.au/law/view/document?docid=OPS/LI20245/00001</vt:lpwstr>
      </vt:variant>
      <vt:variant>
        <vt:lpwstr/>
      </vt:variant>
      <vt:variant>
        <vt:i4>8126569</vt:i4>
      </vt:variant>
      <vt:variant>
        <vt:i4>18</vt:i4>
      </vt:variant>
      <vt:variant>
        <vt:i4>0</vt:i4>
      </vt:variant>
      <vt:variant>
        <vt:i4>5</vt:i4>
      </vt:variant>
      <vt:variant>
        <vt:lpwstr>https://www.ato.gov.au/law/view/document?DocID=OPS/LI2023D20/00001</vt:lpwstr>
      </vt:variant>
      <vt:variant>
        <vt:lpwstr/>
      </vt:variant>
      <vt:variant>
        <vt:i4>1835100</vt:i4>
      </vt:variant>
      <vt:variant>
        <vt:i4>14</vt:i4>
      </vt:variant>
      <vt:variant>
        <vt:i4>0</vt:i4>
      </vt:variant>
      <vt:variant>
        <vt:i4>5</vt:i4>
      </vt:variant>
      <vt:variant>
        <vt:lpwstr>https://www.ato.gov.au/law/view/document?docid=OPS/LI20244/00001</vt:lpwstr>
      </vt:variant>
      <vt:variant>
        <vt:lpwstr/>
      </vt:variant>
      <vt:variant>
        <vt:i4>8126569</vt:i4>
      </vt:variant>
      <vt:variant>
        <vt:i4>12</vt:i4>
      </vt:variant>
      <vt:variant>
        <vt:i4>0</vt:i4>
      </vt:variant>
      <vt:variant>
        <vt:i4>5</vt:i4>
      </vt:variant>
      <vt:variant>
        <vt:lpwstr>https://www.ato.gov.au/law/view/document?DocID=OPS/LI2023D20/00001</vt:lpwstr>
      </vt:variant>
      <vt:variant>
        <vt:lpwstr/>
      </vt:variant>
      <vt:variant>
        <vt:i4>2031641</vt:i4>
      </vt:variant>
      <vt:variant>
        <vt:i4>9</vt:i4>
      </vt:variant>
      <vt:variant>
        <vt:i4>0</vt:i4>
      </vt:variant>
      <vt:variant>
        <vt:i4>5</vt:i4>
      </vt:variant>
      <vt:variant>
        <vt:lpwstr>https://www.ato.gov.au/businesses-and-organisations/hiring-and-paying-your-workers/fringe-benefits-tax/types-of-fringe-benefits/fbt-on-cars-other-vehicles-parking-and-tolls/electric-cars-exemption</vt:lpwstr>
      </vt:variant>
      <vt:variant>
        <vt:lpwstr/>
      </vt:variant>
      <vt:variant>
        <vt:i4>655439</vt:i4>
      </vt:variant>
      <vt:variant>
        <vt:i4>6</vt:i4>
      </vt:variant>
      <vt:variant>
        <vt:i4>0</vt:i4>
      </vt:variant>
      <vt:variant>
        <vt:i4>5</vt:i4>
      </vt:variant>
      <vt:variant>
        <vt:lpwstr>https://www.ato.gov.au/Business/Fringe-benefits-tax/In-detail/Fringe-benefits-tax---remote-areas/</vt:lpwstr>
      </vt:variant>
      <vt:variant>
        <vt:lpwstr/>
      </vt:variant>
      <vt:variant>
        <vt:i4>720902</vt:i4>
      </vt:variant>
      <vt:variant>
        <vt:i4>3</vt:i4>
      </vt:variant>
      <vt:variant>
        <vt:i4>0</vt:i4>
      </vt:variant>
      <vt:variant>
        <vt:i4>5</vt:i4>
      </vt:variant>
      <vt:variant>
        <vt:lpwstr>https://www.ato.gov.au/rates/fbt/?page=1</vt:lpwstr>
      </vt:variant>
      <vt:variant>
        <vt:lpwstr>Housing_indexation_figures</vt:lpwstr>
      </vt:variant>
      <vt:variant>
        <vt:i4>3539044</vt:i4>
      </vt:variant>
      <vt:variant>
        <vt:i4>0</vt:i4>
      </vt:variant>
      <vt:variant>
        <vt:i4>0</vt:i4>
      </vt:variant>
      <vt:variant>
        <vt:i4>5</vt:i4>
      </vt:variant>
      <vt:variant>
        <vt:lpwstr>https://iknow.cch.com.au/document/atagUio3385035sl1257287978/tr-2021-2-fbt-car-parking-benefits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Strachan</dc:creator>
  <cp:keywords/>
  <cp:lastModifiedBy>Eenu Monga</cp:lastModifiedBy>
  <cp:revision>14</cp:revision>
  <cp:lastPrinted>2024-03-18T22:36:00Z</cp:lastPrinted>
  <dcterms:created xsi:type="dcterms:W3CDTF">2024-03-25T18:49:00Z</dcterms:created>
  <dcterms:modified xsi:type="dcterms:W3CDTF">2024-03-28T00:44:00Z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0x01010023C07621E4935146A520EAA5CB9752EF</vt:lpwstr>
  </property>
</Properties>
</file>