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4684E79D" w:rsidR="003E4D00" w:rsidRPr="00734B65" w:rsidRDefault="003F0524" w:rsidP="00734B65">
      <w:pPr>
        <w:pStyle w:val="Title"/>
      </w:pPr>
      <w:r>
        <w:t>Trust Tax Return Preparation Checklist 202</w:t>
      </w:r>
      <w:r w:rsidR="002069AE">
        <w:t>3</w:t>
      </w:r>
    </w:p>
    <w:p w14:paraId="797E4143" w14:textId="73B654A3" w:rsidR="006B0C33" w:rsidRDefault="006B0C33" w:rsidP="005446A8">
      <w:pPr>
        <w:pStyle w:val="Subtitle"/>
      </w:pPr>
    </w:p>
    <w:p w14:paraId="7B9A9661" w14:textId="77777777" w:rsidR="005446A8" w:rsidRPr="005446A8" w:rsidRDefault="005446A8" w:rsidP="005446A8"/>
    <w:p w14:paraId="74880EEE" w14:textId="77777777" w:rsidR="003B7348" w:rsidRDefault="003B7348" w:rsidP="003B7348">
      <w:pPr>
        <w:sectPr w:rsidR="003B7348" w:rsidSect="005446A8">
          <w:headerReference w:type="even" r:id="rId11"/>
          <w:headerReference w:type="default" r:id="rId12"/>
          <w:footerReference w:type="even" r:id="rId13"/>
          <w:footerReference w:type="default" r:id="rId14"/>
          <w:headerReference w:type="first" r:id="rId15"/>
          <w:footerReference w:type="first" r:id="rId16"/>
          <w:pgSz w:w="11906" w:h="16838" w:code="9"/>
          <w:pgMar w:top="1701" w:right="964" w:bottom="1701" w:left="964" w:header="737" w:footer="680" w:gutter="0"/>
          <w:cols w:space="708"/>
          <w:vAlign w:val="center"/>
          <w:docGrid w:linePitch="360"/>
        </w:sectPr>
      </w:pPr>
    </w:p>
    <w:p w14:paraId="3D0F6350" w14:textId="48C31A90" w:rsidR="00735B82" w:rsidRPr="00693A71" w:rsidRDefault="003F0524" w:rsidP="003F0524">
      <w:pPr>
        <w:pStyle w:val="Heading1"/>
      </w:pPr>
      <w:r w:rsidRPr="003F0524">
        <w:t>Trust Tax Return Preparation Checklist 202</w:t>
      </w:r>
      <w:r w:rsidR="002069AE">
        <w:t>3</w:t>
      </w:r>
    </w:p>
    <w:p w14:paraId="37F9B920" w14:textId="7FDED1B0" w:rsidR="003F0524" w:rsidRDefault="003F0524" w:rsidP="003F0524">
      <w:r>
        <w:t>This checklist will assist public practice members in discharging their obligations in preparing 202</w:t>
      </w:r>
      <w:r w:rsidR="002069AE">
        <w:t>3</w:t>
      </w:r>
      <w:r>
        <w:t xml:space="preserve"> trust tax returns.</w:t>
      </w:r>
    </w:p>
    <w:p w14:paraId="023FC5A3" w14:textId="77777777" w:rsidR="003F0524" w:rsidRDefault="003F0524" w:rsidP="003F0524"/>
    <w:p w14:paraId="638DBCDA" w14:textId="77777777" w:rsidR="003F0524" w:rsidRDefault="003F0524" w:rsidP="003F0524">
      <w:r>
        <w:t xml:space="preserve">This checklist should be completed in conjunction with the preparation of tax reconciliation return workpapers. </w:t>
      </w:r>
    </w:p>
    <w:p w14:paraId="4F92F1B4" w14:textId="77777777" w:rsidR="003F0524" w:rsidRDefault="003F0524" w:rsidP="003F0524"/>
    <w:p w14:paraId="534F768F" w14:textId="77777777" w:rsidR="003F0524" w:rsidRDefault="003F0524" w:rsidP="003F0524">
      <w:r>
        <w:t>The checklist provides a general list of major issues that should be addressed but is not designed to be an exhaustive list of all issues that may warrant consideration.</w:t>
      </w:r>
    </w:p>
    <w:p w14:paraId="2A842291" w14:textId="77777777" w:rsidR="003F0524" w:rsidRDefault="003F0524" w:rsidP="003F0524"/>
    <w:p w14:paraId="2692FB6B" w14:textId="245281AD" w:rsidR="007D0908" w:rsidRDefault="003F0524" w:rsidP="003F0524">
      <w:r>
        <w:t xml:space="preserve">This information is based on legislation current as at </w:t>
      </w:r>
      <w:r w:rsidR="0066559D">
        <w:t>23</w:t>
      </w:r>
      <w:r w:rsidR="00DA5285">
        <w:t xml:space="preserve"> May 2023</w:t>
      </w:r>
      <w:r>
        <w:t>.</w:t>
      </w:r>
    </w:p>
    <w:p w14:paraId="15920C0A" w14:textId="1AEEC90D" w:rsidR="003F0524" w:rsidRDefault="003F0524" w:rsidP="003F0524"/>
    <w:p w14:paraId="20D26DCF" w14:textId="77777777" w:rsidR="003F0524" w:rsidRDefault="003F0524" w:rsidP="003F0524">
      <w:pPr>
        <w:rPr>
          <w:b/>
          <w:bCs/>
        </w:rPr>
      </w:pPr>
    </w:p>
    <w:p w14:paraId="4D3A68B3" w14:textId="77777777" w:rsidR="003F0524" w:rsidRDefault="003F0524" w:rsidP="003F0524">
      <w:pPr>
        <w:rPr>
          <w:b/>
          <w:bCs/>
        </w:rPr>
      </w:pPr>
    </w:p>
    <w:p w14:paraId="0F186FE7" w14:textId="77777777" w:rsidR="003F0524" w:rsidRDefault="003F0524" w:rsidP="003F0524">
      <w:pPr>
        <w:rPr>
          <w:b/>
          <w:bCs/>
        </w:rPr>
      </w:pPr>
    </w:p>
    <w:p w14:paraId="1DA22015" w14:textId="77777777" w:rsidR="003F0524" w:rsidRDefault="003F0524" w:rsidP="003F0524">
      <w:pPr>
        <w:rPr>
          <w:b/>
          <w:bCs/>
        </w:rPr>
      </w:pPr>
    </w:p>
    <w:p w14:paraId="02141A0A" w14:textId="77777777" w:rsidR="003F0524" w:rsidRDefault="003F0524" w:rsidP="003F0524">
      <w:pPr>
        <w:rPr>
          <w:b/>
          <w:bCs/>
        </w:rPr>
      </w:pPr>
    </w:p>
    <w:p w14:paraId="0F01A007" w14:textId="77777777" w:rsidR="003F0524" w:rsidRDefault="003F0524" w:rsidP="003F0524">
      <w:pPr>
        <w:rPr>
          <w:b/>
          <w:bCs/>
        </w:rPr>
      </w:pPr>
    </w:p>
    <w:p w14:paraId="74AB9A68" w14:textId="77777777" w:rsidR="003F0524" w:rsidRDefault="003F0524" w:rsidP="003F0524">
      <w:pPr>
        <w:rPr>
          <w:b/>
          <w:bCs/>
        </w:rPr>
      </w:pPr>
    </w:p>
    <w:p w14:paraId="53FD09F7" w14:textId="77777777" w:rsidR="003F0524" w:rsidRDefault="003F0524" w:rsidP="003F0524">
      <w:pPr>
        <w:rPr>
          <w:b/>
          <w:bCs/>
        </w:rPr>
      </w:pPr>
    </w:p>
    <w:p w14:paraId="5E93D9AB" w14:textId="77777777" w:rsidR="003F0524" w:rsidRDefault="003F0524" w:rsidP="003F0524">
      <w:pPr>
        <w:rPr>
          <w:b/>
          <w:bCs/>
        </w:rPr>
      </w:pPr>
    </w:p>
    <w:p w14:paraId="5F18BF66" w14:textId="77777777" w:rsidR="003F0524" w:rsidRDefault="003F0524" w:rsidP="003F0524">
      <w:pPr>
        <w:rPr>
          <w:b/>
          <w:bCs/>
        </w:rPr>
      </w:pPr>
    </w:p>
    <w:p w14:paraId="6D212192" w14:textId="77777777" w:rsidR="003F0524" w:rsidRDefault="003F0524" w:rsidP="003F0524">
      <w:pPr>
        <w:rPr>
          <w:b/>
          <w:bCs/>
        </w:rPr>
      </w:pPr>
    </w:p>
    <w:p w14:paraId="276BDE61" w14:textId="3E1A1789" w:rsidR="003F0524" w:rsidRPr="003F0524" w:rsidRDefault="003F0524" w:rsidP="003F0524">
      <w:pPr>
        <w:rPr>
          <w:b/>
          <w:bCs/>
        </w:rPr>
      </w:pPr>
      <w:r w:rsidRPr="003F0524">
        <w:rPr>
          <w:b/>
          <w:bCs/>
        </w:rPr>
        <w:t>About the author</w:t>
      </w:r>
    </w:p>
    <w:p w14:paraId="703F03FB" w14:textId="77777777" w:rsidR="003F0524" w:rsidRDefault="003F0524" w:rsidP="003F0524">
      <w:r>
        <w:t>This checklist was prepared by SW Accountants and Advisors on behalf of CPA Australia.</w:t>
      </w:r>
    </w:p>
    <w:p w14:paraId="3C889EBB" w14:textId="77777777" w:rsidR="003F0524" w:rsidRDefault="003F0524" w:rsidP="003F0524">
      <w:pPr>
        <w:rPr>
          <w:sz w:val="18"/>
          <w:szCs w:val="18"/>
        </w:rPr>
      </w:pPr>
    </w:p>
    <w:p w14:paraId="603E5129" w14:textId="77777777" w:rsidR="003F0524" w:rsidRPr="003F0524" w:rsidRDefault="003F0524" w:rsidP="003F0524">
      <w:pPr>
        <w:rPr>
          <w:b/>
          <w:bCs/>
        </w:rPr>
      </w:pPr>
      <w:r w:rsidRPr="003F0524">
        <w:rPr>
          <w:b/>
          <w:bCs/>
        </w:rPr>
        <w:t>Disclaimer</w:t>
      </w:r>
    </w:p>
    <w:p w14:paraId="51BC7AF1" w14:textId="636F8627" w:rsidR="003F0524" w:rsidRDefault="003F0524" w:rsidP="003F0524">
      <w: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tbl>
      <w:tblPr>
        <w:tblStyle w:val="RACVTable"/>
        <w:tblW w:w="5135" w:type="pct"/>
        <w:tblLook w:val="00A0" w:firstRow="1" w:lastRow="0" w:firstColumn="1" w:lastColumn="0" w:noHBand="0" w:noVBand="0"/>
      </w:tblPr>
      <w:tblGrid>
        <w:gridCol w:w="1967"/>
        <w:gridCol w:w="8280"/>
      </w:tblGrid>
      <w:tr w:rsidR="003F0524" w14:paraId="1D0B93A6" w14:textId="77777777" w:rsidTr="00FA6E66">
        <w:trPr>
          <w:cnfStyle w:val="100000000000" w:firstRow="1" w:lastRow="0" w:firstColumn="0" w:lastColumn="0" w:oddVBand="0" w:evenVBand="0" w:oddHBand="0" w:evenHBand="0" w:firstRowFirstColumn="0" w:firstRowLastColumn="0" w:lastRowFirstColumn="0" w:lastRowLastColumn="0"/>
        </w:trPr>
        <w:tc>
          <w:tcPr>
            <w:tcW w:w="960" w:type="pct"/>
            <w:hideMark/>
          </w:tcPr>
          <w:p w14:paraId="3EF9B6FD" w14:textId="77777777" w:rsidR="003F0524" w:rsidRPr="00FA6E66" w:rsidRDefault="003F0524">
            <w:pPr>
              <w:spacing w:before="100" w:after="100"/>
              <w:rPr>
                <w:b w:val="0"/>
                <w:color w:val="auto"/>
                <w:sz w:val="20"/>
                <w:szCs w:val="20"/>
              </w:rPr>
            </w:pPr>
            <w:r w:rsidRPr="00A01F0E">
              <w:rPr>
                <w:szCs w:val="18"/>
              </w:rPr>
              <w:t xml:space="preserve">ENTITY’S NAME   </w:t>
            </w:r>
          </w:p>
        </w:tc>
        <w:tc>
          <w:tcPr>
            <w:tcW w:w="4040" w:type="pct"/>
          </w:tcPr>
          <w:p w14:paraId="0CEDE234" w14:textId="77777777" w:rsidR="003F0524" w:rsidRPr="00FA6E66" w:rsidRDefault="003F0524">
            <w:pPr>
              <w:spacing w:before="100" w:after="100"/>
              <w:rPr>
                <w:color w:val="auto"/>
                <w:sz w:val="17"/>
                <w:szCs w:val="17"/>
              </w:rPr>
            </w:pPr>
          </w:p>
        </w:tc>
      </w:tr>
    </w:tbl>
    <w:p w14:paraId="143A8592" w14:textId="36DEAF5D" w:rsidR="003F0524" w:rsidRPr="00A45388" w:rsidRDefault="003F0524" w:rsidP="00FA6E66">
      <w:pPr>
        <w:snapToGrid w:val="0"/>
        <w:spacing w:line="276" w:lineRule="auto"/>
        <w:rPr>
          <w:color w:val="000000"/>
          <w:sz w:val="18"/>
          <w:szCs w:val="18"/>
        </w:rPr>
      </w:pPr>
    </w:p>
    <w:p w14:paraId="2422E8AA" w14:textId="77777777" w:rsidR="003F0524" w:rsidRDefault="003F0524" w:rsidP="00600AD2">
      <w:pPr>
        <w:pStyle w:val="Body"/>
        <w:spacing w:before="0" w:after="0"/>
        <w:ind w:left="0" w:right="-119"/>
        <w:rPr>
          <w:sz w:val="13"/>
        </w:rPr>
      </w:pPr>
    </w:p>
    <w:tbl>
      <w:tblPr>
        <w:tblStyle w:val="RACVTable"/>
        <w:tblW w:w="5114" w:type="pct"/>
        <w:tblLook w:val="04A0" w:firstRow="1" w:lastRow="0" w:firstColumn="1" w:lastColumn="0" w:noHBand="0" w:noVBand="1"/>
      </w:tblPr>
      <w:tblGrid>
        <w:gridCol w:w="8052"/>
        <w:gridCol w:w="737"/>
        <w:gridCol w:w="708"/>
        <w:gridCol w:w="708"/>
      </w:tblGrid>
      <w:tr w:rsidR="00C37EF1" w14:paraId="56B65A47" w14:textId="77777777" w:rsidTr="00C37EF1">
        <w:trPr>
          <w:cnfStyle w:val="100000000000" w:firstRow="1" w:lastRow="0" w:firstColumn="0" w:lastColumn="0" w:oddVBand="0" w:evenVBand="0" w:oddHBand="0" w:evenHBand="0" w:firstRowFirstColumn="0" w:firstRowLastColumn="0" w:lastRowFirstColumn="0" w:lastRowLastColumn="0"/>
        </w:trPr>
        <w:tc>
          <w:tcPr>
            <w:tcW w:w="3945" w:type="pct"/>
            <w:hideMark/>
          </w:tcPr>
          <w:p w14:paraId="6A448531" w14:textId="77777777" w:rsidR="003F0524" w:rsidRPr="00A01F0E" w:rsidRDefault="003F0524">
            <w:pPr>
              <w:pStyle w:val="Tableheading"/>
              <w:spacing w:before="100" w:after="100"/>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PRIOR YEAR TAX RETURN CONSIDERATIONS</w:t>
            </w:r>
          </w:p>
        </w:tc>
        <w:tc>
          <w:tcPr>
            <w:tcW w:w="361" w:type="pct"/>
            <w:hideMark/>
          </w:tcPr>
          <w:p w14:paraId="61B694EC" w14:textId="77777777" w:rsidR="003F0524" w:rsidRPr="00A01F0E"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YES</w:t>
            </w:r>
          </w:p>
        </w:tc>
        <w:tc>
          <w:tcPr>
            <w:tcW w:w="347" w:type="pct"/>
            <w:hideMark/>
          </w:tcPr>
          <w:p w14:paraId="347BFFB2" w14:textId="77777777" w:rsidR="003F0524" w:rsidRPr="00A01F0E"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NO</w:t>
            </w:r>
          </w:p>
        </w:tc>
        <w:tc>
          <w:tcPr>
            <w:tcW w:w="347" w:type="pct"/>
            <w:hideMark/>
          </w:tcPr>
          <w:p w14:paraId="140D20F7" w14:textId="77777777" w:rsidR="003F0524" w:rsidRPr="00A01F0E"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N/A</w:t>
            </w:r>
          </w:p>
        </w:tc>
      </w:tr>
      <w:tr w:rsidR="00C37EF1" w14:paraId="5F9C543C" w14:textId="77777777" w:rsidTr="00C37EF1">
        <w:trPr>
          <w:cnfStyle w:val="000000100000" w:firstRow="0" w:lastRow="0" w:firstColumn="0" w:lastColumn="0" w:oddVBand="0" w:evenVBand="0" w:oddHBand="1" w:evenHBand="0" w:firstRowFirstColumn="0" w:firstRowLastColumn="0" w:lastRowFirstColumn="0" w:lastRowLastColumn="0"/>
        </w:trPr>
        <w:tc>
          <w:tcPr>
            <w:tcW w:w="3945" w:type="pct"/>
            <w:hideMark/>
          </w:tcPr>
          <w:p w14:paraId="2CB238A0" w14:textId="77777777" w:rsidR="003F0524" w:rsidRPr="00A01F0E" w:rsidRDefault="003F0524">
            <w:pPr>
              <w:pStyle w:val="Table"/>
              <w:spacing w:before="100" w:after="100"/>
              <w:rPr>
                <w:color w:val="090D46" w:themeColor="text1"/>
                <w:sz w:val="18"/>
                <w:szCs w:val="18"/>
              </w:rPr>
            </w:pPr>
            <w:r w:rsidRPr="00A01F0E">
              <w:rPr>
                <w:color w:val="090D46" w:themeColor="text1"/>
                <w:sz w:val="18"/>
                <w:szCs w:val="18"/>
              </w:rPr>
              <w:t>Has last year’s tax return been checked for reversing timing differences (e.g. accruals and prepayments)?</w:t>
            </w:r>
          </w:p>
        </w:tc>
        <w:tc>
          <w:tcPr>
            <w:tcW w:w="361" w:type="pct"/>
          </w:tcPr>
          <w:p w14:paraId="4C331C01" w14:textId="77777777" w:rsidR="003F0524" w:rsidRDefault="003F0524">
            <w:pPr>
              <w:pStyle w:val="Table"/>
              <w:spacing w:before="100" w:after="100"/>
              <w:rPr>
                <w:sz w:val="18"/>
                <w:szCs w:val="18"/>
              </w:rPr>
            </w:pPr>
          </w:p>
        </w:tc>
        <w:tc>
          <w:tcPr>
            <w:tcW w:w="347" w:type="pct"/>
          </w:tcPr>
          <w:p w14:paraId="5FC62FF2" w14:textId="77777777" w:rsidR="003F0524" w:rsidRDefault="003F0524">
            <w:pPr>
              <w:pStyle w:val="Table"/>
              <w:spacing w:before="100" w:after="100"/>
              <w:rPr>
                <w:sz w:val="18"/>
                <w:szCs w:val="18"/>
              </w:rPr>
            </w:pPr>
          </w:p>
        </w:tc>
        <w:tc>
          <w:tcPr>
            <w:tcW w:w="347" w:type="pct"/>
          </w:tcPr>
          <w:p w14:paraId="512A5218" w14:textId="77777777" w:rsidR="003F0524" w:rsidRDefault="003F0524">
            <w:pPr>
              <w:pStyle w:val="Table"/>
              <w:spacing w:before="100" w:after="100"/>
              <w:rPr>
                <w:sz w:val="18"/>
                <w:szCs w:val="18"/>
              </w:rPr>
            </w:pPr>
          </w:p>
        </w:tc>
      </w:tr>
      <w:tr w:rsidR="00C37EF1" w14:paraId="73E59FE6" w14:textId="77777777" w:rsidTr="00C37EF1">
        <w:tc>
          <w:tcPr>
            <w:tcW w:w="3945" w:type="pct"/>
            <w:hideMark/>
          </w:tcPr>
          <w:p w14:paraId="0B5862C2" w14:textId="77777777" w:rsidR="003F0524" w:rsidRPr="00A01F0E" w:rsidRDefault="003F0524">
            <w:pPr>
              <w:pStyle w:val="Table"/>
              <w:spacing w:before="100" w:after="100"/>
              <w:rPr>
                <w:color w:val="090D46" w:themeColor="text1"/>
                <w:sz w:val="18"/>
                <w:szCs w:val="18"/>
              </w:rPr>
            </w:pPr>
            <w:r w:rsidRPr="00A01F0E">
              <w:rPr>
                <w:color w:val="090D46" w:themeColor="text1"/>
                <w:sz w:val="18"/>
                <w:szCs w:val="18"/>
              </w:rPr>
              <w:t xml:space="preserve">Has last year’s tax return been checked for recurring timing differences that may need considering in the current year (e.g. amortisation of computer software development pool or blackhole expenditure deductible in accordance with section 40-880 of the </w:t>
            </w:r>
            <w:r w:rsidRPr="00A01F0E">
              <w:rPr>
                <w:i/>
                <w:color w:val="090D46" w:themeColor="text1"/>
                <w:sz w:val="18"/>
                <w:szCs w:val="18"/>
              </w:rPr>
              <w:t>Income Tax Assessment Act 1997 (ITAA 1997))</w:t>
            </w:r>
            <w:r w:rsidRPr="00A01F0E">
              <w:rPr>
                <w:color w:val="090D46" w:themeColor="text1"/>
                <w:sz w:val="18"/>
                <w:szCs w:val="18"/>
              </w:rPr>
              <w:t>?</w:t>
            </w:r>
          </w:p>
        </w:tc>
        <w:tc>
          <w:tcPr>
            <w:tcW w:w="361" w:type="pct"/>
          </w:tcPr>
          <w:p w14:paraId="58D16199" w14:textId="77777777" w:rsidR="003F0524" w:rsidRDefault="003F0524">
            <w:pPr>
              <w:pStyle w:val="Table"/>
              <w:spacing w:before="100" w:after="100"/>
              <w:rPr>
                <w:sz w:val="18"/>
                <w:szCs w:val="18"/>
              </w:rPr>
            </w:pPr>
          </w:p>
        </w:tc>
        <w:tc>
          <w:tcPr>
            <w:tcW w:w="347" w:type="pct"/>
          </w:tcPr>
          <w:p w14:paraId="739A2277" w14:textId="77777777" w:rsidR="003F0524" w:rsidRDefault="003F0524">
            <w:pPr>
              <w:pStyle w:val="Table"/>
              <w:spacing w:before="100" w:after="100"/>
              <w:rPr>
                <w:sz w:val="18"/>
                <w:szCs w:val="18"/>
              </w:rPr>
            </w:pPr>
          </w:p>
        </w:tc>
        <w:tc>
          <w:tcPr>
            <w:tcW w:w="347" w:type="pct"/>
          </w:tcPr>
          <w:p w14:paraId="7B29210B" w14:textId="77777777" w:rsidR="003F0524" w:rsidRDefault="003F0524">
            <w:pPr>
              <w:pStyle w:val="Table"/>
              <w:spacing w:before="100" w:after="100"/>
              <w:rPr>
                <w:sz w:val="18"/>
                <w:szCs w:val="18"/>
              </w:rPr>
            </w:pPr>
          </w:p>
        </w:tc>
      </w:tr>
      <w:tr w:rsidR="00C37EF1" w14:paraId="44D126E8" w14:textId="77777777" w:rsidTr="00C37EF1">
        <w:trPr>
          <w:cnfStyle w:val="000000100000" w:firstRow="0" w:lastRow="0" w:firstColumn="0" w:lastColumn="0" w:oddVBand="0" w:evenVBand="0" w:oddHBand="1" w:evenHBand="0" w:firstRowFirstColumn="0" w:firstRowLastColumn="0" w:lastRowFirstColumn="0" w:lastRowLastColumn="0"/>
        </w:trPr>
        <w:tc>
          <w:tcPr>
            <w:tcW w:w="3945" w:type="pct"/>
            <w:hideMark/>
          </w:tcPr>
          <w:p w14:paraId="4B3432F7" w14:textId="77777777" w:rsidR="003F0524" w:rsidRPr="00A01F0E" w:rsidRDefault="003F0524">
            <w:pPr>
              <w:pStyle w:val="Table"/>
              <w:spacing w:before="100" w:after="100"/>
              <w:rPr>
                <w:color w:val="090D46" w:themeColor="text1"/>
                <w:sz w:val="18"/>
                <w:szCs w:val="18"/>
              </w:rPr>
            </w:pPr>
            <w:r w:rsidRPr="00A01F0E">
              <w:rPr>
                <w:color w:val="090D46" w:themeColor="text1"/>
                <w:sz w:val="18"/>
                <w:szCs w:val="18"/>
              </w:rPr>
              <w:t>Has last year’s tax return been checked for tax losses and capital losses carried forward to the current income year?</w:t>
            </w:r>
          </w:p>
        </w:tc>
        <w:tc>
          <w:tcPr>
            <w:tcW w:w="361" w:type="pct"/>
          </w:tcPr>
          <w:p w14:paraId="2C9403AD" w14:textId="77777777" w:rsidR="003F0524" w:rsidRDefault="003F0524">
            <w:pPr>
              <w:pStyle w:val="Table"/>
              <w:spacing w:before="100" w:after="100"/>
              <w:rPr>
                <w:sz w:val="18"/>
                <w:szCs w:val="18"/>
              </w:rPr>
            </w:pPr>
          </w:p>
        </w:tc>
        <w:tc>
          <w:tcPr>
            <w:tcW w:w="347" w:type="pct"/>
          </w:tcPr>
          <w:p w14:paraId="455DC470" w14:textId="77777777" w:rsidR="003F0524" w:rsidRDefault="003F0524">
            <w:pPr>
              <w:pStyle w:val="Table"/>
              <w:spacing w:before="100" w:after="100"/>
              <w:rPr>
                <w:sz w:val="18"/>
                <w:szCs w:val="18"/>
              </w:rPr>
            </w:pPr>
          </w:p>
        </w:tc>
        <w:tc>
          <w:tcPr>
            <w:tcW w:w="347" w:type="pct"/>
          </w:tcPr>
          <w:p w14:paraId="3945C631" w14:textId="77777777" w:rsidR="003F0524" w:rsidRDefault="003F0524">
            <w:pPr>
              <w:pStyle w:val="Table"/>
              <w:spacing w:before="100" w:after="100"/>
              <w:rPr>
                <w:sz w:val="18"/>
                <w:szCs w:val="18"/>
              </w:rPr>
            </w:pPr>
          </w:p>
        </w:tc>
      </w:tr>
      <w:tr w:rsidR="00C37EF1" w14:paraId="3A6A09C2" w14:textId="77777777" w:rsidTr="00C37EF1">
        <w:tc>
          <w:tcPr>
            <w:tcW w:w="3945" w:type="pct"/>
            <w:hideMark/>
          </w:tcPr>
          <w:p w14:paraId="26CE7BB5" w14:textId="77777777" w:rsidR="003F0524" w:rsidRPr="00A01F0E" w:rsidRDefault="003F0524">
            <w:pPr>
              <w:pStyle w:val="Table"/>
              <w:spacing w:before="100" w:after="100"/>
              <w:rPr>
                <w:color w:val="090D46" w:themeColor="text1"/>
                <w:sz w:val="18"/>
                <w:szCs w:val="18"/>
              </w:rPr>
            </w:pPr>
            <w:r w:rsidRPr="00A01F0E">
              <w:rPr>
                <w:color w:val="090D46" w:themeColor="text1"/>
                <w:sz w:val="18"/>
                <w:szCs w:val="18"/>
              </w:rPr>
              <w:t>Have you checked the prior year action sheet for prior year carry forward issues?</w:t>
            </w:r>
          </w:p>
        </w:tc>
        <w:tc>
          <w:tcPr>
            <w:tcW w:w="361" w:type="pct"/>
          </w:tcPr>
          <w:p w14:paraId="5A6C9808" w14:textId="77777777" w:rsidR="003F0524" w:rsidRDefault="003F0524">
            <w:pPr>
              <w:pStyle w:val="Table"/>
              <w:spacing w:before="100" w:after="100"/>
              <w:rPr>
                <w:sz w:val="18"/>
                <w:szCs w:val="18"/>
              </w:rPr>
            </w:pPr>
          </w:p>
        </w:tc>
        <w:tc>
          <w:tcPr>
            <w:tcW w:w="347" w:type="pct"/>
          </w:tcPr>
          <w:p w14:paraId="13115D7A" w14:textId="77777777" w:rsidR="003F0524" w:rsidRDefault="003F0524">
            <w:pPr>
              <w:pStyle w:val="Table"/>
              <w:spacing w:before="100" w:after="100"/>
              <w:rPr>
                <w:sz w:val="18"/>
                <w:szCs w:val="18"/>
              </w:rPr>
            </w:pPr>
          </w:p>
        </w:tc>
        <w:tc>
          <w:tcPr>
            <w:tcW w:w="347" w:type="pct"/>
          </w:tcPr>
          <w:p w14:paraId="1C3BBA62" w14:textId="77777777" w:rsidR="003F0524" w:rsidRDefault="003F0524">
            <w:pPr>
              <w:pStyle w:val="Table"/>
              <w:spacing w:before="100" w:after="100"/>
              <w:rPr>
                <w:sz w:val="18"/>
                <w:szCs w:val="18"/>
              </w:rPr>
            </w:pPr>
          </w:p>
        </w:tc>
      </w:tr>
      <w:tr w:rsidR="003F0524" w14:paraId="3F791CF4" w14:textId="77777777" w:rsidTr="00C37EF1">
        <w:trPr>
          <w:cnfStyle w:val="000000100000" w:firstRow="0" w:lastRow="0" w:firstColumn="0" w:lastColumn="0" w:oddVBand="0" w:evenVBand="0" w:oddHBand="1" w:evenHBand="0" w:firstRowFirstColumn="0" w:firstRowLastColumn="0" w:lastRowFirstColumn="0" w:lastRowLastColumn="0"/>
          <w:trHeight w:val="829"/>
        </w:trPr>
        <w:tc>
          <w:tcPr>
            <w:tcW w:w="5000" w:type="pct"/>
            <w:gridSpan w:val="4"/>
          </w:tcPr>
          <w:p w14:paraId="11052E3F" w14:textId="77777777" w:rsidR="003F0524" w:rsidRPr="00A01F0E" w:rsidRDefault="003F0524">
            <w:pPr>
              <w:pStyle w:val="Tableheading"/>
              <w:spacing w:before="100" w:after="100"/>
              <w:rPr>
                <w:bCs/>
                <w:color w:val="090D46" w:themeColor="text1"/>
                <w:sz w:val="18"/>
                <w:szCs w:val="18"/>
              </w:rPr>
            </w:pPr>
            <w:r w:rsidRPr="00A01F0E">
              <w:rPr>
                <w:bCs/>
                <w:color w:val="090D46" w:themeColor="text1"/>
                <w:sz w:val="18"/>
                <w:szCs w:val="18"/>
              </w:rPr>
              <w:t>Comments:</w:t>
            </w:r>
          </w:p>
          <w:p w14:paraId="0ECBE767" w14:textId="6EF18784" w:rsidR="00A01F0E" w:rsidRDefault="00A01F0E">
            <w:pPr>
              <w:pStyle w:val="Tableheading"/>
              <w:spacing w:before="100" w:after="100"/>
              <w:rPr>
                <w:sz w:val="18"/>
                <w:szCs w:val="18"/>
              </w:rPr>
            </w:pPr>
          </w:p>
        </w:tc>
      </w:tr>
    </w:tbl>
    <w:p w14:paraId="73EFD1CF" w14:textId="77777777" w:rsidR="00C37EF1" w:rsidRDefault="00C37EF1"/>
    <w:tbl>
      <w:tblPr>
        <w:tblStyle w:val="RACVTable"/>
        <w:tblW w:w="5111" w:type="pct"/>
        <w:tblLayout w:type="fixed"/>
        <w:tblLook w:val="04A0" w:firstRow="1" w:lastRow="0" w:firstColumn="1" w:lastColumn="0" w:noHBand="0" w:noVBand="1"/>
      </w:tblPr>
      <w:tblGrid>
        <w:gridCol w:w="8037"/>
        <w:gridCol w:w="751"/>
        <w:gridCol w:w="710"/>
        <w:gridCol w:w="702"/>
      </w:tblGrid>
      <w:tr w:rsidR="00C37EF1" w14:paraId="75956625" w14:textId="77777777" w:rsidTr="009B5902">
        <w:trPr>
          <w:cnfStyle w:val="100000000000" w:firstRow="1" w:lastRow="0" w:firstColumn="0" w:lastColumn="0" w:oddVBand="0" w:evenVBand="0" w:oddHBand="0" w:evenHBand="0" w:firstRowFirstColumn="0" w:firstRowLastColumn="0" w:lastRowFirstColumn="0" w:lastRowLastColumn="0"/>
        </w:trPr>
        <w:tc>
          <w:tcPr>
            <w:tcW w:w="3940" w:type="pct"/>
            <w:hideMark/>
          </w:tcPr>
          <w:p w14:paraId="2458A1DF" w14:textId="77777777" w:rsidR="003F0524" w:rsidRPr="00A01F0E" w:rsidRDefault="003F0524">
            <w:pPr>
              <w:pStyle w:val="Tableheading"/>
              <w:spacing w:before="100" w:after="100"/>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STATEMENT OF FINANCIAL POSITION (BALANCE SHEET)</w:t>
            </w:r>
          </w:p>
        </w:tc>
        <w:tc>
          <w:tcPr>
            <w:tcW w:w="368" w:type="pct"/>
            <w:hideMark/>
          </w:tcPr>
          <w:p w14:paraId="7746AAB2" w14:textId="77777777" w:rsidR="003F0524" w:rsidRPr="00A01F0E"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YES</w:t>
            </w:r>
          </w:p>
        </w:tc>
        <w:tc>
          <w:tcPr>
            <w:tcW w:w="348" w:type="pct"/>
            <w:hideMark/>
          </w:tcPr>
          <w:p w14:paraId="6D0F61D4" w14:textId="77777777" w:rsidR="003F0524" w:rsidRPr="00A01F0E"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NO</w:t>
            </w:r>
          </w:p>
        </w:tc>
        <w:tc>
          <w:tcPr>
            <w:tcW w:w="344" w:type="pct"/>
            <w:hideMark/>
          </w:tcPr>
          <w:p w14:paraId="0228E2E7" w14:textId="77777777" w:rsidR="003F0524" w:rsidRPr="00A01F0E"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A01F0E">
              <w:rPr>
                <w:rFonts w:asciiTheme="minorHAnsi" w:eastAsiaTheme="minorHAnsi" w:hAnsiTheme="minorHAnsi" w:cs="Times New Roman"/>
                <w:b/>
                <w:color w:val="090D46" w:themeColor="text1"/>
                <w:sz w:val="18"/>
                <w:szCs w:val="18"/>
              </w:rPr>
              <w:t>N/A</w:t>
            </w:r>
          </w:p>
        </w:tc>
      </w:tr>
      <w:tr w:rsidR="003F0524" w14:paraId="6A8992E7" w14:textId="77777777" w:rsidTr="009B5902">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7F7C9C6A" w14:textId="77777777" w:rsidR="003F0524" w:rsidRPr="00A01F0E" w:rsidRDefault="003F0524">
            <w:pPr>
              <w:pStyle w:val="Tableheading"/>
              <w:spacing w:before="100" w:after="100"/>
              <w:rPr>
                <w:bCs/>
                <w:sz w:val="18"/>
                <w:szCs w:val="18"/>
              </w:rPr>
            </w:pPr>
            <w:r w:rsidRPr="00A01F0E">
              <w:rPr>
                <w:bCs/>
                <w:color w:val="FFFFFF" w:themeColor="background1"/>
                <w:sz w:val="18"/>
                <w:szCs w:val="18"/>
              </w:rPr>
              <w:t>GENERAL</w:t>
            </w:r>
          </w:p>
        </w:tc>
      </w:tr>
      <w:tr w:rsidR="00C37EF1" w14:paraId="163635A1" w14:textId="77777777" w:rsidTr="009B5902">
        <w:tc>
          <w:tcPr>
            <w:tcW w:w="3940" w:type="pct"/>
            <w:hideMark/>
          </w:tcPr>
          <w:p w14:paraId="3AD5A69F" w14:textId="77777777" w:rsidR="003F0524" w:rsidRDefault="003F0524" w:rsidP="00A01F0E">
            <w:r>
              <w:t>Have all balance sheet items been reviewed (e.g. deductibility of consumable stores, asset write-offs, assessability of deferred income, tax treatment of bills of exchange etc.)?</w:t>
            </w:r>
          </w:p>
        </w:tc>
        <w:tc>
          <w:tcPr>
            <w:tcW w:w="368" w:type="pct"/>
          </w:tcPr>
          <w:p w14:paraId="31660185" w14:textId="77777777" w:rsidR="003F0524" w:rsidRDefault="003F0524">
            <w:pPr>
              <w:pStyle w:val="Table"/>
              <w:spacing w:before="100" w:after="100"/>
            </w:pPr>
          </w:p>
        </w:tc>
        <w:tc>
          <w:tcPr>
            <w:tcW w:w="348" w:type="pct"/>
          </w:tcPr>
          <w:p w14:paraId="31552A67" w14:textId="77777777" w:rsidR="003F0524" w:rsidRDefault="003F0524">
            <w:pPr>
              <w:pStyle w:val="Table"/>
              <w:spacing w:before="100" w:after="100"/>
            </w:pPr>
          </w:p>
        </w:tc>
        <w:tc>
          <w:tcPr>
            <w:tcW w:w="344" w:type="pct"/>
          </w:tcPr>
          <w:p w14:paraId="2B487827" w14:textId="77777777" w:rsidR="003F0524" w:rsidRDefault="003F0524">
            <w:pPr>
              <w:pStyle w:val="Table"/>
              <w:spacing w:before="100" w:after="100"/>
            </w:pPr>
          </w:p>
        </w:tc>
      </w:tr>
      <w:tr w:rsidR="00C37EF1" w14:paraId="2EACDA4E" w14:textId="77777777" w:rsidTr="009B5902">
        <w:trPr>
          <w:cnfStyle w:val="000000100000" w:firstRow="0" w:lastRow="0" w:firstColumn="0" w:lastColumn="0" w:oddVBand="0" w:evenVBand="0" w:oddHBand="1" w:evenHBand="0" w:firstRowFirstColumn="0" w:firstRowLastColumn="0" w:lastRowFirstColumn="0" w:lastRowLastColumn="0"/>
        </w:trPr>
        <w:tc>
          <w:tcPr>
            <w:tcW w:w="3940" w:type="pct"/>
            <w:hideMark/>
          </w:tcPr>
          <w:p w14:paraId="38B42393" w14:textId="77777777" w:rsidR="003F0524" w:rsidRDefault="003F0524" w:rsidP="00A01F0E">
            <w:r>
              <w:t>Have all movements in provisions been adjusted for (e.g. provision for annual leave, provision for long service leave, provision for obsolete stock, provision for doubtful debts, provision for warranties etc.)?</w:t>
            </w:r>
          </w:p>
        </w:tc>
        <w:tc>
          <w:tcPr>
            <w:tcW w:w="368" w:type="pct"/>
          </w:tcPr>
          <w:p w14:paraId="71C5A02E" w14:textId="77777777" w:rsidR="003F0524" w:rsidRDefault="003F0524">
            <w:pPr>
              <w:pStyle w:val="Table"/>
              <w:spacing w:before="100" w:after="100"/>
            </w:pPr>
          </w:p>
        </w:tc>
        <w:tc>
          <w:tcPr>
            <w:tcW w:w="348" w:type="pct"/>
          </w:tcPr>
          <w:p w14:paraId="459F067D" w14:textId="77777777" w:rsidR="003F0524" w:rsidRDefault="003F0524">
            <w:pPr>
              <w:pStyle w:val="Table"/>
              <w:spacing w:before="100" w:after="100"/>
            </w:pPr>
          </w:p>
        </w:tc>
        <w:tc>
          <w:tcPr>
            <w:tcW w:w="344" w:type="pct"/>
          </w:tcPr>
          <w:p w14:paraId="00C8B3F8" w14:textId="77777777" w:rsidR="003F0524" w:rsidRDefault="003F0524">
            <w:pPr>
              <w:pStyle w:val="Table"/>
              <w:spacing w:before="100" w:after="100"/>
            </w:pPr>
          </w:p>
        </w:tc>
      </w:tr>
      <w:tr w:rsidR="00C37EF1" w14:paraId="3CED9BE8" w14:textId="77777777" w:rsidTr="009B5902">
        <w:tc>
          <w:tcPr>
            <w:tcW w:w="3940" w:type="pct"/>
            <w:hideMark/>
          </w:tcPr>
          <w:p w14:paraId="383FB86E" w14:textId="77777777" w:rsidR="003F0524" w:rsidRDefault="003F0524" w:rsidP="00A01F0E">
            <w:r>
              <w:t>Have sundry creditors been reviewed for accruals / provisions which have not been legally incurred by year end and for non-deductible accrued expenditure (e.g. accrued audit expenditure under Taxation Ruling IT 2625 and accrued superannuation expenditure)?</w:t>
            </w:r>
          </w:p>
        </w:tc>
        <w:tc>
          <w:tcPr>
            <w:tcW w:w="368" w:type="pct"/>
          </w:tcPr>
          <w:p w14:paraId="7F932DFC" w14:textId="77777777" w:rsidR="003F0524" w:rsidRDefault="003F0524">
            <w:pPr>
              <w:pStyle w:val="Table"/>
              <w:spacing w:before="100" w:after="100"/>
            </w:pPr>
          </w:p>
        </w:tc>
        <w:tc>
          <w:tcPr>
            <w:tcW w:w="348" w:type="pct"/>
          </w:tcPr>
          <w:p w14:paraId="4C5812C9" w14:textId="77777777" w:rsidR="003F0524" w:rsidRDefault="003F0524">
            <w:pPr>
              <w:pStyle w:val="Table"/>
              <w:spacing w:before="100" w:after="100"/>
            </w:pPr>
          </w:p>
        </w:tc>
        <w:tc>
          <w:tcPr>
            <w:tcW w:w="344" w:type="pct"/>
          </w:tcPr>
          <w:p w14:paraId="69D574C5" w14:textId="77777777" w:rsidR="003F0524" w:rsidRDefault="003F0524">
            <w:pPr>
              <w:pStyle w:val="Table"/>
              <w:spacing w:before="100" w:after="100"/>
            </w:pPr>
          </w:p>
        </w:tc>
      </w:tr>
      <w:tr w:rsidR="00C37EF1" w14:paraId="6880EB10" w14:textId="77777777" w:rsidTr="009B5902">
        <w:trPr>
          <w:cnfStyle w:val="000000100000" w:firstRow="0" w:lastRow="0" w:firstColumn="0" w:lastColumn="0" w:oddVBand="0" w:evenVBand="0" w:oddHBand="1" w:evenHBand="0" w:firstRowFirstColumn="0" w:firstRowLastColumn="0" w:lastRowFirstColumn="0" w:lastRowLastColumn="0"/>
        </w:trPr>
        <w:tc>
          <w:tcPr>
            <w:tcW w:w="3940" w:type="pct"/>
            <w:hideMark/>
          </w:tcPr>
          <w:p w14:paraId="0282F42B" w14:textId="5AB6697F" w:rsidR="003F0524" w:rsidRDefault="003F0524" w:rsidP="00A01F0E">
            <w:r>
              <w:t>Have sundry debtors been reviewed for prepayments and accrued income (e.g. interest receivable)</w:t>
            </w:r>
            <w:r w:rsidR="00650E64">
              <w:t xml:space="preserve"> requiring tax adjustment</w:t>
            </w:r>
            <w:r w:rsidR="008F10FD">
              <w:t>s</w:t>
            </w:r>
            <w:r>
              <w:t>?</w:t>
            </w:r>
          </w:p>
        </w:tc>
        <w:tc>
          <w:tcPr>
            <w:tcW w:w="368" w:type="pct"/>
          </w:tcPr>
          <w:p w14:paraId="74DDC3C6" w14:textId="77777777" w:rsidR="003F0524" w:rsidRDefault="003F0524">
            <w:pPr>
              <w:pStyle w:val="Table"/>
              <w:spacing w:before="100" w:after="100"/>
            </w:pPr>
          </w:p>
        </w:tc>
        <w:tc>
          <w:tcPr>
            <w:tcW w:w="348" w:type="pct"/>
          </w:tcPr>
          <w:p w14:paraId="7AAC7EEF" w14:textId="77777777" w:rsidR="003F0524" w:rsidRDefault="003F0524">
            <w:pPr>
              <w:pStyle w:val="Table"/>
              <w:spacing w:before="100" w:after="100"/>
            </w:pPr>
          </w:p>
        </w:tc>
        <w:tc>
          <w:tcPr>
            <w:tcW w:w="344" w:type="pct"/>
          </w:tcPr>
          <w:p w14:paraId="468E9F45" w14:textId="77777777" w:rsidR="003F0524" w:rsidRDefault="003F0524">
            <w:pPr>
              <w:pStyle w:val="Table"/>
              <w:spacing w:before="100" w:after="100"/>
            </w:pPr>
          </w:p>
        </w:tc>
      </w:tr>
      <w:tr w:rsidR="00C37EF1" w14:paraId="028EDEC2" w14:textId="77777777" w:rsidTr="009B5902">
        <w:tc>
          <w:tcPr>
            <w:tcW w:w="3940" w:type="pct"/>
            <w:hideMark/>
          </w:tcPr>
          <w:p w14:paraId="34C6AC37" w14:textId="60DD0B36" w:rsidR="003F0524" w:rsidRDefault="003F0524" w:rsidP="00A01F0E">
            <w:r>
              <w:t>Has accrued Fringe Benefits Tax (FBT) been correctly calculated on the basis that a deduction is being claimed for the FBT instalment referable to the June 202</w:t>
            </w:r>
            <w:r w:rsidR="00B1063C">
              <w:t>3</w:t>
            </w:r>
            <w:r>
              <w:t xml:space="preserve"> quarter and an amount added-back of the FBT instalment referable to the June 202</w:t>
            </w:r>
            <w:r w:rsidR="00B1063C">
              <w:t>2</w:t>
            </w:r>
            <w:r>
              <w:t xml:space="preserve"> quarter if claimed in the prior year (as per Taxation Ruling TR 95/24)? </w:t>
            </w:r>
          </w:p>
          <w:p w14:paraId="4F7D73D2" w14:textId="76E28AA7" w:rsidR="00591702" w:rsidRDefault="003F0524" w:rsidP="00A01F0E">
            <w:r>
              <w:t xml:space="preserve">For more information refer to CPA Australia’s </w:t>
            </w:r>
            <w:hyperlink r:id="rId17" w:history="1">
              <w:r>
                <w:rPr>
                  <w:rStyle w:val="Hyperlink"/>
                  <w:szCs w:val="18"/>
                </w:rPr>
                <w:t>202</w:t>
              </w:r>
              <w:r w:rsidR="00E45C0C">
                <w:rPr>
                  <w:rStyle w:val="Hyperlink"/>
                  <w:szCs w:val="18"/>
                </w:rPr>
                <w:t>3</w:t>
              </w:r>
              <w:r>
                <w:rPr>
                  <w:rStyle w:val="Hyperlink"/>
                  <w:szCs w:val="18"/>
                </w:rPr>
                <w:t xml:space="preserve"> FBT checklist</w:t>
              </w:r>
            </w:hyperlink>
            <w:r>
              <w:t>.</w:t>
            </w:r>
          </w:p>
          <w:p w14:paraId="6BEE262C" w14:textId="77777777" w:rsidR="00C37EF1" w:rsidRDefault="00C37EF1" w:rsidP="00A01F0E"/>
          <w:p w14:paraId="44C986EF" w14:textId="34FE70B8" w:rsidR="00591702" w:rsidRDefault="00591702" w:rsidP="00A01F0E"/>
        </w:tc>
        <w:tc>
          <w:tcPr>
            <w:tcW w:w="368" w:type="pct"/>
          </w:tcPr>
          <w:p w14:paraId="024A4736" w14:textId="77777777" w:rsidR="003F0524" w:rsidRDefault="003F0524">
            <w:pPr>
              <w:pStyle w:val="Table"/>
              <w:spacing w:before="100" w:after="100"/>
            </w:pPr>
          </w:p>
        </w:tc>
        <w:tc>
          <w:tcPr>
            <w:tcW w:w="348" w:type="pct"/>
          </w:tcPr>
          <w:p w14:paraId="769A818F" w14:textId="77777777" w:rsidR="003F0524" w:rsidRDefault="003F0524">
            <w:pPr>
              <w:pStyle w:val="Table"/>
              <w:spacing w:before="100" w:after="100"/>
            </w:pPr>
          </w:p>
        </w:tc>
        <w:tc>
          <w:tcPr>
            <w:tcW w:w="344" w:type="pct"/>
          </w:tcPr>
          <w:p w14:paraId="20694BD5" w14:textId="77777777" w:rsidR="003F0524" w:rsidRDefault="003F0524">
            <w:pPr>
              <w:pStyle w:val="Table"/>
              <w:spacing w:before="100" w:after="100"/>
            </w:pPr>
          </w:p>
        </w:tc>
      </w:tr>
      <w:tr w:rsidR="003F0524" w14:paraId="4A7D6383" w14:textId="77777777" w:rsidTr="009B5902">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3E046AAE" w14:textId="77777777" w:rsidR="003F0524" w:rsidRPr="00A01F0E" w:rsidRDefault="003F0524">
            <w:pPr>
              <w:pStyle w:val="Tableheading"/>
              <w:spacing w:before="100" w:after="100"/>
              <w:rPr>
                <w:bCs/>
                <w:color w:val="FFFFFF" w:themeColor="background1"/>
                <w:sz w:val="18"/>
                <w:szCs w:val="18"/>
              </w:rPr>
            </w:pPr>
            <w:r w:rsidRPr="00A01F0E">
              <w:rPr>
                <w:bCs/>
                <w:color w:val="FFFFFF" w:themeColor="background1"/>
                <w:sz w:val="18"/>
                <w:szCs w:val="18"/>
              </w:rPr>
              <w:t>DIVISION 7A</w:t>
            </w:r>
          </w:p>
        </w:tc>
      </w:tr>
      <w:tr w:rsidR="00C37EF1" w14:paraId="1E3D56BB" w14:textId="77777777" w:rsidTr="009B5902">
        <w:tc>
          <w:tcPr>
            <w:tcW w:w="3940" w:type="pct"/>
            <w:hideMark/>
          </w:tcPr>
          <w:p w14:paraId="58F7EC40" w14:textId="23508BE5" w:rsidR="002750B0" w:rsidRDefault="003F0524">
            <w:pPr>
              <w:pStyle w:val="Table"/>
              <w:spacing w:before="100" w:after="100"/>
              <w:rPr>
                <w:rFonts w:asciiTheme="minorHAnsi" w:eastAsiaTheme="minorHAnsi" w:hAnsiTheme="minorHAnsi"/>
                <w:color w:val="090D46" w:themeColor="text1"/>
                <w:sz w:val="18"/>
                <w:szCs w:val="22"/>
              </w:rPr>
            </w:pPr>
            <w:r w:rsidRPr="0059257F">
              <w:rPr>
                <w:rFonts w:asciiTheme="minorHAnsi" w:eastAsiaTheme="minorHAnsi" w:hAnsiTheme="minorHAnsi"/>
                <w:color w:val="090D46" w:themeColor="text1"/>
                <w:sz w:val="18"/>
                <w:szCs w:val="22"/>
              </w:rPr>
              <w:t xml:space="preserve">Consider whether the trust has an unpaid present entitlement (UPE) owing </w:t>
            </w:r>
            <w:r w:rsidR="002579F3">
              <w:rPr>
                <w:rFonts w:asciiTheme="minorHAnsi" w:eastAsiaTheme="minorHAnsi" w:hAnsiTheme="minorHAnsi"/>
                <w:color w:val="090D46" w:themeColor="text1"/>
                <w:sz w:val="18"/>
                <w:szCs w:val="22"/>
              </w:rPr>
              <w:t xml:space="preserve">either </w:t>
            </w:r>
            <w:r w:rsidRPr="0059257F">
              <w:rPr>
                <w:rFonts w:asciiTheme="minorHAnsi" w:eastAsiaTheme="minorHAnsi" w:hAnsiTheme="minorHAnsi"/>
                <w:color w:val="090D46" w:themeColor="text1"/>
                <w:sz w:val="18"/>
                <w:szCs w:val="22"/>
              </w:rPr>
              <w:t xml:space="preserve">to a private company </w:t>
            </w:r>
            <w:r w:rsidR="002579F3">
              <w:rPr>
                <w:rFonts w:asciiTheme="minorHAnsi" w:eastAsiaTheme="minorHAnsi" w:hAnsiTheme="minorHAnsi"/>
                <w:color w:val="090D46" w:themeColor="text1"/>
                <w:sz w:val="18"/>
                <w:szCs w:val="22"/>
              </w:rPr>
              <w:t xml:space="preserve">or to another trust where there is </w:t>
            </w:r>
            <w:r w:rsidR="00CD00AA">
              <w:rPr>
                <w:rFonts w:asciiTheme="minorHAnsi" w:eastAsiaTheme="minorHAnsi" w:hAnsiTheme="minorHAnsi"/>
                <w:color w:val="090D46" w:themeColor="text1"/>
                <w:sz w:val="18"/>
                <w:szCs w:val="22"/>
              </w:rPr>
              <w:t xml:space="preserve">an unbroken chain of UPEs </w:t>
            </w:r>
            <w:r w:rsidR="002579F3">
              <w:rPr>
                <w:rFonts w:asciiTheme="minorHAnsi" w:eastAsiaTheme="minorHAnsi" w:hAnsiTheme="minorHAnsi"/>
                <w:color w:val="090D46" w:themeColor="text1"/>
                <w:sz w:val="18"/>
                <w:szCs w:val="22"/>
              </w:rPr>
              <w:t xml:space="preserve">owing to </w:t>
            </w:r>
            <w:r w:rsidR="001074D7">
              <w:rPr>
                <w:rFonts w:asciiTheme="minorHAnsi" w:eastAsiaTheme="minorHAnsi" w:hAnsiTheme="minorHAnsi"/>
                <w:color w:val="090D46" w:themeColor="text1"/>
                <w:sz w:val="18"/>
                <w:szCs w:val="22"/>
              </w:rPr>
              <w:t>a private company</w:t>
            </w:r>
            <w:r w:rsidR="00CD00AA">
              <w:rPr>
                <w:rFonts w:asciiTheme="minorHAnsi" w:eastAsiaTheme="minorHAnsi" w:hAnsiTheme="minorHAnsi"/>
                <w:color w:val="090D46" w:themeColor="text1"/>
                <w:sz w:val="18"/>
                <w:szCs w:val="22"/>
              </w:rPr>
              <w:t xml:space="preserve"> </w:t>
            </w:r>
            <w:r w:rsidRPr="0059257F">
              <w:rPr>
                <w:rFonts w:asciiTheme="minorHAnsi" w:eastAsiaTheme="minorHAnsi" w:hAnsiTheme="minorHAnsi"/>
                <w:color w:val="090D46" w:themeColor="text1"/>
                <w:sz w:val="18"/>
                <w:szCs w:val="22"/>
              </w:rPr>
              <w:t>during the year ended 30 June 202</w:t>
            </w:r>
            <w:r w:rsidR="00EA0ABC">
              <w:rPr>
                <w:rFonts w:asciiTheme="minorHAnsi" w:eastAsiaTheme="minorHAnsi" w:hAnsiTheme="minorHAnsi"/>
                <w:color w:val="090D46" w:themeColor="text1"/>
                <w:sz w:val="18"/>
                <w:szCs w:val="22"/>
              </w:rPr>
              <w:t>2</w:t>
            </w:r>
            <w:r w:rsidRPr="0059257F">
              <w:rPr>
                <w:rFonts w:asciiTheme="minorHAnsi" w:eastAsiaTheme="minorHAnsi" w:hAnsiTheme="minorHAnsi"/>
                <w:color w:val="090D46" w:themeColor="text1"/>
                <w:sz w:val="18"/>
                <w:szCs w:val="22"/>
              </w:rPr>
              <w:t xml:space="preserve">. </w:t>
            </w:r>
          </w:p>
          <w:p w14:paraId="475F8250" w14:textId="641383BD" w:rsidR="003F0524" w:rsidRPr="0059257F" w:rsidRDefault="003F0524">
            <w:pPr>
              <w:pStyle w:val="Table"/>
              <w:spacing w:before="100" w:after="100"/>
              <w:rPr>
                <w:rFonts w:asciiTheme="minorHAnsi" w:eastAsiaTheme="minorHAnsi" w:hAnsiTheme="minorHAnsi"/>
                <w:color w:val="090D46" w:themeColor="text1"/>
                <w:sz w:val="18"/>
                <w:szCs w:val="22"/>
              </w:rPr>
            </w:pPr>
            <w:r w:rsidRPr="0059257F">
              <w:rPr>
                <w:rFonts w:asciiTheme="minorHAnsi" w:eastAsiaTheme="minorHAnsi" w:hAnsiTheme="minorHAnsi"/>
                <w:color w:val="090D46" w:themeColor="text1"/>
                <w:sz w:val="18"/>
                <w:szCs w:val="22"/>
              </w:rPr>
              <w:t xml:space="preserve">Will </w:t>
            </w:r>
            <w:r w:rsidR="001074D7">
              <w:rPr>
                <w:rFonts w:asciiTheme="minorHAnsi" w:eastAsiaTheme="minorHAnsi" w:hAnsiTheme="minorHAnsi"/>
                <w:color w:val="090D46" w:themeColor="text1"/>
                <w:sz w:val="18"/>
                <w:szCs w:val="22"/>
              </w:rPr>
              <w:t>the</w:t>
            </w:r>
            <w:r w:rsidRPr="0059257F">
              <w:rPr>
                <w:rFonts w:asciiTheme="minorHAnsi" w:eastAsiaTheme="minorHAnsi" w:hAnsiTheme="minorHAnsi"/>
                <w:color w:val="090D46" w:themeColor="text1"/>
                <w:sz w:val="18"/>
                <w:szCs w:val="22"/>
              </w:rPr>
              <w:t xml:space="preserve"> UPE </w:t>
            </w:r>
            <w:r w:rsidR="001074D7">
              <w:rPr>
                <w:rFonts w:asciiTheme="minorHAnsi" w:eastAsiaTheme="minorHAnsi" w:hAnsiTheme="minorHAnsi"/>
                <w:color w:val="090D46" w:themeColor="text1"/>
                <w:sz w:val="18"/>
                <w:szCs w:val="22"/>
              </w:rPr>
              <w:t xml:space="preserve">payable </w:t>
            </w:r>
            <w:r w:rsidRPr="0059257F">
              <w:rPr>
                <w:rFonts w:asciiTheme="minorHAnsi" w:eastAsiaTheme="minorHAnsi" w:hAnsiTheme="minorHAnsi"/>
                <w:color w:val="090D46" w:themeColor="text1"/>
                <w:sz w:val="18"/>
                <w:szCs w:val="22"/>
              </w:rPr>
              <w:t xml:space="preserve">be regarded as a loan for Division 7A purposes? </w:t>
            </w:r>
          </w:p>
        </w:tc>
        <w:tc>
          <w:tcPr>
            <w:tcW w:w="368" w:type="pct"/>
          </w:tcPr>
          <w:p w14:paraId="36171C37" w14:textId="77777777" w:rsidR="003F0524" w:rsidRDefault="003F0524">
            <w:pPr>
              <w:pStyle w:val="Table"/>
              <w:spacing w:before="100" w:after="100"/>
              <w:rPr>
                <w:sz w:val="18"/>
                <w:szCs w:val="18"/>
              </w:rPr>
            </w:pPr>
          </w:p>
        </w:tc>
        <w:tc>
          <w:tcPr>
            <w:tcW w:w="348" w:type="pct"/>
          </w:tcPr>
          <w:p w14:paraId="2FA24C10" w14:textId="77777777" w:rsidR="003F0524" w:rsidRDefault="003F0524">
            <w:pPr>
              <w:pStyle w:val="Table"/>
              <w:spacing w:before="100" w:after="100"/>
              <w:rPr>
                <w:sz w:val="18"/>
                <w:szCs w:val="18"/>
              </w:rPr>
            </w:pPr>
          </w:p>
        </w:tc>
        <w:tc>
          <w:tcPr>
            <w:tcW w:w="344" w:type="pct"/>
          </w:tcPr>
          <w:p w14:paraId="004CD2BD" w14:textId="77777777" w:rsidR="003F0524" w:rsidRDefault="003F0524">
            <w:pPr>
              <w:pStyle w:val="Table"/>
              <w:spacing w:before="100" w:after="100"/>
            </w:pPr>
          </w:p>
        </w:tc>
      </w:tr>
      <w:tr w:rsidR="00C37EF1" w14:paraId="07482C8D" w14:textId="77777777" w:rsidTr="009B5902">
        <w:trPr>
          <w:cnfStyle w:val="000000100000" w:firstRow="0" w:lastRow="0" w:firstColumn="0" w:lastColumn="0" w:oddVBand="0" w:evenVBand="0" w:oddHBand="1" w:evenHBand="0" w:firstRowFirstColumn="0" w:firstRowLastColumn="0" w:lastRowFirstColumn="0" w:lastRowLastColumn="0"/>
        </w:trPr>
        <w:tc>
          <w:tcPr>
            <w:tcW w:w="3940" w:type="pct"/>
            <w:hideMark/>
          </w:tcPr>
          <w:p w14:paraId="2D075B62" w14:textId="77777777" w:rsidR="00E2231D" w:rsidRDefault="003F0524">
            <w:pPr>
              <w:pStyle w:val="Table"/>
              <w:spacing w:before="100" w:after="100"/>
              <w:rPr>
                <w:rFonts w:asciiTheme="minorHAnsi" w:eastAsiaTheme="minorHAnsi" w:hAnsiTheme="minorHAnsi"/>
                <w:color w:val="090D46" w:themeColor="text1"/>
                <w:sz w:val="18"/>
                <w:szCs w:val="22"/>
              </w:rPr>
            </w:pPr>
            <w:r w:rsidRPr="0059257F">
              <w:rPr>
                <w:rFonts w:asciiTheme="minorHAnsi" w:eastAsiaTheme="minorHAnsi" w:hAnsiTheme="minorHAnsi"/>
                <w:color w:val="090D46" w:themeColor="text1"/>
                <w:sz w:val="18"/>
                <w:szCs w:val="22"/>
              </w:rPr>
              <w:t xml:space="preserve">Does the loan satisfy any of the exemptions under Division 7A (including being treated as an excluded loan) or is the deemed dividend reduced or eliminated because of the company’s distributable surplus or because it has been repaid before the lodgement day? </w:t>
            </w:r>
          </w:p>
          <w:p w14:paraId="0D94B14B" w14:textId="5BB1E8AA" w:rsidR="00FC3409" w:rsidRDefault="00E2231D">
            <w:pPr>
              <w:pStyle w:val="Table"/>
              <w:spacing w:before="100" w:after="100"/>
              <w:rPr>
                <w:rFonts w:asciiTheme="minorHAnsi" w:eastAsiaTheme="minorHAnsi" w:hAnsiTheme="minorHAnsi"/>
                <w:color w:val="090D46" w:themeColor="text1"/>
                <w:sz w:val="18"/>
                <w:szCs w:val="22"/>
              </w:rPr>
            </w:pPr>
            <w:r>
              <w:rPr>
                <w:rFonts w:asciiTheme="minorHAnsi" w:eastAsiaTheme="minorHAnsi" w:hAnsiTheme="minorHAnsi"/>
                <w:color w:val="090D46" w:themeColor="text1"/>
                <w:sz w:val="18"/>
                <w:szCs w:val="22"/>
              </w:rPr>
              <w:t>For trust entitlements arising before 1 July 2022, h</w:t>
            </w:r>
            <w:r w:rsidRPr="0059257F">
              <w:rPr>
                <w:rFonts w:asciiTheme="minorHAnsi" w:eastAsiaTheme="minorHAnsi" w:hAnsiTheme="minorHAnsi"/>
                <w:color w:val="090D46" w:themeColor="text1"/>
                <w:sz w:val="18"/>
                <w:szCs w:val="22"/>
              </w:rPr>
              <w:t>as</w:t>
            </w:r>
            <w:r w:rsidR="003F0524" w:rsidRPr="0059257F">
              <w:rPr>
                <w:rFonts w:asciiTheme="minorHAnsi" w:eastAsiaTheme="minorHAnsi" w:hAnsiTheme="minorHAnsi"/>
                <w:color w:val="090D46" w:themeColor="text1"/>
                <w:sz w:val="18"/>
                <w:szCs w:val="22"/>
              </w:rPr>
              <w:t xml:space="preserve"> it been put on a sub trust which complies with</w:t>
            </w:r>
            <w:r w:rsidR="00FC3409">
              <w:rPr>
                <w:rFonts w:asciiTheme="minorHAnsi" w:eastAsiaTheme="minorHAnsi" w:hAnsiTheme="minorHAnsi"/>
                <w:color w:val="090D46" w:themeColor="text1"/>
                <w:sz w:val="18"/>
                <w:szCs w:val="22"/>
              </w:rPr>
              <w:t>:</w:t>
            </w:r>
          </w:p>
          <w:p w14:paraId="3144F1BE" w14:textId="16A9B625" w:rsidR="00FA0F34" w:rsidRDefault="003F0524" w:rsidP="00600AD2">
            <w:pPr>
              <w:pStyle w:val="ListBullet"/>
              <w:rPr>
                <w:rFonts w:eastAsiaTheme="minorHAnsi"/>
              </w:rPr>
            </w:pPr>
            <w:r w:rsidRPr="0059257F">
              <w:rPr>
                <w:rFonts w:eastAsiaTheme="minorHAnsi"/>
              </w:rPr>
              <w:t>Taxation Ruling TR 2010/3</w:t>
            </w:r>
            <w:r w:rsidR="00E2231D">
              <w:rPr>
                <w:rFonts w:eastAsiaTheme="minorHAnsi"/>
              </w:rPr>
              <w:t>,</w:t>
            </w:r>
            <w:r w:rsidRPr="0059257F">
              <w:rPr>
                <w:rFonts w:eastAsiaTheme="minorHAnsi"/>
              </w:rPr>
              <w:t xml:space="preserve"> and </w:t>
            </w:r>
          </w:p>
          <w:p w14:paraId="32351502" w14:textId="07BD71AD" w:rsidR="003F0524" w:rsidRPr="0059257F" w:rsidRDefault="003F0524" w:rsidP="00600AD2">
            <w:pPr>
              <w:pStyle w:val="ListBullet"/>
              <w:rPr>
                <w:rFonts w:eastAsiaTheme="minorHAnsi"/>
              </w:rPr>
            </w:pPr>
            <w:r w:rsidRPr="0059257F">
              <w:rPr>
                <w:rFonts w:eastAsiaTheme="minorHAnsi"/>
              </w:rPr>
              <w:t xml:space="preserve">Practice Statement PSLA 2010/4? </w:t>
            </w:r>
          </w:p>
          <w:p w14:paraId="34490FAB" w14:textId="73A19419" w:rsidR="00FA0F34" w:rsidRPr="0059257F" w:rsidRDefault="00FA0F34" w:rsidP="00262484">
            <w:pPr>
              <w:pStyle w:val="Table"/>
              <w:spacing w:before="100" w:after="100"/>
              <w:rPr>
                <w:rFonts w:asciiTheme="minorHAnsi" w:eastAsiaTheme="minorHAnsi" w:hAnsiTheme="minorHAnsi"/>
                <w:color w:val="090D46" w:themeColor="text1"/>
                <w:sz w:val="18"/>
                <w:szCs w:val="22"/>
              </w:rPr>
            </w:pPr>
            <w:r>
              <w:rPr>
                <w:rFonts w:asciiTheme="minorHAnsi" w:eastAsiaTheme="minorHAnsi" w:hAnsiTheme="minorHAnsi"/>
                <w:color w:val="090D46" w:themeColor="text1"/>
                <w:sz w:val="18"/>
                <w:szCs w:val="22"/>
              </w:rPr>
              <w:t>For trust entitlements on or after 1 July 2022</w:t>
            </w:r>
            <w:r w:rsidR="00262484">
              <w:rPr>
                <w:rFonts w:asciiTheme="minorHAnsi" w:eastAsiaTheme="minorHAnsi" w:hAnsiTheme="minorHAnsi"/>
                <w:color w:val="090D46" w:themeColor="text1"/>
                <w:sz w:val="18"/>
                <w:szCs w:val="22"/>
              </w:rPr>
              <w:t xml:space="preserve">, has </w:t>
            </w:r>
            <w:r w:rsidR="005530E3">
              <w:rPr>
                <w:rFonts w:asciiTheme="minorHAnsi" w:eastAsiaTheme="minorHAnsi" w:hAnsiTheme="minorHAnsi"/>
                <w:color w:val="090D46" w:themeColor="text1"/>
                <w:sz w:val="18"/>
                <w:szCs w:val="22"/>
              </w:rPr>
              <w:t>Taxation Determination TD 2022/11</w:t>
            </w:r>
            <w:r w:rsidR="00262484">
              <w:rPr>
                <w:rFonts w:asciiTheme="minorHAnsi" w:eastAsiaTheme="minorHAnsi" w:hAnsiTheme="minorHAnsi"/>
                <w:color w:val="090D46" w:themeColor="text1"/>
                <w:sz w:val="18"/>
                <w:szCs w:val="22"/>
              </w:rPr>
              <w:t xml:space="preserve"> been complied with? </w:t>
            </w:r>
          </w:p>
          <w:p w14:paraId="3973C41F" w14:textId="6938C0D6" w:rsidR="003F0524" w:rsidRPr="0059257F" w:rsidRDefault="003F0524">
            <w:pPr>
              <w:pStyle w:val="Table"/>
              <w:spacing w:before="100" w:after="100"/>
              <w:rPr>
                <w:rFonts w:asciiTheme="minorHAnsi" w:eastAsiaTheme="minorHAnsi" w:hAnsiTheme="minorHAnsi"/>
                <w:color w:val="090D46" w:themeColor="text1"/>
                <w:sz w:val="18"/>
                <w:szCs w:val="22"/>
              </w:rPr>
            </w:pPr>
            <w:r w:rsidRPr="0059257F">
              <w:rPr>
                <w:rFonts w:asciiTheme="minorHAnsi" w:eastAsiaTheme="minorHAnsi" w:hAnsiTheme="minorHAnsi"/>
                <w:color w:val="090D46" w:themeColor="text1"/>
                <w:sz w:val="18"/>
                <w:szCs w:val="22"/>
              </w:rPr>
              <w:t>TR 2010/3 will continue to apply to trust entitlements arising before 1 July 2022 and is then proposed to be withdrawn as it is in conflict with the Commissioner’s view in TD 2022</w:t>
            </w:r>
            <w:r w:rsidR="00494893">
              <w:rPr>
                <w:rFonts w:asciiTheme="minorHAnsi" w:eastAsiaTheme="minorHAnsi" w:hAnsiTheme="minorHAnsi"/>
                <w:color w:val="090D46" w:themeColor="text1"/>
                <w:sz w:val="18"/>
                <w:szCs w:val="22"/>
              </w:rPr>
              <w:t>/</w:t>
            </w:r>
            <w:r w:rsidR="003204EC">
              <w:rPr>
                <w:rFonts w:asciiTheme="minorHAnsi" w:eastAsiaTheme="minorHAnsi" w:hAnsiTheme="minorHAnsi"/>
                <w:color w:val="090D46" w:themeColor="text1"/>
                <w:sz w:val="18"/>
                <w:szCs w:val="22"/>
              </w:rPr>
              <w:t>11</w:t>
            </w:r>
            <w:r w:rsidRPr="0059257F">
              <w:rPr>
                <w:rFonts w:asciiTheme="minorHAnsi" w:eastAsiaTheme="minorHAnsi" w:hAnsiTheme="minorHAnsi"/>
                <w:color w:val="090D46" w:themeColor="text1"/>
                <w:sz w:val="18"/>
                <w:szCs w:val="22"/>
              </w:rPr>
              <w:t>.</w:t>
            </w:r>
            <w:r w:rsidR="00C95306">
              <w:rPr>
                <w:rFonts w:asciiTheme="minorHAnsi" w:eastAsiaTheme="minorHAnsi" w:hAnsiTheme="minorHAnsi"/>
                <w:color w:val="090D46" w:themeColor="text1"/>
                <w:sz w:val="18"/>
                <w:szCs w:val="22"/>
              </w:rPr>
              <w:t xml:space="preserve"> For trust entitlements arising on or after 1 July 2022, reference should be made to Taxation Determination TD 2022/11. </w:t>
            </w:r>
          </w:p>
          <w:p w14:paraId="29379D4C" w14:textId="3FE7BD96" w:rsidR="003F0524" w:rsidRPr="0059257F" w:rsidRDefault="005E29A4">
            <w:pPr>
              <w:pStyle w:val="Table"/>
              <w:spacing w:before="100" w:after="100"/>
              <w:rPr>
                <w:rFonts w:asciiTheme="minorHAnsi" w:eastAsiaTheme="minorHAnsi" w:hAnsiTheme="minorHAnsi"/>
                <w:color w:val="090D46" w:themeColor="text1"/>
                <w:sz w:val="18"/>
                <w:szCs w:val="22"/>
              </w:rPr>
            </w:pPr>
            <w:r>
              <w:rPr>
                <w:rFonts w:asciiTheme="minorHAnsi" w:eastAsiaTheme="minorHAnsi" w:hAnsiTheme="minorHAnsi"/>
                <w:color w:val="090D46" w:themeColor="text1"/>
                <w:sz w:val="18"/>
                <w:szCs w:val="22"/>
              </w:rPr>
              <w:t>For more information r</w:t>
            </w:r>
            <w:r w:rsidR="003F0524" w:rsidRPr="0059257F">
              <w:rPr>
                <w:rFonts w:asciiTheme="minorHAnsi" w:eastAsiaTheme="minorHAnsi" w:hAnsiTheme="minorHAnsi"/>
                <w:color w:val="090D46" w:themeColor="text1"/>
                <w:sz w:val="18"/>
                <w:szCs w:val="22"/>
              </w:rPr>
              <w:t>efer to CPA Australia’s 202</w:t>
            </w:r>
            <w:r w:rsidR="00494893">
              <w:rPr>
                <w:rFonts w:asciiTheme="minorHAnsi" w:eastAsiaTheme="minorHAnsi" w:hAnsiTheme="minorHAnsi"/>
                <w:color w:val="090D46" w:themeColor="text1"/>
                <w:sz w:val="18"/>
                <w:szCs w:val="22"/>
              </w:rPr>
              <w:t>3</w:t>
            </w:r>
            <w:r w:rsidR="003F0524" w:rsidRPr="0059257F">
              <w:rPr>
                <w:rFonts w:asciiTheme="minorHAnsi" w:eastAsiaTheme="minorHAnsi" w:hAnsiTheme="minorHAnsi"/>
                <w:color w:val="090D46" w:themeColor="text1"/>
                <w:sz w:val="18"/>
                <w:szCs w:val="22"/>
              </w:rPr>
              <w:t xml:space="preserve"> </w:t>
            </w:r>
            <w:hyperlink r:id="rId18" w:history="1">
              <w:r w:rsidR="003F0524" w:rsidRPr="005E29A4">
                <w:rPr>
                  <w:rStyle w:val="Hyperlink"/>
                  <w:rFonts w:asciiTheme="minorHAnsi" w:eastAsiaTheme="minorHAnsi" w:hAnsiTheme="minorHAnsi"/>
                  <w:sz w:val="18"/>
                  <w:szCs w:val="22"/>
                </w:rPr>
                <w:t>Division 7A and Division 7A: UPE checklists</w:t>
              </w:r>
            </w:hyperlink>
            <w:r w:rsidR="003F0524" w:rsidRPr="0059257F">
              <w:rPr>
                <w:rFonts w:asciiTheme="minorHAnsi" w:eastAsiaTheme="minorHAnsi" w:hAnsiTheme="minorHAnsi"/>
                <w:color w:val="090D46" w:themeColor="text1"/>
                <w:sz w:val="18"/>
                <w:szCs w:val="22"/>
              </w:rPr>
              <w:t>.</w:t>
            </w:r>
          </w:p>
        </w:tc>
        <w:tc>
          <w:tcPr>
            <w:tcW w:w="368" w:type="pct"/>
          </w:tcPr>
          <w:p w14:paraId="559A43C0" w14:textId="77777777" w:rsidR="003F0524" w:rsidRDefault="003F0524">
            <w:pPr>
              <w:pStyle w:val="Table"/>
              <w:spacing w:before="100" w:after="100"/>
              <w:rPr>
                <w:sz w:val="18"/>
                <w:szCs w:val="18"/>
              </w:rPr>
            </w:pPr>
          </w:p>
        </w:tc>
        <w:tc>
          <w:tcPr>
            <w:tcW w:w="348" w:type="pct"/>
          </w:tcPr>
          <w:p w14:paraId="1A26001C" w14:textId="77777777" w:rsidR="003F0524" w:rsidRDefault="003F0524">
            <w:pPr>
              <w:pStyle w:val="Table"/>
              <w:spacing w:before="100" w:after="100"/>
              <w:rPr>
                <w:sz w:val="18"/>
                <w:szCs w:val="18"/>
              </w:rPr>
            </w:pPr>
          </w:p>
        </w:tc>
        <w:tc>
          <w:tcPr>
            <w:tcW w:w="344" w:type="pct"/>
          </w:tcPr>
          <w:p w14:paraId="3EDEE01A" w14:textId="77777777" w:rsidR="003F0524" w:rsidRDefault="003F0524">
            <w:pPr>
              <w:pStyle w:val="Table"/>
              <w:spacing w:before="100" w:after="100"/>
            </w:pPr>
          </w:p>
        </w:tc>
      </w:tr>
      <w:tr w:rsidR="00C37EF1" w14:paraId="3D003585" w14:textId="77777777" w:rsidTr="009B5902">
        <w:tc>
          <w:tcPr>
            <w:tcW w:w="3940" w:type="pct"/>
            <w:hideMark/>
          </w:tcPr>
          <w:p w14:paraId="74D72AD1" w14:textId="5D6A54CA" w:rsidR="003F0524" w:rsidRPr="0059257F" w:rsidRDefault="003F0524" w:rsidP="009E6C2F">
            <w:pPr>
              <w:pStyle w:val="Table"/>
              <w:spacing w:before="100" w:after="100"/>
              <w:rPr>
                <w:rFonts w:asciiTheme="minorHAnsi" w:eastAsiaTheme="minorHAnsi" w:hAnsiTheme="minorHAnsi"/>
                <w:color w:val="090D46" w:themeColor="text1"/>
                <w:sz w:val="18"/>
                <w:szCs w:val="22"/>
              </w:rPr>
            </w:pPr>
            <w:r w:rsidRPr="0059257F">
              <w:rPr>
                <w:rFonts w:asciiTheme="minorHAnsi" w:eastAsiaTheme="minorHAnsi" w:hAnsiTheme="minorHAnsi"/>
                <w:color w:val="090D46" w:themeColor="text1"/>
                <w:sz w:val="18"/>
                <w:szCs w:val="22"/>
              </w:rPr>
              <w:t>Where the trust has a pre-16 December 2009 UPE or has put a post 16 December 2009 UPE on sub trust terms</w:t>
            </w:r>
            <w:r w:rsidR="00BC3D65">
              <w:rPr>
                <w:rFonts w:asciiTheme="minorHAnsi" w:eastAsiaTheme="minorHAnsi" w:hAnsiTheme="minorHAnsi"/>
                <w:color w:val="090D46" w:themeColor="text1"/>
                <w:sz w:val="18"/>
                <w:szCs w:val="22"/>
              </w:rPr>
              <w:t xml:space="preserve"> in compliance with PS</w:t>
            </w:r>
            <w:r w:rsidR="00D8272D">
              <w:rPr>
                <w:rFonts w:asciiTheme="minorHAnsi" w:eastAsiaTheme="minorHAnsi" w:hAnsiTheme="minorHAnsi"/>
                <w:color w:val="090D46" w:themeColor="text1"/>
                <w:sz w:val="18"/>
                <w:szCs w:val="22"/>
              </w:rPr>
              <w:t>LA 2010/4</w:t>
            </w:r>
            <w:r w:rsidRPr="0059257F">
              <w:rPr>
                <w:rFonts w:asciiTheme="minorHAnsi" w:eastAsiaTheme="minorHAnsi" w:hAnsiTheme="minorHAnsi"/>
                <w:color w:val="090D46" w:themeColor="text1"/>
                <w:sz w:val="18"/>
                <w:szCs w:val="22"/>
              </w:rPr>
              <w:t xml:space="preserve">, you should consider the application of Subdivision EA of the Income Tax Assessment Act 1936 (ITAA 1936) - where the trustee makes any loan, payment or forgives a debt in favour of shareholders or associates of the private company. </w:t>
            </w:r>
            <w:r w:rsidR="005E29A4">
              <w:rPr>
                <w:rFonts w:asciiTheme="minorHAnsi" w:eastAsiaTheme="minorHAnsi" w:hAnsiTheme="minorHAnsi"/>
                <w:color w:val="090D46" w:themeColor="text1"/>
                <w:sz w:val="18"/>
                <w:szCs w:val="22"/>
              </w:rPr>
              <w:t xml:space="preserve">For more information </w:t>
            </w:r>
            <w:r w:rsidRPr="0059257F">
              <w:rPr>
                <w:rFonts w:asciiTheme="minorHAnsi" w:eastAsiaTheme="minorHAnsi" w:hAnsiTheme="minorHAnsi"/>
                <w:color w:val="090D46" w:themeColor="text1"/>
                <w:sz w:val="18"/>
                <w:szCs w:val="22"/>
              </w:rPr>
              <w:t>refer to CPA Australia’s 202</w:t>
            </w:r>
            <w:r w:rsidR="00C5791C">
              <w:rPr>
                <w:rFonts w:asciiTheme="minorHAnsi" w:eastAsiaTheme="minorHAnsi" w:hAnsiTheme="minorHAnsi"/>
                <w:color w:val="090D46" w:themeColor="text1"/>
                <w:sz w:val="18"/>
                <w:szCs w:val="22"/>
              </w:rPr>
              <w:t>3</w:t>
            </w:r>
            <w:r w:rsidRPr="0059257F">
              <w:rPr>
                <w:rFonts w:asciiTheme="minorHAnsi" w:eastAsiaTheme="minorHAnsi" w:hAnsiTheme="minorHAnsi"/>
                <w:color w:val="090D46" w:themeColor="text1"/>
                <w:sz w:val="18"/>
                <w:szCs w:val="22"/>
              </w:rPr>
              <w:t xml:space="preserve"> </w:t>
            </w:r>
            <w:hyperlink r:id="rId19" w:history="1">
              <w:r w:rsidRPr="005E29A4">
                <w:rPr>
                  <w:rStyle w:val="Hyperlink"/>
                  <w:rFonts w:asciiTheme="minorHAnsi" w:eastAsiaTheme="minorHAnsi" w:hAnsiTheme="minorHAnsi"/>
                  <w:sz w:val="18"/>
                  <w:szCs w:val="22"/>
                </w:rPr>
                <w:t>Division 7A: UPE checklist</w:t>
              </w:r>
            </w:hyperlink>
            <w:r w:rsidRPr="0059257F">
              <w:rPr>
                <w:rFonts w:asciiTheme="minorHAnsi" w:eastAsiaTheme="minorHAnsi" w:hAnsiTheme="minorHAnsi"/>
                <w:color w:val="090D46" w:themeColor="text1"/>
                <w:sz w:val="18"/>
                <w:szCs w:val="22"/>
              </w:rPr>
              <w:t>.</w:t>
            </w:r>
          </w:p>
        </w:tc>
        <w:tc>
          <w:tcPr>
            <w:tcW w:w="368" w:type="pct"/>
          </w:tcPr>
          <w:p w14:paraId="7D928750" w14:textId="77777777" w:rsidR="003F0524" w:rsidRDefault="003F0524" w:rsidP="009E6C2F">
            <w:pPr>
              <w:pStyle w:val="Table"/>
              <w:spacing w:before="100" w:after="100"/>
              <w:rPr>
                <w:sz w:val="18"/>
                <w:szCs w:val="18"/>
              </w:rPr>
            </w:pPr>
          </w:p>
        </w:tc>
        <w:tc>
          <w:tcPr>
            <w:tcW w:w="348" w:type="pct"/>
          </w:tcPr>
          <w:p w14:paraId="795DFDC6" w14:textId="77777777" w:rsidR="003F0524" w:rsidRDefault="003F0524" w:rsidP="009E6C2F">
            <w:pPr>
              <w:pStyle w:val="Table"/>
              <w:spacing w:before="100" w:after="100"/>
              <w:rPr>
                <w:sz w:val="18"/>
                <w:szCs w:val="18"/>
              </w:rPr>
            </w:pPr>
          </w:p>
        </w:tc>
        <w:tc>
          <w:tcPr>
            <w:tcW w:w="344" w:type="pct"/>
          </w:tcPr>
          <w:p w14:paraId="25DD7C8F" w14:textId="77777777" w:rsidR="003F0524" w:rsidRDefault="003F0524" w:rsidP="009E6C2F">
            <w:pPr>
              <w:pStyle w:val="Table"/>
              <w:spacing w:before="100" w:after="100"/>
            </w:pPr>
          </w:p>
        </w:tc>
      </w:tr>
      <w:tr w:rsidR="003F0524" w14:paraId="67895CA5" w14:textId="77777777" w:rsidTr="009B5902">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4C11F24D" w14:textId="77777777" w:rsidR="003F0524" w:rsidRPr="0059257F" w:rsidRDefault="003F0524" w:rsidP="009E6C2F">
            <w:pPr>
              <w:pStyle w:val="Tableheading"/>
              <w:spacing w:before="100" w:after="100"/>
              <w:rPr>
                <w:bCs/>
                <w:color w:val="FFFFFF" w:themeColor="background1"/>
                <w:sz w:val="18"/>
                <w:szCs w:val="18"/>
              </w:rPr>
            </w:pPr>
            <w:r w:rsidRPr="0059257F">
              <w:rPr>
                <w:bCs/>
                <w:color w:val="FFFFFF" w:themeColor="background1"/>
                <w:sz w:val="18"/>
                <w:szCs w:val="18"/>
              </w:rPr>
              <w:t>PREPAYMENTS</w:t>
            </w:r>
          </w:p>
        </w:tc>
      </w:tr>
      <w:tr w:rsidR="00C37EF1" w14:paraId="3F157E0B" w14:textId="77777777" w:rsidTr="009B5902">
        <w:tc>
          <w:tcPr>
            <w:tcW w:w="3940" w:type="pct"/>
            <w:hideMark/>
          </w:tcPr>
          <w:p w14:paraId="1BB41CA1"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Have all prepayments of less than $1,000 (GST exclusive) been claimed as an immediate tax deduction?</w:t>
            </w:r>
          </w:p>
        </w:tc>
        <w:tc>
          <w:tcPr>
            <w:tcW w:w="368" w:type="pct"/>
          </w:tcPr>
          <w:p w14:paraId="67BB1B89" w14:textId="77777777" w:rsidR="003F0524" w:rsidRDefault="003F0524" w:rsidP="009E6C2F">
            <w:pPr>
              <w:pStyle w:val="Table"/>
              <w:spacing w:before="100" w:after="100"/>
              <w:rPr>
                <w:sz w:val="18"/>
                <w:szCs w:val="18"/>
              </w:rPr>
            </w:pPr>
          </w:p>
        </w:tc>
        <w:tc>
          <w:tcPr>
            <w:tcW w:w="348" w:type="pct"/>
          </w:tcPr>
          <w:p w14:paraId="101C48D0" w14:textId="77777777" w:rsidR="003F0524" w:rsidRDefault="003F0524" w:rsidP="009E6C2F">
            <w:pPr>
              <w:pStyle w:val="Table"/>
              <w:spacing w:before="100" w:after="100"/>
              <w:rPr>
                <w:sz w:val="18"/>
                <w:szCs w:val="18"/>
              </w:rPr>
            </w:pPr>
          </w:p>
        </w:tc>
        <w:tc>
          <w:tcPr>
            <w:tcW w:w="344" w:type="pct"/>
          </w:tcPr>
          <w:p w14:paraId="28221893" w14:textId="77777777" w:rsidR="003F0524" w:rsidRDefault="003F0524" w:rsidP="009E6C2F">
            <w:pPr>
              <w:pStyle w:val="Table"/>
              <w:spacing w:before="100" w:after="100"/>
              <w:rPr>
                <w:sz w:val="18"/>
                <w:szCs w:val="18"/>
              </w:rPr>
            </w:pPr>
          </w:p>
        </w:tc>
      </w:tr>
      <w:tr w:rsidR="00C37EF1" w14:paraId="5E0A5C4F" w14:textId="77777777" w:rsidTr="009B5902">
        <w:trPr>
          <w:cnfStyle w:val="000000100000" w:firstRow="0" w:lastRow="0" w:firstColumn="0" w:lastColumn="0" w:oddVBand="0" w:evenVBand="0" w:oddHBand="1" w:evenHBand="0" w:firstRowFirstColumn="0" w:firstRowLastColumn="0" w:lastRowFirstColumn="0" w:lastRowLastColumn="0"/>
        </w:trPr>
        <w:tc>
          <w:tcPr>
            <w:tcW w:w="3940" w:type="pct"/>
            <w:hideMark/>
          </w:tcPr>
          <w:p w14:paraId="36914024"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Have all prepayments required to be made by a Commonwealth, State or Territory law or under an order of a court (e.g. prepaid WorkCover expenditure) been claimed as an immediate tax deduction?</w:t>
            </w:r>
          </w:p>
        </w:tc>
        <w:tc>
          <w:tcPr>
            <w:tcW w:w="368" w:type="pct"/>
          </w:tcPr>
          <w:p w14:paraId="7D567E3D" w14:textId="77777777" w:rsidR="003F0524" w:rsidRDefault="003F0524" w:rsidP="009E6C2F">
            <w:pPr>
              <w:pStyle w:val="Table"/>
              <w:spacing w:before="100" w:after="100"/>
              <w:rPr>
                <w:sz w:val="18"/>
                <w:szCs w:val="18"/>
              </w:rPr>
            </w:pPr>
          </w:p>
        </w:tc>
        <w:tc>
          <w:tcPr>
            <w:tcW w:w="348" w:type="pct"/>
          </w:tcPr>
          <w:p w14:paraId="7A35F034" w14:textId="77777777" w:rsidR="003F0524" w:rsidRDefault="003F0524" w:rsidP="009E6C2F">
            <w:pPr>
              <w:pStyle w:val="Table"/>
              <w:spacing w:before="100" w:after="100"/>
              <w:rPr>
                <w:sz w:val="18"/>
                <w:szCs w:val="18"/>
              </w:rPr>
            </w:pPr>
          </w:p>
        </w:tc>
        <w:tc>
          <w:tcPr>
            <w:tcW w:w="344" w:type="pct"/>
          </w:tcPr>
          <w:p w14:paraId="024CF973" w14:textId="77777777" w:rsidR="003F0524" w:rsidRDefault="003F0524" w:rsidP="009E6C2F">
            <w:pPr>
              <w:pStyle w:val="Table"/>
              <w:spacing w:before="100" w:after="100"/>
              <w:rPr>
                <w:sz w:val="18"/>
                <w:szCs w:val="18"/>
              </w:rPr>
            </w:pPr>
          </w:p>
        </w:tc>
      </w:tr>
      <w:tr w:rsidR="00C37EF1" w14:paraId="2DF4FB59" w14:textId="77777777" w:rsidTr="009B5902">
        <w:tc>
          <w:tcPr>
            <w:tcW w:w="3940" w:type="pct"/>
            <w:hideMark/>
          </w:tcPr>
          <w:p w14:paraId="4E8430FF"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Have all prepayments of more than $1,000 (GST exclusive) which were not required to be made under a Commonwealth, State or Territory law or a court order been capitalised and apportioned over the eligible service period to which the prepayment relates?</w:t>
            </w:r>
          </w:p>
        </w:tc>
        <w:tc>
          <w:tcPr>
            <w:tcW w:w="368" w:type="pct"/>
          </w:tcPr>
          <w:p w14:paraId="40587F81" w14:textId="77777777" w:rsidR="003F0524" w:rsidRDefault="003F0524" w:rsidP="009E6C2F">
            <w:pPr>
              <w:pStyle w:val="Table"/>
              <w:spacing w:before="100" w:after="100"/>
              <w:rPr>
                <w:sz w:val="18"/>
                <w:szCs w:val="18"/>
              </w:rPr>
            </w:pPr>
          </w:p>
        </w:tc>
        <w:tc>
          <w:tcPr>
            <w:tcW w:w="348" w:type="pct"/>
          </w:tcPr>
          <w:p w14:paraId="1E203BAD" w14:textId="77777777" w:rsidR="003F0524" w:rsidRDefault="003F0524" w:rsidP="009E6C2F">
            <w:pPr>
              <w:pStyle w:val="Table"/>
              <w:spacing w:before="100" w:after="100"/>
              <w:rPr>
                <w:sz w:val="18"/>
                <w:szCs w:val="18"/>
              </w:rPr>
            </w:pPr>
          </w:p>
        </w:tc>
        <w:tc>
          <w:tcPr>
            <w:tcW w:w="344" w:type="pct"/>
          </w:tcPr>
          <w:p w14:paraId="559E1E15" w14:textId="77777777" w:rsidR="003F0524" w:rsidRDefault="003F0524" w:rsidP="009E6C2F">
            <w:pPr>
              <w:pStyle w:val="Table"/>
              <w:spacing w:before="100" w:after="100"/>
              <w:rPr>
                <w:sz w:val="18"/>
                <w:szCs w:val="18"/>
              </w:rPr>
            </w:pPr>
          </w:p>
        </w:tc>
      </w:tr>
      <w:tr w:rsidR="00C37EF1" w14:paraId="43B845CC" w14:textId="77777777" w:rsidTr="009B5902">
        <w:trPr>
          <w:cnfStyle w:val="000000100000" w:firstRow="0" w:lastRow="0" w:firstColumn="0" w:lastColumn="0" w:oddVBand="0" w:evenVBand="0" w:oddHBand="1" w:evenHBand="0" w:firstRowFirstColumn="0" w:firstRowLastColumn="0" w:lastRowFirstColumn="0" w:lastRowLastColumn="0"/>
        </w:trPr>
        <w:tc>
          <w:tcPr>
            <w:tcW w:w="3940" w:type="pct"/>
          </w:tcPr>
          <w:p w14:paraId="2A5B5881"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Where the trust is a Small Business Entity (SBE), is an immediate deduction available under the 12-month rule where the eligible service period is 12 months or less? </w:t>
            </w:r>
          </w:p>
          <w:p w14:paraId="142EF228" w14:textId="763A7AE5" w:rsidR="00EB00DB"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For prepayments made from 1 July 202</w:t>
            </w:r>
            <w:r w:rsidR="00B94DEE">
              <w:rPr>
                <w:rFonts w:asciiTheme="minorHAnsi" w:hAnsiTheme="minorHAnsi" w:cstheme="minorHAnsi"/>
                <w:color w:val="090D46" w:themeColor="text1"/>
                <w:sz w:val="18"/>
                <w:szCs w:val="18"/>
              </w:rPr>
              <w:t>2</w:t>
            </w:r>
            <w:r w:rsidRPr="001C1B29">
              <w:rPr>
                <w:rFonts w:asciiTheme="minorHAnsi" w:hAnsiTheme="minorHAnsi" w:cstheme="minorHAnsi"/>
                <w:color w:val="090D46" w:themeColor="text1"/>
                <w:sz w:val="18"/>
                <w:szCs w:val="18"/>
              </w:rPr>
              <w:t>, an entity will be regarded as an SBE for the year ended 30 June 202</w:t>
            </w:r>
            <w:r w:rsidR="001B29AF">
              <w:rPr>
                <w:rFonts w:asciiTheme="minorHAnsi" w:hAnsiTheme="minorHAnsi" w:cstheme="minorHAnsi"/>
                <w:color w:val="090D46" w:themeColor="text1"/>
                <w:sz w:val="18"/>
                <w:szCs w:val="18"/>
              </w:rPr>
              <w:t>3</w:t>
            </w:r>
            <w:r w:rsidRPr="001C1B29">
              <w:rPr>
                <w:rFonts w:asciiTheme="minorHAnsi" w:hAnsiTheme="minorHAnsi" w:cstheme="minorHAnsi"/>
                <w:color w:val="090D46" w:themeColor="text1"/>
                <w:sz w:val="18"/>
                <w:szCs w:val="18"/>
              </w:rPr>
              <w:t xml:space="preserve"> if it carries on business in the 202</w:t>
            </w:r>
            <w:r w:rsidR="001B29AF">
              <w:rPr>
                <w:rFonts w:asciiTheme="minorHAnsi" w:hAnsiTheme="minorHAnsi" w:cstheme="minorHAnsi"/>
                <w:color w:val="090D46" w:themeColor="text1"/>
                <w:sz w:val="18"/>
                <w:szCs w:val="18"/>
              </w:rPr>
              <w:t>3</w:t>
            </w:r>
            <w:r w:rsidRPr="001C1B29">
              <w:rPr>
                <w:rFonts w:asciiTheme="minorHAnsi" w:hAnsiTheme="minorHAnsi" w:cstheme="minorHAnsi"/>
                <w:color w:val="090D46" w:themeColor="text1"/>
                <w:sz w:val="18"/>
                <w:szCs w:val="18"/>
              </w:rPr>
              <w:t xml:space="preserve"> year, and its aggregated turnover was less than $50 million for the year ended 30 June 202</w:t>
            </w:r>
            <w:r w:rsidR="001B29AF">
              <w:rPr>
                <w:rFonts w:asciiTheme="minorHAnsi" w:hAnsiTheme="minorHAnsi" w:cstheme="minorHAnsi"/>
                <w:color w:val="090D46" w:themeColor="text1"/>
                <w:sz w:val="18"/>
                <w:szCs w:val="18"/>
              </w:rPr>
              <w:t>2</w:t>
            </w:r>
            <w:r w:rsidRPr="001C1B29">
              <w:rPr>
                <w:rFonts w:asciiTheme="minorHAnsi" w:hAnsiTheme="minorHAnsi" w:cstheme="minorHAnsi"/>
                <w:color w:val="090D46" w:themeColor="text1"/>
                <w:sz w:val="18"/>
                <w:szCs w:val="18"/>
              </w:rPr>
              <w:t xml:space="preserve"> or its aggregated turnover is likely to be less than $50 million in the 202</w:t>
            </w:r>
            <w:r w:rsidR="001B29AF">
              <w:rPr>
                <w:rFonts w:asciiTheme="minorHAnsi" w:hAnsiTheme="minorHAnsi" w:cstheme="minorHAnsi"/>
                <w:color w:val="090D46" w:themeColor="text1"/>
                <w:sz w:val="18"/>
                <w:szCs w:val="18"/>
              </w:rPr>
              <w:t>3</w:t>
            </w:r>
            <w:r w:rsidRPr="001C1B29">
              <w:rPr>
                <w:rFonts w:asciiTheme="minorHAnsi" w:hAnsiTheme="minorHAnsi" w:cstheme="minorHAnsi"/>
                <w:color w:val="090D46" w:themeColor="text1"/>
                <w:sz w:val="18"/>
                <w:szCs w:val="18"/>
              </w:rPr>
              <w:t xml:space="preserve"> year. The aggregated turnover test not only requires the calculation of the taxpayer’s annual turnover but also that of any affiliate or entity connected with the taxpayer at any time during the year. </w:t>
            </w:r>
          </w:p>
        </w:tc>
        <w:tc>
          <w:tcPr>
            <w:tcW w:w="368" w:type="pct"/>
          </w:tcPr>
          <w:p w14:paraId="680C9569" w14:textId="77777777" w:rsidR="003F0524" w:rsidRDefault="003F0524" w:rsidP="009E6C2F">
            <w:pPr>
              <w:pStyle w:val="Table"/>
              <w:spacing w:before="100" w:after="100"/>
              <w:rPr>
                <w:sz w:val="18"/>
                <w:szCs w:val="18"/>
              </w:rPr>
            </w:pPr>
          </w:p>
        </w:tc>
        <w:tc>
          <w:tcPr>
            <w:tcW w:w="348" w:type="pct"/>
          </w:tcPr>
          <w:p w14:paraId="45CCD5C7" w14:textId="77777777" w:rsidR="003F0524" w:rsidRDefault="003F0524" w:rsidP="009E6C2F">
            <w:pPr>
              <w:pStyle w:val="Table"/>
              <w:spacing w:before="100" w:after="100"/>
              <w:rPr>
                <w:sz w:val="18"/>
                <w:szCs w:val="18"/>
              </w:rPr>
            </w:pPr>
          </w:p>
        </w:tc>
        <w:tc>
          <w:tcPr>
            <w:tcW w:w="344" w:type="pct"/>
          </w:tcPr>
          <w:p w14:paraId="5E321E10" w14:textId="77777777" w:rsidR="003F0524" w:rsidRDefault="003F0524" w:rsidP="009E6C2F">
            <w:pPr>
              <w:pStyle w:val="Table"/>
              <w:spacing w:before="100" w:after="100"/>
              <w:rPr>
                <w:sz w:val="18"/>
                <w:szCs w:val="18"/>
              </w:rPr>
            </w:pPr>
          </w:p>
        </w:tc>
      </w:tr>
      <w:tr w:rsidR="003F0524" w14:paraId="1BCEDB18" w14:textId="77777777" w:rsidTr="009B5902">
        <w:tc>
          <w:tcPr>
            <w:tcW w:w="5000" w:type="pct"/>
            <w:gridSpan w:val="4"/>
            <w:shd w:val="clear" w:color="auto" w:fill="0A5CC7" w:themeFill="accent3"/>
            <w:hideMark/>
          </w:tcPr>
          <w:p w14:paraId="0F5A71DD" w14:textId="77777777" w:rsidR="003F0524" w:rsidRPr="0059257F" w:rsidRDefault="003F0524" w:rsidP="009E6C2F">
            <w:pPr>
              <w:pStyle w:val="Tableheading"/>
              <w:spacing w:before="100" w:after="100"/>
              <w:rPr>
                <w:bCs/>
                <w:color w:val="FFFFFF" w:themeColor="background1"/>
                <w:sz w:val="18"/>
                <w:szCs w:val="18"/>
              </w:rPr>
            </w:pPr>
            <w:r w:rsidRPr="0059257F">
              <w:rPr>
                <w:bCs/>
                <w:color w:val="FFFFFF" w:themeColor="background1"/>
                <w:sz w:val="18"/>
                <w:szCs w:val="18"/>
              </w:rPr>
              <w:t>TRADING STOCK</w:t>
            </w:r>
          </w:p>
        </w:tc>
      </w:tr>
      <w:tr w:rsidR="00C37EF1" w14:paraId="176E951F" w14:textId="77777777" w:rsidTr="009B5902">
        <w:trPr>
          <w:cnfStyle w:val="000000100000" w:firstRow="0" w:lastRow="0" w:firstColumn="0" w:lastColumn="0" w:oddVBand="0" w:evenVBand="0" w:oddHBand="1" w:evenHBand="0" w:firstRowFirstColumn="0" w:firstRowLastColumn="0" w:lastRowFirstColumn="0" w:lastRowLastColumn="0"/>
        </w:trPr>
        <w:tc>
          <w:tcPr>
            <w:tcW w:w="3940" w:type="pct"/>
            <w:hideMark/>
          </w:tcPr>
          <w:p w14:paraId="69B7D6D9"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Does the trust have trading stock?</w:t>
            </w:r>
          </w:p>
        </w:tc>
        <w:tc>
          <w:tcPr>
            <w:tcW w:w="368" w:type="pct"/>
          </w:tcPr>
          <w:p w14:paraId="4CBA2656" w14:textId="77777777" w:rsidR="003F0524" w:rsidRDefault="003F0524" w:rsidP="009E6C2F">
            <w:pPr>
              <w:pStyle w:val="Table"/>
              <w:spacing w:before="100" w:after="100"/>
              <w:rPr>
                <w:sz w:val="18"/>
                <w:szCs w:val="18"/>
              </w:rPr>
            </w:pPr>
          </w:p>
        </w:tc>
        <w:tc>
          <w:tcPr>
            <w:tcW w:w="348" w:type="pct"/>
          </w:tcPr>
          <w:p w14:paraId="1C5D937A" w14:textId="77777777" w:rsidR="003F0524" w:rsidRDefault="003F0524" w:rsidP="009E6C2F">
            <w:pPr>
              <w:pStyle w:val="Table"/>
              <w:spacing w:before="100" w:after="100"/>
              <w:rPr>
                <w:sz w:val="18"/>
                <w:szCs w:val="18"/>
              </w:rPr>
            </w:pPr>
          </w:p>
        </w:tc>
        <w:tc>
          <w:tcPr>
            <w:tcW w:w="344" w:type="pct"/>
          </w:tcPr>
          <w:p w14:paraId="4CEF67D1" w14:textId="77777777" w:rsidR="003F0524" w:rsidRDefault="003F0524" w:rsidP="009E6C2F">
            <w:pPr>
              <w:pStyle w:val="Table"/>
              <w:spacing w:before="100" w:after="100"/>
              <w:rPr>
                <w:sz w:val="18"/>
                <w:szCs w:val="18"/>
              </w:rPr>
            </w:pPr>
          </w:p>
        </w:tc>
      </w:tr>
      <w:tr w:rsidR="00C37EF1" w14:paraId="49E3B884" w14:textId="77777777" w:rsidTr="009B5902">
        <w:tc>
          <w:tcPr>
            <w:tcW w:w="3940" w:type="pct"/>
            <w:hideMark/>
          </w:tcPr>
          <w:p w14:paraId="085B71B9" w14:textId="31397065" w:rsidR="0059257F"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Does the opening balance of trading stock for tax purposes agree with the closing balance of trading stock in last year’s income tax return? </w:t>
            </w:r>
          </w:p>
        </w:tc>
        <w:tc>
          <w:tcPr>
            <w:tcW w:w="368" w:type="pct"/>
          </w:tcPr>
          <w:p w14:paraId="3726872C" w14:textId="77777777" w:rsidR="003F0524" w:rsidRDefault="003F0524" w:rsidP="009E6C2F">
            <w:pPr>
              <w:pStyle w:val="Table"/>
              <w:spacing w:before="100" w:after="100"/>
              <w:rPr>
                <w:sz w:val="18"/>
                <w:szCs w:val="18"/>
              </w:rPr>
            </w:pPr>
          </w:p>
        </w:tc>
        <w:tc>
          <w:tcPr>
            <w:tcW w:w="348" w:type="pct"/>
          </w:tcPr>
          <w:p w14:paraId="5C1C68F7" w14:textId="77777777" w:rsidR="003F0524" w:rsidRDefault="003F0524" w:rsidP="009E6C2F">
            <w:pPr>
              <w:pStyle w:val="Table"/>
              <w:spacing w:before="100" w:after="100"/>
              <w:rPr>
                <w:sz w:val="18"/>
                <w:szCs w:val="18"/>
              </w:rPr>
            </w:pPr>
          </w:p>
        </w:tc>
        <w:tc>
          <w:tcPr>
            <w:tcW w:w="344" w:type="pct"/>
          </w:tcPr>
          <w:p w14:paraId="48F3BE98" w14:textId="77777777" w:rsidR="003F0524" w:rsidRDefault="003F0524" w:rsidP="009E6C2F">
            <w:pPr>
              <w:pStyle w:val="Table"/>
              <w:spacing w:before="100" w:after="100"/>
              <w:rPr>
                <w:sz w:val="18"/>
                <w:szCs w:val="18"/>
              </w:rPr>
            </w:pPr>
          </w:p>
        </w:tc>
      </w:tr>
      <w:tr w:rsidR="00C37EF1" w14:paraId="0CEFA3C1" w14:textId="77777777" w:rsidTr="009B5902">
        <w:trPr>
          <w:cnfStyle w:val="000000100000" w:firstRow="0" w:lastRow="0" w:firstColumn="0" w:lastColumn="0" w:oddVBand="0" w:evenVBand="0" w:oddHBand="1" w:evenHBand="0" w:firstRowFirstColumn="0" w:firstRowLastColumn="0" w:lastRowFirstColumn="0" w:lastRowLastColumn="0"/>
        </w:trPr>
        <w:tc>
          <w:tcPr>
            <w:tcW w:w="3940" w:type="pct"/>
            <w:hideMark/>
          </w:tcPr>
          <w:p w14:paraId="402A7DFD"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Is the closing stock valuation method adopted by the trust acceptable for both accounting and tax purposes? </w:t>
            </w:r>
          </w:p>
          <w:p w14:paraId="39302B2D"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If not, can the tax valuation be justified and is it adequately documented? </w:t>
            </w:r>
          </w:p>
          <w:p w14:paraId="07F53624"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Should the valuation method be reviewed to either defer or bring forward assessable income?</w:t>
            </w:r>
          </w:p>
          <w:p w14:paraId="652ABFEB"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Consider the benefits of revaluing closing value of trading stock at year end using the lower of cost, market selling value or replacement value if seeking to reduce taxable income. This choice is available in relation to each item or category of trading stock.</w:t>
            </w:r>
          </w:p>
        </w:tc>
        <w:tc>
          <w:tcPr>
            <w:tcW w:w="368" w:type="pct"/>
          </w:tcPr>
          <w:p w14:paraId="34118718" w14:textId="77777777" w:rsidR="003F0524" w:rsidRDefault="003F0524" w:rsidP="009E6C2F">
            <w:pPr>
              <w:pStyle w:val="Table"/>
              <w:spacing w:before="100" w:after="100"/>
              <w:rPr>
                <w:sz w:val="18"/>
                <w:szCs w:val="18"/>
              </w:rPr>
            </w:pPr>
          </w:p>
        </w:tc>
        <w:tc>
          <w:tcPr>
            <w:tcW w:w="348" w:type="pct"/>
          </w:tcPr>
          <w:p w14:paraId="1F786CB4" w14:textId="77777777" w:rsidR="003F0524" w:rsidRDefault="003F0524" w:rsidP="009E6C2F">
            <w:pPr>
              <w:pStyle w:val="Table"/>
              <w:spacing w:before="100" w:after="100"/>
              <w:rPr>
                <w:sz w:val="18"/>
                <w:szCs w:val="18"/>
              </w:rPr>
            </w:pPr>
          </w:p>
        </w:tc>
        <w:tc>
          <w:tcPr>
            <w:tcW w:w="344" w:type="pct"/>
          </w:tcPr>
          <w:p w14:paraId="69EEE5B8" w14:textId="77777777" w:rsidR="003F0524" w:rsidRDefault="003F0524" w:rsidP="009E6C2F">
            <w:pPr>
              <w:pStyle w:val="Table"/>
              <w:spacing w:before="100" w:after="100"/>
              <w:rPr>
                <w:sz w:val="18"/>
                <w:szCs w:val="18"/>
              </w:rPr>
            </w:pPr>
          </w:p>
        </w:tc>
      </w:tr>
      <w:tr w:rsidR="00C37EF1" w14:paraId="70D37658" w14:textId="77777777" w:rsidTr="009B5902">
        <w:tc>
          <w:tcPr>
            <w:tcW w:w="3940" w:type="pct"/>
            <w:hideMark/>
          </w:tcPr>
          <w:p w14:paraId="6069E9C5"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Has the trust disposed of any trading stock outside the normal course of business? </w:t>
            </w:r>
          </w:p>
          <w:p w14:paraId="5A3A0F6B"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If so, has the market value of the trading stock on the day of the disposal been included in the trust’s assessable income, in accordance with section 70-90 of the </w:t>
            </w:r>
            <w:r w:rsidRPr="001C1B29">
              <w:rPr>
                <w:rFonts w:asciiTheme="minorHAnsi" w:hAnsiTheme="minorHAnsi" w:cstheme="minorHAnsi"/>
                <w:i/>
                <w:color w:val="090D46" w:themeColor="text1"/>
                <w:sz w:val="18"/>
                <w:szCs w:val="18"/>
              </w:rPr>
              <w:t>ITAA 1997</w:t>
            </w:r>
            <w:r w:rsidRPr="001C1B29">
              <w:rPr>
                <w:rFonts w:asciiTheme="minorHAnsi" w:hAnsiTheme="minorHAnsi" w:cstheme="minorHAnsi"/>
                <w:color w:val="090D46" w:themeColor="text1"/>
                <w:sz w:val="18"/>
                <w:szCs w:val="18"/>
              </w:rPr>
              <w:t>?</w:t>
            </w:r>
          </w:p>
        </w:tc>
        <w:tc>
          <w:tcPr>
            <w:tcW w:w="368" w:type="pct"/>
          </w:tcPr>
          <w:p w14:paraId="006E6872" w14:textId="77777777" w:rsidR="003F0524" w:rsidRDefault="003F0524" w:rsidP="009E6C2F">
            <w:pPr>
              <w:pStyle w:val="Table"/>
              <w:spacing w:before="100" w:after="100"/>
              <w:rPr>
                <w:sz w:val="18"/>
                <w:szCs w:val="18"/>
              </w:rPr>
            </w:pPr>
          </w:p>
        </w:tc>
        <w:tc>
          <w:tcPr>
            <w:tcW w:w="348" w:type="pct"/>
          </w:tcPr>
          <w:p w14:paraId="26A99876" w14:textId="77777777" w:rsidR="003F0524" w:rsidRDefault="003F0524" w:rsidP="009E6C2F">
            <w:pPr>
              <w:pStyle w:val="Table"/>
              <w:spacing w:before="100" w:after="100"/>
              <w:rPr>
                <w:sz w:val="18"/>
                <w:szCs w:val="18"/>
              </w:rPr>
            </w:pPr>
          </w:p>
        </w:tc>
        <w:tc>
          <w:tcPr>
            <w:tcW w:w="344" w:type="pct"/>
          </w:tcPr>
          <w:p w14:paraId="534A9F70" w14:textId="77777777" w:rsidR="003F0524" w:rsidRDefault="003F0524" w:rsidP="009E6C2F">
            <w:pPr>
              <w:pStyle w:val="Table"/>
              <w:spacing w:before="100" w:after="100"/>
              <w:rPr>
                <w:sz w:val="18"/>
                <w:szCs w:val="18"/>
              </w:rPr>
            </w:pPr>
          </w:p>
        </w:tc>
      </w:tr>
      <w:tr w:rsidR="00C37EF1" w14:paraId="4105C1B0" w14:textId="77777777" w:rsidTr="009B5902">
        <w:trPr>
          <w:cnfStyle w:val="000000100000" w:firstRow="0" w:lastRow="0" w:firstColumn="0" w:lastColumn="0" w:oddVBand="0" w:evenVBand="0" w:oddHBand="1" w:evenHBand="0" w:firstRowFirstColumn="0" w:firstRowLastColumn="0" w:lastRowFirstColumn="0" w:lastRowLastColumn="0"/>
        </w:trPr>
        <w:tc>
          <w:tcPr>
            <w:tcW w:w="3940" w:type="pct"/>
            <w:hideMark/>
          </w:tcPr>
          <w:p w14:paraId="7B7010A4"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Where stock is valued at cost price, is a full absorption costing basis being used?</w:t>
            </w:r>
          </w:p>
        </w:tc>
        <w:tc>
          <w:tcPr>
            <w:tcW w:w="368" w:type="pct"/>
          </w:tcPr>
          <w:p w14:paraId="153B5B64" w14:textId="77777777" w:rsidR="003F0524" w:rsidRDefault="003F0524" w:rsidP="009E6C2F">
            <w:pPr>
              <w:pStyle w:val="Table"/>
              <w:spacing w:before="100" w:after="100"/>
              <w:rPr>
                <w:sz w:val="18"/>
                <w:szCs w:val="18"/>
              </w:rPr>
            </w:pPr>
          </w:p>
        </w:tc>
        <w:tc>
          <w:tcPr>
            <w:tcW w:w="348" w:type="pct"/>
          </w:tcPr>
          <w:p w14:paraId="212DCFE4" w14:textId="77777777" w:rsidR="003F0524" w:rsidRDefault="003F0524" w:rsidP="009E6C2F">
            <w:pPr>
              <w:pStyle w:val="Table"/>
              <w:spacing w:before="100" w:after="100"/>
              <w:rPr>
                <w:sz w:val="18"/>
                <w:szCs w:val="18"/>
              </w:rPr>
            </w:pPr>
          </w:p>
        </w:tc>
        <w:tc>
          <w:tcPr>
            <w:tcW w:w="344" w:type="pct"/>
          </w:tcPr>
          <w:p w14:paraId="758D1905" w14:textId="77777777" w:rsidR="003F0524" w:rsidRDefault="003F0524" w:rsidP="009E6C2F">
            <w:pPr>
              <w:pStyle w:val="Table"/>
              <w:spacing w:before="100" w:after="100"/>
              <w:rPr>
                <w:sz w:val="18"/>
                <w:szCs w:val="18"/>
              </w:rPr>
            </w:pPr>
          </w:p>
        </w:tc>
      </w:tr>
      <w:tr w:rsidR="00C37EF1" w14:paraId="76294023" w14:textId="77777777" w:rsidTr="009B5902">
        <w:tc>
          <w:tcPr>
            <w:tcW w:w="3940" w:type="pct"/>
            <w:hideMark/>
          </w:tcPr>
          <w:p w14:paraId="14E453EF"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Has a review been conducted to identify whether any stock is obsolete? (see Taxation Ruling TR 93/23)</w:t>
            </w:r>
          </w:p>
        </w:tc>
        <w:tc>
          <w:tcPr>
            <w:tcW w:w="368" w:type="pct"/>
          </w:tcPr>
          <w:p w14:paraId="1674A6E2" w14:textId="77777777" w:rsidR="003F0524" w:rsidRDefault="003F0524" w:rsidP="009E6C2F">
            <w:pPr>
              <w:pStyle w:val="Table"/>
              <w:spacing w:before="100" w:after="100"/>
              <w:rPr>
                <w:sz w:val="18"/>
                <w:szCs w:val="18"/>
              </w:rPr>
            </w:pPr>
          </w:p>
        </w:tc>
        <w:tc>
          <w:tcPr>
            <w:tcW w:w="348" w:type="pct"/>
          </w:tcPr>
          <w:p w14:paraId="1432E247" w14:textId="77777777" w:rsidR="003F0524" w:rsidRDefault="003F0524" w:rsidP="009E6C2F">
            <w:pPr>
              <w:pStyle w:val="Table"/>
              <w:spacing w:before="100" w:after="100"/>
              <w:rPr>
                <w:sz w:val="18"/>
                <w:szCs w:val="18"/>
              </w:rPr>
            </w:pPr>
          </w:p>
        </w:tc>
        <w:tc>
          <w:tcPr>
            <w:tcW w:w="344" w:type="pct"/>
          </w:tcPr>
          <w:p w14:paraId="7F1F7DC7" w14:textId="77777777" w:rsidR="003F0524" w:rsidRDefault="003F0524" w:rsidP="009E6C2F">
            <w:pPr>
              <w:pStyle w:val="Table"/>
              <w:spacing w:before="100" w:after="100"/>
              <w:rPr>
                <w:sz w:val="18"/>
                <w:szCs w:val="18"/>
              </w:rPr>
            </w:pPr>
          </w:p>
        </w:tc>
      </w:tr>
      <w:tr w:rsidR="00C37EF1" w14:paraId="4B3CA959" w14:textId="77777777" w:rsidTr="009B5902">
        <w:trPr>
          <w:cnfStyle w:val="000000100000" w:firstRow="0" w:lastRow="0" w:firstColumn="0" w:lastColumn="0" w:oddVBand="0" w:evenVBand="0" w:oddHBand="1" w:evenHBand="0" w:firstRowFirstColumn="0" w:firstRowLastColumn="0" w:lastRowFirstColumn="0" w:lastRowLastColumn="0"/>
        </w:trPr>
        <w:tc>
          <w:tcPr>
            <w:tcW w:w="3940" w:type="pct"/>
            <w:hideMark/>
          </w:tcPr>
          <w:p w14:paraId="278E80DE"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Has the treatment of goods-in transit and consignment stock been considered in the valuation of trading stock?</w:t>
            </w:r>
          </w:p>
        </w:tc>
        <w:tc>
          <w:tcPr>
            <w:tcW w:w="368" w:type="pct"/>
          </w:tcPr>
          <w:p w14:paraId="20F28BC2" w14:textId="77777777" w:rsidR="003F0524" w:rsidRDefault="003F0524" w:rsidP="009E6C2F">
            <w:pPr>
              <w:pStyle w:val="Table"/>
              <w:spacing w:before="100" w:after="100"/>
              <w:rPr>
                <w:sz w:val="18"/>
                <w:szCs w:val="18"/>
              </w:rPr>
            </w:pPr>
          </w:p>
        </w:tc>
        <w:tc>
          <w:tcPr>
            <w:tcW w:w="348" w:type="pct"/>
          </w:tcPr>
          <w:p w14:paraId="13E8536B" w14:textId="77777777" w:rsidR="003F0524" w:rsidRDefault="003F0524" w:rsidP="009E6C2F">
            <w:pPr>
              <w:pStyle w:val="Table"/>
              <w:spacing w:before="100" w:after="100"/>
              <w:rPr>
                <w:sz w:val="18"/>
                <w:szCs w:val="18"/>
              </w:rPr>
            </w:pPr>
          </w:p>
        </w:tc>
        <w:tc>
          <w:tcPr>
            <w:tcW w:w="344" w:type="pct"/>
          </w:tcPr>
          <w:p w14:paraId="52D4DD5A" w14:textId="77777777" w:rsidR="003F0524" w:rsidRDefault="003F0524" w:rsidP="009E6C2F">
            <w:pPr>
              <w:pStyle w:val="Table"/>
              <w:spacing w:before="100" w:after="100"/>
              <w:rPr>
                <w:sz w:val="18"/>
                <w:szCs w:val="18"/>
              </w:rPr>
            </w:pPr>
          </w:p>
        </w:tc>
      </w:tr>
      <w:tr w:rsidR="00C37EF1" w14:paraId="4E167F94" w14:textId="77777777" w:rsidTr="009B5902">
        <w:tc>
          <w:tcPr>
            <w:tcW w:w="3940" w:type="pct"/>
            <w:hideMark/>
          </w:tcPr>
          <w:p w14:paraId="7139AB7F" w14:textId="77777777" w:rsidR="003F0524" w:rsidRPr="001C1B29" w:rsidRDefault="003F0524" w:rsidP="009E6C2F">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Has a deduction been claimed for consumable stores on hand at balance date?</w:t>
            </w:r>
          </w:p>
        </w:tc>
        <w:tc>
          <w:tcPr>
            <w:tcW w:w="368" w:type="pct"/>
          </w:tcPr>
          <w:p w14:paraId="4C75241E" w14:textId="77777777" w:rsidR="003F0524" w:rsidRDefault="003F0524" w:rsidP="009E6C2F">
            <w:pPr>
              <w:pStyle w:val="Table"/>
              <w:spacing w:before="100" w:after="100"/>
              <w:rPr>
                <w:sz w:val="18"/>
                <w:szCs w:val="18"/>
              </w:rPr>
            </w:pPr>
          </w:p>
        </w:tc>
        <w:tc>
          <w:tcPr>
            <w:tcW w:w="348" w:type="pct"/>
          </w:tcPr>
          <w:p w14:paraId="44F76BD7" w14:textId="77777777" w:rsidR="003F0524" w:rsidRDefault="003F0524" w:rsidP="009E6C2F">
            <w:pPr>
              <w:pStyle w:val="Table"/>
              <w:spacing w:before="100" w:after="100"/>
              <w:rPr>
                <w:sz w:val="18"/>
                <w:szCs w:val="18"/>
              </w:rPr>
            </w:pPr>
          </w:p>
        </w:tc>
        <w:tc>
          <w:tcPr>
            <w:tcW w:w="344" w:type="pct"/>
          </w:tcPr>
          <w:p w14:paraId="62F0E1E2" w14:textId="77777777" w:rsidR="003F0524" w:rsidRDefault="003F0524" w:rsidP="009E6C2F">
            <w:pPr>
              <w:pStyle w:val="Table"/>
              <w:spacing w:before="100" w:after="100"/>
              <w:rPr>
                <w:sz w:val="18"/>
                <w:szCs w:val="18"/>
              </w:rPr>
            </w:pPr>
          </w:p>
        </w:tc>
      </w:tr>
      <w:tr w:rsidR="003F0524" w14:paraId="73D433BE" w14:textId="77777777" w:rsidTr="009B5902">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19808DFF" w14:textId="77777777" w:rsidR="003F0524" w:rsidRPr="0059257F" w:rsidRDefault="003F0524" w:rsidP="009E6C2F">
            <w:pPr>
              <w:pStyle w:val="Tableheading"/>
              <w:spacing w:before="100" w:after="100"/>
              <w:rPr>
                <w:bCs/>
                <w:color w:val="FFFFFF" w:themeColor="background1"/>
                <w:sz w:val="18"/>
                <w:szCs w:val="18"/>
              </w:rPr>
            </w:pPr>
            <w:r w:rsidRPr="0059257F">
              <w:rPr>
                <w:bCs/>
                <w:color w:val="FFFFFF" w:themeColor="background1"/>
                <w:sz w:val="18"/>
                <w:szCs w:val="18"/>
              </w:rPr>
              <w:t xml:space="preserve">INTELLLECTUAL PROPERTY </w:t>
            </w:r>
          </w:p>
        </w:tc>
      </w:tr>
      <w:tr w:rsidR="00C37EF1" w14:paraId="65EDC828" w14:textId="77777777" w:rsidTr="009B5902">
        <w:tc>
          <w:tcPr>
            <w:tcW w:w="3940" w:type="pct"/>
            <w:hideMark/>
          </w:tcPr>
          <w:p w14:paraId="2ED2047F" w14:textId="77777777" w:rsidR="003F0524" w:rsidRDefault="003F0524" w:rsidP="009E6C2F">
            <w:pPr>
              <w:pStyle w:val="Table"/>
              <w:spacing w:before="100" w:after="100"/>
              <w:rPr>
                <w:sz w:val="18"/>
                <w:szCs w:val="18"/>
              </w:rPr>
            </w:pPr>
            <w:r>
              <w:rPr>
                <w:sz w:val="18"/>
                <w:szCs w:val="18"/>
              </w:rPr>
              <w:t xml:space="preserve">Have you considered the depreciation rules for certain intellectual property (e.g. certain patents and copyrights) under section 40-95(7) of the </w:t>
            </w:r>
            <w:r>
              <w:rPr>
                <w:i/>
                <w:sz w:val="18"/>
                <w:szCs w:val="18"/>
              </w:rPr>
              <w:t>ITAA 1997</w:t>
            </w:r>
            <w:r>
              <w:rPr>
                <w:sz w:val="18"/>
                <w:szCs w:val="18"/>
              </w:rPr>
              <w:t>?</w:t>
            </w:r>
          </w:p>
        </w:tc>
        <w:tc>
          <w:tcPr>
            <w:tcW w:w="368" w:type="pct"/>
          </w:tcPr>
          <w:p w14:paraId="4A035B5F" w14:textId="77777777" w:rsidR="003F0524" w:rsidRDefault="003F0524" w:rsidP="009E6C2F">
            <w:pPr>
              <w:pStyle w:val="Table"/>
              <w:spacing w:before="100" w:after="100"/>
              <w:rPr>
                <w:sz w:val="18"/>
                <w:szCs w:val="18"/>
              </w:rPr>
            </w:pPr>
          </w:p>
        </w:tc>
        <w:tc>
          <w:tcPr>
            <w:tcW w:w="348" w:type="pct"/>
          </w:tcPr>
          <w:p w14:paraId="7DD5202D" w14:textId="77777777" w:rsidR="003F0524" w:rsidRDefault="003F0524" w:rsidP="009E6C2F">
            <w:pPr>
              <w:pStyle w:val="Table"/>
              <w:spacing w:before="100" w:after="100"/>
              <w:rPr>
                <w:sz w:val="18"/>
                <w:szCs w:val="18"/>
              </w:rPr>
            </w:pPr>
          </w:p>
        </w:tc>
        <w:tc>
          <w:tcPr>
            <w:tcW w:w="344" w:type="pct"/>
          </w:tcPr>
          <w:p w14:paraId="7440684A" w14:textId="77777777" w:rsidR="003F0524" w:rsidRDefault="003F0524" w:rsidP="009E6C2F">
            <w:pPr>
              <w:pStyle w:val="Table"/>
              <w:spacing w:before="100" w:after="100"/>
              <w:rPr>
                <w:sz w:val="18"/>
                <w:szCs w:val="18"/>
              </w:rPr>
            </w:pPr>
          </w:p>
        </w:tc>
      </w:tr>
      <w:tr w:rsidR="003F0524" w14:paraId="0E4C52E1" w14:textId="77777777" w:rsidTr="009B5902">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34781BCA" w14:textId="4CC7A6D3" w:rsidR="00591702" w:rsidRDefault="003F0524" w:rsidP="009E6C2F">
            <w:pPr>
              <w:pStyle w:val="Table"/>
              <w:spacing w:before="100" w:after="100"/>
              <w:rPr>
                <w:b/>
                <w:bCs/>
                <w:sz w:val="18"/>
                <w:szCs w:val="18"/>
              </w:rPr>
            </w:pPr>
            <w:r>
              <w:rPr>
                <w:b/>
                <w:bCs/>
                <w:sz w:val="18"/>
                <w:szCs w:val="18"/>
              </w:rPr>
              <w:t>Comments:</w:t>
            </w:r>
          </w:p>
          <w:p w14:paraId="5792E88E" w14:textId="45C5EC61" w:rsidR="00591702" w:rsidRDefault="00591702" w:rsidP="009E6C2F">
            <w:pPr>
              <w:pStyle w:val="Table"/>
              <w:spacing w:before="100" w:after="100"/>
              <w:rPr>
                <w:b/>
                <w:bCs/>
                <w:sz w:val="18"/>
                <w:szCs w:val="18"/>
              </w:rPr>
            </w:pPr>
          </w:p>
          <w:p w14:paraId="550A1290" w14:textId="03998065" w:rsidR="00591702" w:rsidRDefault="00591702" w:rsidP="009E6C2F">
            <w:pPr>
              <w:pStyle w:val="Table"/>
              <w:spacing w:before="100" w:after="100"/>
              <w:rPr>
                <w:b/>
                <w:bCs/>
                <w:sz w:val="18"/>
                <w:szCs w:val="18"/>
              </w:rPr>
            </w:pPr>
          </w:p>
          <w:p w14:paraId="32DF5C16" w14:textId="77777777" w:rsidR="00591702" w:rsidRDefault="00591702" w:rsidP="009E6C2F">
            <w:pPr>
              <w:pStyle w:val="Table"/>
              <w:spacing w:before="100" w:after="100"/>
              <w:rPr>
                <w:b/>
                <w:bCs/>
                <w:sz w:val="18"/>
                <w:szCs w:val="18"/>
              </w:rPr>
            </w:pPr>
          </w:p>
          <w:p w14:paraId="0A8E407B" w14:textId="77777777" w:rsidR="003F0524" w:rsidRDefault="003F0524" w:rsidP="009E6C2F">
            <w:pPr>
              <w:pStyle w:val="Table"/>
              <w:spacing w:before="100" w:after="100"/>
              <w:rPr>
                <w:sz w:val="18"/>
                <w:szCs w:val="18"/>
              </w:rPr>
            </w:pPr>
          </w:p>
        </w:tc>
      </w:tr>
    </w:tbl>
    <w:p w14:paraId="59042BF7" w14:textId="6AC289E9" w:rsidR="009B5902" w:rsidRDefault="009B5902"/>
    <w:p w14:paraId="4431A25C" w14:textId="77777777" w:rsidR="009B5902" w:rsidRDefault="009B5902"/>
    <w:tbl>
      <w:tblPr>
        <w:tblStyle w:val="RACVTable"/>
        <w:tblW w:w="5114" w:type="pct"/>
        <w:tblLayout w:type="fixed"/>
        <w:tblLook w:val="04A0" w:firstRow="1" w:lastRow="0" w:firstColumn="1" w:lastColumn="0" w:noHBand="0" w:noVBand="1"/>
      </w:tblPr>
      <w:tblGrid>
        <w:gridCol w:w="7936"/>
        <w:gridCol w:w="849"/>
        <w:gridCol w:w="710"/>
        <w:gridCol w:w="704"/>
        <w:gridCol w:w="6"/>
      </w:tblGrid>
      <w:tr w:rsidR="00600AD2" w14:paraId="59ACC957" w14:textId="77777777" w:rsidTr="00E54AE7">
        <w:trPr>
          <w:cnfStyle w:val="100000000000" w:firstRow="1" w:lastRow="0" w:firstColumn="0" w:lastColumn="0" w:oddVBand="0" w:evenVBand="0" w:oddHBand="0" w:evenHBand="0" w:firstRowFirstColumn="0" w:firstRowLastColumn="0" w:lastRowFirstColumn="0" w:lastRowLastColumn="0"/>
        </w:trPr>
        <w:tc>
          <w:tcPr>
            <w:tcW w:w="3888" w:type="pct"/>
            <w:hideMark/>
          </w:tcPr>
          <w:p w14:paraId="0F4A9071" w14:textId="77777777" w:rsidR="003F0524" w:rsidRPr="0059257F" w:rsidRDefault="003F0524">
            <w:pPr>
              <w:pStyle w:val="Tableheading"/>
              <w:spacing w:before="100" w:after="100"/>
              <w:rPr>
                <w:rFonts w:asciiTheme="minorHAnsi" w:eastAsiaTheme="minorHAnsi" w:hAnsiTheme="minorHAnsi" w:cs="Times New Roman"/>
                <w:b/>
                <w:color w:val="090D46" w:themeColor="text1"/>
                <w:sz w:val="18"/>
                <w:szCs w:val="18"/>
              </w:rPr>
            </w:pPr>
            <w:r w:rsidRPr="0059257F">
              <w:rPr>
                <w:rFonts w:asciiTheme="minorHAnsi" w:eastAsiaTheme="minorHAnsi" w:hAnsiTheme="minorHAnsi" w:cs="Times New Roman"/>
                <w:b/>
                <w:color w:val="090D46" w:themeColor="text1"/>
                <w:sz w:val="18"/>
                <w:szCs w:val="18"/>
              </w:rPr>
              <w:t>STATEMENT OF COMPREHENSIVE INCOME (PROFIT AND LOSS)</w:t>
            </w:r>
          </w:p>
        </w:tc>
        <w:tc>
          <w:tcPr>
            <w:tcW w:w="416" w:type="pct"/>
            <w:hideMark/>
          </w:tcPr>
          <w:p w14:paraId="3A93EFFB" w14:textId="77777777" w:rsidR="003F0524" w:rsidRPr="0059257F"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59257F">
              <w:rPr>
                <w:rFonts w:asciiTheme="minorHAnsi" w:eastAsiaTheme="minorHAnsi" w:hAnsiTheme="minorHAnsi" w:cs="Times New Roman"/>
                <w:b/>
                <w:color w:val="090D46" w:themeColor="text1"/>
                <w:sz w:val="18"/>
                <w:szCs w:val="18"/>
              </w:rPr>
              <w:t>YES</w:t>
            </w:r>
          </w:p>
        </w:tc>
        <w:tc>
          <w:tcPr>
            <w:tcW w:w="348" w:type="pct"/>
            <w:hideMark/>
          </w:tcPr>
          <w:p w14:paraId="586A3B1C" w14:textId="77777777" w:rsidR="003F0524" w:rsidRPr="0059257F"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59257F">
              <w:rPr>
                <w:rFonts w:asciiTheme="minorHAnsi" w:eastAsiaTheme="minorHAnsi" w:hAnsiTheme="minorHAnsi" w:cs="Times New Roman"/>
                <w:b/>
                <w:color w:val="090D46" w:themeColor="text1"/>
                <w:sz w:val="18"/>
                <w:szCs w:val="18"/>
              </w:rPr>
              <w:t>NO</w:t>
            </w:r>
          </w:p>
        </w:tc>
        <w:tc>
          <w:tcPr>
            <w:tcW w:w="348" w:type="pct"/>
            <w:gridSpan w:val="2"/>
            <w:hideMark/>
          </w:tcPr>
          <w:p w14:paraId="7E6A9395" w14:textId="77777777" w:rsidR="003F0524" w:rsidRPr="0059257F"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59257F">
              <w:rPr>
                <w:rFonts w:asciiTheme="minorHAnsi" w:eastAsiaTheme="minorHAnsi" w:hAnsiTheme="minorHAnsi" w:cs="Times New Roman"/>
                <w:b/>
                <w:color w:val="090D46" w:themeColor="text1"/>
                <w:sz w:val="18"/>
                <w:szCs w:val="18"/>
              </w:rPr>
              <w:t>N/A</w:t>
            </w:r>
          </w:p>
        </w:tc>
      </w:tr>
      <w:tr w:rsidR="009B5902" w14:paraId="08FF32D5" w14:textId="77777777" w:rsidTr="00E54AE7">
        <w:trPr>
          <w:cnfStyle w:val="000000100000" w:firstRow="0" w:lastRow="0" w:firstColumn="0" w:lastColumn="0" w:oddVBand="0" w:evenVBand="0" w:oddHBand="1" w:evenHBand="0" w:firstRowFirstColumn="0" w:firstRowLastColumn="0" w:lastRowFirstColumn="0" w:lastRowLastColumn="0"/>
        </w:trPr>
        <w:tc>
          <w:tcPr>
            <w:tcW w:w="5000" w:type="pct"/>
            <w:gridSpan w:val="5"/>
            <w:shd w:val="clear" w:color="auto" w:fill="0A5CC7" w:themeFill="accent3"/>
          </w:tcPr>
          <w:p w14:paraId="4075F9DC" w14:textId="09A9BC5D" w:rsidR="009B5902" w:rsidRPr="009B5902" w:rsidRDefault="009B5902">
            <w:pPr>
              <w:pStyle w:val="Table"/>
              <w:spacing w:before="100" w:after="100"/>
              <w:rPr>
                <w:b/>
                <w:sz w:val="18"/>
                <w:szCs w:val="18"/>
              </w:rPr>
            </w:pPr>
            <w:r w:rsidRPr="009B5902">
              <w:rPr>
                <w:b/>
                <w:color w:val="FFFFFF" w:themeColor="background1"/>
                <w:sz w:val="18"/>
                <w:szCs w:val="18"/>
              </w:rPr>
              <w:t>GENERAL</w:t>
            </w:r>
          </w:p>
        </w:tc>
      </w:tr>
      <w:tr w:rsidR="00600AD2" w14:paraId="15079750" w14:textId="77777777" w:rsidTr="00E54AE7">
        <w:tc>
          <w:tcPr>
            <w:tcW w:w="3888" w:type="pct"/>
            <w:hideMark/>
          </w:tcPr>
          <w:p w14:paraId="3141B5F6" w14:textId="77777777" w:rsidR="003F0524" w:rsidRPr="001C1B29" w:rsidRDefault="003F052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Have all income and expense reconciliation adjustments been identified to ensure that the total net income for book and tax purposes are reconciled and correctly calculated?         </w:t>
            </w:r>
          </w:p>
        </w:tc>
        <w:tc>
          <w:tcPr>
            <w:tcW w:w="416" w:type="pct"/>
          </w:tcPr>
          <w:p w14:paraId="40EE6480" w14:textId="77777777" w:rsidR="003F0524" w:rsidRDefault="003F0524">
            <w:pPr>
              <w:pStyle w:val="Table"/>
              <w:spacing w:before="100" w:after="100"/>
              <w:rPr>
                <w:sz w:val="18"/>
                <w:szCs w:val="18"/>
              </w:rPr>
            </w:pPr>
          </w:p>
        </w:tc>
        <w:tc>
          <w:tcPr>
            <w:tcW w:w="348" w:type="pct"/>
          </w:tcPr>
          <w:p w14:paraId="14925CF1" w14:textId="77777777" w:rsidR="003F0524" w:rsidRDefault="003F0524">
            <w:pPr>
              <w:pStyle w:val="Table"/>
              <w:spacing w:before="100" w:after="100"/>
              <w:rPr>
                <w:sz w:val="18"/>
                <w:szCs w:val="18"/>
              </w:rPr>
            </w:pPr>
          </w:p>
        </w:tc>
        <w:tc>
          <w:tcPr>
            <w:tcW w:w="348" w:type="pct"/>
            <w:gridSpan w:val="2"/>
          </w:tcPr>
          <w:p w14:paraId="4E04463E" w14:textId="77777777" w:rsidR="003F0524" w:rsidRDefault="003F0524">
            <w:pPr>
              <w:pStyle w:val="Table"/>
              <w:spacing w:before="100" w:after="100"/>
              <w:rPr>
                <w:sz w:val="18"/>
                <w:szCs w:val="18"/>
              </w:rPr>
            </w:pPr>
          </w:p>
        </w:tc>
      </w:tr>
      <w:tr w:rsidR="00600AD2" w14:paraId="276E00EE"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hideMark/>
          </w:tcPr>
          <w:p w14:paraId="5F4482EB" w14:textId="77777777" w:rsidR="003F0524" w:rsidRPr="001C1B29" w:rsidRDefault="003F052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Have expenses in the detailed profit and loss statement been reviewed generally for non-deductible items (e.g. for non-deductible entertainment, private expenses, donations made to entities who are not eligible gift recipients, subscriptions to private publications, capital legal expenses etc.)?</w:t>
            </w:r>
          </w:p>
        </w:tc>
        <w:tc>
          <w:tcPr>
            <w:tcW w:w="416" w:type="pct"/>
          </w:tcPr>
          <w:p w14:paraId="625F6DAD" w14:textId="77777777" w:rsidR="003F0524" w:rsidRDefault="003F0524">
            <w:pPr>
              <w:pStyle w:val="Table"/>
              <w:spacing w:before="100" w:after="100"/>
              <w:rPr>
                <w:sz w:val="18"/>
                <w:szCs w:val="18"/>
              </w:rPr>
            </w:pPr>
          </w:p>
        </w:tc>
        <w:tc>
          <w:tcPr>
            <w:tcW w:w="348" w:type="pct"/>
          </w:tcPr>
          <w:p w14:paraId="01FF6CCE" w14:textId="77777777" w:rsidR="003F0524" w:rsidRDefault="003F0524">
            <w:pPr>
              <w:pStyle w:val="Table"/>
              <w:spacing w:before="100" w:after="100"/>
              <w:rPr>
                <w:sz w:val="18"/>
                <w:szCs w:val="18"/>
              </w:rPr>
            </w:pPr>
          </w:p>
        </w:tc>
        <w:tc>
          <w:tcPr>
            <w:tcW w:w="348" w:type="pct"/>
            <w:gridSpan w:val="2"/>
          </w:tcPr>
          <w:p w14:paraId="3EFDBDFA" w14:textId="77777777" w:rsidR="003F0524" w:rsidRDefault="003F0524">
            <w:pPr>
              <w:pStyle w:val="Table"/>
              <w:spacing w:before="100" w:after="100"/>
              <w:rPr>
                <w:sz w:val="18"/>
                <w:szCs w:val="18"/>
              </w:rPr>
            </w:pPr>
          </w:p>
        </w:tc>
      </w:tr>
      <w:tr w:rsidR="00600AD2" w14:paraId="1D03D2AC" w14:textId="77777777" w:rsidTr="00E54AE7">
        <w:tc>
          <w:tcPr>
            <w:tcW w:w="3888" w:type="pct"/>
            <w:hideMark/>
          </w:tcPr>
          <w:p w14:paraId="42268486" w14:textId="77777777" w:rsidR="003F0524" w:rsidRPr="001C1B29" w:rsidRDefault="003F052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Have operating and / or finance leases and hire purchase agreements been properly treated for tax purposes?</w:t>
            </w:r>
          </w:p>
        </w:tc>
        <w:tc>
          <w:tcPr>
            <w:tcW w:w="416" w:type="pct"/>
          </w:tcPr>
          <w:p w14:paraId="5AB6EF41" w14:textId="77777777" w:rsidR="003F0524" w:rsidRDefault="003F0524">
            <w:pPr>
              <w:pStyle w:val="Table"/>
              <w:spacing w:before="100" w:after="100"/>
              <w:rPr>
                <w:sz w:val="18"/>
                <w:szCs w:val="18"/>
              </w:rPr>
            </w:pPr>
          </w:p>
        </w:tc>
        <w:tc>
          <w:tcPr>
            <w:tcW w:w="348" w:type="pct"/>
          </w:tcPr>
          <w:p w14:paraId="37058401" w14:textId="77777777" w:rsidR="003F0524" w:rsidRDefault="003F0524">
            <w:pPr>
              <w:pStyle w:val="Table"/>
              <w:spacing w:before="100" w:after="100"/>
              <w:rPr>
                <w:sz w:val="18"/>
                <w:szCs w:val="18"/>
              </w:rPr>
            </w:pPr>
          </w:p>
        </w:tc>
        <w:tc>
          <w:tcPr>
            <w:tcW w:w="348" w:type="pct"/>
            <w:gridSpan w:val="2"/>
          </w:tcPr>
          <w:p w14:paraId="69A5E9B6" w14:textId="77777777" w:rsidR="003F0524" w:rsidRDefault="003F0524">
            <w:pPr>
              <w:pStyle w:val="Table"/>
              <w:spacing w:before="100" w:after="100"/>
              <w:rPr>
                <w:sz w:val="18"/>
                <w:szCs w:val="18"/>
              </w:rPr>
            </w:pPr>
          </w:p>
        </w:tc>
      </w:tr>
      <w:tr w:rsidR="009B5902" w14:paraId="531FEB92"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hideMark/>
          </w:tcPr>
          <w:p w14:paraId="36B5C503" w14:textId="2257BE07" w:rsidR="003F0524" w:rsidRPr="001C1B29" w:rsidRDefault="003F052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For interest claimed, has the deductibility of the interest been considered in light of the use of borrowed funds?</w:t>
            </w:r>
          </w:p>
        </w:tc>
        <w:tc>
          <w:tcPr>
            <w:tcW w:w="416" w:type="pct"/>
          </w:tcPr>
          <w:p w14:paraId="7653C43A" w14:textId="77777777" w:rsidR="003F0524" w:rsidRDefault="003F0524">
            <w:pPr>
              <w:pStyle w:val="Table"/>
              <w:spacing w:before="100" w:after="100"/>
              <w:rPr>
                <w:sz w:val="18"/>
                <w:szCs w:val="18"/>
              </w:rPr>
            </w:pPr>
          </w:p>
        </w:tc>
        <w:tc>
          <w:tcPr>
            <w:tcW w:w="348" w:type="pct"/>
          </w:tcPr>
          <w:p w14:paraId="069BD17F" w14:textId="77777777" w:rsidR="003F0524" w:rsidRDefault="003F0524">
            <w:pPr>
              <w:pStyle w:val="Table"/>
              <w:spacing w:before="100" w:after="100"/>
              <w:rPr>
                <w:sz w:val="18"/>
                <w:szCs w:val="18"/>
              </w:rPr>
            </w:pPr>
          </w:p>
        </w:tc>
        <w:tc>
          <w:tcPr>
            <w:tcW w:w="348" w:type="pct"/>
            <w:gridSpan w:val="2"/>
          </w:tcPr>
          <w:p w14:paraId="22C0A252" w14:textId="77777777" w:rsidR="003F0524" w:rsidRDefault="003F0524">
            <w:pPr>
              <w:pStyle w:val="Table"/>
              <w:spacing w:before="100" w:after="100"/>
              <w:rPr>
                <w:sz w:val="18"/>
                <w:szCs w:val="18"/>
              </w:rPr>
            </w:pPr>
          </w:p>
        </w:tc>
      </w:tr>
      <w:tr w:rsidR="00600AD2" w14:paraId="6C6502C0" w14:textId="77777777" w:rsidTr="00E54AE7">
        <w:tc>
          <w:tcPr>
            <w:tcW w:w="3888" w:type="pct"/>
            <w:hideMark/>
          </w:tcPr>
          <w:p w14:paraId="0A9D1A55" w14:textId="10E69719" w:rsidR="003F0524" w:rsidRPr="001C1B29" w:rsidRDefault="003F052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Have all timing differences been identified </w:t>
            </w:r>
            <w:r w:rsidR="00FB77DF">
              <w:rPr>
                <w:rFonts w:asciiTheme="minorHAnsi" w:hAnsiTheme="minorHAnsi" w:cstheme="minorHAnsi"/>
                <w:color w:val="090D46" w:themeColor="text1"/>
                <w:sz w:val="18"/>
                <w:szCs w:val="18"/>
              </w:rPr>
              <w:t xml:space="preserve">including </w:t>
            </w:r>
            <w:r w:rsidRPr="001C1B29">
              <w:rPr>
                <w:rFonts w:asciiTheme="minorHAnsi" w:hAnsiTheme="minorHAnsi" w:cstheme="minorHAnsi"/>
                <w:color w:val="090D46" w:themeColor="text1"/>
                <w:sz w:val="18"/>
                <w:szCs w:val="18"/>
              </w:rPr>
              <w:t>foreign exchange gains and losses</w:t>
            </w:r>
            <w:r w:rsidR="00484FB1">
              <w:rPr>
                <w:rFonts w:asciiTheme="minorHAnsi" w:hAnsiTheme="minorHAnsi" w:cstheme="minorHAnsi"/>
                <w:color w:val="090D46" w:themeColor="text1"/>
                <w:sz w:val="18"/>
                <w:szCs w:val="18"/>
              </w:rPr>
              <w:t xml:space="preserve">, having regard to Division 775 for trusts not subject to </w:t>
            </w:r>
            <w:r w:rsidR="00CE3355">
              <w:rPr>
                <w:rFonts w:asciiTheme="minorHAnsi" w:hAnsiTheme="minorHAnsi" w:cstheme="minorHAnsi"/>
                <w:color w:val="090D46" w:themeColor="text1"/>
                <w:sz w:val="18"/>
                <w:szCs w:val="18"/>
              </w:rPr>
              <w:t>the Taxation of Financial Arrangements (TOFA) and to Division 230 for those trusts that are subject to TOFA</w:t>
            </w:r>
            <w:r w:rsidRPr="001C1B29">
              <w:rPr>
                <w:rFonts w:asciiTheme="minorHAnsi" w:hAnsiTheme="minorHAnsi" w:cstheme="minorHAnsi"/>
                <w:color w:val="090D46" w:themeColor="text1"/>
                <w:sz w:val="18"/>
                <w:szCs w:val="18"/>
              </w:rPr>
              <w:t xml:space="preserve">?  </w:t>
            </w:r>
          </w:p>
        </w:tc>
        <w:tc>
          <w:tcPr>
            <w:tcW w:w="416" w:type="pct"/>
          </w:tcPr>
          <w:p w14:paraId="4807DDA2" w14:textId="77777777" w:rsidR="003F0524" w:rsidRDefault="003F0524">
            <w:pPr>
              <w:pStyle w:val="Table"/>
              <w:spacing w:before="100" w:after="100"/>
              <w:rPr>
                <w:sz w:val="18"/>
                <w:szCs w:val="18"/>
              </w:rPr>
            </w:pPr>
          </w:p>
        </w:tc>
        <w:tc>
          <w:tcPr>
            <w:tcW w:w="348" w:type="pct"/>
          </w:tcPr>
          <w:p w14:paraId="70CE76E0" w14:textId="77777777" w:rsidR="003F0524" w:rsidRDefault="003F0524">
            <w:pPr>
              <w:pStyle w:val="Table"/>
              <w:spacing w:before="100" w:after="100"/>
              <w:rPr>
                <w:sz w:val="18"/>
                <w:szCs w:val="18"/>
              </w:rPr>
            </w:pPr>
          </w:p>
        </w:tc>
        <w:tc>
          <w:tcPr>
            <w:tcW w:w="348" w:type="pct"/>
            <w:gridSpan w:val="2"/>
          </w:tcPr>
          <w:p w14:paraId="3BB36636" w14:textId="77777777" w:rsidR="003F0524" w:rsidRDefault="003F0524">
            <w:pPr>
              <w:pStyle w:val="Table"/>
              <w:spacing w:before="100" w:after="100"/>
              <w:rPr>
                <w:sz w:val="18"/>
                <w:szCs w:val="18"/>
              </w:rPr>
            </w:pPr>
          </w:p>
        </w:tc>
      </w:tr>
      <w:tr w:rsidR="009B5902" w14:paraId="1F6EEAA7"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hideMark/>
          </w:tcPr>
          <w:p w14:paraId="7A27777B" w14:textId="77777777" w:rsidR="003F0524" w:rsidRPr="001C1B29" w:rsidRDefault="003F052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If the ATO notified you of a Shortfall Interest Charge (SIC) or General Interest Charge (GIC) liability, has this been claimed as a deduction?</w:t>
            </w:r>
          </w:p>
        </w:tc>
        <w:tc>
          <w:tcPr>
            <w:tcW w:w="416" w:type="pct"/>
          </w:tcPr>
          <w:p w14:paraId="571FB413" w14:textId="77777777" w:rsidR="003F0524" w:rsidRDefault="003F0524">
            <w:pPr>
              <w:pStyle w:val="Table"/>
              <w:spacing w:before="100" w:after="100"/>
              <w:rPr>
                <w:sz w:val="18"/>
                <w:szCs w:val="18"/>
              </w:rPr>
            </w:pPr>
          </w:p>
        </w:tc>
        <w:tc>
          <w:tcPr>
            <w:tcW w:w="348" w:type="pct"/>
          </w:tcPr>
          <w:p w14:paraId="764C299F" w14:textId="77777777" w:rsidR="003F0524" w:rsidRDefault="003F0524">
            <w:pPr>
              <w:pStyle w:val="Table"/>
              <w:spacing w:before="100" w:after="100"/>
              <w:rPr>
                <w:sz w:val="18"/>
                <w:szCs w:val="18"/>
              </w:rPr>
            </w:pPr>
          </w:p>
        </w:tc>
        <w:tc>
          <w:tcPr>
            <w:tcW w:w="348" w:type="pct"/>
            <w:gridSpan w:val="2"/>
          </w:tcPr>
          <w:p w14:paraId="62E5A81A" w14:textId="77777777" w:rsidR="003F0524" w:rsidRDefault="003F0524">
            <w:pPr>
              <w:pStyle w:val="Table"/>
              <w:spacing w:before="100" w:after="100"/>
              <w:rPr>
                <w:sz w:val="18"/>
                <w:szCs w:val="18"/>
              </w:rPr>
            </w:pPr>
          </w:p>
        </w:tc>
      </w:tr>
      <w:tr w:rsidR="00600AD2" w14:paraId="38B3D551" w14:textId="77777777" w:rsidTr="00E54AE7">
        <w:tc>
          <w:tcPr>
            <w:tcW w:w="3888" w:type="pct"/>
            <w:hideMark/>
          </w:tcPr>
          <w:p w14:paraId="7D2CD025" w14:textId="77777777" w:rsidR="003F0524" w:rsidRPr="001C1B29" w:rsidRDefault="003F052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Have penalties paid (excluding GIC or SIC) to the ATO, or as otherwise charged under an Australian or foreign law, been treated as non-deductible and interest received from the ATO brought to account as assessable income?</w:t>
            </w:r>
          </w:p>
        </w:tc>
        <w:tc>
          <w:tcPr>
            <w:tcW w:w="416" w:type="pct"/>
          </w:tcPr>
          <w:p w14:paraId="3B3A2695" w14:textId="77777777" w:rsidR="003F0524" w:rsidRDefault="003F0524">
            <w:pPr>
              <w:pStyle w:val="Table"/>
              <w:spacing w:before="100" w:after="100"/>
              <w:rPr>
                <w:sz w:val="18"/>
                <w:szCs w:val="18"/>
              </w:rPr>
            </w:pPr>
          </w:p>
        </w:tc>
        <w:tc>
          <w:tcPr>
            <w:tcW w:w="348" w:type="pct"/>
          </w:tcPr>
          <w:p w14:paraId="40E707CF" w14:textId="77777777" w:rsidR="003F0524" w:rsidRDefault="003F0524">
            <w:pPr>
              <w:pStyle w:val="Table"/>
              <w:spacing w:before="100" w:after="100"/>
              <w:rPr>
                <w:sz w:val="18"/>
                <w:szCs w:val="18"/>
              </w:rPr>
            </w:pPr>
          </w:p>
        </w:tc>
        <w:tc>
          <w:tcPr>
            <w:tcW w:w="348" w:type="pct"/>
            <w:gridSpan w:val="2"/>
          </w:tcPr>
          <w:p w14:paraId="7A235654" w14:textId="77777777" w:rsidR="003F0524" w:rsidRDefault="003F0524">
            <w:pPr>
              <w:pStyle w:val="Table"/>
              <w:spacing w:before="100" w:after="100"/>
              <w:rPr>
                <w:sz w:val="18"/>
                <w:szCs w:val="18"/>
              </w:rPr>
            </w:pPr>
          </w:p>
        </w:tc>
      </w:tr>
      <w:tr w:rsidR="009B5902" w14:paraId="02F1F1F9"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hideMark/>
          </w:tcPr>
          <w:p w14:paraId="660B678E" w14:textId="3C6CE9D4" w:rsidR="003F0524" w:rsidRPr="001C1B29" w:rsidRDefault="003F052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Has the </w:t>
            </w:r>
            <w:r w:rsidR="00411375">
              <w:rPr>
                <w:rFonts w:asciiTheme="minorHAnsi" w:hAnsiTheme="minorHAnsi" w:cstheme="minorHAnsi"/>
                <w:color w:val="090D46" w:themeColor="text1"/>
                <w:sz w:val="18"/>
                <w:szCs w:val="18"/>
              </w:rPr>
              <w:t xml:space="preserve">tax </w:t>
            </w:r>
            <w:r w:rsidRPr="001C1B29">
              <w:rPr>
                <w:rFonts w:asciiTheme="minorHAnsi" w:hAnsiTheme="minorHAnsi" w:cstheme="minorHAnsi"/>
                <w:color w:val="090D46" w:themeColor="text1"/>
                <w:sz w:val="18"/>
                <w:szCs w:val="18"/>
              </w:rPr>
              <w:t>treatment of discounts on short-term securities (e.g. bills of exchange, promissory notes) been considered?</w:t>
            </w:r>
          </w:p>
        </w:tc>
        <w:tc>
          <w:tcPr>
            <w:tcW w:w="416" w:type="pct"/>
          </w:tcPr>
          <w:p w14:paraId="5E909856" w14:textId="77777777" w:rsidR="003F0524" w:rsidRDefault="003F0524">
            <w:pPr>
              <w:pStyle w:val="Table"/>
              <w:spacing w:before="100" w:after="100"/>
              <w:rPr>
                <w:sz w:val="18"/>
                <w:szCs w:val="18"/>
              </w:rPr>
            </w:pPr>
          </w:p>
        </w:tc>
        <w:tc>
          <w:tcPr>
            <w:tcW w:w="348" w:type="pct"/>
          </w:tcPr>
          <w:p w14:paraId="6C310EB4" w14:textId="77777777" w:rsidR="003F0524" w:rsidRDefault="003F0524">
            <w:pPr>
              <w:pStyle w:val="Table"/>
              <w:spacing w:before="100" w:after="100"/>
              <w:rPr>
                <w:sz w:val="18"/>
                <w:szCs w:val="18"/>
              </w:rPr>
            </w:pPr>
          </w:p>
        </w:tc>
        <w:tc>
          <w:tcPr>
            <w:tcW w:w="348" w:type="pct"/>
            <w:gridSpan w:val="2"/>
          </w:tcPr>
          <w:p w14:paraId="310E0C13" w14:textId="77777777" w:rsidR="003F0524" w:rsidRDefault="003F0524">
            <w:pPr>
              <w:pStyle w:val="Table"/>
              <w:spacing w:before="100" w:after="100"/>
              <w:rPr>
                <w:sz w:val="18"/>
                <w:szCs w:val="18"/>
              </w:rPr>
            </w:pPr>
          </w:p>
        </w:tc>
      </w:tr>
      <w:tr w:rsidR="00600AD2" w14:paraId="4277C343" w14:textId="77777777" w:rsidTr="00E54AE7">
        <w:tc>
          <w:tcPr>
            <w:tcW w:w="3888" w:type="pct"/>
            <w:hideMark/>
          </w:tcPr>
          <w:p w14:paraId="16DC925C" w14:textId="77777777" w:rsidR="003F0524" w:rsidRPr="001C1B29" w:rsidRDefault="003F052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Has interest received been grossed up for any Tax File Number (TFN) withholding tax deducted and a credit claimed in respect of the amount deducted?</w:t>
            </w:r>
          </w:p>
        </w:tc>
        <w:tc>
          <w:tcPr>
            <w:tcW w:w="416" w:type="pct"/>
          </w:tcPr>
          <w:p w14:paraId="26E7900B" w14:textId="77777777" w:rsidR="003F0524" w:rsidRDefault="003F0524">
            <w:pPr>
              <w:pStyle w:val="Table"/>
              <w:spacing w:before="100" w:after="100"/>
              <w:rPr>
                <w:sz w:val="18"/>
                <w:szCs w:val="18"/>
              </w:rPr>
            </w:pPr>
          </w:p>
        </w:tc>
        <w:tc>
          <w:tcPr>
            <w:tcW w:w="348" w:type="pct"/>
          </w:tcPr>
          <w:p w14:paraId="1C8DBE74" w14:textId="77777777" w:rsidR="003F0524" w:rsidRDefault="003F0524">
            <w:pPr>
              <w:pStyle w:val="Table"/>
              <w:spacing w:before="100" w:after="100"/>
              <w:rPr>
                <w:sz w:val="18"/>
                <w:szCs w:val="18"/>
              </w:rPr>
            </w:pPr>
          </w:p>
        </w:tc>
        <w:tc>
          <w:tcPr>
            <w:tcW w:w="348" w:type="pct"/>
            <w:gridSpan w:val="2"/>
          </w:tcPr>
          <w:p w14:paraId="04D0346C" w14:textId="77777777" w:rsidR="003F0524" w:rsidRDefault="003F0524">
            <w:pPr>
              <w:pStyle w:val="Table"/>
              <w:spacing w:before="100" w:after="100"/>
              <w:rPr>
                <w:sz w:val="18"/>
                <w:szCs w:val="18"/>
              </w:rPr>
            </w:pPr>
          </w:p>
        </w:tc>
      </w:tr>
      <w:tr w:rsidR="009B5902" w14:paraId="1F864D9E"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hideMark/>
          </w:tcPr>
          <w:p w14:paraId="078ACBBE" w14:textId="7CB325CF" w:rsidR="003F0524" w:rsidRPr="001C1B29" w:rsidRDefault="003F052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Has the trust derived income that is exempt from tax or which is non-assessable non-exempt income (e.g. </w:t>
            </w:r>
            <w:r w:rsidR="00FA773F">
              <w:rPr>
                <w:rFonts w:asciiTheme="minorHAnsi" w:hAnsiTheme="minorHAnsi" w:cstheme="minorHAnsi"/>
                <w:color w:val="090D46" w:themeColor="text1"/>
                <w:sz w:val="18"/>
                <w:szCs w:val="18"/>
              </w:rPr>
              <w:t>non-po</w:t>
            </w:r>
            <w:r w:rsidR="00CD1B1B">
              <w:rPr>
                <w:rFonts w:asciiTheme="minorHAnsi" w:hAnsiTheme="minorHAnsi" w:cstheme="minorHAnsi"/>
                <w:color w:val="090D46" w:themeColor="text1"/>
                <w:sz w:val="18"/>
                <w:szCs w:val="18"/>
              </w:rPr>
              <w:t xml:space="preserve">rtfolio foreign dividends received by a resident company </w:t>
            </w:r>
            <w:r w:rsidRPr="001C1B29">
              <w:rPr>
                <w:rFonts w:asciiTheme="minorHAnsi" w:hAnsiTheme="minorHAnsi" w:cstheme="minorHAnsi"/>
                <w:color w:val="090D46" w:themeColor="text1"/>
                <w:sz w:val="18"/>
                <w:szCs w:val="18"/>
              </w:rPr>
              <w:t>)?</w:t>
            </w:r>
          </w:p>
        </w:tc>
        <w:tc>
          <w:tcPr>
            <w:tcW w:w="416" w:type="pct"/>
          </w:tcPr>
          <w:p w14:paraId="72B6E8CD" w14:textId="77777777" w:rsidR="003F0524" w:rsidRDefault="003F0524">
            <w:pPr>
              <w:pStyle w:val="Table"/>
              <w:spacing w:before="100" w:after="100"/>
              <w:rPr>
                <w:sz w:val="18"/>
                <w:szCs w:val="18"/>
              </w:rPr>
            </w:pPr>
          </w:p>
        </w:tc>
        <w:tc>
          <w:tcPr>
            <w:tcW w:w="348" w:type="pct"/>
          </w:tcPr>
          <w:p w14:paraId="6E0DE3D3" w14:textId="77777777" w:rsidR="003F0524" w:rsidRDefault="003F0524">
            <w:pPr>
              <w:pStyle w:val="Table"/>
              <w:spacing w:before="100" w:after="100"/>
              <w:rPr>
                <w:sz w:val="18"/>
                <w:szCs w:val="18"/>
              </w:rPr>
            </w:pPr>
          </w:p>
        </w:tc>
        <w:tc>
          <w:tcPr>
            <w:tcW w:w="348" w:type="pct"/>
            <w:gridSpan w:val="2"/>
          </w:tcPr>
          <w:p w14:paraId="25EA1076" w14:textId="77777777" w:rsidR="003F0524" w:rsidRDefault="003F0524">
            <w:pPr>
              <w:pStyle w:val="Table"/>
              <w:spacing w:before="100" w:after="100"/>
              <w:rPr>
                <w:sz w:val="18"/>
                <w:szCs w:val="18"/>
              </w:rPr>
            </w:pPr>
          </w:p>
        </w:tc>
      </w:tr>
      <w:tr w:rsidR="00600AD2" w14:paraId="155AFB58" w14:textId="77777777" w:rsidTr="00E54AE7">
        <w:tc>
          <w:tcPr>
            <w:tcW w:w="3888" w:type="pct"/>
            <w:hideMark/>
          </w:tcPr>
          <w:p w14:paraId="7E5C7C90" w14:textId="6666964D" w:rsidR="003F0524" w:rsidRPr="001C1B29" w:rsidRDefault="003F052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Have you considered if any of the income recorded in the accounts could </w:t>
            </w:r>
            <w:r w:rsidR="00B912A2">
              <w:rPr>
                <w:rFonts w:asciiTheme="minorHAnsi" w:hAnsiTheme="minorHAnsi" w:cstheme="minorHAnsi"/>
                <w:color w:val="090D46" w:themeColor="text1"/>
                <w:sz w:val="18"/>
                <w:szCs w:val="18"/>
              </w:rPr>
              <w:t xml:space="preserve">or should </w:t>
            </w:r>
            <w:r w:rsidRPr="001C1B29">
              <w:rPr>
                <w:rFonts w:asciiTheme="minorHAnsi" w:hAnsiTheme="minorHAnsi" w:cstheme="minorHAnsi"/>
                <w:color w:val="090D46" w:themeColor="text1"/>
                <w:sz w:val="18"/>
                <w:szCs w:val="18"/>
              </w:rPr>
              <w:t>be regarded as unearned income in accordance with the principle in Arthur Murray and therefore should not be included in income for the current year?</w:t>
            </w:r>
          </w:p>
          <w:p w14:paraId="3D239C2B" w14:textId="77777777" w:rsidR="003F0524" w:rsidRPr="001C1B29" w:rsidRDefault="003F052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 xml:space="preserve">Review any deferred income or other creditors shown in the balance sheet to ensure that there is no income which needs to be recognised as being derived for income tax purposes applying the principle in </w:t>
            </w:r>
            <w:r w:rsidRPr="001C1B29">
              <w:rPr>
                <w:rFonts w:asciiTheme="minorHAnsi" w:hAnsiTheme="minorHAnsi" w:cstheme="minorHAnsi"/>
                <w:i/>
                <w:color w:val="090D46" w:themeColor="text1"/>
                <w:sz w:val="18"/>
                <w:szCs w:val="18"/>
              </w:rPr>
              <w:t>Arthur Murray (NSW) Pty Ltd v FCT (1965) 114 CLR 314.</w:t>
            </w:r>
            <w:r w:rsidRPr="001C1B29">
              <w:rPr>
                <w:rFonts w:asciiTheme="minorHAnsi" w:hAnsiTheme="minorHAnsi" w:cstheme="minorHAnsi"/>
                <w:color w:val="090D46" w:themeColor="text1"/>
                <w:sz w:val="18"/>
                <w:szCs w:val="18"/>
              </w:rPr>
              <w:t xml:space="preserve">    </w:t>
            </w:r>
          </w:p>
        </w:tc>
        <w:tc>
          <w:tcPr>
            <w:tcW w:w="416" w:type="pct"/>
          </w:tcPr>
          <w:p w14:paraId="1A2B0134" w14:textId="77777777" w:rsidR="003F0524" w:rsidRDefault="003F0524">
            <w:pPr>
              <w:pStyle w:val="Table"/>
              <w:spacing w:before="100" w:after="100"/>
              <w:rPr>
                <w:sz w:val="18"/>
                <w:szCs w:val="18"/>
              </w:rPr>
            </w:pPr>
          </w:p>
        </w:tc>
        <w:tc>
          <w:tcPr>
            <w:tcW w:w="348" w:type="pct"/>
          </w:tcPr>
          <w:p w14:paraId="7ED9EAB9" w14:textId="77777777" w:rsidR="003F0524" w:rsidRDefault="003F0524">
            <w:pPr>
              <w:pStyle w:val="Table"/>
              <w:spacing w:before="100" w:after="100"/>
              <w:rPr>
                <w:sz w:val="18"/>
                <w:szCs w:val="18"/>
              </w:rPr>
            </w:pPr>
          </w:p>
        </w:tc>
        <w:tc>
          <w:tcPr>
            <w:tcW w:w="348" w:type="pct"/>
            <w:gridSpan w:val="2"/>
          </w:tcPr>
          <w:p w14:paraId="090EBC50" w14:textId="77777777" w:rsidR="003F0524" w:rsidRDefault="003F0524">
            <w:pPr>
              <w:pStyle w:val="Table"/>
              <w:spacing w:before="100" w:after="100"/>
              <w:rPr>
                <w:sz w:val="18"/>
                <w:szCs w:val="18"/>
              </w:rPr>
            </w:pPr>
          </w:p>
        </w:tc>
      </w:tr>
      <w:tr w:rsidR="009B5902" w14:paraId="1D74EA43"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hideMark/>
          </w:tcPr>
          <w:p w14:paraId="5E690DDF" w14:textId="77777777" w:rsidR="003F0524" w:rsidRPr="001C1B29" w:rsidRDefault="003F052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For travel expenses, have travel diaries been kept (where applicable) along with other supporting documentation?</w:t>
            </w:r>
          </w:p>
        </w:tc>
        <w:tc>
          <w:tcPr>
            <w:tcW w:w="416" w:type="pct"/>
          </w:tcPr>
          <w:p w14:paraId="7F4618F9" w14:textId="77777777" w:rsidR="003F0524" w:rsidRDefault="003F0524">
            <w:pPr>
              <w:pStyle w:val="Table"/>
              <w:spacing w:before="100" w:after="100"/>
              <w:rPr>
                <w:sz w:val="18"/>
                <w:szCs w:val="18"/>
              </w:rPr>
            </w:pPr>
          </w:p>
        </w:tc>
        <w:tc>
          <w:tcPr>
            <w:tcW w:w="348" w:type="pct"/>
          </w:tcPr>
          <w:p w14:paraId="3F38F70D" w14:textId="77777777" w:rsidR="003F0524" w:rsidRDefault="003F0524">
            <w:pPr>
              <w:pStyle w:val="Table"/>
              <w:spacing w:before="100" w:after="100"/>
              <w:rPr>
                <w:sz w:val="18"/>
                <w:szCs w:val="18"/>
              </w:rPr>
            </w:pPr>
          </w:p>
        </w:tc>
        <w:tc>
          <w:tcPr>
            <w:tcW w:w="348" w:type="pct"/>
            <w:gridSpan w:val="2"/>
          </w:tcPr>
          <w:p w14:paraId="076A8B76" w14:textId="77777777" w:rsidR="003F0524" w:rsidRDefault="003F0524">
            <w:pPr>
              <w:pStyle w:val="Table"/>
              <w:spacing w:before="100" w:after="100"/>
              <w:rPr>
                <w:sz w:val="18"/>
                <w:szCs w:val="18"/>
              </w:rPr>
            </w:pPr>
          </w:p>
        </w:tc>
      </w:tr>
      <w:tr w:rsidR="00600AD2" w14:paraId="21664D58" w14:textId="77777777" w:rsidTr="00E54AE7">
        <w:tc>
          <w:tcPr>
            <w:tcW w:w="3888" w:type="pct"/>
            <w:hideMark/>
          </w:tcPr>
          <w:p w14:paraId="294BCF41" w14:textId="790F1387" w:rsidR="003F0524" w:rsidRPr="001C1B29" w:rsidRDefault="003F052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Has the timing of income and expenditure been considered for long-term construction contracts (if applicable)</w:t>
            </w:r>
            <w:r w:rsidR="0091393F">
              <w:rPr>
                <w:rFonts w:asciiTheme="minorHAnsi" w:hAnsiTheme="minorHAnsi" w:cstheme="minorHAnsi"/>
                <w:color w:val="090D46" w:themeColor="text1"/>
                <w:sz w:val="18"/>
                <w:szCs w:val="18"/>
              </w:rPr>
              <w:t xml:space="preserve">, having regard to Taxation Ruling </w:t>
            </w:r>
            <w:r w:rsidR="002111A1">
              <w:rPr>
                <w:rFonts w:asciiTheme="minorHAnsi" w:hAnsiTheme="minorHAnsi" w:cstheme="minorHAnsi"/>
                <w:color w:val="090D46" w:themeColor="text1"/>
                <w:sz w:val="18"/>
                <w:szCs w:val="18"/>
              </w:rPr>
              <w:t>TR 2018/3</w:t>
            </w:r>
            <w:r w:rsidRPr="001C1B29">
              <w:rPr>
                <w:rFonts w:asciiTheme="minorHAnsi" w:hAnsiTheme="minorHAnsi" w:cstheme="minorHAnsi"/>
                <w:color w:val="090D46" w:themeColor="text1"/>
                <w:sz w:val="18"/>
                <w:szCs w:val="18"/>
              </w:rPr>
              <w:t>?</w:t>
            </w:r>
          </w:p>
        </w:tc>
        <w:tc>
          <w:tcPr>
            <w:tcW w:w="416" w:type="pct"/>
          </w:tcPr>
          <w:p w14:paraId="5C5AABF5" w14:textId="77777777" w:rsidR="003F0524" w:rsidRDefault="003F0524">
            <w:pPr>
              <w:pStyle w:val="Table"/>
              <w:spacing w:before="100" w:after="100"/>
              <w:rPr>
                <w:sz w:val="18"/>
                <w:szCs w:val="18"/>
              </w:rPr>
            </w:pPr>
          </w:p>
        </w:tc>
        <w:tc>
          <w:tcPr>
            <w:tcW w:w="348" w:type="pct"/>
          </w:tcPr>
          <w:p w14:paraId="1D83AA73" w14:textId="77777777" w:rsidR="003F0524" w:rsidRDefault="003F0524">
            <w:pPr>
              <w:pStyle w:val="Table"/>
              <w:spacing w:before="100" w:after="100"/>
              <w:rPr>
                <w:sz w:val="18"/>
                <w:szCs w:val="18"/>
              </w:rPr>
            </w:pPr>
          </w:p>
        </w:tc>
        <w:tc>
          <w:tcPr>
            <w:tcW w:w="348" w:type="pct"/>
            <w:gridSpan w:val="2"/>
          </w:tcPr>
          <w:p w14:paraId="5F2ECC73" w14:textId="77777777" w:rsidR="003F0524" w:rsidRDefault="003F0524">
            <w:pPr>
              <w:pStyle w:val="Table"/>
              <w:spacing w:before="100" w:after="100"/>
              <w:rPr>
                <w:sz w:val="18"/>
                <w:szCs w:val="18"/>
              </w:rPr>
            </w:pPr>
          </w:p>
        </w:tc>
      </w:tr>
      <w:tr w:rsidR="00EF7B8F" w14:paraId="6191A532" w14:textId="77777777" w:rsidTr="00E54AE7">
        <w:trPr>
          <w:cnfStyle w:val="000000100000" w:firstRow="0" w:lastRow="0" w:firstColumn="0" w:lastColumn="0" w:oddVBand="0" w:evenVBand="0" w:oddHBand="1" w:evenHBand="0" w:firstRowFirstColumn="0" w:firstRowLastColumn="0" w:lastRowFirstColumn="0" w:lastRowLastColumn="0"/>
        </w:trPr>
        <w:tc>
          <w:tcPr>
            <w:tcW w:w="5000" w:type="pct"/>
            <w:gridSpan w:val="5"/>
            <w:shd w:val="clear" w:color="auto" w:fill="0A5CC7" w:themeFill="accent3"/>
          </w:tcPr>
          <w:p w14:paraId="58020BF5" w14:textId="555DDF85" w:rsidR="00EF7B8F" w:rsidRDefault="00EF7B8F">
            <w:pPr>
              <w:pStyle w:val="Table"/>
              <w:spacing w:before="100" w:after="100"/>
              <w:rPr>
                <w:sz w:val="18"/>
                <w:szCs w:val="18"/>
              </w:rPr>
            </w:pPr>
            <w:r w:rsidRPr="001C1B29">
              <w:rPr>
                <w:b/>
                <w:bCs/>
                <w:color w:val="FFFFFF" w:themeColor="background1"/>
                <w:sz w:val="18"/>
                <w:szCs w:val="18"/>
              </w:rPr>
              <w:t>GENERAL</w:t>
            </w:r>
          </w:p>
        </w:tc>
      </w:tr>
      <w:tr w:rsidR="009B5902" w14:paraId="3EE1E96C" w14:textId="77777777" w:rsidTr="00E54AE7">
        <w:tc>
          <w:tcPr>
            <w:tcW w:w="3888" w:type="pct"/>
            <w:hideMark/>
          </w:tcPr>
          <w:p w14:paraId="6CB1DC38" w14:textId="77777777" w:rsidR="003F0524" w:rsidRPr="001C1B29" w:rsidRDefault="003F0524">
            <w:pPr>
              <w:pStyle w:val="Table"/>
              <w:spacing w:before="100" w:after="100"/>
              <w:rPr>
                <w:rFonts w:asciiTheme="minorHAnsi" w:hAnsiTheme="minorHAnsi" w:cstheme="minorHAnsi"/>
                <w:color w:val="090D46" w:themeColor="text1"/>
                <w:sz w:val="18"/>
                <w:szCs w:val="18"/>
              </w:rPr>
            </w:pPr>
            <w:r w:rsidRPr="001C1B29">
              <w:rPr>
                <w:rFonts w:asciiTheme="minorHAnsi" w:hAnsiTheme="minorHAnsi" w:cstheme="minorHAnsi"/>
                <w:color w:val="090D46" w:themeColor="text1"/>
                <w:sz w:val="18"/>
                <w:szCs w:val="18"/>
              </w:rPr>
              <w:t>Has the potential deductibility of expenditure which has been capitalised for accounting purposes (e.g. capitalised interest) been considered?</w:t>
            </w:r>
          </w:p>
        </w:tc>
        <w:tc>
          <w:tcPr>
            <w:tcW w:w="416" w:type="pct"/>
          </w:tcPr>
          <w:p w14:paraId="7E5A3378" w14:textId="77777777" w:rsidR="003F0524" w:rsidRDefault="003F0524">
            <w:pPr>
              <w:pStyle w:val="Table"/>
              <w:spacing w:before="100" w:after="100"/>
              <w:rPr>
                <w:sz w:val="18"/>
                <w:szCs w:val="18"/>
              </w:rPr>
            </w:pPr>
          </w:p>
        </w:tc>
        <w:tc>
          <w:tcPr>
            <w:tcW w:w="348" w:type="pct"/>
          </w:tcPr>
          <w:p w14:paraId="65758EC8" w14:textId="77777777" w:rsidR="003F0524" w:rsidRDefault="003F0524">
            <w:pPr>
              <w:pStyle w:val="Table"/>
              <w:spacing w:before="100" w:after="100"/>
              <w:rPr>
                <w:sz w:val="18"/>
                <w:szCs w:val="18"/>
              </w:rPr>
            </w:pPr>
          </w:p>
        </w:tc>
        <w:tc>
          <w:tcPr>
            <w:tcW w:w="348" w:type="pct"/>
            <w:gridSpan w:val="2"/>
          </w:tcPr>
          <w:p w14:paraId="69F38929" w14:textId="77777777" w:rsidR="003F0524" w:rsidRDefault="003F0524">
            <w:pPr>
              <w:pStyle w:val="Table"/>
              <w:spacing w:before="100" w:after="100"/>
              <w:rPr>
                <w:sz w:val="18"/>
                <w:szCs w:val="18"/>
              </w:rPr>
            </w:pPr>
          </w:p>
        </w:tc>
      </w:tr>
      <w:tr w:rsidR="00600AD2" w14:paraId="431B5E83"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hideMark/>
          </w:tcPr>
          <w:p w14:paraId="6A433288" w14:textId="3C0C57A5" w:rsidR="001C1B29" w:rsidRPr="001C1B29" w:rsidRDefault="003F0524" w:rsidP="009E6C2F">
            <w:pPr>
              <w:pStyle w:val="Table"/>
              <w:spacing w:before="100" w:after="100"/>
              <w:rPr>
                <w:color w:val="090D46" w:themeColor="text1"/>
                <w:sz w:val="18"/>
                <w:szCs w:val="18"/>
              </w:rPr>
            </w:pPr>
            <w:r w:rsidRPr="001C1B29">
              <w:rPr>
                <w:color w:val="090D46" w:themeColor="text1"/>
                <w:sz w:val="18"/>
                <w:szCs w:val="18"/>
              </w:rPr>
              <w:t>Are management fees / consultancy fees paid to related entities calculated on an arm’s length basis and supported by appropriate documentation?</w:t>
            </w:r>
          </w:p>
        </w:tc>
        <w:tc>
          <w:tcPr>
            <w:tcW w:w="416" w:type="pct"/>
          </w:tcPr>
          <w:p w14:paraId="2EF67D26" w14:textId="77777777" w:rsidR="003F0524" w:rsidRDefault="003F0524" w:rsidP="009E6C2F">
            <w:pPr>
              <w:pStyle w:val="Table"/>
              <w:spacing w:before="100" w:after="100"/>
              <w:rPr>
                <w:sz w:val="18"/>
                <w:szCs w:val="18"/>
              </w:rPr>
            </w:pPr>
          </w:p>
        </w:tc>
        <w:tc>
          <w:tcPr>
            <w:tcW w:w="348" w:type="pct"/>
          </w:tcPr>
          <w:p w14:paraId="412BEA4E" w14:textId="77777777" w:rsidR="003F0524" w:rsidRDefault="003F0524" w:rsidP="009E6C2F">
            <w:pPr>
              <w:pStyle w:val="Table"/>
              <w:spacing w:before="100" w:after="100"/>
              <w:rPr>
                <w:sz w:val="18"/>
                <w:szCs w:val="18"/>
              </w:rPr>
            </w:pPr>
          </w:p>
        </w:tc>
        <w:tc>
          <w:tcPr>
            <w:tcW w:w="348" w:type="pct"/>
            <w:gridSpan w:val="2"/>
          </w:tcPr>
          <w:p w14:paraId="4CC88176" w14:textId="77777777" w:rsidR="003F0524" w:rsidRDefault="003F0524" w:rsidP="009E6C2F">
            <w:pPr>
              <w:pStyle w:val="Table"/>
              <w:spacing w:before="100" w:after="100"/>
              <w:rPr>
                <w:sz w:val="18"/>
                <w:szCs w:val="18"/>
              </w:rPr>
            </w:pPr>
          </w:p>
        </w:tc>
      </w:tr>
      <w:tr w:rsidR="00E54AE7" w14:paraId="6763F83E" w14:textId="77777777" w:rsidTr="00E54AE7">
        <w:tc>
          <w:tcPr>
            <w:tcW w:w="3888" w:type="pct"/>
            <w:hideMark/>
          </w:tcPr>
          <w:p w14:paraId="0C05AED8" w14:textId="77777777" w:rsidR="003F0524" w:rsidRPr="001B5872" w:rsidRDefault="003F0524" w:rsidP="009E6C2F">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 xml:space="preserve">Where the trust is carrying on a professional services business does it have a service entity, and is the service fee charged deductible under section 8-1 of the </w:t>
            </w:r>
            <w:r w:rsidRPr="001B5872">
              <w:rPr>
                <w:rFonts w:asciiTheme="minorHAnsi" w:hAnsiTheme="minorHAnsi" w:cstheme="minorHAnsi"/>
                <w:i/>
                <w:color w:val="090D46" w:themeColor="text1"/>
                <w:sz w:val="18"/>
                <w:szCs w:val="18"/>
              </w:rPr>
              <w:t>ITAA 1997</w:t>
            </w:r>
            <w:r w:rsidRPr="001B5872">
              <w:rPr>
                <w:rFonts w:asciiTheme="minorHAnsi" w:hAnsiTheme="minorHAnsi" w:cstheme="minorHAnsi"/>
                <w:color w:val="090D46" w:themeColor="text1"/>
                <w:sz w:val="18"/>
                <w:szCs w:val="18"/>
              </w:rPr>
              <w:t xml:space="preserve"> in accordance with the principles set out in Taxation Ruling TR 2006/2?   </w:t>
            </w:r>
          </w:p>
          <w:p w14:paraId="5111537C" w14:textId="7FBE7187" w:rsidR="003F0524" w:rsidRPr="001B5872" w:rsidRDefault="003F0524" w:rsidP="009E6C2F">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lang w:val="en-GB" w:eastAsia="en-AU"/>
              </w:rPr>
              <w:t xml:space="preserve">ATO guidance </w:t>
            </w:r>
            <w:hyperlink r:id="rId20" w:history="1">
              <w:r w:rsidRPr="001B5872">
                <w:rPr>
                  <w:rStyle w:val="Hyperlink"/>
                  <w:rFonts w:asciiTheme="minorHAnsi" w:hAnsiTheme="minorHAnsi" w:cstheme="minorHAnsi"/>
                  <w:color w:val="0070C0"/>
                  <w:sz w:val="18"/>
                  <w:szCs w:val="18"/>
                  <w:lang w:val="en-GB" w:eastAsia="en-AU"/>
                </w:rPr>
                <w:t>‘Your service entity arrangements’</w:t>
              </w:r>
            </w:hyperlink>
            <w:r w:rsidRPr="001B5872">
              <w:rPr>
                <w:rFonts w:asciiTheme="minorHAnsi" w:hAnsiTheme="minorHAnsi" w:cstheme="minorHAnsi"/>
                <w:i/>
                <w:color w:val="090D46" w:themeColor="text1"/>
                <w:sz w:val="18"/>
                <w:szCs w:val="18"/>
                <w:lang w:val="en-GB" w:eastAsia="en-AU"/>
              </w:rPr>
              <w:t xml:space="preserve"> </w:t>
            </w:r>
            <w:r w:rsidRPr="001B5872">
              <w:rPr>
                <w:rFonts w:asciiTheme="minorHAnsi" w:hAnsiTheme="minorHAnsi" w:cstheme="minorHAnsi"/>
                <w:color w:val="090D46" w:themeColor="text1"/>
                <w:sz w:val="18"/>
                <w:szCs w:val="18"/>
                <w:lang w:val="en-GB" w:eastAsia="en-AU"/>
              </w:rPr>
              <w:t xml:space="preserve">provides practical guidance as to whether the fees charged under a service arrangement are commercially realistic and reasonably connected to the business carried on by the professional practice including a range of ‘safe harbour’ commercial rates that could be applied as a mark-up on the cost of providing particular services. </w:t>
            </w:r>
          </w:p>
        </w:tc>
        <w:tc>
          <w:tcPr>
            <w:tcW w:w="416" w:type="pct"/>
          </w:tcPr>
          <w:p w14:paraId="20BC8CAC" w14:textId="77777777" w:rsidR="003F0524" w:rsidRDefault="003F0524" w:rsidP="009E6C2F">
            <w:pPr>
              <w:pStyle w:val="Table"/>
              <w:spacing w:before="100" w:after="100"/>
              <w:rPr>
                <w:sz w:val="18"/>
                <w:szCs w:val="18"/>
              </w:rPr>
            </w:pPr>
          </w:p>
        </w:tc>
        <w:tc>
          <w:tcPr>
            <w:tcW w:w="348" w:type="pct"/>
          </w:tcPr>
          <w:p w14:paraId="7C6D670A" w14:textId="77777777" w:rsidR="003F0524" w:rsidRDefault="003F0524" w:rsidP="009E6C2F">
            <w:pPr>
              <w:pStyle w:val="Table"/>
              <w:spacing w:before="100" w:after="100"/>
              <w:rPr>
                <w:sz w:val="18"/>
                <w:szCs w:val="18"/>
              </w:rPr>
            </w:pPr>
          </w:p>
        </w:tc>
        <w:tc>
          <w:tcPr>
            <w:tcW w:w="348" w:type="pct"/>
            <w:gridSpan w:val="2"/>
          </w:tcPr>
          <w:p w14:paraId="0C16F28E" w14:textId="77777777" w:rsidR="003F0524" w:rsidRDefault="003F0524" w:rsidP="009E6C2F">
            <w:pPr>
              <w:pStyle w:val="Table"/>
              <w:spacing w:before="100" w:after="100"/>
              <w:rPr>
                <w:sz w:val="18"/>
                <w:szCs w:val="18"/>
              </w:rPr>
            </w:pPr>
          </w:p>
        </w:tc>
      </w:tr>
      <w:tr w:rsidR="00E54AE7" w14:paraId="491AC30E"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hideMark/>
          </w:tcPr>
          <w:p w14:paraId="01374762" w14:textId="77777777" w:rsidR="003F0524" w:rsidRPr="001B5872" w:rsidRDefault="003F0524" w:rsidP="009E6C2F">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 xml:space="preserve">Has the holding period rule been considered in respect of franking credits received? That is, have ordinary (preference) shares been held at risk for at least 45 (90) days? </w:t>
            </w:r>
          </w:p>
          <w:p w14:paraId="40BA1A72" w14:textId="77777777" w:rsidR="003F0524" w:rsidRPr="001B5872" w:rsidRDefault="003F0524" w:rsidP="009E6C2F">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 xml:space="preserve">Where appropriate, has a family trust election been lodged in order to comply with the holding period rule? </w:t>
            </w:r>
          </w:p>
          <w:p w14:paraId="3E9568D3" w14:textId="2E7BD6AF" w:rsidR="003F0524" w:rsidRPr="001B5872" w:rsidRDefault="003F0524" w:rsidP="009E6C2F">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If no election has been lodged, can beneficiaries of such trusts potentially rely on the small shareholder exception</w:t>
            </w:r>
            <w:r w:rsidR="003B4211">
              <w:rPr>
                <w:rFonts w:asciiTheme="minorHAnsi" w:hAnsiTheme="minorHAnsi" w:cstheme="minorHAnsi"/>
                <w:color w:val="090D46" w:themeColor="text1"/>
                <w:sz w:val="18"/>
                <w:szCs w:val="18"/>
              </w:rPr>
              <w:t xml:space="preserve"> to access franking credits</w:t>
            </w:r>
            <w:r w:rsidRPr="001B5872">
              <w:rPr>
                <w:rFonts w:asciiTheme="minorHAnsi" w:hAnsiTheme="minorHAnsi" w:cstheme="minorHAnsi"/>
                <w:color w:val="090D46" w:themeColor="text1"/>
                <w:sz w:val="18"/>
                <w:szCs w:val="18"/>
              </w:rPr>
              <w:t>?</w:t>
            </w:r>
          </w:p>
        </w:tc>
        <w:tc>
          <w:tcPr>
            <w:tcW w:w="416" w:type="pct"/>
          </w:tcPr>
          <w:p w14:paraId="04E32AB1" w14:textId="77777777" w:rsidR="003F0524" w:rsidRDefault="003F0524" w:rsidP="009E6C2F">
            <w:pPr>
              <w:pStyle w:val="Table"/>
              <w:spacing w:before="100" w:after="100"/>
              <w:rPr>
                <w:sz w:val="18"/>
                <w:szCs w:val="18"/>
              </w:rPr>
            </w:pPr>
          </w:p>
        </w:tc>
        <w:tc>
          <w:tcPr>
            <w:tcW w:w="348" w:type="pct"/>
          </w:tcPr>
          <w:p w14:paraId="19E97915" w14:textId="77777777" w:rsidR="003F0524" w:rsidRDefault="003F0524" w:rsidP="009E6C2F">
            <w:pPr>
              <w:pStyle w:val="Table"/>
              <w:spacing w:before="100" w:after="100"/>
              <w:rPr>
                <w:sz w:val="18"/>
                <w:szCs w:val="18"/>
              </w:rPr>
            </w:pPr>
          </w:p>
        </w:tc>
        <w:tc>
          <w:tcPr>
            <w:tcW w:w="348" w:type="pct"/>
            <w:gridSpan w:val="2"/>
          </w:tcPr>
          <w:p w14:paraId="2CD6D79F" w14:textId="77777777" w:rsidR="003F0524" w:rsidRDefault="003F0524" w:rsidP="009E6C2F">
            <w:pPr>
              <w:pStyle w:val="Table"/>
              <w:spacing w:before="100" w:after="100"/>
              <w:rPr>
                <w:sz w:val="18"/>
                <w:szCs w:val="18"/>
              </w:rPr>
            </w:pPr>
          </w:p>
        </w:tc>
      </w:tr>
      <w:tr w:rsidR="00E54AE7" w14:paraId="3B956C80" w14:textId="77777777" w:rsidTr="00E54AE7">
        <w:tc>
          <w:tcPr>
            <w:tcW w:w="3888" w:type="pct"/>
            <w:hideMark/>
          </w:tcPr>
          <w:p w14:paraId="22B9D730" w14:textId="77777777" w:rsidR="003F0524" w:rsidRPr="001B5872" w:rsidRDefault="003F0524" w:rsidP="009E6C2F">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Payments made or non-cash benefits provided on or after 1 July 2019 to an employee, director, religious practitioner or under a labour hire agreement are not deductible if the payer fails to withhold (or in the case of a non-cash benefit pay an amount), under the PAYG withholding system or fails to notify the ATO where required to do so.</w:t>
            </w:r>
          </w:p>
        </w:tc>
        <w:tc>
          <w:tcPr>
            <w:tcW w:w="416" w:type="pct"/>
          </w:tcPr>
          <w:p w14:paraId="4E8123E1" w14:textId="77777777" w:rsidR="003F0524" w:rsidRDefault="003F0524" w:rsidP="009E6C2F">
            <w:pPr>
              <w:pStyle w:val="Table"/>
              <w:spacing w:before="100" w:after="100"/>
              <w:rPr>
                <w:sz w:val="18"/>
                <w:szCs w:val="18"/>
              </w:rPr>
            </w:pPr>
          </w:p>
        </w:tc>
        <w:tc>
          <w:tcPr>
            <w:tcW w:w="348" w:type="pct"/>
          </w:tcPr>
          <w:p w14:paraId="4B4A479A" w14:textId="77777777" w:rsidR="003F0524" w:rsidRDefault="003F0524" w:rsidP="009E6C2F">
            <w:pPr>
              <w:pStyle w:val="Table"/>
              <w:spacing w:before="100" w:after="100"/>
              <w:rPr>
                <w:sz w:val="18"/>
                <w:szCs w:val="18"/>
              </w:rPr>
            </w:pPr>
          </w:p>
        </w:tc>
        <w:tc>
          <w:tcPr>
            <w:tcW w:w="348" w:type="pct"/>
            <w:gridSpan w:val="2"/>
          </w:tcPr>
          <w:p w14:paraId="7BA9C91E" w14:textId="77777777" w:rsidR="003F0524" w:rsidRDefault="003F0524" w:rsidP="009E6C2F">
            <w:pPr>
              <w:pStyle w:val="Table"/>
              <w:spacing w:before="100" w:after="100"/>
              <w:rPr>
                <w:sz w:val="18"/>
                <w:szCs w:val="18"/>
              </w:rPr>
            </w:pPr>
          </w:p>
        </w:tc>
      </w:tr>
      <w:tr w:rsidR="00E54AE7" w14:paraId="7E2ED953"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hideMark/>
          </w:tcPr>
          <w:p w14:paraId="6E7033DA" w14:textId="77777777" w:rsidR="003F0524" w:rsidRPr="001B5872" w:rsidRDefault="003F0524" w:rsidP="009E6C2F">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All payments under the JobMaker Hiring Credit Scheme are assessable as ordinary income. Normal deductions apply for amounts paid to employees if those amounts are subsidised by JobMaker Hiring Credits.</w:t>
            </w:r>
          </w:p>
        </w:tc>
        <w:tc>
          <w:tcPr>
            <w:tcW w:w="416" w:type="pct"/>
          </w:tcPr>
          <w:p w14:paraId="61822BBA" w14:textId="77777777" w:rsidR="003F0524" w:rsidRDefault="003F0524" w:rsidP="009E6C2F">
            <w:pPr>
              <w:pStyle w:val="Table"/>
              <w:spacing w:before="100" w:after="100"/>
              <w:rPr>
                <w:sz w:val="18"/>
                <w:szCs w:val="18"/>
              </w:rPr>
            </w:pPr>
          </w:p>
        </w:tc>
        <w:tc>
          <w:tcPr>
            <w:tcW w:w="348" w:type="pct"/>
          </w:tcPr>
          <w:p w14:paraId="59D47063" w14:textId="77777777" w:rsidR="003F0524" w:rsidRDefault="003F0524" w:rsidP="009E6C2F">
            <w:pPr>
              <w:pStyle w:val="Table"/>
              <w:spacing w:before="100" w:after="100"/>
              <w:rPr>
                <w:sz w:val="18"/>
                <w:szCs w:val="18"/>
              </w:rPr>
            </w:pPr>
          </w:p>
        </w:tc>
        <w:tc>
          <w:tcPr>
            <w:tcW w:w="348" w:type="pct"/>
            <w:gridSpan w:val="2"/>
          </w:tcPr>
          <w:p w14:paraId="45E85C6F" w14:textId="77777777" w:rsidR="003F0524" w:rsidRDefault="003F0524" w:rsidP="009E6C2F">
            <w:pPr>
              <w:pStyle w:val="Table"/>
              <w:spacing w:before="100" w:after="100"/>
              <w:rPr>
                <w:sz w:val="18"/>
                <w:szCs w:val="18"/>
              </w:rPr>
            </w:pPr>
          </w:p>
        </w:tc>
      </w:tr>
      <w:tr w:rsidR="00E54AE7" w14:paraId="1F2E9900" w14:textId="77777777" w:rsidTr="00E54AE7">
        <w:tc>
          <w:tcPr>
            <w:tcW w:w="3888" w:type="pct"/>
            <w:hideMark/>
          </w:tcPr>
          <w:p w14:paraId="66543E89" w14:textId="77777777" w:rsidR="003F0524" w:rsidRPr="001B5872" w:rsidRDefault="003F0524" w:rsidP="009E6C2F">
            <w:pPr>
              <w:pStyle w:val="Table"/>
              <w:spacing w:before="100" w:after="100"/>
              <w:rPr>
                <w:rFonts w:asciiTheme="minorHAnsi" w:hAnsiTheme="minorHAnsi" w:cstheme="minorHAnsi"/>
                <w:b/>
                <w:bCs/>
                <w:color w:val="090D46" w:themeColor="text1"/>
                <w:sz w:val="18"/>
                <w:szCs w:val="18"/>
              </w:rPr>
            </w:pPr>
            <w:r w:rsidRPr="001B5872">
              <w:rPr>
                <w:rFonts w:asciiTheme="minorHAnsi" w:hAnsiTheme="minorHAnsi" w:cstheme="minorHAnsi"/>
                <w:b/>
                <w:bCs/>
                <w:color w:val="090D46" w:themeColor="text1"/>
                <w:sz w:val="18"/>
                <w:szCs w:val="18"/>
              </w:rPr>
              <w:t>Limiting deductions associated with holding vacant land</w:t>
            </w:r>
          </w:p>
          <w:p w14:paraId="48EFF180" w14:textId="77777777" w:rsidR="003F0524" w:rsidRPr="001B5872" w:rsidRDefault="003F0524" w:rsidP="009E6C2F">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Taxpayers who incur costs in respect of holding vacant land, such as interest, land tax, council rates and maintenance costs, will not be eligible to claim a deduction unless the taxpayer is an ‘excluded entity’ or the property is used in carrying on a business as prescribed in the legislation.</w:t>
            </w:r>
          </w:p>
          <w:p w14:paraId="38108C46" w14:textId="77777777" w:rsidR="003F0524" w:rsidRPr="001B5872" w:rsidRDefault="003F0524" w:rsidP="009E6C2F">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 xml:space="preserve">Disallowed deductions may form part of the cost base of the vacant land for CGT purposes. </w:t>
            </w:r>
          </w:p>
          <w:p w14:paraId="6DE22BEC" w14:textId="77777777" w:rsidR="003F0524" w:rsidRPr="00E83991" w:rsidRDefault="003F0524" w:rsidP="009E6C2F">
            <w:pPr>
              <w:pStyle w:val="Table"/>
              <w:spacing w:before="100" w:after="100"/>
              <w:rPr>
                <w:rFonts w:asciiTheme="minorHAnsi" w:hAnsiTheme="minorHAnsi" w:cstheme="minorHAnsi"/>
                <w:i/>
                <w:color w:val="090D46" w:themeColor="text1"/>
                <w:sz w:val="18"/>
                <w:szCs w:val="18"/>
              </w:rPr>
            </w:pPr>
            <w:r w:rsidRPr="00E83991">
              <w:rPr>
                <w:rFonts w:asciiTheme="minorHAnsi" w:hAnsiTheme="minorHAnsi" w:cstheme="minorHAnsi"/>
                <w:i/>
                <w:color w:val="090D46" w:themeColor="text1"/>
                <w:sz w:val="18"/>
                <w:szCs w:val="18"/>
              </w:rPr>
              <w:t>Excluded entities</w:t>
            </w:r>
          </w:p>
          <w:p w14:paraId="18BBFC6A" w14:textId="77777777" w:rsidR="003F0524" w:rsidRPr="001B5872" w:rsidRDefault="003F0524" w:rsidP="009E6C2F">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The following taxpayers are excluded from these rules and can continue to claim deductions for the holding costs:</w:t>
            </w:r>
          </w:p>
          <w:p w14:paraId="7ECF35C3" w14:textId="77777777" w:rsidR="003F0524" w:rsidRPr="001B5872" w:rsidRDefault="003F0524" w:rsidP="001B5872">
            <w:pPr>
              <w:pStyle w:val="ListBullet"/>
            </w:pPr>
            <w:r w:rsidRPr="001B5872">
              <w:t>corporate tax entities</w:t>
            </w:r>
          </w:p>
          <w:p w14:paraId="6E4E7013" w14:textId="77777777" w:rsidR="003F0524" w:rsidRPr="001B5872" w:rsidRDefault="003F0524" w:rsidP="001B5872">
            <w:pPr>
              <w:pStyle w:val="ListBullet"/>
            </w:pPr>
            <w:r w:rsidRPr="001B5872">
              <w:t>managed investment trusts</w:t>
            </w:r>
          </w:p>
          <w:p w14:paraId="522E7B04" w14:textId="77777777" w:rsidR="003F0524" w:rsidRPr="001B5872" w:rsidRDefault="003F0524" w:rsidP="001B5872">
            <w:pPr>
              <w:pStyle w:val="ListBullet"/>
            </w:pPr>
            <w:r w:rsidRPr="001B5872">
              <w:t>superannuation funds (other than SMSFs)</w:t>
            </w:r>
          </w:p>
          <w:p w14:paraId="5C323ADE" w14:textId="77777777" w:rsidR="003F0524" w:rsidRPr="001B5872" w:rsidRDefault="003F0524" w:rsidP="001B5872">
            <w:pPr>
              <w:pStyle w:val="ListBullet"/>
            </w:pPr>
            <w:r w:rsidRPr="001B5872">
              <w:t>public unit trusts</w:t>
            </w:r>
          </w:p>
          <w:p w14:paraId="37D397B0" w14:textId="2AF9BC79" w:rsidR="00EF7B8F" w:rsidRPr="00EF7B8F" w:rsidRDefault="003F0524" w:rsidP="00EF7B8F">
            <w:pPr>
              <w:pStyle w:val="ListBullet"/>
            </w:pPr>
            <w:r w:rsidRPr="001B5872">
              <w:t>unit trusts or partnerships of which all the members are entities mentioned above.</w:t>
            </w:r>
          </w:p>
          <w:p w14:paraId="13AF84E7" w14:textId="77777777" w:rsidR="003F0524" w:rsidRPr="00E83991" w:rsidRDefault="003F0524" w:rsidP="009E6C2F">
            <w:pPr>
              <w:pStyle w:val="Table"/>
              <w:spacing w:before="100" w:after="100"/>
              <w:rPr>
                <w:rFonts w:asciiTheme="minorHAnsi" w:hAnsiTheme="minorHAnsi" w:cstheme="minorHAnsi"/>
                <w:i/>
                <w:color w:val="090D46" w:themeColor="text1"/>
                <w:sz w:val="18"/>
                <w:szCs w:val="18"/>
              </w:rPr>
            </w:pPr>
            <w:r w:rsidRPr="00E83991">
              <w:rPr>
                <w:rFonts w:asciiTheme="minorHAnsi" w:hAnsiTheme="minorHAnsi" w:cstheme="minorHAnsi"/>
                <w:i/>
                <w:color w:val="090D46" w:themeColor="text1"/>
                <w:sz w:val="18"/>
                <w:szCs w:val="18"/>
              </w:rPr>
              <w:t>Carrying on a business</w:t>
            </w:r>
          </w:p>
          <w:p w14:paraId="3737B156" w14:textId="5951B066" w:rsidR="00BB6F90" w:rsidRPr="00EF7B8F" w:rsidRDefault="003F0524" w:rsidP="00EF7B8F">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A taxpayer that is not an excluded entity may be allowed a deduction for the holding costs if:</w:t>
            </w:r>
          </w:p>
        </w:tc>
        <w:tc>
          <w:tcPr>
            <w:tcW w:w="416" w:type="pct"/>
          </w:tcPr>
          <w:p w14:paraId="6E9B0B47" w14:textId="77777777" w:rsidR="003F0524" w:rsidRDefault="003F0524" w:rsidP="009E6C2F">
            <w:pPr>
              <w:pStyle w:val="Table"/>
              <w:spacing w:before="100" w:after="100"/>
              <w:rPr>
                <w:sz w:val="18"/>
                <w:szCs w:val="18"/>
              </w:rPr>
            </w:pPr>
          </w:p>
        </w:tc>
        <w:tc>
          <w:tcPr>
            <w:tcW w:w="348" w:type="pct"/>
          </w:tcPr>
          <w:p w14:paraId="4D0C973B" w14:textId="77777777" w:rsidR="003F0524" w:rsidRDefault="003F0524" w:rsidP="009E6C2F">
            <w:pPr>
              <w:pStyle w:val="Table"/>
              <w:spacing w:before="100" w:after="100"/>
              <w:rPr>
                <w:sz w:val="18"/>
                <w:szCs w:val="18"/>
              </w:rPr>
            </w:pPr>
          </w:p>
        </w:tc>
        <w:tc>
          <w:tcPr>
            <w:tcW w:w="348" w:type="pct"/>
            <w:gridSpan w:val="2"/>
          </w:tcPr>
          <w:p w14:paraId="771296C2" w14:textId="77777777" w:rsidR="003F0524" w:rsidRDefault="003F0524" w:rsidP="009E6C2F">
            <w:pPr>
              <w:pStyle w:val="Table"/>
              <w:spacing w:before="100" w:after="100"/>
              <w:rPr>
                <w:sz w:val="18"/>
                <w:szCs w:val="18"/>
              </w:rPr>
            </w:pPr>
          </w:p>
        </w:tc>
      </w:tr>
      <w:tr w:rsidR="00EF7B8F" w14:paraId="4131461C" w14:textId="77777777" w:rsidTr="00E54AE7">
        <w:trPr>
          <w:cnfStyle w:val="000000100000" w:firstRow="0" w:lastRow="0" w:firstColumn="0" w:lastColumn="0" w:oddVBand="0" w:evenVBand="0" w:oddHBand="1" w:evenHBand="0" w:firstRowFirstColumn="0" w:firstRowLastColumn="0" w:lastRowFirstColumn="0" w:lastRowLastColumn="0"/>
        </w:trPr>
        <w:tc>
          <w:tcPr>
            <w:tcW w:w="5000" w:type="pct"/>
            <w:gridSpan w:val="5"/>
            <w:shd w:val="clear" w:color="auto" w:fill="0A5CC7" w:themeFill="accent3"/>
          </w:tcPr>
          <w:p w14:paraId="7035209E" w14:textId="2B090DE4" w:rsidR="00EF7B8F" w:rsidRDefault="00EF7B8F" w:rsidP="009E6C2F">
            <w:pPr>
              <w:pStyle w:val="Table"/>
              <w:spacing w:before="100" w:after="100"/>
              <w:rPr>
                <w:sz w:val="18"/>
                <w:szCs w:val="18"/>
              </w:rPr>
            </w:pPr>
            <w:r w:rsidRPr="001C1B29">
              <w:rPr>
                <w:b/>
                <w:bCs/>
                <w:color w:val="FFFFFF" w:themeColor="background1"/>
                <w:sz w:val="18"/>
                <w:szCs w:val="18"/>
              </w:rPr>
              <w:t>GENERAL</w:t>
            </w:r>
            <w:r>
              <w:rPr>
                <w:b/>
                <w:bCs/>
                <w:color w:val="FFFFFF" w:themeColor="background1"/>
                <w:sz w:val="18"/>
                <w:szCs w:val="18"/>
              </w:rPr>
              <w:t xml:space="preserve"> (CONTINUED)</w:t>
            </w:r>
          </w:p>
        </w:tc>
      </w:tr>
      <w:tr w:rsidR="00EF7B8F" w14:paraId="19578F7A" w14:textId="77777777" w:rsidTr="00E54AE7">
        <w:tc>
          <w:tcPr>
            <w:tcW w:w="3888" w:type="pct"/>
          </w:tcPr>
          <w:p w14:paraId="3E26F292" w14:textId="77777777" w:rsidR="00EF7B8F" w:rsidRPr="001B5872" w:rsidRDefault="00EF7B8F" w:rsidP="00EF7B8F">
            <w:pPr>
              <w:pStyle w:val="ListBullet"/>
            </w:pPr>
            <w:r w:rsidRPr="001B5872">
              <w:t>the vacant land is used (or available to use) in a business carried on by the taxpayer (or related or affiliated entity) for the purpose of gaining or producing assessable income</w:t>
            </w:r>
          </w:p>
          <w:p w14:paraId="7734A3AD" w14:textId="77777777" w:rsidR="00EF7B8F" w:rsidRPr="001B5872" w:rsidRDefault="00EF7B8F" w:rsidP="00EF7B8F">
            <w:pPr>
              <w:pStyle w:val="ListBullet"/>
            </w:pPr>
            <w:r w:rsidRPr="001B5872">
              <w:t>the vacant land is vacant because of a natural disaster or exceptional circumstances</w:t>
            </w:r>
          </w:p>
          <w:p w14:paraId="39781F7B" w14:textId="77777777" w:rsidR="00EF7B8F" w:rsidRPr="001B5872" w:rsidRDefault="00EF7B8F" w:rsidP="00EF7B8F">
            <w:pPr>
              <w:pStyle w:val="ListBullet"/>
            </w:pPr>
            <w:r w:rsidRPr="001B5872">
              <w:t>the taxpayer (or related or affiliated entity) carries on a primary production business on the vacant land or</w:t>
            </w:r>
          </w:p>
          <w:p w14:paraId="42EFD17B" w14:textId="778F16B7" w:rsidR="00EF7B8F" w:rsidRPr="00EF7B8F" w:rsidRDefault="00EF7B8F" w:rsidP="00EF7B8F">
            <w:pPr>
              <w:pStyle w:val="ListBullet"/>
            </w:pPr>
            <w:r>
              <w:t>the land is leased or hired (under an arm’s length dealing) and is used or available for use in carrying on a business.</w:t>
            </w:r>
          </w:p>
        </w:tc>
        <w:tc>
          <w:tcPr>
            <w:tcW w:w="416" w:type="pct"/>
          </w:tcPr>
          <w:p w14:paraId="054426D7" w14:textId="77777777" w:rsidR="00EF7B8F" w:rsidRDefault="00EF7B8F" w:rsidP="009E6C2F">
            <w:pPr>
              <w:pStyle w:val="Table"/>
              <w:spacing w:before="100" w:after="100"/>
              <w:rPr>
                <w:sz w:val="18"/>
                <w:szCs w:val="18"/>
              </w:rPr>
            </w:pPr>
          </w:p>
        </w:tc>
        <w:tc>
          <w:tcPr>
            <w:tcW w:w="348" w:type="pct"/>
          </w:tcPr>
          <w:p w14:paraId="2292C0B4" w14:textId="77777777" w:rsidR="00EF7B8F" w:rsidRDefault="00EF7B8F" w:rsidP="009E6C2F">
            <w:pPr>
              <w:pStyle w:val="Table"/>
              <w:spacing w:before="100" w:after="100"/>
              <w:rPr>
                <w:sz w:val="18"/>
                <w:szCs w:val="18"/>
              </w:rPr>
            </w:pPr>
          </w:p>
        </w:tc>
        <w:tc>
          <w:tcPr>
            <w:tcW w:w="348" w:type="pct"/>
            <w:gridSpan w:val="2"/>
          </w:tcPr>
          <w:p w14:paraId="72F76E83" w14:textId="77777777" w:rsidR="00EF7B8F" w:rsidRDefault="00EF7B8F" w:rsidP="009E6C2F">
            <w:pPr>
              <w:pStyle w:val="Table"/>
              <w:spacing w:before="100" w:after="100"/>
              <w:rPr>
                <w:sz w:val="18"/>
                <w:szCs w:val="18"/>
              </w:rPr>
            </w:pPr>
          </w:p>
        </w:tc>
      </w:tr>
      <w:tr w:rsidR="003F0524" w14:paraId="47333F74" w14:textId="77777777" w:rsidTr="00E54AE7">
        <w:trPr>
          <w:gridAfter w:val="1"/>
          <w:cnfStyle w:val="000000100000" w:firstRow="0" w:lastRow="0" w:firstColumn="0" w:lastColumn="0" w:oddVBand="0" w:evenVBand="0" w:oddHBand="1" w:evenHBand="0" w:firstRowFirstColumn="0" w:firstRowLastColumn="0" w:lastRowFirstColumn="0" w:lastRowLastColumn="0"/>
          <w:wAfter w:w="3" w:type="pct"/>
        </w:trPr>
        <w:tc>
          <w:tcPr>
            <w:tcW w:w="4997" w:type="pct"/>
            <w:gridSpan w:val="4"/>
            <w:shd w:val="clear" w:color="auto" w:fill="0A5CC7" w:themeFill="accent3"/>
            <w:hideMark/>
          </w:tcPr>
          <w:p w14:paraId="5735D4D8" w14:textId="77777777" w:rsidR="003F0524" w:rsidRPr="001B5872" w:rsidRDefault="003F0524" w:rsidP="009E6C2F">
            <w:pPr>
              <w:pStyle w:val="Tableheading"/>
              <w:spacing w:before="100" w:after="100"/>
              <w:rPr>
                <w:bCs/>
                <w:color w:val="FFFFFF" w:themeColor="background1"/>
                <w:sz w:val="18"/>
                <w:szCs w:val="18"/>
              </w:rPr>
            </w:pPr>
            <w:r w:rsidRPr="001B5872">
              <w:rPr>
                <w:bCs/>
                <w:color w:val="FFFFFF" w:themeColor="background1"/>
                <w:sz w:val="18"/>
                <w:szCs w:val="18"/>
              </w:rPr>
              <w:t xml:space="preserve">DECLINE IN VALUE (DEPRECIATION) </w:t>
            </w:r>
          </w:p>
        </w:tc>
      </w:tr>
      <w:tr w:rsidR="00EF7B8F" w14:paraId="558DC836" w14:textId="77777777" w:rsidTr="00E54AE7">
        <w:tc>
          <w:tcPr>
            <w:tcW w:w="3888" w:type="pct"/>
            <w:hideMark/>
          </w:tcPr>
          <w:p w14:paraId="14162EF1" w14:textId="77777777" w:rsidR="003F0524" w:rsidRPr="001B5872" w:rsidRDefault="003F0524" w:rsidP="009E6C2F">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Have you ensured this year’s tax opening adjustable value balance agrees to last year’s closing adjustable value?</w:t>
            </w:r>
          </w:p>
        </w:tc>
        <w:tc>
          <w:tcPr>
            <w:tcW w:w="416" w:type="pct"/>
          </w:tcPr>
          <w:p w14:paraId="3213994F" w14:textId="77777777" w:rsidR="003F0524" w:rsidRDefault="003F0524" w:rsidP="009E6C2F">
            <w:pPr>
              <w:pStyle w:val="Table"/>
              <w:spacing w:before="100" w:after="100"/>
              <w:rPr>
                <w:sz w:val="18"/>
                <w:szCs w:val="18"/>
              </w:rPr>
            </w:pPr>
          </w:p>
        </w:tc>
        <w:tc>
          <w:tcPr>
            <w:tcW w:w="348" w:type="pct"/>
          </w:tcPr>
          <w:p w14:paraId="34ED49A9" w14:textId="77777777" w:rsidR="003F0524" w:rsidRDefault="003F0524" w:rsidP="009E6C2F">
            <w:pPr>
              <w:pStyle w:val="Table"/>
              <w:spacing w:before="100" w:after="100"/>
              <w:rPr>
                <w:sz w:val="18"/>
                <w:szCs w:val="18"/>
              </w:rPr>
            </w:pPr>
          </w:p>
        </w:tc>
        <w:tc>
          <w:tcPr>
            <w:tcW w:w="348" w:type="pct"/>
            <w:gridSpan w:val="2"/>
          </w:tcPr>
          <w:p w14:paraId="0E2FA9B2" w14:textId="77777777" w:rsidR="003F0524" w:rsidRDefault="003F0524" w:rsidP="009E6C2F">
            <w:pPr>
              <w:pStyle w:val="Table"/>
              <w:spacing w:before="100" w:after="100"/>
              <w:rPr>
                <w:sz w:val="18"/>
                <w:szCs w:val="18"/>
              </w:rPr>
            </w:pPr>
          </w:p>
        </w:tc>
      </w:tr>
      <w:tr w:rsidR="00EF7B8F" w14:paraId="08DF4F19"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hideMark/>
          </w:tcPr>
          <w:p w14:paraId="3B46A273" w14:textId="19C76BAC" w:rsidR="003F0524" w:rsidRPr="001B5872" w:rsidRDefault="003F0524" w:rsidP="009E6C2F">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Has the effective life of new acquisitions been reviewed applying Taxation Ruling TR  202</w:t>
            </w:r>
            <w:r w:rsidR="00524572">
              <w:rPr>
                <w:rFonts w:asciiTheme="minorHAnsi" w:hAnsiTheme="minorHAnsi" w:cstheme="minorHAnsi"/>
                <w:color w:val="090D46" w:themeColor="text1"/>
                <w:sz w:val="18"/>
                <w:szCs w:val="18"/>
              </w:rPr>
              <w:t>2</w:t>
            </w:r>
            <w:r w:rsidRPr="001B5872">
              <w:rPr>
                <w:rFonts w:asciiTheme="minorHAnsi" w:hAnsiTheme="minorHAnsi" w:cstheme="minorHAnsi"/>
                <w:color w:val="090D46" w:themeColor="text1"/>
                <w:sz w:val="18"/>
                <w:szCs w:val="18"/>
              </w:rPr>
              <w:t>/</w:t>
            </w:r>
            <w:r w:rsidR="00524572">
              <w:rPr>
                <w:rFonts w:asciiTheme="minorHAnsi" w:hAnsiTheme="minorHAnsi" w:cstheme="minorHAnsi"/>
                <w:color w:val="090D46" w:themeColor="text1"/>
                <w:sz w:val="18"/>
                <w:szCs w:val="18"/>
              </w:rPr>
              <w:t>1</w:t>
            </w:r>
            <w:r w:rsidRPr="001B5872">
              <w:rPr>
                <w:rFonts w:asciiTheme="minorHAnsi" w:hAnsiTheme="minorHAnsi" w:cstheme="minorHAnsi"/>
                <w:color w:val="090D46" w:themeColor="text1"/>
                <w:sz w:val="18"/>
                <w:szCs w:val="18"/>
              </w:rPr>
              <w:t xml:space="preserve">? </w:t>
            </w:r>
          </w:p>
          <w:p w14:paraId="1FD2DFA9" w14:textId="77777777" w:rsidR="003F0524" w:rsidRPr="001B5872" w:rsidRDefault="003F0524" w:rsidP="009E6C2F">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 xml:space="preserve">Is there merit in self-assessing the effective life of any acquired depreciating assets during the year (and, if so, has any documentation been retained to justify any shorter effective life applied, and disclosure been made in the return)? In determining whether to self-assess the effective life be mindful of assets where this is not allowable, e.g. certain intangible assets in section 40-95(7) of the </w:t>
            </w:r>
            <w:r w:rsidRPr="001B5872">
              <w:rPr>
                <w:rFonts w:asciiTheme="minorHAnsi" w:hAnsiTheme="minorHAnsi" w:cstheme="minorHAnsi"/>
                <w:i/>
                <w:color w:val="090D46" w:themeColor="text1"/>
                <w:sz w:val="18"/>
                <w:szCs w:val="18"/>
              </w:rPr>
              <w:t>ITAA 1997.</w:t>
            </w:r>
          </w:p>
        </w:tc>
        <w:tc>
          <w:tcPr>
            <w:tcW w:w="416" w:type="pct"/>
          </w:tcPr>
          <w:p w14:paraId="77DB0D9D" w14:textId="77777777" w:rsidR="003F0524" w:rsidRDefault="003F0524" w:rsidP="009E6C2F">
            <w:pPr>
              <w:pStyle w:val="Table"/>
              <w:spacing w:before="100" w:after="100"/>
              <w:rPr>
                <w:sz w:val="18"/>
                <w:szCs w:val="18"/>
              </w:rPr>
            </w:pPr>
          </w:p>
        </w:tc>
        <w:tc>
          <w:tcPr>
            <w:tcW w:w="348" w:type="pct"/>
          </w:tcPr>
          <w:p w14:paraId="29A63B38" w14:textId="77777777" w:rsidR="003F0524" w:rsidRDefault="003F0524" w:rsidP="009E6C2F">
            <w:pPr>
              <w:pStyle w:val="Table"/>
              <w:spacing w:before="100" w:after="100"/>
              <w:rPr>
                <w:sz w:val="18"/>
                <w:szCs w:val="18"/>
              </w:rPr>
            </w:pPr>
          </w:p>
        </w:tc>
        <w:tc>
          <w:tcPr>
            <w:tcW w:w="348" w:type="pct"/>
            <w:gridSpan w:val="2"/>
          </w:tcPr>
          <w:p w14:paraId="693A9E7F" w14:textId="77777777" w:rsidR="003F0524" w:rsidRDefault="003F0524" w:rsidP="009E6C2F">
            <w:pPr>
              <w:pStyle w:val="Table"/>
              <w:spacing w:before="100" w:after="100"/>
              <w:rPr>
                <w:sz w:val="18"/>
                <w:szCs w:val="18"/>
              </w:rPr>
            </w:pPr>
          </w:p>
        </w:tc>
      </w:tr>
      <w:tr w:rsidR="00EF7B8F" w14:paraId="50CC0390" w14:textId="77777777" w:rsidTr="00E54AE7">
        <w:tc>
          <w:tcPr>
            <w:tcW w:w="3888" w:type="pct"/>
            <w:hideMark/>
          </w:tcPr>
          <w:p w14:paraId="79EA2734" w14:textId="77777777" w:rsidR="003F0524" w:rsidRPr="001B5872" w:rsidRDefault="003F0524" w:rsidP="009E6C2F">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Have improvements to depreciating assets expensed for accounting purposes as repairs, been capitalised for tax purposes, and included as additions to the tax fixed assets schedule and depreciated?</w:t>
            </w:r>
          </w:p>
        </w:tc>
        <w:tc>
          <w:tcPr>
            <w:tcW w:w="416" w:type="pct"/>
          </w:tcPr>
          <w:p w14:paraId="26EEEDC7" w14:textId="77777777" w:rsidR="003F0524" w:rsidRDefault="003F0524" w:rsidP="009E6C2F">
            <w:pPr>
              <w:pStyle w:val="Table"/>
              <w:spacing w:before="100" w:after="100"/>
              <w:rPr>
                <w:sz w:val="18"/>
                <w:szCs w:val="18"/>
              </w:rPr>
            </w:pPr>
          </w:p>
        </w:tc>
        <w:tc>
          <w:tcPr>
            <w:tcW w:w="348" w:type="pct"/>
          </w:tcPr>
          <w:p w14:paraId="3724B6BF" w14:textId="77777777" w:rsidR="003F0524" w:rsidRDefault="003F0524" w:rsidP="009E6C2F">
            <w:pPr>
              <w:pStyle w:val="Table"/>
              <w:spacing w:before="100" w:after="100"/>
              <w:rPr>
                <w:sz w:val="18"/>
                <w:szCs w:val="18"/>
              </w:rPr>
            </w:pPr>
          </w:p>
        </w:tc>
        <w:tc>
          <w:tcPr>
            <w:tcW w:w="348" w:type="pct"/>
            <w:gridSpan w:val="2"/>
          </w:tcPr>
          <w:p w14:paraId="168393DB" w14:textId="77777777" w:rsidR="003F0524" w:rsidRDefault="003F0524" w:rsidP="009E6C2F">
            <w:pPr>
              <w:pStyle w:val="Table"/>
              <w:spacing w:before="100" w:after="100"/>
              <w:rPr>
                <w:sz w:val="18"/>
                <w:szCs w:val="18"/>
              </w:rPr>
            </w:pPr>
          </w:p>
        </w:tc>
      </w:tr>
      <w:tr w:rsidR="00EF7B8F" w14:paraId="700825F5"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hideMark/>
          </w:tcPr>
          <w:p w14:paraId="3DB17E55" w14:textId="77777777" w:rsidR="003F0524" w:rsidRPr="001B5872" w:rsidRDefault="003F0524" w:rsidP="009E6C2F">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Have additions been reviewed to ensure depreciation has been correctly claimed on depreciating assets? Have additions for accounting and tax purposes been reconciled?</w:t>
            </w:r>
          </w:p>
        </w:tc>
        <w:tc>
          <w:tcPr>
            <w:tcW w:w="416" w:type="pct"/>
          </w:tcPr>
          <w:p w14:paraId="5D48669B" w14:textId="77777777" w:rsidR="003F0524" w:rsidRDefault="003F0524" w:rsidP="009E6C2F">
            <w:pPr>
              <w:pStyle w:val="Table"/>
              <w:spacing w:before="100" w:after="100"/>
              <w:rPr>
                <w:sz w:val="18"/>
                <w:szCs w:val="18"/>
              </w:rPr>
            </w:pPr>
          </w:p>
        </w:tc>
        <w:tc>
          <w:tcPr>
            <w:tcW w:w="348" w:type="pct"/>
          </w:tcPr>
          <w:p w14:paraId="3D953F72" w14:textId="77777777" w:rsidR="003F0524" w:rsidRDefault="003F0524" w:rsidP="009E6C2F">
            <w:pPr>
              <w:pStyle w:val="Table"/>
              <w:spacing w:before="100" w:after="100"/>
              <w:rPr>
                <w:sz w:val="18"/>
                <w:szCs w:val="18"/>
              </w:rPr>
            </w:pPr>
          </w:p>
        </w:tc>
        <w:tc>
          <w:tcPr>
            <w:tcW w:w="348" w:type="pct"/>
            <w:gridSpan w:val="2"/>
          </w:tcPr>
          <w:p w14:paraId="21AFCAEA" w14:textId="77777777" w:rsidR="003F0524" w:rsidRDefault="003F0524" w:rsidP="009E6C2F">
            <w:pPr>
              <w:pStyle w:val="Table"/>
              <w:spacing w:before="100" w:after="100"/>
              <w:rPr>
                <w:sz w:val="18"/>
                <w:szCs w:val="18"/>
              </w:rPr>
            </w:pPr>
          </w:p>
        </w:tc>
      </w:tr>
      <w:tr w:rsidR="00EF7B8F" w14:paraId="3DF8E167" w14:textId="77777777" w:rsidTr="00E54AE7">
        <w:tc>
          <w:tcPr>
            <w:tcW w:w="3888" w:type="pct"/>
            <w:hideMark/>
          </w:tcPr>
          <w:p w14:paraId="03A515A1" w14:textId="77777777" w:rsidR="003F0524" w:rsidRPr="001B5872" w:rsidRDefault="003F0524" w:rsidP="009E6C2F">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 xml:space="preserve">For construction of new income-producing buildings or for building extensions, alterations or improvements, is a capital works deduction available under Division 43 of the </w:t>
            </w:r>
            <w:r w:rsidRPr="001B5872">
              <w:rPr>
                <w:rFonts w:asciiTheme="minorHAnsi" w:hAnsiTheme="minorHAnsi" w:cstheme="minorHAnsi"/>
                <w:i/>
                <w:color w:val="090D46" w:themeColor="text1"/>
                <w:sz w:val="18"/>
                <w:szCs w:val="18"/>
              </w:rPr>
              <w:t>ITAA 1997</w:t>
            </w:r>
            <w:r w:rsidRPr="001B5872">
              <w:rPr>
                <w:rFonts w:asciiTheme="minorHAnsi" w:hAnsiTheme="minorHAnsi" w:cstheme="minorHAnsi"/>
                <w:color w:val="090D46" w:themeColor="text1"/>
                <w:sz w:val="18"/>
                <w:szCs w:val="18"/>
              </w:rPr>
              <w:t xml:space="preserve">? Can the trust write-off the cost of any structural improvements or environment protection earthworks under Division 43 of the </w:t>
            </w:r>
            <w:r w:rsidRPr="001B5872">
              <w:rPr>
                <w:rFonts w:asciiTheme="minorHAnsi" w:hAnsiTheme="minorHAnsi" w:cstheme="minorHAnsi"/>
                <w:i/>
                <w:color w:val="090D46" w:themeColor="text1"/>
                <w:sz w:val="18"/>
                <w:szCs w:val="18"/>
              </w:rPr>
              <w:t>ITAA 1997</w:t>
            </w:r>
            <w:r w:rsidRPr="001B5872">
              <w:rPr>
                <w:rFonts w:asciiTheme="minorHAnsi" w:hAnsiTheme="minorHAnsi" w:cstheme="minorHAnsi"/>
                <w:color w:val="090D46" w:themeColor="text1"/>
                <w:sz w:val="18"/>
                <w:szCs w:val="18"/>
              </w:rPr>
              <w:t>?</w:t>
            </w:r>
          </w:p>
        </w:tc>
        <w:tc>
          <w:tcPr>
            <w:tcW w:w="416" w:type="pct"/>
          </w:tcPr>
          <w:p w14:paraId="6F3B6B12" w14:textId="77777777" w:rsidR="003F0524" w:rsidRDefault="003F0524" w:rsidP="009E6C2F">
            <w:pPr>
              <w:pStyle w:val="Table"/>
              <w:spacing w:before="100" w:after="100"/>
              <w:rPr>
                <w:sz w:val="18"/>
                <w:szCs w:val="18"/>
              </w:rPr>
            </w:pPr>
          </w:p>
        </w:tc>
        <w:tc>
          <w:tcPr>
            <w:tcW w:w="348" w:type="pct"/>
          </w:tcPr>
          <w:p w14:paraId="55878A79" w14:textId="77777777" w:rsidR="003F0524" w:rsidRDefault="003F0524" w:rsidP="009E6C2F">
            <w:pPr>
              <w:pStyle w:val="Table"/>
              <w:spacing w:before="100" w:after="100"/>
              <w:rPr>
                <w:sz w:val="18"/>
                <w:szCs w:val="18"/>
              </w:rPr>
            </w:pPr>
          </w:p>
        </w:tc>
        <w:tc>
          <w:tcPr>
            <w:tcW w:w="348" w:type="pct"/>
            <w:gridSpan w:val="2"/>
          </w:tcPr>
          <w:p w14:paraId="4BD82464" w14:textId="77777777" w:rsidR="003F0524" w:rsidRDefault="003F0524" w:rsidP="009E6C2F">
            <w:pPr>
              <w:pStyle w:val="Table"/>
              <w:spacing w:before="100" w:after="100"/>
              <w:rPr>
                <w:sz w:val="18"/>
                <w:szCs w:val="18"/>
              </w:rPr>
            </w:pPr>
          </w:p>
        </w:tc>
      </w:tr>
      <w:tr w:rsidR="00EF7B8F" w14:paraId="0641BEC3"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hideMark/>
          </w:tcPr>
          <w:p w14:paraId="0FEBF46D" w14:textId="7ADEC519" w:rsidR="003F0524" w:rsidRPr="001B5872" w:rsidRDefault="0078767B" w:rsidP="009E6C2F">
            <w:pPr>
              <w:pStyle w:val="Table"/>
              <w:spacing w:before="100" w:after="100"/>
              <w:rPr>
                <w:rFonts w:asciiTheme="minorHAnsi" w:hAnsiTheme="minorHAnsi" w:cstheme="minorHAnsi"/>
                <w:color w:val="090D46" w:themeColor="text1"/>
                <w:sz w:val="18"/>
                <w:szCs w:val="18"/>
              </w:rPr>
            </w:pPr>
            <w:r>
              <w:rPr>
                <w:rFonts w:asciiTheme="minorHAnsi" w:hAnsiTheme="minorHAnsi" w:cstheme="minorHAnsi"/>
                <w:color w:val="090D46" w:themeColor="text1"/>
                <w:sz w:val="18"/>
                <w:szCs w:val="18"/>
              </w:rPr>
              <w:t>Do</w:t>
            </w:r>
            <w:r w:rsidR="003F0524" w:rsidRPr="001B5872">
              <w:rPr>
                <w:rFonts w:asciiTheme="minorHAnsi" w:hAnsiTheme="minorHAnsi" w:cstheme="minorHAnsi"/>
                <w:color w:val="090D46" w:themeColor="text1"/>
                <w:sz w:val="18"/>
                <w:szCs w:val="18"/>
              </w:rPr>
              <w:t xml:space="preserve"> repairs to buildings which have been expensed for accounting purposes constitute alterations, improvements or extensions to existing buildings which would </w:t>
            </w:r>
            <w:r w:rsidR="00713A3A">
              <w:rPr>
                <w:rFonts w:asciiTheme="minorHAnsi" w:hAnsiTheme="minorHAnsi" w:cstheme="minorHAnsi"/>
                <w:color w:val="090D46" w:themeColor="text1"/>
                <w:sz w:val="18"/>
                <w:szCs w:val="18"/>
              </w:rPr>
              <w:t xml:space="preserve">be capital (non-deductible) in nature and </w:t>
            </w:r>
            <w:r w:rsidR="003F0524" w:rsidRPr="001B5872">
              <w:rPr>
                <w:rFonts w:asciiTheme="minorHAnsi" w:hAnsiTheme="minorHAnsi" w:cstheme="minorHAnsi"/>
                <w:color w:val="090D46" w:themeColor="text1"/>
                <w:sz w:val="18"/>
                <w:szCs w:val="18"/>
              </w:rPr>
              <w:t xml:space="preserve">constitute deductible capital works expenditure under Division 43 of the </w:t>
            </w:r>
            <w:r w:rsidR="003F0524" w:rsidRPr="001B5872">
              <w:rPr>
                <w:rFonts w:asciiTheme="minorHAnsi" w:hAnsiTheme="minorHAnsi" w:cstheme="minorHAnsi"/>
                <w:i/>
                <w:color w:val="090D46" w:themeColor="text1"/>
                <w:sz w:val="18"/>
                <w:szCs w:val="18"/>
              </w:rPr>
              <w:t>ITAA 1997</w:t>
            </w:r>
            <w:r w:rsidR="003F0524" w:rsidRPr="001B5872">
              <w:rPr>
                <w:rFonts w:asciiTheme="minorHAnsi" w:hAnsiTheme="minorHAnsi" w:cstheme="minorHAnsi"/>
                <w:color w:val="090D46" w:themeColor="text1"/>
                <w:sz w:val="18"/>
                <w:szCs w:val="18"/>
              </w:rPr>
              <w:t>?</w:t>
            </w:r>
          </w:p>
        </w:tc>
        <w:tc>
          <w:tcPr>
            <w:tcW w:w="416" w:type="pct"/>
          </w:tcPr>
          <w:p w14:paraId="6A0CC26D" w14:textId="77777777" w:rsidR="003F0524" w:rsidRDefault="003F0524" w:rsidP="009E6C2F">
            <w:pPr>
              <w:pStyle w:val="Table"/>
              <w:spacing w:before="100" w:after="100"/>
              <w:rPr>
                <w:sz w:val="18"/>
                <w:szCs w:val="18"/>
              </w:rPr>
            </w:pPr>
          </w:p>
        </w:tc>
        <w:tc>
          <w:tcPr>
            <w:tcW w:w="348" w:type="pct"/>
          </w:tcPr>
          <w:p w14:paraId="068BBEB8" w14:textId="77777777" w:rsidR="003F0524" w:rsidRDefault="003F0524" w:rsidP="009E6C2F">
            <w:pPr>
              <w:pStyle w:val="Table"/>
              <w:spacing w:before="100" w:after="100"/>
              <w:rPr>
                <w:sz w:val="18"/>
                <w:szCs w:val="18"/>
              </w:rPr>
            </w:pPr>
          </w:p>
        </w:tc>
        <w:tc>
          <w:tcPr>
            <w:tcW w:w="348" w:type="pct"/>
            <w:gridSpan w:val="2"/>
          </w:tcPr>
          <w:p w14:paraId="3A205AA2" w14:textId="77777777" w:rsidR="003F0524" w:rsidRDefault="003F0524" w:rsidP="009E6C2F">
            <w:pPr>
              <w:pStyle w:val="Table"/>
              <w:spacing w:before="100" w:after="100"/>
              <w:rPr>
                <w:sz w:val="18"/>
                <w:szCs w:val="18"/>
              </w:rPr>
            </w:pPr>
          </w:p>
        </w:tc>
      </w:tr>
      <w:tr w:rsidR="00EF7B8F" w14:paraId="6A1279C1" w14:textId="77777777" w:rsidTr="00E54AE7">
        <w:tc>
          <w:tcPr>
            <w:tcW w:w="3888" w:type="pct"/>
            <w:hideMark/>
          </w:tcPr>
          <w:p w14:paraId="23400460" w14:textId="77777777" w:rsidR="003F0524" w:rsidRPr="001B5872" w:rsidRDefault="003F0524" w:rsidP="009E6C2F">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Is capital expenditure relating to buildings being correctly claimed at the rate of 2.5% or 4% (which will differ depending on when the construction expenditure was incurred and whether it relates to industrial buildings)?</w:t>
            </w:r>
          </w:p>
        </w:tc>
        <w:tc>
          <w:tcPr>
            <w:tcW w:w="416" w:type="pct"/>
          </w:tcPr>
          <w:p w14:paraId="69F49FEE" w14:textId="77777777" w:rsidR="003F0524" w:rsidRDefault="003F0524" w:rsidP="009E6C2F">
            <w:pPr>
              <w:pStyle w:val="Table"/>
              <w:spacing w:before="100" w:after="100"/>
              <w:rPr>
                <w:sz w:val="18"/>
                <w:szCs w:val="18"/>
              </w:rPr>
            </w:pPr>
          </w:p>
        </w:tc>
        <w:tc>
          <w:tcPr>
            <w:tcW w:w="348" w:type="pct"/>
          </w:tcPr>
          <w:p w14:paraId="68A84B1F" w14:textId="77777777" w:rsidR="003F0524" w:rsidRDefault="003F0524" w:rsidP="009E6C2F">
            <w:pPr>
              <w:pStyle w:val="Table"/>
              <w:spacing w:before="100" w:after="100"/>
              <w:rPr>
                <w:sz w:val="18"/>
                <w:szCs w:val="18"/>
              </w:rPr>
            </w:pPr>
          </w:p>
        </w:tc>
        <w:tc>
          <w:tcPr>
            <w:tcW w:w="348" w:type="pct"/>
            <w:gridSpan w:val="2"/>
          </w:tcPr>
          <w:p w14:paraId="1B56C00D" w14:textId="77777777" w:rsidR="003F0524" w:rsidRDefault="003F0524" w:rsidP="009E6C2F">
            <w:pPr>
              <w:pStyle w:val="Table"/>
              <w:spacing w:before="100" w:after="100"/>
              <w:rPr>
                <w:sz w:val="18"/>
                <w:szCs w:val="18"/>
              </w:rPr>
            </w:pPr>
          </w:p>
        </w:tc>
      </w:tr>
      <w:tr w:rsidR="00EF7B8F" w14:paraId="334F5B8A"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hideMark/>
          </w:tcPr>
          <w:p w14:paraId="61D5C272" w14:textId="5502F42D" w:rsidR="003F0524" w:rsidRPr="001B5872" w:rsidRDefault="003F0524" w:rsidP="009E6C2F">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 xml:space="preserve">Has </w:t>
            </w:r>
            <w:r w:rsidR="00F8335E">
              <w:rPr>
                <w:rFonts w:asciiTheme="minorHAnsi" w:hAnsiTheme="minorHAnsi" w:cstheme="minorHAnsi"/>
                <w:color w:val="090D46" w:themeColor="text1"/>
                <w:sz w:val="18"/>
                <w:szCs w:val="18"/>
              </w:rPr>
              <w:t>‘</w:t>
            </w:r>
            <w:r w:rsidRPr="001B5872">
              <w:rPr>
                <w:rFonts w:asciiTheme="minorHAnsi" w:hAnsiTheme="minorHAnsi" w:cstheme="minorHAnsi"/>
                <w:color w:val="090D46" w:themeColor="text1"/>
                <w:sz w:val="18"/>
                <w:szCs w:val="18"/>
              </w:rPr>
              <w:t>scrapped</w:t>
            </w:r>
            <w:r w:rsidR="00F8335E">
              <w:rPr>
                <w:rFonts w:asciiTheme="minorHAnsi" w:hAnsiTheme="minorHAnsi" w:cstheme="minorHAnsi"/>
                <w:color w:val="090D46" w:themeColor="text1"/>
                <w:sz w:val="18"/>
                <w:szCs w:val="18"/>
              </w:rPr>
              <w:t>’</w:t>
            </w:r>
            <w:r w:rsidRPr="001B5872">
              <w:rPr>
                <w:rFonts w:asciiTheme="minorHAnsi" w:hAnsiTheme="minorHAnsi" w:cstheme="minorHAnsi"/>
                <w:color w:val="090D46" w:themeColor="text1"/>
                <w:sz w:val="18"/>
                <w:szCs w:val="18"/>
              </w:rPr>
              <w:t xml:space="preserve"> plant and equipment (for which a deduction has been claimed) been physically scrapped, or set aside for scrapping, during the year? </w:t>
            </w:r>
          </w:p>
          <w:p w14:paraId="385E2872" w14:textId="77777777" w:rsidR="00D40925" w:rsidRDefault="003F0524" w:rsidP="009E6C2F">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 xml:space="preserve">Has any salvage value been included in assessable income?  </w:t>
            </w:r>
          </w:p>
          <w:p w14:paraId="4A301D69" w14:textId="4BEAA76B" w:rsidR="00D40925" w:rsidRDefault="00D40925" w:rsidP="009E6C2F">
            <w:pPr>
              <w:pStyle w:val="Table"/>
              <w:spacing w:before="100" w:after="100"/>
              <w:rPr>
                <w:rFonts w:asciiTheme="minorHAnsi" w:hAnsiTheme="minorHAnsi" w:cstheme="minorHAnsi"/>
                <w:color w:val="090D46" w:themeColor="text1"/>
                <w:sz w:val="18"/>
                <w:szCs w:val="18"/>
              </w:rPr>
            </w:pPr>
          </w:p>
          <w:p w14:paraId="04258E63" w14:textId="77777777" w:rsidR="00657E24" w:rsidRDefault="00657E24" w:rsidP="009E6C2F">
            <w:pPr>
              <w:pStyle w:val="Table"/>
              <w:spacing w:before="100" w:after="100"/>
              <w:rPr>
                <w:rFonts w:asciiTheme="minorHAnsi" w:hAnsiTheme="minorHAnsi" w:cstheme="minorHAnsi"/>
                <w:color w:val="090D46" w:themeColor="text1"/>
                <w:sz w:val="18"/>
                <w:szCs w:val="18"/>
              </w:rPr>
            </w:pPr>
          </w:p>
          <w:p w14:paraId="60916761" w14:textId="146A3997" w:rsidR="00D40925" w:rsidRPr="001B5872" w:rsidRDefault="00D40925" w:rsidP="009E6C2F">
            <w:pPr>
              <w:pStyle w:val="Table"/>
              <w:spacing w:before="100" w:after="100"/>
              <w:rPr>
                <w:rFonts w:asciiTheme="minorHAnsi" w:hAnsiTheme="minorHAnsi" w:cstheme="minorHAnsi"/>
                <w:color w:val="090D46" w:themeColor="text1"/>
                <w:sz w:val="18"/>
                <w:szCs w:val="18"/>
              </w:rPr>
            </w:pPr>
          </w:p>
        </w:tc>
        <w:tc>
          <w:tcPr>
            <w:tcW w:w="416" w:type="pct"/>
          </w:tcPr>
          <w:p w14:paraId="4537D785" w14:textId="77777777" w:rsidR="003F0524" w:rsidRDefault="003F0524" w:rsidP="009E6C2F">
            <w:pPr>
              <w:pStyle w:val="Table"/>
              <w:spacing w:before="100" w:after="100"/>
              <w:rPr>
                <w:sz w:val="18"/>
                <w:szCs w:val="18"/>
              </w:rPr>
            </w:pPr>
          </w:p>
        </w:tc>
        <w:tc>
          <w:tcPr>
            <w:tcW w:w="348" w:type="pct"/>
          </w:tcPr>
          <w:p w14:paraId="0A53D6A5" w14:textId="77777777" w:rsidR="003F0524" w:rsidRDefault="003F0524" w:rsidP="009E6C2F">
            <w:pPr>
              <w:pStyle w:val="Table"/>
              <w:spacing w:before="100" w:after="100"/>
              <w:rPr>
                <w:sz w:val="18"/>
                <w:szCs w:val="18"/>
              </w:rPr>
            </w:pPr>
          </w:p>
        </w:tc>
        <w:tc>
          <w:tcPr>
            <w:tcW w:w="348" w:type="pct"/>
            <w:gridSpan w:val="2"/>
          </w:tcPr>
          <w:p w14:paraId="4D5E3CCD" w14:textId="77777777" w:rsidR="003F0524" w:rsidRDefault="003F0524" w:rsidP="009E6C2F">
            <w:pPr>
              <w:pStyle w:val="Table"/>
              <w:spacing w:before="100" w:after="100"/>
              <w:rPr>
                <w:sz w:val="18"/>
                <w:szCs w:val="18"/>
              </w:rPr>
            </w:pPr>
          </w:p>
        </w:tc>
      </w:tr>
      <w:tr w:rsidR="00D40925" w14:paraId="2D448FBD" w14:textId="77777777" w:rsidTr="00E54AE7">
        <w:tc>
          <w:tcPr>
            <w:tcW w:w="5000" w:type="pct"/>
            <w:gridSpan w:val="5"/>
            <w:shd w:val="clear" w:color="auto" w:fill="0A5CC7" w:themeFill="accent3"/>
          </w:tcPr>
          <w:p w14:paraId="42FADEDD" w14:textId="4E693EBE" w:rsidR="00D40925" w:rsidRPr="00D40925" w:rsidRDefault="00D40925" w:rsidP="00D40925">
            <w:pPr>
              <w:pStyle w:val="Table"/>
              <w:spacing w:before="100" w:after="100"/>
              <w:rPr>
                <w:b/>
                <w:sz w:val="18"/>
                <w:szCs w:val="18"/>
              </w:rPr>
            </w:pPr>
            <w:r w:rsidRPr="00D40925">
              <w:rPr>
                <w:b/>
                <w:color w:val="FFFFFF" w:themeColor="background1"/>
                <w:sz w:val="18"/>
                <w:szCs w:val="18"/>
              </w:rPr>
              <w:t xml:space="preserve">DECLINE IN VALUE (DEPRECIATION) </w:t>
            </w:r>
            <w:r>
              <w:rPr>
                <w:b/>
                <w:color w:val="FFFFFF" w:themeColor="background1"/>
                <w:sz w:val="18"/>
                <w:szCs w:val="18"/>
              </w:rPr>
              <w:t xml:space="preserve">(CONTINUED) </w:t>
            </w:r>
          </w:p>
        </w:tc>
      </w:tr>
      <w:tr w:rsidR="00D40925" w14:paraId="334723BA"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tcPr>
          <w:p w14:paraId="5D40EF7D" w14:textId="6D04F11F" w:rsidR="00D40925" w:rsidRPr="001B5872" w:rsidRDefault="00D40925" w:rsidP="00D40925">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Has the trust stopped using a depreciating asset which has not otherwise been sold or physically scrapped during the 202</w:t>
            </w:r>
            <w:r>
              <w:rPr>
                <w:rFonts w:asciiTheme="minorHAnsi" w:hAnsiTheme="minorHAnsi" w:cstheme="minorHAnsi"/>
                <w:color w:val="090D46" w:themeColor="text1"/>
                <w:sz w:val="18"/>
                <w:szCs w:val="18"/>
              </w:rPr>
              <w:t>3</w:t>
            </w:r>
            <w:r w:rsidRPr="001B5872">
              <w:rPr>
                <w:rFonts w:asciiTheme="minorHAnsi" w:hAnsiTheme="minorHAnsi" w:cstheme="minorHAnsi"/>
                <w:color w:val="090D46" w:themeColor="text1"/>
                <w:sz w:val="18"/>
                <w:szCs w:val="18"/>
              </w:rPr>
              <w:t xml:space="preserve"> year, in which case a balancing adjustment deduction may be available?  </w:t>
            </w:r>
          </w:p>
        </w:tc>
        <w:tc>
          <w:tcPr>
            <w:tcW w:w="416" w:type="pct"/>
          </w:tcPr>
          <w:p w14:paraId="1F308566" w14:textId="77777777" w:rsidR="00D40925" w:rsidRDefault="00D40925" w:rsidP="00D40925">
            <w:pPr>
              <w:pStyle w:val="Table"/>
              <w:spacing w:before="100" w:after="100"/>
              <w:rPr>
                <w:sz w:val="18"/>
                <w:szCs w:val="18"/>
              </w:rPr>
            </w:pPr>
          </w:p>
        </w:tc>
        <w:tc>
          <w:tcPr>
            <w:tcW w:w="348" w:type="pct"/>
          </w:tcPr>
          <w:p w14:paraId="237A5E9E" w14:textId="77777777" w:rsidR="00D40925" w:rsidRDefault="00D40925" w:rsidP="00D40925">
            <w:pPr>
              <w:pStyle w:val="Table"/>
              <w:spacing w:before="100" w:after="100"/>
              <w:rPr>
                <w:sz w:val="18"/>
                <w:szCs w:val="18"/>
              </w:rPr>
            </w:pPr>
          </w:p>
        </w:tc>
        <w:tc>
          <w:tcPr>
            <w:tcW w:w="348" w:type="pct"/>
            <w:gridSpan w:val="2"/>
          </w:tcPr>
          <w:p w14:paraId="288C8E98" w14:textId="77777777" w:rsidR="00D40925" w:rsidRDefault="00D40925" w:rsidP="00D40925">
            <w:pPr>
              <w:pStyle w:val="Table"/>
              <w:spacing w:before="100" w:after="100"/>
              <w:rPr>
                <w:sz w:val="18"/>
                <w:szCs w:val="18"/>
              </w:rPr>
            </w:pPr>
          </w:p>
        </w:tc>
      </w:tr>
      <w:tr w:rsidR="00D40925" w14:paraId="1AB15988" w14:textId="77777777" w:rsidTr="00E54AE7">
        <w:tc>
          <w:tcPr>
            <w:tcW w:w="3888" w:type="pct"/>
            <w:hideMark/>
          </w:tcPr>
          <w:p w14:paraId="06779986" w14:textId="544BDB72" w:rsidR="00D40925" w:rsidRPr="001B5872" w:rsidRDefault="00D40925" w:rsidP="00D40925">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Has the trust stopped using a depreciating asset which has not otherwise been sold or physically scrapped during the 202</w:t>
            </w:r>
            <w:r>
              <w:rPr>
                <w:rFonts w:asciiTheme="minorHAnsi" w:hAnsiTheme="minorHAnsi" w:cstheme="minorHAnsi"/>
                <w:color w:val="090D46" w:themeColor="text1"/>
                <w:sz w:val="18"/>
                <w:szCs w:val="18"/>
              </w:rPr>
              <w:t>3</w:t>
            </w:r>
            <w:r w:rsidRPr="001B5872">
              <w:rPr>
                <w:rFonts w:asciiTheme="minorHAnsi" w:hAnsiTheme="minorHAnsi" w:cstheme="minorHAnsi"/>
                <w:color w:val="090D46" w:themeColor="text1"/>
                <w:sz w:val="18"/>
                <w:szCs w:val="18"/>
              </w:rPr>
              <w:t xml:space="preserve"> year, in which case a balancing adjustment deduction may be available?  </w:t>
            </w:r>
          </w:p>
        </w:tc>
        <w:tc>
          <w:tcPr>
            <w:tcW w:w="416" w:type="pct"/>
          </w:tcPr>
          <w:p w14:paraId="35495BBC" w14:textId="77777777" w:rsidR="00D40925" w:rsidRDefault="00D40925" w:rsidP="00D40925">
            <w:pPr>
              <w:pStyle w:val="Table"/>
              <w:spacing w:before="100" w:after="100"/>
              <w:rPr>
                <w:sz w:val="18"/>
                <w:szCs w:val="18"/>
              </w:rPr>
            </w:pPr>
          </w:p>
        </w:tc>
        <w:tc>
          <w:tcPr>
            <w:tcW w:w="348" w:type="pct"/>
          </w:tcPr>
          <w:p w14:paraId="5A50FBA9" w14:textId="77777777" w:rsidR="00D40925" w:rsidRDefault="00D40925" w:rsidP="00D40925">
            <w:pPr>
              <w:pStyle w:val="Table"/>
              <w:spacing w:before="100" w:after="100"/>
              <w:rPr>
                <w:sz w:val="18"/>
                <w:szCs w:val="18"/>
              </w:rPr>
            </w:pPr>
          </w:p>
        </w:tc>
        <w:tc>
          <w:tcPr>
            <w:tcW w:w="348" w:type="pct"/>
            <w:gridSpan w:val="2"/>
          </w:tcPr>
          <w:p w14:paraId="6FD35D5B" w14:textId="77777777" w:rsidR="00D40925" w:rsidRDefault="00D40925" w:rsidP="00D40925">
            <w:pPr>
              <w:pStyle w:val="Table"/>
              <w:spacing w:before="100" w:after="100"/>
              <w:rPr>
                <w:sz w:val="18"/>
                <w:szCs w:val="18"/>
              </w:rPr>
            </w:pPr>
          </w:p>
        </w:tc>
      </w:tr>
      <w:tr w:rsidR="00D40925" w14:paraId="4A6BE3CA"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hideMark/>
          </w:tcPr>
          <w:p w14:paraId="20C4786C" w14:textId="665B6560" w:rsidR="00D40925" w:rsidRPr="001B5872" w:rsidRDefault="00D40925" w:rsidP="00D40925">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Has the motor vehicle depreciation cost limit of $6</w:t>
            </w:r>
            <w:r>
              <w:rPr>
                <w:rFonts w:asciiTheme="minorHAnsi" w:hAnsiTheme="minorHAnsi" w:cstheme="minorHAnsi"/>
                <w:color w:val="090D46" w:themeColor="text1"/>
                <w:sz w:val="18"/>
                <w:szCs w:val="18"/>
              </w:rPr>
              <w:t>4,741</w:t>
            </w:r>
            <w:r w:rsidRPr="001B5872">
              <w:rPr>
                <w:rFonts w:asciiTheme="minorHAnsi" w:hAnsiTheme="minorHAnsi" w:cstheme="minorHAnsi"/>
                <w:color w:val="090D46" w:themeColor="text1"/>
                <w:sz w:val="18"/>
                <w:szCs w:val="18"/>
              </w:rPr>
              <w:t xml:space="preserve"> been applied when calculating depreciation on a car acquired during the 202</w:t>
            </w:r>
            <w:r>
              <w:rPr>
                <w:rFonts w:asciiTheme="minorHAnsi" w:hAnsiTheme="minorHAnsi" w:cstheme="minorHAnsi"/>
                <w:color w:val="090D46" w:themeColor="text1"/>
                <w:sz w:val="18"/>
                <w:szCs w:val="18"/>
              </w:rPr>
              <w:t>2-23</w:t>
            </w:r>
            <w:r w:rsidRPr="001B5872">
              <w:rPr>
                <w:rFonts w:asciiTheme="minorHAnsi" w:hAnsiTheme="minorHAnsi" w:cstheme="minorHAnsi"/>
                <w:color w:val="090D46" w:themeColor="text1"/>
                <w:sz w:val="18"/>
                <w:szCs w:val="18"/>
              </w:rPr>
              <w:t xml:space="preserve"> year for tax purposes?</w:t>
            </w:r>
          </w:p>
        </w:tc>
        <w:tc>
          <w:tcPr>
            <w:tcW w:w="416" w:type="pct"/>
          </w:tcPr>
          <w:p w14:paraId="2C4C7BB0" w14:textId="77777777" w:rsidR="00D40925" w:rsidRDefault="00D40925" w:rsidP="00D40925">
            <w:pPr>
              <w:pStyle w:val="Table"/>
              <w:spacing w:before="100" w:after="100"/>
              <w:rPr>
                <w:sz w:val="18"/>
                <w:szCs w:val="18"/>
              </w:rPr>
            </w:pPr>
          </w:p>
        </w:tc>
        <w:tc>
          <w:tcPr>
            <w:tcW w:w="348" w:type="pct"/>
          </w:tcPr>
          <w:p w14:paraId="0D31C81C" w14:textId="77777777" w:rsidR="00D40925" w:rsidRDefault="00D40925" w:rsidP="00D40925">
            <w:pPr>
              <w:pStyle w:val="Table"/>
              <w:spacing w:before="100" w:after="100"/>
              <w:rPr>
                <w:sz w:val="18"/>
                <w:szCs w:val="18"/>
              </w:rPr>
            </w:pPr>
          </w:p>
        </w:tc>
        <w:tc>
          <w:tcPr>
            <w:tcW w:w="348" w:type="pct"/>
            <w:gridSpan w:val="2"/>
          </w:tcPr>
          <w:p w14:paraId="49D6A45A" w14:textId="77777777" w:rsidR="00D40925" w:rsidRDefault="00D40925" w:rsidP="00D40925">
            <w:pPr>
              <w:pStyle w:val="Table"/>
              <w:spacing w:before="100" w:after="100"/>
              <w:rPr>
                <w:sz w:val="18"/>
                <w:szCs w:val="18"/>
              </w:rPr>
            </w:pPr>
          </w:p>
        </w:tc>
      </w:tr>
      <w:tr w:rsidR="00D40925" w14:paraId="41AB2C42" w14:textId="77777777" w:rsidTr="00E54AE7">
        <w:tc>
          <w:tcPr>
            <w:tcW w:w="3888" w:type="pct"/>
            <w:hideMark/>
          </w:tcPr>
          <w:p w14:paraId="280EA715" w14:textId="7A3244F9" w:rsidR="00D40925" w:rsidRPr="001B5872" w:rsidRDefault="00D40925" w:rsidP="00D40925">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Has a</w:t>
            </w:r>
            <w:r>
              <w:rPr>
                <w:rFonts w:asciiTheme="minorHAnsi" w:hAnsiTheme="minorHAnsi" w:cstheme="minorHAnsi"/>
                <w:color w:val="090D46" w:themeColor="text1"/>
                <w:sz w:val="18"/>
                <w:szCs w:val="18"/>
              </w:rPr>
              <w:t>ny</w:t>
            </w:r>
            <w:r w:rsidRPr="001B5872">
              <w:rPr>
                <w:rFonts w:asciiTheme="minorHAnsi" w:hAnsiTheme="minorHAnsi" w:cstheme="minorHAnsi"/>
                <w:color w:val="090D46" w:themeColor="text1"/>
                <w:sz w:val="18"/>
                <w:szCs w:val="18"/>
              </w:rPr>
              <w:t xml:space="preserve"> profit on the sale of previously leased motor vehicles been brought into account?</w:t>
            </w:r>
          </w:p>
        </w:tc>
        <w:tc>
          <w:tcPr>
            <w:tcW w:w="416" w:type="pct"/>
          </w:tcPr>
          <w:p w14:paraId="552C9D48" w14:textId="77777777" w:rsidR="00D40925" w:rsidRDefault="00D40925" w:rsidP="00D40925">
            <w:pPr>
              <w:pStyle w:val="Table"/>
              <w:spacing w:before="100" w:after="100"/>
              <w:rPr>
                <w:sz w:val="18"/>
                <w:szCs w:val="18"/>
              </w:rPr>
            </w:pPr>
          </w:p>
        </w:tc>
        <w:tc>
          <w:tcPr>
            <w:tcW w:w="348" w:type="pct"/>
          </w:tcPr>
          <w:p w14:paraId="2B9AA607" w14:textId="77777777" w:rsidR="00D40925" w:rsidRDefault="00D40925" w:rsidP="00D40925">
            <w:pPr>
              <w:pStyle w:val="Table"/>
              <w:spacing w:before="100" w:after="100"/>
              <w:rPr>
                <w:sz w:val="18"/>
                <w:szCs w:val="18"/>
              </w:rPr>
            </w:pPr>
          </w:p>
        </w:tc>
        <w:tc>
          <w:tcPr>
            <w:tcW w:w="348" w:type="pct"/>
            <w:gridSpan w:val="2"/>
          </w:tcPr>
          <w:p w14:paraId="66E03055" w14:textId="77777777" w:rsidR="00D40925" w:rsidRDefault="00D40925" w:rsidP="00D40925">
            <w:pPr>
              <w:pStyle w:val="Table"/>
              <w:spacing w:before="100" w:after="100"/>
              <w:rPr>
                <w:sz w:val="18"/>
                <w:szCs w:val="18"/>
              </w:rPr>
            </w:pPr>
          </w:p>
        </w:tc>
      </w:tr>
      <w:tr w:rsidR="00D40925" w14:paraId="3AD13D7A"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hideMark/>
          </w:tcPr>
          <w:p w14:paraId="5ECDB1B9" w14:textId="77777777" w:rsidR="00D40925" w:rsidRPr="001B5872" w:rsidRDefault="00D40925" w:rsidP="00D40925">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Have plant conversion and relocation costs been capitalised and depreciated?</w:t>
            </w:r>
          </w:p>
        </w:tc>
        <w:tc>
          <w:tcPr>
            <w:tcW w:w="416" w:type="pct"/>
          </w:tcPr>
          <w:p w14:paraId="1427E691" w14:textId="77777777" w:rsidR="00D40925" w:rsidRDefault="00D40925" w:rsidP="00D40925">
            <w:pPr>
              <w:pStyle w:val="Table"/>
              <w:spacing w:before="100" w:after="100"/>
              <w:rPr>
                <w:sz w:val="18"/>
                <w:szCs w:val="18"/>
              </w:rPr>
            </w:pPr>
          </w:p>
        </w:tc>
        <w:tc>
          <w:tcPr>
            <w:tcW w:w="348" w:type="pct"/>
          </w:tcPr>
          <w:p w14:paraId="59C512C7" w14:textId="77777777" w:rsidR="00D40925" w:rsidRDefault="00D40925" w:rsidP="00D40925">
            <w:pPr>
              <w:pStyle w:val="Table"/>
              <w:spacing w:before="100" w:after="100"/>
              <w:rPr>
                <w:sz w:val="18"/>
                <w:szCs w:val="18"/>
              </w:rPr>
            </w:pPr>
          </w:p>
        </w:tc>
        <w:tc>
          <w:tcPr>
            <w:tcW w:w="348" w:type="pct"/>
            <w:gridSpan w:val="2"/>
          </w:tcPr>
          <w:p w14:paraId="786E4EC8" w14:textId="77777777" w:rsidR="00D40925" w:rsidRDefault="00D40925" w:rsidP="00D40925">
            <w:pPr>
              <w:pStyle w:val="Table"/>
              <w:spacing w:before="100" w:after="100"/>
              <w:rPr>
                <w:sz w:val="18"/>
                <w:szCs w:val="18"/>
              </w:rPr>
            </w:pPr>
          </w:p>
        </w:tc>
      </w:tr>
      <w:tr w:rsidR="00D40925" w14:paraId="040AE21C" w14:textId="77777777" w:rsidTr="00E54AE7">
        <w:tc>
          <w:tcPr>
            <w:tcW w:w="3888" w:type="pct"/>
            <w:vMerge w:val="restart"/>
            <w:hideMark/>
          </w:tcPr>
          <w:p w14:paraId="08303DAD" w14:textId="6568CD4E" w:rsidR="00D40925" w:rsidRPr="001B5872" w:rsidRDefault="00D40925" w:rsidP="00D40925">
            <w:pPr>
              <w:pStyle w:val="Table"/>
              <w:spacing w:before="100" w:after="100"/>
              <w:rPr>
                <w:rFonts w:asciiTheme="minorHAnsi" w:hAnsiTheme="minorHAnsi" w:cstheme="minorHAnsi"/>
                <w:b/>
                <w:color w:val="090D46" w:themeColor="text1"/>
                <w:sz w:val="18"/>
                <w:szCs w:val="18"/>
              </w:rPr>
            </w:pPr>
            <w:r w:rsidRPr="001B5872">
              <w:rPr>
                <w:rFonts w:asciiTheme="minorHAnsi" w:hAnsiTheme="minorHAnsi" w:cstheme="minorHAnsi"/>
                <w:b/>
                <w:color w:val="090D46" w:themeColor="text1"/>
                <w:sz w:val="18"/>
                <w:szCs w:val="18"/>
              </w:rPr>
              <w:t xml:space="preserve">Temporary full expensing </w:t>
            </w:r>
          </w:p>
          <w:p w14:paraId="3DBACCD8" w14:textId="77777777" w:rsidR="00D40925" w:rsidRPr="001B5872" w:rsidRDefault="00D40925" w:rsidP="00D40925">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 xml:space="preserve">Has temporary full expensing (TFE) been considered in respect of eligible assets? </w:t>
            </w:r>
          </w:p>
          <w:p w14:paraId="45CF509D" w14:textId="77777777" w:rsidR="00C571CA" w:rsidRDefault="00C571CA" w:rsidP="00D40925">
            <w:pPr>
              <w:pStyle w:val="Table"/>
              <w:spacing w:before="100" w:after="100"/>
              <w:rPr>
                <w:rFonts w:asciiTheme="minorHAnsi" w:hAnsiTheme="minorHAnsi" w:cstheme="minorHAnsi"/>
                <w:b/>
                <w:bCs/>
                <w:color w:val="090D46" w:themeColor="text1"/>
                <w:sz w:val="18"/>
                <w:szCs w:val="18"/>
              </w:rPr>
            </w:pPr>
          </w:p>
          <w:p w14:paraId="425160BF" w14:textId="4504020C" w:rsidR="00D40925" w:rsidRPr="001B5872" w:rsidRDefault="00D40925" w:rsidP="00D40925">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 xml:space="preserve">The TFE rules allow eligible businesses to deduct the full cost of eligible depreciating assets as well as the full amount of the second element of the cost, e.g. amounts to bring the depreciating asset into its present condition and location. </w:t>
            </w:r>
          </w:p>
          <w:p w14:paraId="46F956E7" w14:textId="77777777" w:rsidR="00D40925" w:rsidRPr="001B5872" w:rsidRDefault="00D40925" w:rsidP="00D40925">
            <w:pPr>
              <w:pStyle w:val="Table"/>
              <w:spacing w:before="100" w:after="100"/>
              <w:rPr>
                <w:rFonts w:asciiTheme="minorHAnsi" w:hAnsiTheme="minorHAnsi" w:cstheme="minorHAnsi"/>
                <w:i/>
                <w:color w:val="090D46" w:themeColor="text1"/>
                <w:sz w:val="18"/>
                <w:szCs w:val="18"/>
              </w:rPr>
            </w:pPr>
            <w:r w:rsidRPr="001B5872">
              <w:rPr>
                <w:rFonts w:asciiTheme="minorHAnsi" w:hAnsiTheme="minorHAnsi" w:cstheme="minorHAnsi"/>
                <w:i/>
                <w:color w:val="090D46" w:themeColor="text1"/>
                <w:sz w:val="18"/>
                <w:szCs w:val="18"/>
              </w:rPr>
              <w:t xml:space="preserve">Eligible businesses </w:t>
            </w:r>
          </w:p>
          <w:p w14:paraId="6687BBC0" w14:textId="77777777" w:rsidR="00D40925" w:rsidRPr="001B5872" w:rsidRDefault="00D40925" w:rsidP="00D40925">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 xml:space="preserve">A business qualifies for TFE if it is an SBE or has an annual aggregated turnover under $5 billion. </w:t>
            </w:r>
          </w:p>
          <w:p w14:paraId="003A9ACE" w14:textId="77777777" w:rsidR="00D40925" w:rsidRPr="001B5872" w:rsidRDefault="00D40925" w:rsidP="00D40925">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 xml:space="preserve">The aggregated turnover test not only requires the calculation of the taxpayer’s annual turnover but also that of any affiliate or entity connected with the taxpayer at any time during the year. </w:t>
            </w:r>
          </w:p>
          <w:p w14:paraId="63519372" w14:textId="77777777" w:rsidR="00D40925" w:rsidRPr="001B5872" w:rsidRDefault="00D40925" w:rsidP="00D40925">
            <w:pPr>
              <w:pStyle w:val="Table"/>
              <w:spacing w:before="100" w:after="100"/>
              <w:rPr>
                <w:rFonts w:asciiTheme="minorHAnsi" w:hAnsiTheme="minorHAnsi" w:cstheme="minorHAnsi"/>
                <w:i/>
                <w:color w:val="090D46" w:themeColor="text1"/>
                <w:sz w:val="18"/>
                <w:szCs w:val="18"/>
              </w:rPr>
            </w:pPr>
            <w:r w:rsidRPr="001B5872">
              <w:rPr>
                <w:rFonts w:asciiTheme="minorHAnsi" w:hAnsiTheme="minorHAnsi" w:cstheme="minorHAnsi"/>
                <w:i/>
                <w:color w:val="090D46" w:themeColor="text1"/>
                <w:sz w:val="18"/>
                <w:szCs w:val="18"/>
              </w:rPr>
              <w:t xml:space="preserve">Eligible assets </w:t>
            </w:r>
          </w:p>
          <w:p w14:paraId="4B92689D" w14:textId="77777777" w:rsidR="00D40925" w:rsidRPr="001B5872" w:rsidRDefault="00D40925" w:rsidP="00D40925">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To be eligible for TFE, a depreciating asset must be:</w:t>
            </w:r>
          </w:p>
          <w:p w14:paraId="4AC41BFC" w14:textId="77777777" w:rsidR="00D40925" w:rsidRDefault="00D40925" w:rsidP="00D40925">
            <w:pPr>
              <w:pStyle w:val="ListBullet"/>
            </w:pPr>
            <w:r>
              <w:t>First held and first used or installed for use for a taxable purpose between 7.30 pm AEDT on 6 October 2020 (the Budget time) and 30 June 2023 and</w:t>
            </w:r>
          </w:p>
          <w:p w14:paraId="6072814A" w14:textId="77777777" w:rsidR="00D40925" w:rsidRDefault="00D40925" w:rsidP="00D40925">
            <w:pPr>
              <w:pStyle w:val="ListBullet"/>
            </w:pPr>
            <w:r>
              <w:t>Located in Australia and principally used in Australia for the principal purpose of carrying on a business.</w:t>
            </w:r>
          </w:p>
          <w:p w14:paraId="23D6DF8F" w14:textId="77777777" w:rsidR="00D40925" w:rsidRPr="001B5872" w:rsidRDefault="00D40925" w:rsidP="00D40925">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TFE is not available if the depreciating asset is:</w:t>
            </w:r>
          </w:p>
          <w:p w14:paraId="054B251A" w14:textId="77777777" w:rsidR="00D40925" w:rsidRDefault="00D40925" w:rsidP="00D40925">
            <w:pPr>
              <w:pStyle w:val="ListBullet"/>
            </w:pPr>
            <w:r>
              <w:t xml:space="preserve">Excluded from the capital allowance rules in Division 40 of the </w:t>
            </w:r>
            <w:r>
              <w:rPr>
                <w:i/>
              </w:rPr>
              <w:t>ITAA 1997</w:t>
            </w:r>
            <w:r>
              <w:t xml:space="preserve"> (such as building or other capital works)</w:t>
            </w:r>
          </w:p>
          <w:p w14:paraId="2EDB1A1B" w14:textId="77777777" w:rsidR="00D40925" w:rsidRDefault="00D40925" w:rsidP="00D40925">
            <w:pPr>
              <w:pStyle w:val="ListBullet"/>
            </w:pPr>
            <w:r>
              <w:t>Allocated to a low-value pool or a software development pool</w:t>
            </w:r>
          </w:p>
          <w:p w14:paraId="26855879" w14:textId="57539730" w:rsidR="00D40925" w:rsidRDefault="00D40925" w:rsidP="00D40925">
            <w:pPr>
              <w:pStyle w:val="ListBullet"/>
            </w:pPr>
            <w:r>
              <w:t xml:space="preserve">Deductible to the entity or another entity under the primary production depreciation rules, or </w:t>
            </w:r>
          </w:p>
          <w:p w14:paraId="649FEB8D" w14:textId="77777777" w:rsidR="00D40925" w:rsidRDefault="00D40925" w:rsidP="00D40925">
            <w:pPr>
              <w:pStyle w:val="ListBullet"/>
            </w:pPr>
            <w:r>
              <w:t>A balancing adjustment event happens to the asset in the current year (for example, it is sold in the year in which the full expensing is applied).</w:t>
            </w:r>
          </w:p>
          <w:p w14:paraId="661C7901" w14:textId="77777777" w:rsidR="00D40925" w:rsidRPr="001B5872" w:rsidRDefault="00D40925" w:rsidP="00D40925">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Where the entity has an aggregated turnover of $50 million or more, a depreciating asset is excluded from TFE (in addition to the above exclusions) where:</w:t>
            </w:r>
          </w:p>
          <w:p w14:paraId="6D5B1412" w14:textId="77777777" w:rsidR="00D40925" w:rsidRPr="00507112" w:rsidRDefault="00D40925" w:rsidP="00D40925">
            <w:pPr>
              <w:pStyle w:val="ListBullet"/>
            </w:pPr>
            <w:r w:rsidRPr="00507112">
              <w:t xml:space="preserve">The entity entered into a commitment to hold, construct or use the asset before the Budget time or </w:t>
            </w:r>
          </w:p>
          <w:p w14:paraId="00B6C37D" w14:textId="1F11CC42" w:rsidR="00D40925" w:rsidRPr="00507112" w:rsidRDefault="00D40925" w:rsidP="00D40925">
            <w:pPr>
              <w:pStyle w:val="ListBullet"/>
            </w:pPr>
            <w:r w:rsidRPr="00507112">
              <w:t>The asset is a second-hand asset.</w:t>
            </w:r>
          </w:p>
          <w:p w14:paraId="4864E1CE" w14:textId="4506E10C" w:rsidR="00D40925" w:rsidRPr="001B5872" w:rsidRDefault="00D40925" w:rsidP="00D40925">
            <w:pPr>
              <w:pStyle w:val="Table"/>
              <w:spacing w:before="100" w:after="100"/>
              <w:rPr>
                <w:rFonts w:asciiTheme="minorHAnsi" w:hAnsiTheme="minorHAnsi" w:cstheme="minorHAnsi"/>
                <w:i/>
                <w:color w:val="090D46" w:themeColor="text1"/>
                <w:sz w:val="18"/>
                <w:szCs w:val="18"/>
              </w:rPr>
            </w:pPr>
            <w:r w:rsidRPr="001B5872">
              <w:rPr>
                <w:rFonts w:asciiTheme="minorHAnsi" w:hAnsiTheme="minorHAnsi" w:cstheme="minorHAnsi"/>
                <w:i/>
                <w:color w:val="090D46" w:themeColor="text1"/>
                <w:sz w:val="18"/>
                <w:szCs w:val="18"/>
              </w:rPr>
              <w:t xml:space="preserve">Amount of deduction </w:t>
            </w:r>
          </w:p>
          <w:p w14:paraId="58DFE998" w14:textId="49D08AAB" w:rsidR="00D40925" w:rsidRPr="001B5872" w:rsidRDefault="00D40925" w:rsidP="00D40925">
            <w:pPr>
              <w:pStyle w:val="Table"/>
              <w:spacing w:before="100" w:after="100"/>
              <w:rPr>
                <w:rFonts w:asciiTheme="minorHAnsi" w:hAnsiTheme="minorHAnsi" w:cstheme="minorHAnsi"/>
                <w:color w:val="090D46" w:themeColor="text1"/>
                <w:sz w:val="18"/>
                <w:szCs w:val="18"/>
              </w:rPr>
            </w:pPr>
            <w:r w:rsidRPr="001B5872">
              <w:rPr>
                <w:rFonts w:asciiTheme="minorHAnsi" w:hAnsiTheme="minorHAnsi" w:cstheme="minorHAnsi"/>
                <w:color w:val="090D46" w:themeColor="text1"/>
                <w:sz w:val="18"/>
                <w:szCs w:val="18"/>
              </w:rPr>
              <w:t xml:space="preserve">Where TFE applies, the amount that is deductible for the income year (i.e. the decline in value) depends on when the asset starts to be used or installed ready for use for a taxable purpose, as outlined below: </w:t>
            </w:r>
          </w:p>
          <w:tbl>
            <w:tblPr>
              <w:tblStyle w:val="GridTable1Light"/>
              <w:tblW w:w="7755" w:type="dxa"/>
              <w:tblLayout w:type="fixed"/>
              <w:tblLook w:val="04A0" w:firstRow="1" w:lastRow="0" w:firstColumn="1" w:lastColumn="0" w:noHBand="0" w:noVBand="1"/>
            </w:tblPr>
            <w:tblGrid>
              <w:gridCol w:w="2007"/>
              <w:gridCol w:w="2126"/>
              <w:gridCol w:w="3622"/>
            </w:tblGrid>
            <w:tr w:rsidR="00D40925" w14:paraId="301828CE" w14:textId="77777777" w:rsidTr="007B5704">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007" w:type="dxa"/>
                  <w:hideMark/>
                </w:tcPr>
                <w:p w14:paraId="2825D9F6" w14:textId="5B4D07DD" w:rsidR="00D40925" w:rsidRPr="00507112" w:rsidRDefault="00D40925" w:rsidP="00D40925">
                  <w:pPr>
                    <w:jc w:val="center"/>
                    <w:rPr>
                      <w:rFonts w:cs="Arial"/>
                      <w:b w:val="0"/>
                      <w:bCs w:val="0"/>
                      <w:sz w:val="18"/>
                      <w:szCs w:val="24"/>
                    </w:rPr>
                  </w:pPr>
                  <w:r w:rsidRPr="00507112">
                    <w:rPr>
                      <w:rFonts w:cs="Arial"/>
                      <w:sz w:val="18"/>
                      <w:szCs w:val="24"/>
                    </w:rPr>
                    <w:t>Start to be used for taxable purpose</w:t>
                  </w:r>
                </w:p>
              </w:tc>
              <w:tc>
                <w:tcPr>
                  <w:tcW w:w="2126" w:type="dxa"/>
                  <w:hideMark/>
                </w:tcPr>
                <w:p w14:paraId="4F277401" w14:textId="77777777" w:rsidR="00D40925" w:rsidRPr="00507112" w:rsidRDefault="00D40925" w:rsidP="00D40925">
                  <w:pPr>
                    <w:jc w:val="center"/>
                    <w:cnfStyle w:val="100000000000" w:firstRow="1" w:lastRow="0" w:firstColumn="0" w:lastColumn="0" w:oddVBand="0" w:evenVBand="0" w:oddHBand="0" w:evenHBand="0" w:firstRowFirstColumn="0" w:firstRowLastColumn="0" w:lastRowFirstColumn="0" w:lastRowLastColumn="0"/>
                    <w:rPr>
                      <w:rFonts w:cs="Arial"/>
                      <w:sz w:val="18"/>
                      <w:szCs w:val="24"/>
                    </w:rPr>
                  </w:pPr>
                  <w:r w:rsidRPr="00507112">
                    <w:rPr>
                      <w:rFonts w:cs="Arial"/>
                      <w:sz w:val="18"/>
                      <w:szCs w:val="24"/>
                    </w:rPr>
                    <w:t>Amount of decline</w:t>
                  </w:r>
                </w:p>
              </w:tc>
              <w:tc>
                <w:tcPr>
                  <w:tcW w:w="3622" w:type="dxa"/>
                  <w:hideMark/>
                </w:tcPr>
                <w:p w14:paraId="379A28B3" w14:textId="77777777" w:rsidR="00D40925" w:rsidRPr="00507112" w:rsidRDefault="00D40925" w:rsidP="00D40925">
                  <w:pPr>
                    <w:jc w:val="center"/>
                    <w:cnfStyle w:val="100000000000" w:firstRow="1" w:lastRow="0" w:firstColumn="0" w:lastColumn="0" w:oddVBand="0" w:evenVBand="0" w:oddHBand="0" w:evenHBand="0" w:firstRowFirstColumn="0" w:firstRowLastColumn="0" w:lastRowFirstColumn="0" w:lastRowLastColumn="0"/>
                    <w:rPr>
                      <w:rFonts w:cs="Arial"/>
                      <w:sz w:val="18"/>
                      <w:szCs w:val="24"/>
                    </w:rPr>
                  </w:pPr>
                  <w:r w:rsidRPr="00507112">
                    <w:rPr>
                      <w:rFonts w:cs="Arial"/>
                      <w:sz w:val="18"/>
                      <w:szCs w:val="24"/>
                    </w:rPr>
                    <w:t>Example</w:t>
                  </w:r>
                </w:p>
              </w:tc>
            </w:tr>
            <w:tr w:rsidR="00D40925" w14:paraId="006DB910" w14:textId="77777777" w:rsidTr="007B5704">
              <w:trPr>
                <w:trHeight w:val="1947"/>
              </w:trPr>
              <w:tc>
                <w:tcPr>
                  <w:cnfStyle w:val="001000000000" w:firstRow="0" w:lastRow="0" w:firstColumn="1" w:lastColumn="0" w:oddVBand="0" w:evenVBand="0" w:oddHBand="0" w:evenHBand="0" w:firstRowFirstColumn="0" w:firstRowLastColumn="0" w:lastRowFirstColumn="0" w:lastRowLastColumn="0"/>
                  <w:tcW w:w="2007" w:type="dxa"/>
                  <w:hideMark/>
                </w:tcPr>
                <w:p w14:paraId="29E22F25" w14:textId="35338A05" w:rsidR="00D40925" w:rsidRPr="00507112" w:rsidRDefault="00D40925" w:rsidP="00D40925">
                  <w:pPr>
                    <w:rPr>
                      <w:rFonts w:cs="Arial"/>
                      <w:sz w:val="18"/>
                      <w:szCs w:val="18"/>
                    </w:rPr>
                  </w:pPr>
                  <w:r w:rsidRPr="00507112">
                    <w:rPr>
                      <w:rFonts w:cs="Arial"/>
                      <w:b w:val="0"/>
                      <w:bCs w:val="0"/>
                      <w:sz w:val="18"/>
                      <w:szCs w:val="18"/>
                    </w:rPr>
                    <w:t>Asset held during the 202</w:t>
                  </w:r>
                  <w:r>
                    <w:rPr>
                      <w:rFonts w:cs="Arial"/>
                      <w:b w:val="0"/>
                      <w:bCs w:val="0"/>
                      <w:sz w:val="18"/>
                      <w:szCs w:val="18"/>
                    </w:rPr>
                    <w:t>3</w:t>
                  </w:r>
                  <w:r w:rsidRPr="00507112">
                    <w:rPr>
                      <w:rFonts w:cs="Arial"/>
                      <w:b w:val="0"/>
                      <w:bCs w:val="0"/>
                      <w:sz w:val="18"/>
                      <w:szCs w:val="18"/>
                    </w:rPr>
                    <w:t xml:space="preserve"> income year and started to be used for a taxable purpose in the</w:t>
                  </w:r>
                  <w:r w:rsidRPr="00507112">
                    <w:rPr>
                      <w:rFonts w:cs="Arial"/>
                      <w:sz w:val="18"/>
                      <w:szCs w:val="18"/>
                    </w:rPr>
                    <w:t xml:space="preserve"> same income year.</w:t>
                  </w:r>
                </w:p>
              </w:tc>
              <w:tc>
                <w:tcPr>
                  <w:tcW w:w="2126" w:type="dxa"/>
                  <w:hideMark/>
                </w:tcPr>
                <w:p w14:paraId="50F55788" w14:textId="616C9DE1" w:rsidR="00D40925" w:rsidRPr="00507112" w:rsidRDefault="00D40925" w:rsidP="00D4092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07112">
                    <w:rPr>
                      <w:rFonts w:cs="Arial"/>
                      <w:sz w:val="18"/>
                      <w:szCs w:val="18"/>
                    </w:rPr>
                    <w:t>Sum of the cost of the asset and amount paid during the income year to bring the asset to</w:t>
                  </w:r>
                  <w:r>
                    <w:rPr>
                      <w:rFonts w:cs="Arial"/>
                      <w:sz w:val="18"/>
                      <w:szCs w:val="18"/>
                    </w:rPr>
                    <w:t xml:space="preserve"> </w:t>
                  </w:r>
                  <w:r w:rsidRPr="00507112">
                    <w:rPr>
                      <w:rFonts w:cs="Arial"/>
                      <w:sz w:val="18"/>
                      <w:szCs w:val="18"/>
                    </w:rPr>
                    <w:t>its present condition and location, such as the cost of</w:t>
                  </w:r>
                  <w:r>
                    <w:rPr>
                      <w:rFonts w:cs="Arial"/>
                      <w:sz w:val="18"/>
                      <w:szCs w:val="18"/>
                    </w:rPr>
                    <w:t xml:space="preserve"> i</w:t>
                  </w:r>
                  <w:r w:rsidRPr="00507112">
                    <w:rPr>
                      <w:rFonts w:cs="Arial"/>
                      <w:sz w:val="18"/>
                      <w:szCs w:val="18"/>
                    </w:rPr>
                    <w:t xml:space="preserve">mprovements (the second element of cost). </w:t>
                  </w:r>
                </w:p>
              </w:tc>
              <w:tc>
                <w:tcPr>
                  <w:tcW w:w="3622" w:type="dxa"/>
                  <w:hideMark/>
                </w:tcPr>
                <w:p w14:paraId="6F2BDA97" w14:textId="1379E495" w:rsidR="00D40925" w:rsidRPr="00507112" w:rsidRDefault="00D40925" w:rsidP="00D4092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07112">
                    <w:rPr>
                      <w:rFonts w:cs="Arial"/>
                      <w:sz w:val="18"/>
                      <w:szCs w:val="18"/>
                    </w:rPr>
                    <w:t>Entity starts to hold and use (or installed ready for use for a taxable purpose) an eligible depreciating asset during the income year ended 30 June 202</w:t>
                  </w:r>
                  <w:r>
                    <w:rPr>
                      <w:rFonts w:cs="Arial"/>
                      <w:sz w:val="18"/>
                      <w:szCs w:val="18"/>
                    </w:rPr>
                    <w:t>3</w:t>
                  </w:r>
                  <w:r w:rsidRPr="00507112">
                    <w:rPr>
                      <w:rFonts w:cs="Arial"/>
                      <w:sz w:val="18"/>
                      <w:szCs w:val="18"/>
                    </w:rPr>
                    <w:t xml:space="preserve"> </w:t>
                  </w:r>
                  <w:r>
                    <w:rPr>
                      <w:rFonts w:cs="Arial"/>
                      <w:sz w:val="18"/>
                      <w:szCs w:val="18"/>
                    </w:rPr>
                    <w:t xml:space="preserve">– </w:t>
                  </w:r>
                  <w:r w:rsidRPr="00507112">
                    <w:rPr>
                      <w:rFonts w:cs="Arial"/>
                      <w:sz w:val="18"/>
                      <w:szCs w:val="18"/>
                    </w:rPr>
                    <w:t>it can deduct the full cost (including the second element of cost of the asset in the 202</w:t>
                  </w:r>
                  <w:r>
                    <w:rPr>
                      <w:rFonts w:cs="Arial"/>
                      <w:sz w:val="18"/>
                      <w:szCs w:val="18"/>
                    </w:rPr>
                    <w:t>2</w:t>
                  </w:r>
                  <w:r w:rsidRPr="00507112">
                    <w:rPr>
                      <w:rFonts w:cs="Arial"/>
                      <w:sz w:val="18"/>
                      <w:szCs w:val="18"/>
                    </w:rPr>
                    <w:t>-2</w:t>
                  </w:r>
                  <w:r>
                    <w:rPr>
                      <w:rFonts w:cs="Arial"/>
                      <w:sz w:val="18"/>
                      <w:szCs w:val="18"/>
                    </w:rPr>
                    <w:t>3</w:t>
                  </w:r>
                  <w:r w:rsidRPr="00507112">
                    <w:rPr>
                      <w:rFonts w:cs="Arial"/>
                      <w:sz w:val="18"/>
                      <w:szCs w:val="18"/>
                    </w:rPr>
                    <w:t xml:space="preserve"> income year). </w:t>
                  </w:r>
                </w:p>
              </w:tc>
            </w:tr>
            <w:tr w:rsidR="00D40925" w14:paraId="00FDF60E" w14:textId="77777777" w:rsidTr="007B5704">
              <w:trPr>
                <w:trHeight w:val="2760"/>
              </w:trPr>
              <w:tc>
                <w:tcPr>
                  <w:cnfStyle w:val="001000000000" w:firstRow="0" w:lastRow="0" w:firstColumn="1" w:lastColumn="0" w:oddVBand="0" w:evenVBand="0" w:oddHBand="0" w:evenHBand="0" w:firstRowFirstColumn="0" w:firstRowLastColumn="0" w:lastRowFirstColumn="0" w:lastRowLastColumn="0"/>
                  <w:tcW w:w="2007" w:type="dxa"/>
                  <w:hideMark/>
                </w:tcPr>
                <w:p w14:paraId="0C614500" w14:textId="4642F3F5" w:rsidR="00D40925" w:rsidRPr="00507112" w:rsidRDefault="00D40925" w:rsidP="00D40925">
                  <w:pPr>
                    <w:rPr>
                      <w:rFonts w:cs="Arial"/>
                      <w:sz w:val="18"/>
                      <w:szCs w:val="18"/>
                    </w:rPr>
                  </w:pPr>
                  <w:r w:rsidRPr="00507112">
                    <w:rPr>
                      <w:rFonts w:cs="Arial"/>
                      <w:b w:val="0"/>
                      <w:bCs w:val="0"/>
                      <w:sz w:val="18"/>
                      <w:szCs w:val="18"/>
                    </w:rPr>
                    <w:t>Asset held after the Budget time but before 30 June 2021 and start to be used for taxable</w:t>
                  </w:r>
                  <w:r w:rsidRPr="00507112">
                    <w:rPr>
                      <w:rFonts w:cs="Arial"/>
                      <w:sz w:val="18"/>
                      <w:szCs w:val="18"/>
                    </w:rPr>
                    <w:t xml:space="preserve"> </w:t>
                  </w:r>
                  <w:r w:rsidRPr="00507112">
                    <w:rPr>
                      <w:rFonts w:cs="Arial"/>
                      <w:b w:val="0"/>
                      <w:bCs w:val="0"/>
                      <w:sz w:val="18"/>
                      <w:szCs w:val="18"/>
                    </w:rPr>
                    <w:t>purpose in a</w:t>
                  </w:r>
                  <w:r w:rsidRPr="00507112">
                    <w:rPr>
                      <w:rFonts w:cs="Arial"/>
                      <w:sz w:val="18"/>
                      <w:szCs w:val="18"/>
                    </w:rPr>
                    <w:t xml:space="preserve"> later income year (202</w:t>
                  </w:r>
                  <w:r>
                    <w:rPr>
                      <w:rFonts w:cs="Arial"/>
                      <w:sz w:val="18"/>
                      <w:szCs w:val="18"/>
                    </w:rPr>
                    <w:t>3</w:t>
                  </w:r>
                  <w:r w:rsidRPr="00507112">
                    <w:rPr>
                      <w:rFonts w:cs="Arial"/>
                      <w:sz w:val="18"/>
                      <w:szCs w:val="18"/>
                    </w:rPr>
                    <w:t>).</w:t>
                  </w:r>
                </w:p>
              </w:tc>
              <w:tc>
                <w:tcPr>
                  <w:tcW w:w="2126" w:type="dxa"/>
                  <w:hideMark/>
                </w:tcPr>
                <w:p w14:paraId="0AA0CE99" w14:textId="77777777" w:rsidR="00D40925" w:rsidRPr="00507112" w:rsidRDefault="00D40925" w:rsidP="00D4092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07112">
                    <w:rPr>
                      <w:rFonts w:cs="Arial"/>
                      <w:sz w:val="18"/>
                      <w:szCs w:val="18"/>
                    </w:rPr>
                    <w:t>Sum of the assets opening adjustable value for that later income year and the amount included in the second element of cost in that later income year.</w:t>
                  </w:r>
                </w:p>
              </w:tc>
              <w:tc>
                <w:tcPr>
                  <w:tcW w:w="3622" w:type="dxa"/>
                  <w:hideMark/>
                </w:tcPr>
                <w:p w14:paraId="56226809" w14:textId="1656602B" w:rsidR="00D40925" w:rsidRPr="00507112" w:rsidRDefault="00D40925" w:rsidP="00D4092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07112">
                    <w:rPr>
                      <w:rFonts w:cs="Arial"/>
                      <w:sz w:val="18"/>
                      <w:szCs w:val="18"/>
                    </w:rPr>
                    <w:t xml:space="preserve">Entity starts to hold an eligible depreciating asset between the Budget time and 30 June 2021 but doesn’t start to use the asset or have it installed ready for use for a taxable purpose until after 1 July 2021. </w:t>
                  </w:r>
                  <w:r>
                    <w:rPr>
                      <w:rFonts w:cs="Arial"/>
                      <w:sz w:val="18"/>
                      <w:szCs w:val="18"/>
                    </w:rPr>
                    <w:t>If the first year in which the asset is used or installed ready for use for a taxable purpose is the 2022-23 income year, t</w:t>
                  </w:r>
                  <w:r w:rsidRPr="00507112">
                    <w:rPr>
                      <w:rFonts w:cs="Arial"/>
                      <w:sz w:val="18"/>
                      <w:szCs w:val="18"/>
                    </w:rPr>
                    <w:t>he entity will be able to deduct the full cost (including the second element of cost) of the asset in the 202</w:t>
                  </w:r>
                  <w:r>
                    <w:rPr>
                      <w:rFonts w:cs="Arial"/>
                      <w:sz w:val="18"/>
                      <w:szCs w:val="18"/>
                    </w:rPr>
                    <w:t>2</w:t>
                  </w:r>
                  <w:r w:rsidRPr="00507112">
                    <w:rPr>
                      <w:rFonts w:cs="Arial"/>
                      <w:sz w:val="18"/>
                      <w:szCs w:val="18"/>
                    </w:rPr>
                    <w:t>-2</w:t>
                  </w:r>
                  <w:r>
                    <w:rPr>
                      <w:rFonts w:cs="Arial"/>
                      <w:sz w:val="18"/>
                      <w:szCs w:val="18"/>
                    </w:rPr>
                    <w:t>3</w:t>
                  </w:r>
                  <w:r w:rsidRPr="00507112">
                    <w:rPr>
                      <w:rFonts w:cs="Arial"/>
                      <w:sz w:val="18"/>
                      <w:szCs w:val="18"/>
                    </w:rPr>
                    <w:t xml:space="preserve"> income year, less any decline in value in the 2020-21 </w:t>
                  </w:r>
                  <w:r>
                    <w:rPr>
                      <w:rFonts w:cs="Arial"/>
                      <w:sz w:val="18"/>
                      <w:szCs w:val="18"/>
                    </w:rPr>
                    <w:t xml:space="preserve">or 2021-22 </w:t>
                  </w:r>
                  <w:r w:rsidRPr="00507112">
                    <w:rPr>
                      <w:rFonts w:cs="Arial"/>
                      <w:sz w:val="18"/>
                      <w:szCs w:val="18"/>
                    </w:rPr>
                    <w:t xml:space="preserve">income year for any non-taxable use in </w:t>
                  </w:r>
                  <w:r>
                    <w:rPr>
                      <w:rFonts w:cs="Arial"/>
                      <w:sz w:val="18"/>
                      <w:szCs w:val="18"/>
                    </w:rPr>
                    <w:t>those years</w:t>
                  </w:r>
                  <w:r w:rsidRPr="00507112">
                    <w:rPr>
                      <w:rFonts w:cs="Arial"/>
                      <w:sz w:val="18"/>
                      <w:szCs w:val="18"/>
                    </w:rPr>
                    <w:t xml:space="preserve">. </w:t>
                  </w:r>
                </w:p>
              </w:tc>
            </w:tr>
            <w:tr w:rsidR="00D40925" w14:paraId="31E0DF3C" w14:textId="77777777" w:rsidTr="007B5704">
              <w:trPr>
                <w:trHeight w:val="1134"/>
              </w:trPr>
              <w:tc>
                <w:tcPr>
                  <w:cnfStyle w:val="001000000000" w:firstRow="0" w:lastRow="0" w:firstColumn="1" w:lastColumn="0" w:oddVBand="0" w:evenVBand="0" w:oddHBand="0" w:evenHBand="0" w:firstRowFirstColumn="0" w:firstRowLastColumn="0" w:lastRowFirstColumn="0" w:lastRowLastColumn="0"/>
                  <w:tcW w:w="2007" w:type="dxa"/>
                  <w:hideMark/>
                </w:tcPr>
                <w:p w14:paraId="29D52B8A" w14:textId="37A75C95" w:rsidR="00D40925" w:rsidRPr="00507112" w:rsidRDefault="00D40925" w:rsidP="00D40925">
                  <w:pPr>
                    <w:rPr>
                      <w:rFonts w:cs="Arial"/>
                      <w:sz w:val="18"/>
                      <w:szCs w:val="18"/>
                    </w:rPr>
                  </w:pPr>
                  <w:r w:rsidRPr="00507112">
                    <w:rPr>
                      <w:rFonts w:cs="Arial"/>
                      <w:b w:val="0"/>
                      <w:bCs w:val="0"/>
                      <w:sz w:val="18"/>
                      <w:szCs w:val="18"/>
                    </w:rPr>
                    <w:t>Assets held after 1 July 202</w:t>
                  </w:r>
                  <w:r>
                    <w:rPr>
                      <w:rFonts w:cs="Arial"/>
                      <w:b w:val="0"/>
                      <w:bCs w:val="0"/>
                      <w:sz w:val="18"/>
                      <w:szCs w:val="18"/>
                    </w:rPr>
                    <w:t>2</w:t>
                  </w:r>
                  <w:r w:rsidRPr="00507112">
                    <w:rPr>
                      <w:rFonts w:cs="Arial"/>
                      <w:b w:val="0"/>
                      <w:bCs w:val="0"/>
                      <w:sz w:val="18"/>
                      <w:szCs w:val="18"/>
                    </w:rPr>
                    <w:t xml:space="preserve"> where</w:t>
                  </w:r>
                  <w:r w:rsidRPr="00507112">
                    <w:rPr>
                      <w:rFonts w:cs="Arial"/>
                      <w:sz w:val="18"/>
                      <w:szCs w:val="18"/>
                    </w:rPr>
                    <w:t xml:space="preserve"> balancing adjustment happens in the same income year.</w:t>
                  </w:r>
                </w:p>
              </w:tc>
              <w:tc>
                <w:tcPr>
                  <w:tcW w:w="2126" w:type="dxa"/>
                  <w:hideMark/>
                </w:tcPr>
                <w:p w14:paraId="71F4064D" w14:textId="77777777" w:rsidR="00D40925" w:rsidRPr="00507112" w:rsidRDefault="00D40925" w:rsidP="00D4092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07112">
                    <w:rPr>
                      <w:rFonts w:cs="Arial"/>
                      <w:sz w:val="18"/>
                      <w:szCs w:val="18"/>
                    </w:rPr>
                    <w:t>No deduction allowed.</w:t>
                  </w:r>
                </w:p>
              </w:tc>
              <w:tc>
                <w:tcPr>
                  <w:tcW w:w="3622" w:type="dxa"/>
                  <w:hideMark/>
                </w:tcPr>
                <w:p w14:paraId="39A2B404" w14:textId="5C1B2DDE" w:rsidR="00D40925" w:rsidRPr="00507112" w:rsidRDefault="00D40925" w:rsidP="00D40925">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07112">
                    <w:rPr>
                      <w:rFonts w:cs="Arial"/>
                      <w:sz w:val="18"/>
                      <w:szCs w:val="18"/>
                    </w:rPr>
                    <w:t>Entity starts to hold an eligible depreciating asset between 1 July 202</w:t>
                  </w:r>
                  <w:r>
                    <w:rPr>
                      <w:rFonts w:cs="Arial"/>
                      <w:sz w:val="18"/>
                      <w:szCs w:val="18"/>
                    </w:rPr>
                    <w:t>2</w:t>
                  </w:r>
                  <w:r w:rsidRPr="00507112">
                    <w:rPr>
                      <w:rFonts w:cs="Arial"/>
                      <w:sz w:val="18"/>
                      <w:szCs w:val="18"/>
                    </w:rPr>
                    <w:t xml:space="preserve"> and 30 June 202</w:t>
                  </w:r>
                  <w:r>
                    <w:rPr>
                      <w:rFonts w:cs="Arial"/>
                      <w:sz w:val="18"/>
                      <w:szCs w:val="18"/>
                    </w:rPr>
                    <w:t>3</w:t>
                  </w:r>
                  <w:r w:rsidRPr="00507112">
                    <w:rPr>
                      <w:rFonts w:cs="Arial"/>
                      <w:sz w:val="18"/>
                      <w:szCs w:val="18"/>
                    </w:rPr>
                    <w:t xml:space="preserve"> and disposes of the asset prior to 30 June 202</w:t>
                  </w:r>
                  <w:r>
                    <w:rPr>
                      <w:rFonts w:cs="Arial"/>
                      <w:sz w:val="18"/>
                      <w:szCs w:val="18"/>
                    </w:rPr>
                    <w:t>3</w:t>
                  </w:r>
                  <w:r w:rsidRPr="00507112">
                    <w:rPr>
                      <w:rFonts w:cs="Arial"/>
                      <w:sz w:val="18"/>
                      <w:szCs w:val="18"/>
                    </w:rPr>
                    <w:t xml:space="preserve">. </w:t>
                  </w:r>
                </w:p>
              </w:tc>
            </w:tr>
          </w:tbl>
          <w:p w14:paraId="1AE0DC36" w14:textId="77777777" w:rsidR="00D40925" w:rsidRPr="00507112" w:rsidRDefault="00D40925" w:rsidP="00D40925">
            <w:pPr>
              <w:pStyle w:val="Table"/>
              <w:spacing w:before="100" w:after="100"/>
              <w:rPr>
                <w:rFonts w:asciiTheme="minorHAnsi" w:hAnsiTheme="minorHAnsi" w:cstheme="minorHAnsi"/>
                <w:i/>
                <w:color w:val="090D46" w:themeColor="text1"/>
                <w:sz w:val="18"/>
                <w:szCs w:val="18"/>
              </w:rPr>
            </w:pPr>
            <w:r w:rsidRPr="00507112">
              <w:rPr>
                <w:rFonts w:asciiTheme="minorHAnsi" w:hAnsiTheme="minorHAnsi" w:cstheme="minorHAnsi"/>
                <w:i/>
                <w:color w:val="090D46" w:themeColor="text1"/>
                <w:sz w:val="18"/>
                <w:szCs w:val="18"/>
              </w:rPr>
              <w:t>SBEs that choose to apply the simplified depreciation rules</w:t>
            </w:r>
          </w:p>
          <w:p w14:paraId="3F6CCE2C" w14:textId="77777777" w:rsidR="00D40925" w:rsidRPr="00507112" w:rsidRDefault="00D40925" w:rsidP="00D40925">
            <w:pPr>
              <w:pStyle w:val="Table"/>
              <w:spacing w:before="100" w:after="100"/>
              <w:rPr>
                <w:rFonts w:asciiTheme="minorHAnsi" w:hAnsiTheme="minorHAnsi" w:cstheme="minorHAnsi"/>
                <w:color w:val="090D46" w:themeColor="text1"/>
                <w:sz w:val="18"/>
                <w:szCs w:val="18"/>
              </w:rPr>
            </w:pPr>
            <w:r w:rsidRPr="00507112">
              <w:rPr>
                <w:rFonts w:asciiTheme="minorHAnsi" w:hAnsiTheme="minorHAnsi" w:cstheme="minorHAnsi"/>
                <w:color w:val="090D46" w:themeColor="text1"/>
                <w:sz w:val="18"/>
                <w:szCs w:val="18"/>
              </w:rPr>
              <w:t>SBEs that apply the simplified depreciation rules can deduct:</w:t>
            </w:r>
          </w:p>
          <w:p w14:paraId="4C2E3D8F" w14:textId="19BB7D69" w:rsidR="00D40925" w:rsidRDefault="00D40925" w:rsidP="00D40925">
            <w:pPr>
              <w:pStyle w:val="ListBullet"/>
            </w:pPr>
            <w:r>
              <w:t>The full cost of eligible depreciating assets that are first held and used or installed ready for a taxable purpose between 6 October 2020 and 30 June 2023.</w:t>
            </w:r>
          </w:p>
          <w:p w14:paraId="24FC6D0B" w14:textId="721DCFD7" w:rsidR="00D40925" w:rsidRDefault="00D40925" w:rsidP="00D40925">
            <w:pPr>
              <w:pStyle w:val="ListBullet"/>
            </w:pPr>
            <w:r>
              <w:t>The second element of the cost of existing eligible depreciating assets incurred during this period</w:t>
            </w:r>
            <w:r w:rsidRPr="00CD3E10">
              <w:t xml:space="preserve"> </w:t>
            </w:r>
            <w:r w:rsidRPr="00E83991">
              <w:t>(improvements)</w:t>
            </w:r>
            <w:r w:rsidRPr="005F7C0C">
              <w:t>, and</w:t>
            </w:r>
          </w:p>
          <w:p w14:paraId="02F00D86" w14:textId="77777777" w:rsidR="00D40925" w:rsidRDefault="00D40925" w:rsidP="00D40925">
            <w:pPr>
              <w:pStyle w:val="ListBullet"/>
            </w:pPr>
            <w:r>
              <w:t xml:space="preserve">The balance of the general small business pool at the end of the income year (for income years ending between 6 October 2020 and 30 June 2023). </w:t>
            </w:r>
          </w:p>
          <w:p w14:paraId="4E438EF1" w14:textId="77777777" w:rsidR="00D40925" w:rsidRPr="00507112" w:rsidRDefault="00D40925" w:rsidP="00D40925">
            <w:pPr>
              <w:pStyle w:val="Table"/>
              <w:spacing w:before="100" w:after="100"/>
              <w:rPr>
                <w:i/>
                <w:color w:val="090D46" w:themeColor="text1"/>
                <w:sz w:val="18"/>
                <w:szCs w:val="18"/>
              </w:rPr>
            </w:pPr>
            <w:r w:rsidRPr="00507112">
              <w:rPr>
                <w:i/>
                <w:color w:val="090D46" w:themeColor="text1"/>
                <w:sz w:val="18"/>
                <w:szCs w:val="18"/>
              </w:rPr>
              <w:t xml:space="preserve">Balancing adjustment event </w:t>
            </w:r>
          </w:p>
          <w:p w14:paraId="10CF956A" w14:textId="77777777" w:rsidR="00D40925" w:rsidRPr="00507112" w:rsidRDefault="00D40925" w:rsidP="00D40925">
            <w:pPr>
              <w:pStyle w:val="Table"/>
              <w:spacing w:before="100" w:after="100"/>
              <w:rPr>
                <w:color w:val="090D46" w:themeColor="text1"/>
                <w:sz w:val="18"/>
                <w:szCs w:val="18"/>
              </w:rPr>
            </w:pPr>
            <w:r w:rsidRPr="00507112">
              <w:rPr>
                <w:color w:val="090D46" w:themeColor="text1"/>
                <w:sz w:val="18"/>
                <w:szCs w:val="18"/>
              </w:rPr>
              <w:t>Where a depreciating asset has its decline in value worked out under the TFE rules and subsequently:</w:t>
            </w:r>
          </w:p>
          <w:p w14:paraId="06A3B02B" w14:textId="31C40150" w:rsidR="00D40925" w:rsidRDefault="00D40925" w:rsidP="00D40925">
            <w:pPr>
              <w:pStyle w:val="ListBullet"/>
            </w:pPr>
            <w:r>
              <w:t>Is not used principally in Australia (e.g. where an asset was intended to be relocated in Australia for business use but this does not occur</w:t>
            </w:r>
            <w:r w:rsidRPr="00B6681E">
              <w:t>),</w:t>
            </w:r>
            <w:r>
              <w:t xml:space="preserve"> or </w:t>
            </w:r>
          </w:p>
          <w:p w14:paraId="50AA1EFD" w14:textId="77777777" w:rsidR="00D40925" w:rsidRDefault="00D40925" w:rsidP="00D40925">
            <w:pPr>
              <w:pStyle w:val="ListBullet"/>
            </w:pPr>
            <w:r>
              <w:t>Ceases to be used for principal purpose of carrying on a business (e.g. if it is applied for private use),</w:t>
            </w:r>
          </w:p>
          <w:p w14:paraId="16437C14" w14:textId="19249465" w:rsidR="00D40925" w:rsidRPr="007B5704" w:rsidRDefault="00D40925" w:rsidP="007B5704">
            <w:pPr>
              <w:pStyle w:val="Table"/>
              <w:spacing w:before="100" w:after="100"/>
              <w:rPr>
                <w:color w:val="090D46" w:themeColor="text1"/>
                <w:sz w:val="18"/>
                <w:szCs w:val="18"/>
              </w:rPr>
            </w:pPr>
            <w:r w:rsidRPr="00507112">
              <w:rPr>
                <w:color w:val="090D46" w:themeColor="text1"/>
                <w:sz w:val="18"/>
                <w:szCs w:val="18"/>
              </w:rPr>
              <w:t>a balancing adjustment event occurs. If such a balancing adjustment event occurs</w:t>
            </w:r>
            <w:r>
              <w:rPr>
                <w:color w:val="090D46" w:themeColor="text1"/>
                <w:sz w:val="18"/>
                <w:szCs w:val="18"/>
              </w:rPr>
              <w:t xml:space="preserve"> in a year later than the year of acquisition</w:t>
            </w:r>
            <w:r w:rsidRPr="00507112">
              <w:rPr>
                <w:color w:val="090D46" w:themeColor="text1"/>
                <w:sz w:val="18"/>
                <w:szCs w:val="18"/>
              </w:rPr>
              <w:t>:</w:t>
            </w:r>
          </w:p>
        </w:tc>
        <w:tc>
          <w:tcPr>
            <w:tcW w:w="416" w:type="pct"/>
          </w:tcPr>
          <w:p w14:paraId="35FBC962" w14:textId="77777777" w:rsidR="00D40925" w:rsidRDefault="00D40925" w:rsidP="00D40925">
            <w:pPr>
              <w:pStyle w:val="Table"/>
              <w:spacing w:before="100" w:after="100"/>
              <w:rPr>
                <w:sz w:val="18"/>
                <w:szCs w:val="18"/>
              </w:rPr>
            </w:pPr>
          </w:p>
        </w:tc>
        <w:tc>
          <w:tcPr>
            <w:tcW w:w="348" w:type="pct"/>
          </w:tcPr>
          <w:p w14:paraId="17697E55" w14:textId="77777777" w:rsidR="00D40925" w:rsidRDefault="00D40925" w:rsidP="00D40925">
            <w:pPr>
              <w:pStyle w:val="Table"/>
              <w:spacing w:before="100" w:after="100"/>
              <w:rPr>
                <w:sz w:val="18"/>
                <w:szCs w:val="18"/>
              </w:rPr>
            </w:pPr>
          </w:p>
        </w:tc>
        <w:tc>
          <w:tcPr>
            <w:tcW w:w="348" w:type="pct"/>
            <w:gridSpan w:val="2"/>
          </w:tcPr>
          <w:p w14:paraId="45205287" w14:textId="77777777" w:rsidR="00D40925" w:rsidRDefault="00D40925" w:rsidP="00D40925">
            <w:pPr>
              <w:pStyle w:val="Table"/>
              <w:spacing w:before="100" w:after="100"/>
              <w:rPr>
                <w:sz w:val="18"/>
                <w:szCs w:val="18"/>
              </w:rPr>
            </w:pPr>
          </w:p>
        </w:tc>
      </w:tr>
      <w:tr w:rsidR="00E54AE7" w14:paraId="1FE38136"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vMerge/>
            <w:hideMark/>
          </w:tcPr>
          <w:p w14:paraId="3090F037" w14:textId="77777777" w:rsidR="00D40925" w:rsidRDefault="00D40925" w:rsidP="00D40925">
            <w:pPr>
              <w:rPr>
                <w:szCs w:val="18"/>
              </w:rPr>
            </w:pPr>
          </w:p>
        </w:tc>
        <w:tc>
          <w:tcPr>
            <w:tcW w:w="416" w:type="pct"/>
          </w:tcPr>
          <w:p w14:paraId="435C2F9E" w14:textId="77777777" w:rsidR="00D40925" w:rsidRDefault="00D40925" w:rsidP="00D40925">
            <w:pPr>
              <w:pStyle w:val="Table"/>
              <w:spacing w:before="100" w:after="100"/>
              <w:rPr>
                <w:sz w:val="18"/>
                <w:szCs w:val="18"/>
              </w:rPr>
            </w:pPr>
          </w:p>
        </w:tc>
        <w:tc>
          <w:tcPr>
            <w:tcW w:w="348" w:type="pct"/>
          </w:tcPr>
          <w:p w14:paraId="429B9EBC" w14:textId="77777777" w:rsidR="00D40925" w:rsidRDefault="00D40925" w:rsidP="00D40925">
            <w:pPr>
              <w:pStyle w:val="Table"/>
              <w:spacing w:before="100" w:after="100"/>
              <w:rPr>
                <w:sz w:val="18"/>
                <w:szCs w:val="18"/>
              </w:rPr>
            </w:pPr>
          </w:p>
        </w:tc>
        <w:tc>
          <w:tcPr>
            <w:tcW w:w="348" w:type="pct"/>
            <w:gridSpan w:val="2"/>
          </w:tcPr>
          <w:p w14:paraId="67256012" w14:textId="77777777" w:rsidR="00D40925" w:rsidRDefault="00D40925" w:rsidP="00D40925">
            <w:pPr>
              <w:pStyle w:val="Table"/>
              <w:spacing w:before="100" w:after="100"/>
              <w:rPr>
                <w:sz w:val="18"/>
                <w:szCs w:val="18"/>
              </w:rPr>
            </w:pPr>
          </w:p>
        </w:tc>
      </w:tr>
      <w:tr w:rsidR="00E54AE7" w14:paraId="3EBF98B0" w14:textId="77777777" w:rsidTr="00E54AE7">
        <w:tc>
          <w:tcPr>
            <w:tcW w:w="3888" w:type="pct"/>
            <w:vMerge/>
            <w:hideMark/>
          </w:tcPr>
          <w:p w14:paraId="75E0B2F4" w14:textId="77777777" w:rsidR="00D40925" w:rsidRDefault="00D40925" w:rsidP="00D40925">
            <w:pPr>
              <w:rPr>
                <w:szCs w:val="18"/>
              </w:rPr>
            </w:pPr>
          </w:p>
        </w:tc>
        <w:tc>
          <w:tcPr>
            <w:tcW w:w="416" w:type="pct"/>
          </w:tcPr>
          <w:p w14:paraId="483E3FA3" w14:textId="77777777" w:rsidR="00D40925" w:rsidRDefault="00D40925" w:rsidP="00D40925">
            <w:pPr>
              <w:pStyle w:val="Table"/>
              <w:spacing w:before="100" w:after="100"/>
              <w:rPr>
                <w:sz w:val="18"/>
                <w:szCs w:val="18"/>
              </w:rPr>
            </w:pPr>
          </w:p>
        </w:tc>
        <w:tc>
          <w:tcPr>
            <w:tcW w:w="348" w:type="pct"/>
          </w:tcPr>
          <w:p w14:paraId="171C39F1" w14:textId="77777777" w:rsidR="00D40925" w:rsidRDefault="00D40925" w:rsidP="00D40925">
            <w:pPr>
              <w:pStyle w:val="Table"/>
              <w:spacing w:before="100" w:after="100"/>
              <w:rPr>
                <w:sz w:val="18"/>
                <w:szCs w:val="18"/>
              </w:rPr>
            </w:pPr>
          </w:p>
        </w:tc>
        <w:tc>
          <w:tcPr>
            <w:tcW w:w="348" w:type="pct"/>
            <w:gridSpan w:val="2"/>
          </w:tcPr>
          <w:p w14:paraId="30E79158" w14:textId="77777777" w:rsidR="00D40925" w:rsidRDefault="00D40925" w:rsidP="00D40925">
            <w:pPr>
              <w:pStyle w:val="Table"/>
              <w:spacing w:before="100" w:after="100"/>
              <w:rPr>
                <w:sz w:val="18"/>
                <w:szCs w:val="18"/>
              </w:rPr>
            </w:pPr>
          </w:p>
        </w:tc>
      </w:tr>
      <w:tr w:rsidR="007B5704" w14:paraId="63D64602" w14:textId="77777777" w:rsidTr="00E54AE7">
        <w:trPr>
          <w:cnfStyle w:val="000000100000" w:firstRow="0" w:lastRow="0" w:firstColumn="0" w:lastColumn="0" w:oddVBand="0" w:evenVBand="0" w:oddHBand="1" w:evenHBand="0" w:firstRowFirstColumn="0" w:firstRowLastColumn="0" w:lastRowFirstColumn="0" w:lastRowLastColumn="0"/>
        </w:trPr>
        <w:tc>
          <w:tcPr>
            <w:tcW w:w="5000" w:type="pct"/>
            <w:gridSpan w:val="5"/>
            <w:shd w:val="clear" w:color="auto" w:fill="0A5CC7" w:themeFill="accent3"/>
          </w:tcPr>
          <w:p w14:paraId="164157E9" w14:textId="47E4F4B2" w:rsidR="007B5704" w:rsidRDefault="007B5704" w:rsidP="007B5704">
            <w:pPr>
              <w:pStyle w:val="Table"/>
              <w:spacing w:before="100" w:after="100"/>
              <w:rPr>
                <w:sz w:val="18"/>
                <w:szCs w:val="18"/>
              </w:rPr>
            </w:pPr>
            <w:r w:rsidRPr="00D40925">
              <w:rPr>
                <w:b/>
                <w:color w:val="FFFFFF" w:themeColor="background1"/>
                <w:sz w:val="18"/>
                <w:szCs w:val="18"/>
              </w:rPr>
              <w:t xml:space="preserve">DECLINE IN VALUE (DEPRECIATION) </w:t>
            </w:r>
            <w:r>
              <w:rPr>
                <w:b/>
                <w:color w:val="FFFFFF" w:themeColor="background1"/>
                <w:sz w:val="18"/>
                <w:szCs w:val="18"/>
              </w:rPr>
              <w:t xml:space="preserve">(CONTINUED) </w:t>
            </w:r>
          </w:p>
        </w:tc>
      </w:tr>
      <w:tr w:rsidR="007B5704" w14:paraId="2E7D4511" w14:textId="77777777" w:rsidTr="00E54AE7">
        <w:tc>
          <w:tcPr>
            <w:tcW w:w="3888" w:type="pct"/>
          </w:tcPr>
          <w:p w14:paraId="60F538F2" w14:textId="77777777" w:rsidR="007B5704" w:rsidRPr="007B5704" w:rsidRDefault="007B5704" w:rsidP="007B5704">
            <w:pPr>
              <w:pStyle w:val="ListBullet"/>
            </w:pPr>
            <w:r w:rsidRPr="007B5704">
              <w:t>The TFE deduction may be clawed back, because the asset will be deemed to be disposed of and reacquired for its market value,</w:t>
            </w:r>
          </w:p>
          <w:p w14:paraId="3A968231" w14:textId="77777777" w:rsidR="007B5704" w:rsidRPr="007B5704" w:rsidRDefault="007B5704" w:rsidP="007B5704">
            <w:pPr>
              <w:pStyle w:val="ListBullet"/>
            </w:pPr>
            <w:r w:rsidRPr="007B5704">
              <w:t xml:space="preserve">The first element of the cost of the depreciating asset will be the asset’s market value at the time of the event, and </w:t>
            </w:r>
          </w:p>
          <w:p w14:paraId="3B0D6951" w14:textId="77777777" w:rsidR="007B5704" w:rsidRPr="007B5704" w:rsidRDefault="007B5704" w:rsidP="007B5704">
            <w:pPr>
              <w:pStyle w:val="ListBullet"/>
            </w:pPr>
            <w:r w:rsidRPr="007B5704">
              <w:t>The TFE rules no longer apply to work out the decline in value of that asset for a later income year (albeit, the entity may claim any other capital allowance it is entitled to for that asset).</w:t>
            </w:r>
          </w:p>
          <w:p w14:paraId="0C8E2843" w14:textId="77777777" w:rsidR="007B5704" w:rsidRPr="007B5704" w:rsidRDefault="007B5704" w:rsidP="007B5704">
            <w:pPr>
              <w:pStyle w:val="Table"/>
              <w:spacing w:before="100" w:after="100"/>
              <w:rPr>
                <w:i/>
                <w:color w:val="090D46" w:themeColor="text1"/>
                <w:sz w:val="18"/>
                <w:szCs w:val="18"/>
              </w:rPr>
            </w:pPr>
            <w:r w:rsidRPr="007B5704">
              <w:rPr>
                <w:i/>
                <w:color w:val="090D46" w:themeColor="text1"/>
                <w:sz w:val="18"/>
                <w:szCs w:val="18"/>
              </w:rPr>
              <w:t>Opting out</w:t>
            </w:r>
          </w:p>
          <w:p w14:paraId="752D1BA3" w14:textId="44AB5207" w:rsidR="007B5704" w:rsidRPr="007B5704" w:rsidRDefault="007B5704" w:rsidP="007B5704">
            <w:pPr>
              <w:pStyle w:val="Table"/>
              <w:spacing w:before="100" w:after="100"/>
              <w:rPr>
                <w:rFonts w:asciiTheme="minorHAnsi" w:hAnsiTheme="minorHAnsi" w:cstheme="minorHAnsi"/>
                <w:color w:val="090D46" w:themeColor="text1"/>
                <w:sz w:val="18"/>
                <w:szCs w:val="18"/>
              </w:rPr>
            </w:pPr>
            <w:r w:rsidRPr="007B5704">
              <w:rPr>
                <w:color w:val="090D46" w:themeColor="text1"/>
              </w:rPr>
              <w:t>An entity can make a choice to opt-out of TFE for an income year on an asset-by-asset basis if it is not using the simplified depreciation rules. The choice is unchangeable and must be made in an approved form by the day that the income tax return is lodged for the income year to which the choice relates.</w:t>
            </w:r>
          </w:p>
        </w:tc>
        <w:tc>
          <w:tcPr>
            <w:tcW w:w="416" w:type="pct"/>
          </w:tcPr>
          <w:p w14:paraId="5E8A37B2" w14:textId="77777777" w:rsidR="007B5704" w:rsidRDefault="007B5704" w:rsidP="007B5704">
            <w:pPr>
              <w:pStyle w:val="Table"/>
              <w:spacing w:before="100" w:after="100"/>
              <w:rPr>
                <w:sz w:val="18"/>
                <w:szCs w:val="18"/>
              </w:rPr>
            </w:pPr>
          </w:p>
        </w:tc>
        <w:tc>
          <w:tcPr>
            <w:tcW w:w="348" w:type="pct"/>
          </w:tcPr>
          <w:p w14:paraId="77878EB0" w14:textId="77777777" w:rsidR="007B5704" w:rsidRDefault="007B5704" w:rsidP="007B5704">
            <w:pPr>
              <w:pStyle w:val="Table"/>
              <w:spacing w:before="100" w:after="100"/>
              <w:rPr>
                <w:sz w:val="18"/>
                <w:szCs w:val="18"/>
              </w:rPr>
            </w:pPr>
          </w:p>
        </w:tc>
        <w:tc>
          <w:tcPr>
            <w:tcW w:w="348" w:type="pct"/>
            <w:gridSpan w:val="2"/>
          </w:tcPr>
          <w:p w14:paraId="2679ECC7" w14:textId="77777777" w:rsidR="007B5704" w:rsidRDefault="007B5704" w:rsidP="007B5704">
            <w:pPr>
              <w:pStyle w:val="Table"/>
              <w:spacing w:before="100" w:after="100"/>
              <w:rPr>
                <w:sz w:val="18"/>
                <w:szCs w:val="18"/>
              </w:rPr>
            </w:pPr>
          </w:p>
        </w:tc>
      </w:tr>
      <w:tr w:rsidR="007B5704" w14:paraId="3824C879"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tcPr>
          <w:p w14:paraId="0911FE46" w14:textId="3797156B" w:rsidR="007B5704" w:rsidRDefault="007B5704" w:rsidP="007B5704">
            <w:pPr>
              <w:pStyle w:val="Table"/>
              <w:spacing w:before="100" w:after="100"/>
              <w:rPr>
                <w:sz w:val="18"/>
                <w:szCs w:val="18"/>
              </w:rPr>
            </w:pPr>
            <w:r w:rsidRPr="00507112">
              <w:rPr>
                <w:rFonts w:asciiTheme="minorHAnsi" w:hAnsiTheme="minorHAnsi" w:cstheme="minorHAnsi"/>
                <w:color w:val="090D46" w:themeColor="text1"/>
                <w:sz w:val="18"/>
                <w:szCs w:val="18"/>
              </w:rPr>
              <w:t>Where the entity is a SBE that chooses to apply the simplified depreciation rules and the depreciating assets are not eligible for any of the immediate or accelerated depreciation deductions above, the asset can be allocated to the general small business pool and depreciated at a rate of 15% regardless of the date of acquisition during the 202</w:t>
            </w:r>
            <w:r>
              <w:rPr>
                <w:rFonts w:asciiTheme="minorHAnsi" w:hAnsiTheme="minorHAnsi" w:cstheme="minorHAnsi"/>
                <w:color w:val="090D46" w:themeColor="text1"/>
                <w:sz w:val="18"/>
                <w:szCs w:val="18"/>
              </w:rPr>
              <w:t>3</w:t>
            </w:r>
            <w:r w:rsidRPr="00507112">
              <w:rPr>
                <w:rFonts w:asciiTheme="minorHAnsi" w:hAnsiTheme="minorHAnsi" w:cstheme="minorHAnsi"/>
                <w:color w:val="090D46" w:themeColor="text1"/>
                <w:sz w:val="18"/>
                <w:szCs w:val="18"/>
              </w:rPr>
              <w:t xml:space="preserve"> year, provided the asset starts to be used or is installed ready for use during the 202</w:t>
            </w:r>
            <w:r>
              <w:rPr>
                <w:rFonts w:asciiTheme="minorHAnsi" w:hAnsiTheme="minorHAnsi" w:cstheme="minorHAnsi"/>
                <w:color w:val="090D46" w:themeColor="text1"/>
                <w:sz w:val="18"/>
                <w:szCs w:val="18"/>
              </w:rPr>
              <w:t>3</w:t>
            </w:r>
            <w:r w:rsidRPr="00507112">
              <w:rPr>
                <w:rFonts w:asciiTheme="minorHAnsi" w:hAnsiTheme="minorHAnsi" w:cstheme="minorHAnsi"/>
                <w:color w:val="090D46" w:themeColor="text1"/>
                <w:sz w:val="18"/>
                <w:szCs w:val="18"/>
              </w:rPr>
              <w:t xml:space="preserve"> year. Likewise, any second element costs incurred in the 202</w:t>
            </w:r>
            <w:r>
              <w:rPr>
                <w:rFonts w:asciiTheme="minorHAnsi" w:hAnsiTheme="minorHAnsi" w:cstheme="minorHAnsi"/>
                <w:color w:val="090D46" w:themeColor="text1"/>
                <w:sz w:val="18"/>
                <w:szCs w:val="18"/>
              </w:rPr>
              <w:t>3</w:t>
            </w:r>
            <w:r w:rsidRPr="00507112">
              <w:rPr>
                <w:rFonts w:asciiTheme="minorHAnsi" w:hAnsiTheme="minorHAnsi" w:cstheme="minorHAnsi"/>
                <w:color w:val="090D46" w:themeColor="text1"/>
                <w:sz w:val="18"/>
                <w:szCs w:val="18"/>
              </w:rPr>
              <w:t xml:space="preserve"> year exceeding the threshold and in respect of an asset that has been pooled in an earlier year will similarly be depreciated at a rate of 15%. For assets included in the pool at the start of the 202</w:t>
            </w:r>
            <w:r>
              <w:rPr>
                <w:rFonts w:asciiTheme="minorHAnsi" w:hAnsiTheme="minorHAnsi" w:cstheme="minorHAnsi"/>
                <w:color w:val="090D46" w:themeColor="text1"/>
                <w:sz w:val="18"/>
                <w:szCs w:val="18"/>
              </w:rPr>
              <w:t>2</w:t>
            </w:r>
            <w:r w:rsidRPr="00507112">
              <w:rPr>
                <w:rFonts w:asciiTheme="minorHAnsi" w:hAnsiTheme="minorHAnsi" w:cstheme="minorHAnsi"/>
                <w:color w:val="090D46" w:themeColor="text1"/>
                <w:sz w:val="18"/>
                <w:szCs w:val="18"/>
              </w:rPr>
              <w:t xml:space="preserve"> year the opening pool balance will be depreciated by 30%. Finally, where a balancing adjustment occurs, the asset’s termination value must be deducted from the pool.</w:t>
            </w:r>
          </w:p>
        </w:tc>
        <w:tc>
          <w:tcPr>
            <w:tcW w:w="416" w:type="pct"/>
          </w:tcPr>
          <w:p w14:paraId="12547ABB" w14:textId="77777777" w:rsidR="007B5704" w:rsidRDefault="007B5704" w:rsidP="007B5704">
            <w:pPr>
              <w:pStyle w:val="Table"/>
              <w:spacing w:before="100" w:after="100"/>
              <w:rPr>
                <w:sz w:val="18"/>
                <w:szCs w:val="18"/>
              </w:rPr>
            </w:pPr>
          </w:p>
        </w:tc>
        <w:tc>
          <w:tcPr>
            <w:tcW w:w="348" w:type="pct"/>
          </w:tcPr>
          <w:p w14:paraId="4DF50D5B" w14:textId="77777777" w:rsidR="007B5704" w:rsidRDefault="007B5704" w:rsidP="007B5704">
            <w:pPr>
              <w:pStyle w:val="Table"/>
              <w:spacing w:before="100" w:after="100"/>
              <w:rPr>
                <w:sz w:val="18"/>
                <w:szCs w:val="18"/>
              </w:rPr>
            </w:pPr>
          </w:p>
        </w:tc>
        <w:tc>
          <w:tcPr>
            <w:tcW w:w="348" w:type="pct"/>
            <w:gridSpan w:val="2"/>
          </w:tcPr>
          <w:p w14:paraId="4D0E4974" w14:textId="77777777" w:rsidR="007B5704" w:rsidRDefault="007B5704" w:rsidP="007B5704">
            <w:pPr>
              <w:pStyle w:val="Table"/>
              <w:spacing w:before="100" w:after="100"/>
              <w:rPr>
                <w:sz w:val="18"/>
                <w:szCs w:val="18"/>
              </w:rPr>
            </w:pPr>
          </w:p>
        </w:tc>
      </w:tr>
      <w:tr w:rsidR="007B5704" w14:paraId="18BF70CB" w14:textId="77777777" w:rsidTr="00E54AE7">
        <w:tc>
          <w:tcPr>
            <w:tcW w:w="3888" w:type="pct"/>
          </w:tcPr>
          <w:p w14:paraId="1422D203" w14:textId="6FCB1454" w:rsidR="007B5704" w:rsidRPr="00507112" w:rsidRDefault="007B5704" w:rsidP="007B5704">
            <w:pPr>
              <w:spacing w:before="100" w:after="100"/>
              <w:rPr>
                <w:szCs w:val="18"/>
              </w:rPr>
            </w:pPr>
            <w:r w:rsidRPr="00E83991">
              <w:rPr>
                <w:b/>
                <w:szCs w:val="18"/>
              </w:rPr>
              <w:t>Other issues related to depreciation</w:t>
            </w:r>
          </w:p>
        </w:tc>
        <w:tc>
          <w:tcPr>
            <w:tcW w:w="416" w:type="pct"/>
          </w:tcPr>
          <w:p w14:paraId="16DF7A4F" w14:textId="77777777" w:rsidR="007B5704" w:rsidRDefault="007B5704" w:rsidP="007B5704">
            <w:pPr>
              <w:pStyle w:val="Table"/>
              <w:spacing w:before="100" w:after="100"/>
              <w:rPr>
                <w:sz w:val="18"/>
                <w:szCs w:val="18"/>
              </w:rPr>
            </w:pPr>
          </w:p>
        </w:tc>
        <w:tc>
          <w:tcPr>
            <w:tcW w:w="348" w:type="pct"/>
          </w:tcPr>
          <w:p w14:paraId="1663EB8A" w14:textId="77777777" w:rsidR="007B5704" w:rsidRDefault="007B5704" w:rsidP="007B5704">
            <w:pPr>
              <w:pStyle w:val="Table"/>
              <w:spacing w:before="100" w:after="100"/>
              <w:rPr>
                <w:sz w:val="18"/>
                <w:szCs w:val="18"/>
              </w:rPr>
            </w:pPr>
          </w:p>
        </w:tc>
        <w:tc>
          <w:tcPr>
            <w:tcW w:w="348" w:type="pct"/>
            <w:gridSpan w:val="2"/>
          </w:tcPr>
          <w:p w14:paraId="124FC183" w14:textId="77777777" w:rsidR="007B5704" w:rsidRDefault="007B5704" w:rsidP="007B5704">
            <w:pPr>
              <w:pStyle w:val="Table"/>
              <w:spacing w:before="100" w:after="100"/>
              <w:rPr>
                <w:sz w:val="18"/>
                <w:szCs w:val="18"/>
              </w:rPr>
            </w:pPr>
          </w:p>
        </w:tc>
      </w:tr>
      <w:tr w:rsidR="007B5704" w14:paraId="4BCD1EC1"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hideMark/>
          </w:tcPr>
          <w:p w14:paraId="6576A8DA" w14:textId="77777777" w:rsidR="007B5704" w:rsidRPr="00507112" w:rsidRDefault="007B5704" w:rsidP="007B5704">
            <w:pPr>
              <w:spacing w:before="100" w:after="100"/>
              <w:rPr>
                <w:szCs w:val="18"/>
              </w:rPr>
            </w:pPr>
            <w:r w:rsidRPr="00507112">
              <w:rPr>
                <w:szCs w:val="18"/>
              </w:rPr>
              <w:t xml:space="preserve">Has the trust allocated expenditure incurred on the development of in-house software which is used solely for a taxable purpose to a software development pool, rather than wait until the software is created and used or held ready for use as a depreciating asset? </w:t>
            </w:r>
          </w:p>
          <w:p w14:paraId="143896EE" w14:textId="77777777" w:rsidR="007B5704" w:rsidRPr="00507112" w:rsidRDefault="007B5704" w:rsidP="007B5704">
            <w:pPr>
              <w:spacing w:before="100" w:after="100"/>
              <w:rPr>
                <w:szCs w:val="18"/>
              </w:rPr>
            </w:pPr>
            <w:r w:rsidRPr="00507112">
              <w:rPr>
                <w:szCs w:val="18"/>
              </w:rPr>
              <w:t>Taxpayers are required to create a separate software development pool for each income year for which they incur expenditure on in-house software. Where such expenditure is incurred on or after 1 July 2015 no deduction can be claimed in the first year the expenditure is incurred but such costs will be deductible at a rate of 30% in years two to four and a rate of 10% in year five.</w:t>
            </w:r>
          </w:p>
        </w:tc>
        <w:tc>
          <w:tcPr>
            <w:tcW w:w="416" w:type="pct"/>
          </w:tcPr>
          <w:p w14:paraId="5A02D2DE" w14:textId="77777777" w:rsidR="007B5704" w:rsidRDefault="007B5704" w:rsidP="007B5704">
            <w:pPr>
              <w:pStyle w:val="Table"/>
              <w:spacing w:before="100" w:after="100"/>
              <w:rPr>
                <w:sz w:val="18"/>
                <w:szCs w:val="18"/>
              </w:rPr>
            </w:pPr>
          </w:p>
        </w:tc>
        <w:tc>
          <w:tcPr>
            <w:tcW w:w="348" w:type="pct"/>
          </w:tcPr>
          <w:p w14:paraId="39608782" w14:textId="77777777" w:rsidR="007B5704" w:rsidRDefault="007B5704" w:rsidP="007B5704">
            <w:pPr>
              <w:pStyle w:val="Table"/>
              <w:spacing w:before="100" w:after="100"/>
              <w:rPr>
                <w:sz w:val="18"/>
                <w:szCs w:val="18"/>
              </w:rPr>
            </w:pPr>
          </w:p>
        </w:tc>
        <w:tc>
          <w:tcPr>
            <w:tcW w:w="348" w:type="pct"/>
            <w:gridSpan w:val="2"/>
          </w:tcPr>
          <w:p w14:paraId="473B5F8A" w14:textId="77777777" w:rsidR="007B5704" w:rsidRDefault="007B5704" w:rsidP="007B5704">
            <w:pPr>
              <w:pStyle w:val="Table"/>
              <w:spacing w:before="100" w:after="100"/>
              <w:rPr>
                <w:sz w:val="18"/>
                <w:szCs w:val="18"/>
              </w:rPr>
            </w:pPr>
          </w:p>
        </w:tc>
      </w:tr>
      <w:tr w:rsidR="007B5704" w14:paraId="2BDDC474" w14:textId="77777777" w:rsidTr="00E54AE7">
        <w:tc>
          <w:tcPr>
            <w:tcW w:w="3888" w:type="pct"/>
            <w:hideMark/>
          </w:tcPr>
          <w:p w14:paraId="1721A1FD" w14:textId="77777777" w:rsidR="007B5704" w:rsidRPr="00507112" w:rsidRDefault="007B5704" w:rsidP="007B5704">
            <w:pPr>
              <w:spacing w:before="100" w:after="100"/>
              <w:rPr>
                <w:szCs w:val="18"/>
              </w:rPr>
            </w:pPr>
            <w:r w:rsidRPr="00507112">
              <w:rPr>
                <w:szCs w:val="18"/>
              </w:rPr>
              <w:t xml:space="preserve">Have the blackhole expenditure rules in section 40-880 of the </w:t>
            </w:r>
            <w:r w:rsidRPr="00507112">
              <w:rPr>
                <w:i/>
                <w:szCs w:val="18"/>
              </w:rPr>
              <w:t>ITAA 1997</w:t>
            </w:r>
            <w:r w:rsidRPr="00507112">
              <w:rPr>
                <w:szCs w:val="18"/>
              </w:rPr>
              <w:t xml:space="preserve"> been considered for blackhole capital expenditure incurred during the year? Such expenditure may be regarded as eligible blackhole expenditure where it is not deductible, depreciable or included in the cost base of a Capital Gains Tax (CGT) asset. </w:t>
            </w:r>
          </w:p>
          <w:p w14:paraId="00503284" w14:textId="77777777" w:rsidR="007B5704" w:rsidRPr="00507112" w:rsidRDefault="007B5704" w:rsidP="007B5704">
            <w:pPr>
              <w:spacing w:before="100" w:after="100"/>
              <w:rPr>
                <w:szCs w:val="18"/>
              </w:rPr>
            </w:pPr>
            <w:r w:rsidRPr="00507112">
              <w:rPr>
                <w:szCs w:val="18"/>
              </w:rPr>
              <w:t xml:space="preserve">Eligible blackhole expenditure is deductible over five years in equal proportions (and there is no pro-rating of the deduction in the year the expenditure is incurred by the taxpayer). </w:t>
            </w:r>
          </w:p>
          <w:p w14:paraId="1FAEAFFF" w14:textId="733F4123" w:rsidR="007B5704" w:rsidRPr="00507112" w:rsidRDefault="007B5704" w:rsidP="007B5704">
            <w:pPr>
              <w:spacing w:before="100" w:after="100"/>
              <w:rPr>
                <w:b/>
                <w:szCs w:val="18"/>
              </w:rPr>
            </w:pPr>
            <w:r>
              <w:rPr>
                <w:szCs w:val="18"/>
              </w:rPr>
              <w:t>Blackhole treatment</w:t>
            </w:r>
            <w:r w:rsidRPr="00507112">
              <w:rPr>
                <w:szCs w:val="18"/>
              </w:rPr>
              <w:t xml:space="preserve"> may be available in relation to </w:t>
            </w:r>
            <w:r>
              <w:rPr>
                <w:szCs w:val="18"/>
              </w:rPr>
              <w:t xml:space="preserve">capital outgoings incurred in respect of </w:t>
            </w:r>
            <w:r w:rsidRPr="00507112">
              <w:rPr>
                <w:szCs w:val="18"/>
              </w:rPr>
              <w:t xml:space="preserve">the taxpayer’s business or in respect of a former business that used to be carried on or in respect of a business that is proposed to be carried on provided there is a sufficient and relevant connection between the expenditure incurred and the business carried on (see Taxation Ruling TR 2011/6). </w:t>
            </w:r>
          </w:p>
          <w:p w14:paraId="0BA28C67" w14:textId="77777777" w:rsidR="007B5704" w:rsidRPr="00507112" w:rsidRDefault="007B5704" w:rsidP="007B5704">
            <w:pPr>
              <w:pStyle w:val="Table"/>
              <w:spacing w:before="100" w:after="100"/>
              <w:rPr>
                <w:color w:val="090D46" w:themeColor="text1"/>
                <w:sz w:val="18"/>
                <w:szCs w:val="18"/>
              </w:rPr>
            </w:pPr>
            <w:r w:rsidRPr="00507112">
              <w:rPr>
                <w:color w:val="090D46" w:themeColor="text1"/>
                <w:sz w:val="18"/>
                <w:szCs w:val="18"/>
              </w:rPr>
              <w:t xml:space="preserve">Section 40-880(5) of the </w:t>
            </w:r>
            <w:r w:rsidRPr="00507112">
              <w:rPr>
                <w:i/>
                <w:color w:val="090D46" w:themeColor="text1"/>
                <w:sz w:val="18"/>
                <w:szCs w:val="18"/>
              </w:rPr>
              <w:t xml:space="preserve">ITAA 1997 </w:t>
            </w:r>
            <w:r w:rsidRPr="00507112">
              <w:rPr>
                <w:color w:val="090D46" w:themeColor="text1"/>
                <w:sz w:val="18"/>
                <w:szCs w:val="18"/>
              </w:rPr>
              <w:t>also provides that no deduction is available under the blackhole deductibility rules where, amongst other things, the expenditure</w:t>
            </w:r>
            <w:r w:rsidRPr="00507112">
              <w:rPr>
                <w:b/>
                <w:color w:val="090D46" w:themeColor="text1"/>
                <w:sz w:val="18"/>
                <w:szCs w:val="18"/>
              </w:rPr>
              <w:t xml:space="preserve"> </w:t>
            </w:r>
            <w:r w:rsidRPr="00507112">
              <w:rPr>
                <w:color w:val="090D46" w:themeColor="text1"/>
                <w:sz w:val="18"/>
                <w:szCs w:val="18"/>
              </w:rPr>
              <w:t xml:space="preserve">forms part of the cost of land or depreciating asset; it would be taken into account in working out an assessable profit, deductible loss, capital gain or capital loss; it relates to a lease or other legal or equitable right; or if it is deductible under another provision of the Income Tax Assessment Acts. </w:t>
            </w:r>
          </w:p>
        </w:tc>
        <w:tc>
          <w:tcPr>
            <w:tcW w:w="416" w:type="pct"/>
          </w:tcPr>
          <w:p w14:paraId="75F10735" w14:textId="77777777" w:rsidR="007B5704" w:rsidRDefault="007B5704" w:rsidP="007B5704">
            <w:pPr>
              <w:pStyle w:val="Table"/>
              <w:spacing w:before="100" w:after="100"/>
              <w:rPr>
                <w:sz w:val="18"/>
                <w:szCs w:val="18"/>
              </w:rPr>
            </w:pPr>
          </w:p>
        </w:tc>
        <w:tc>
          <w:tcPr>
            <w:tcW w:w="348" w:type="pct"/>
          </w:tcPr>
          <w:p w14:paraId="3AAE7A82" w14:textId="77777777" w:rsidR="007B5704" w:rsidRDefault="007B5704" w:rsidP="007B5704">
            <w:pPr>
              <w:pStyle w:val="Table"/>
              <w:spacing w:before="100" w:after="100"/>
              <w:rPr>
                <w:sz w:val="18"/>
                <w:szCs w:val="18"/>
              </w:rPr>
            </w:pPr>
          </w:p>
        </w:tc>
        <w:tc>
          <w:tcPr>
            <w:tcW w:w="348" w:type="pct"/>
            <w:gridSpan w:val="2"/>
          </w:tcPr>
          <w:p w14:paraId="529EA99D" w14:textId="77777777" w:rsidR="007B5704" w:rsidRDefault="007B5704" w:rsidP="007B5704">
            <w:pPr>
              <w:pStyle w:val="Table"/>
              <w:spacing w:before="100" w:after="100"/>
              <w:rPr>
                <w:sz w:val="18"/>
                <w:szCs w:val="18"/>
              </w:rPr>
            </w:pPr>
          </w:p>
        </w:tc>
      </w:tr>
      <w:tr w:rsidR="007B5704" w14:paraId="733FD04A" w14:textId="77777777" w:rsidTr="00E54AE7">
        <w:trPr>
          <w:cnfStyle w:val="000000100000" w:firstRow="0" w:lastRow="0" w:firstColumn="0" w:lastColumn="0" w:oddVBand="0" w:evenVBand="0" w:oddHBand="1" w:evenHBand="0" w:firstRowFirstColumn="0" w:firstRowLastColumn="0" w:lastRowFirstColumn="0" w:lastRowLastColumn="0"/>
        </w:trPr>
        <w:tc>
          <w:tcPr>
            <w:tcW w:w="5000" w:type="pct"/>
            <w:gridSpan w:val="5"/>
            <w:shd w:val="clear" w:color="auto" w:fill="0A5CC7" w:themeFill="accent3"/>
          </w:tcPr>
          <w:p w14:paraId="2AE02031" w14:textId="7F876568" w:rsidR="007B5704" w:rsidRDefault="007B5704" w:rsidP="007B5704">
            <w:pPr>
              <w:pStyle w:val="Table"/>
              <w:spacing w:before="100" w:after="100"/>
              <w:rPr>
                <w:sz w:val="18"/>
                <w:szCs w:val="18"/>
              </w:rPr>
            </w:pPr>
            <w:r w:rsidRPr="00D40925">
              <w:rPr>
                <w:b/>
                <w:color w:val="FFFFFF" w:themeColor="background1"/>
                <w:sz w:val="18"/>
                <w:szCs w:val="18"/>
              </w:rPr>
              <w:t xml:space="preserve">DECLINE IN VALUE (DEPRECIATION) </w:t>
            </w:r>
            <w:r>
              <w:rPr>
                <w:b/>
                <w:color w:val="FFFFFF" w:themeColor="background1"/>
                <w:sz w:val="18"/>
                <w:szCs w:val="18"/>
              </w:rPr>
              <w:t xml:space="preserve">(CONTINUED) </w:t>
            </w:r>
          </w:p>
        </w:tc>
      </w:tr>
      <w:tr w:rsidR="007B5704" w14:paraId="2E4961FB" w14:textId="77777777" w:rsidTr="00E54AE7">
        <w:tc>
          <w:tcPr>
            <w:tcW w:w="3888" w:type="pct"/>
          </w:tcPr>
          <w:p w14:paraId="75C65680" w14:textId="5CB2D253" w:rsidR="007B5704" w:rsidRPr="00507112" w:rsidRDefault="007B5704" w:rsidP="007B5704">
            <w:pPr>
              <w:pStyle w:val="Table"/>
              <w:spacing w:before="100" w:after="100"/>
              <w:rPr>
                <w:color w:val="090D46" w:themeColor="text1"/>
                <w:sz w:val="18"/>
                <w:szCs w:val="18"/>
              </w:rPr>
            </w:pPr>
            <w:r>
              <w:rPr>
                <w:color w:val="090D46" w:themeColor="text1"/>
                <w:sz w:val="18"/>
                <w:szCs w:val="18"/>
              </w:rPr>
              <w:t>Under the blackhole expense rules, t</w:t>
            </w:r>
            <w:r w:rsidRPr="00507112">
              <w:rPr>
                <w:color w:val="090D46" w:themeColor="text1"/>
                <w:sz w:val="18"/>
                <w:szCs w:val="18"/>
              </w:rPr>
              <w:t xml:space="preserve">here is a 100% immediate write off available to an SBE for capital expenditure incurred in relation to a proposed business structure or operation where the costs are incurred on or after 1 July 2015 by an SBE that is not carrying on a business in that income year. </w:t>
            </w:r>
          </w:p>
          <w:p w14:paraId="4D0F2546" w14:textId="5CDEFFBB" w:rsidR="007B5704" w:rsidRPr="00507112" w:rsidRDefault="007B5704" w:rsidP="007B5704">
            <w:pPr>
              <w:pStyle w:val="Table"/>
              <w:spacing w:before="100" w:after="100"/>
              <w:rPr>
                <w:color w:val="090D46" w:themeColor="text1"/>
                <w:sz w:val="18"/>
                <w:szCs w:val="18"/>
              </w:rPr>
            </w:pPr>
            <w:r w:rsidRPr="00507112">
              <w:rPr>
                <w:color w:val="090D46" w:themeColor="text1"/>
                <w:sz w:val="18"/>
                <w:szCs w:val="18"/>
              </w:rPr>
              <w:t>Eligible start-up costs which can be written off include, amongst others, legal and accounting advice on how the business can best be structured and implemented.</w:t>
            </w:r>
          </w:p>
        </w:tc>
        <w:tc>
          <w:tcPr>
            <w:tcW w:w="416" w:type="pct"/>
          </w:tcPr>
          <w:p w14:paraId="5915BE4D" w14:textId="77777777" w:rsidR="007B5704" w:rsidRDefault="007B5704" w:rsidP="007B5704">
            <w:pPr>
              <w:pStyle w:val="Table"/>
              <w:spacing w:before="100" w:after="100"/>
              <w:rPr>
                <w:sz w:val="18"/>
                <w:szCs w:val="18"/>
              </w:rPr>
            </w:pPr>
          </w:p>
        </w:tc>
        <w:tc>
          <w:tcPr>
            <w:tcW w:w="348" w:type="pct"/>
          </w:tcPr>
          <w:p w14:paraId="323281F1" w14:textId="77777777" w:rsidR="007B5704" w:rsidRDefault="007B5704" w:rsidP="007B5704">
            <w:pPr>
              <w:pStyle w:val="Table"/>
              <w:spacing w:before="100" w:after="100"/>
              <w:rPr>
                <w:sz w:val="18"/>
                <w:szCs w:val="18"/>
              </w:rPr>
            </w:pPr>
          </w:p>
        </w:tc>
        <w:tc>
          <w:tcPr>
            <w:tcW w:w="348" w:type="pct"/>
            <w:gridSpan w:val="2"/>
          </w:tcPr>
          <w:p w14:paraId="56AFB897" w14:textId="77777777" w:rsidR="007B5704" w:rsidRDefault="007B5704" w:rsidP="007B5704">
            <w:pPr>
              <w:pStyle w:val="Table"/>
              <w:spacing w:before="100" w:after="100"/>
              <w:rPr>
                <w:sz w:val="18"/>
                <w:szCs w:val="18"/>
              </w:rPr>
            </w:pPr>
          </w:p>
        </w:tc>
      </w:tr>
      <w:tr w:rsidR="007B5704" w14:paraId="5C5E4653" w14:textId="77777777" w:rsidTr="00E54AE7">
        <w:trPr>
          <w:gridAfter w:val="1"/>
          <w:cnfStyle w:val="000000100000" w:firstRow="0" w:lastRow="0" w:firstColumn="0" w:lastColumn="0" w:oddVBand="0" w:evenVBand="0" w:oddHBand="1" w:evenHBand="0" w:firstRowFirstColumn="0" w:firstRowLastColumn="0" w:lastRowFirstColumn="0" w:lastRowLastColumn="0"/>
          <w:wAfter w:w="3" w:type="pct"/>
        </w:trPr>
        <w:tc>
          <w:tcPr>
            <w:tcW w:w="4997" w:type="pct"/>
            <w:gridSpan w:val="4"/>
            <w:shd w:val="clear" w:color="auto" w:fill="0A5CC7" w:themeFill="accent3"/>
            <w:hideMark/>
          </w:tcPr>
          <w:p w14:paraId="5040ADF4" w14:textId="77777777" w:rsidR="007B5704" w:rsidRPr="00507112" w:rsidRDefault="007B5704" w:rsidP="007B5704">
            <w:pPr>
              <w:pStyle w:val="Tableheading"/>
              <w:spacing w:before="100" w:after="100"/>
              <w:rPr>
                <w:bCs/>
                <w:color w:val="FFFFFF" w:themeColor="background1"/>
                <w:sz w:val="18"/>
                <w:szCs w:val="18"/>
              </w:rPr>
            </w:pPr>
            <w:r w:rsidRPr="00507112">
              <w:rPr>
                <w:bCs/>
                <w:color w:val="FFFFFF" w:themeColor="background1"/>
                <w:sz w:val="18"/>
                <w:szCs w:val="18"/>
              </w:rPr>
              <w:t xml:space="preserve">NON-RESIDENT TRUSTS </w:t>
            </w:r>
          </w:p>
        </w:tc>
      </w:tr>
      <w:tr w:rsidR="007B5704" w14:paraId="71F6B051" w14:textId="77777777" w:rsidTr="00E54AE7">
        <w:tc>
          <w:tcPr>
            <w:tcW w:w="3888" w:type="pct"/>
            <w:hideMark/>
          </w:tcPr>
          <w:p w14:paraId="27BCD271" w14:textId="77777777" w:rsidR="007B5704" w:rsidRPr="00507112" w:rsidRDefault="007B5704" w:rsidP="007B5704">
            <w:pPr>
              <w:spacing w:before="100" w:after="100"/>
              <w:rPr>
                <w:szCs w:val="18"/>
              </w:rPr>
            </w:pPr>
            <w:r w:rsidRPr="00507112">
              <w:rPr>
                <w:szCs w:val="18"/>
              </w:rPr>
              <w:t xml:space="preserve">Has the residency status of the trust been determined? Where the trust is a non-resident the matters listed below should be considered. </w:t>
            </w:r>
          </w:p>
        </w:tc>
        <w:tc>
          <w:tcPr>
            <w:tcW w:w="416" w:type="pct"/>
          </w:tcPr>
          <w:p w14:paraId="11E20F4C" w14:textId="77777777" w:rsidR="007B5704" w:rsidRDefault="007B5704" w:rsidP="007B5704">
            <w:pPr>
              <w:pStyle w:val="Table"/>
              <w:spacing w:before="100" w:after="100"/>
              <w:rPr>
                <w:sz w:val="18"/>
                <w:szCs w:val="18"/>
              </w:rPr>
            </w:pPr>
          </w:p>
        </w:tc>
        <w:tc>
          <w:tcPr>
            <w:tcW w:w="348" w:type="pct"/>
          </w:tcPr>
          <w:p w14:paraId="28718CB6" w14:textId="77777777" w:rsidR="007B5704" w:rsidRDefault="007B5704" w:rsidP="007B5704">
            <w:pPr>
              <w:pStyle w:val="Table"/>
              <w:spacing w:before="100" w:after="100"/>
              <w:rPr>
                <w:sz w:val="18"/>
                <w:szCs w:val="18"/>
              </w:rPr>
            </w:pPr>
          </w:p>
        </w:tc>
        <w:tc>
          <w:tcPr>
            <w:tcW w:w="348" w:type="pct"/>
            <w:gridSpan w:val="2"/>
          </w:tcPr>
          <w:p w14:paraId="272FDB24" w14:textId="77777777" w:rsidR="007B5704" w:rsidRDefault="007B5704" w:rsidP="007B5704">
            <w:pPr>
              <w:pStyle w:val="Table"/>
              <w:spacing w:before="100" w:after="100"/>
              <w:rPr>
                <w:sz w:val="18"/>
                <w:szCs w:val="18"/>
              </w:rPr>
            </w:pPr>
          </w:p>
        </w:tc>
      </w:tr>
      <w:tr w:rsidR="007B5704" w14:paraId="0C4E3FBA"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hideMark/>
          </w:tcPr>
          <w:p w14:paraId="1FD71521" w14:textId="615F06EC" w:rsidR="007B5704" w:rsidRPr="00507112" w:rsidRDefault="007B5704" w:rsidP="007B5704">
            <w:pPr>
              <w:spacing w:before="100" w:after="100"/>
              <w:rPr>
                <w:szCs w:val="18"/>
              </w:rPr>
            </w:pPr>
            <w:r w:rsidRPr="00507112">
              <w:rPr>
                <w:szCs w:val="18"/>
              </w:rPr>
              <w:t>Have applicable double tax treaties been considered, particularly the articles dealing with business profits and permanent establishment</w:t>
            </w:r>
            <w:r>
              <w:rPr>
                <w:szCs w:val="18"/>
              </w:rPr>
              <w:t>s</w:t>
            </w:r>
            <w:r w:rsidRPr="00507112">
              <w:rPr>
                <w:szCs w:val="18"/>
              </w:rPr>
              <w:t>?</w:t>
            </w:r>
          </w:p>
        </w:tc>
        <w:tc>
          <w:tcPr>
            <w:tcW w:w="416" w:type="pct"/>
          </w:tcPr>
          <w:p w14:paraId="195256A7" w14:textId="77777777" w:rsidR="007B5704" w:rsidRDefault="007B5704" w:rsidP="007B5704">
            <w:pPr>
              <w:pStyle w:val="Table"/>
              <w:spacing w:before="100" w:after="100"/>
              <w:rPr>
                <w:sz w:val="18"/>
                <w:szCs w:val="18"/>
              </w:rPr>
            </w:pPr>
          </w:p>
        </w:tc>
        <w:tc>
          <w:tcPr>
            <w:tcW w:w="348" w:type="pct"/>
          </w:tcPr>
          <w:p w14:paraId="06D2F8F9" w14:textId="77777777" w:rsidR="007B5704" w:rsidRDefault="007B5704" w:rsidP="007B5704">
            <w:pPr>
              <w:pStyle w:val="Table"/>
              <w:spacing w:before="100" w:after="100"/>
              <w:rPr>
                <w:sz w:val="18"/>
                <w:szCs w:val="18"/>
              </w:rPr>
            </w:pPr>
          </w:p>
        </w:tc>
        <w:tc>
          <w:tcPr>
            <w:tcW w:w="348" w:type="pct"/>
            <w:gridSpan w:val="2"/>
          </w:tcPr>
          <w:p w14:paraId="66A613B0" w14:textId="77777777" w:rsidR="007B5704" w:rsidRDefault="007B5704" w:rsidP="007B5704">
            <w:pPr>
              <w:pStyle w:val="Table"/>
              <w:spacing w:before="100" w:after="100"/>
              <w:rPr>
                <w:sz w:val="18"/>
                <w:szCs w:val="18"/>
              </w:rPr>
            </w:pPr>
          </w:p>
        </w:tc>
      </w:tr>
      <w:tr w:rsidR="007B5704" w14:paraId="3D014177" w14:textId="77777777" w:rsidTr="00E54AE7">
        <w:tc>
          <w:tcPr>
            <w:tcW w:w="3888" w:type="pct"/>
            <w:hideMark/>
          </w:tcPr>
          <w:p w14:paraId="30EF6E8E" w14:textId="704A6F20" w:rsidR="007B5704" w:rsidRPr="00507112" w:rsidRDefault="007B5704" w:rsidP="007B5704">
            <w:pPr>
              <w:spacing w:before="100" w:after="100"/>
              <w:rPr>
                <w:szCs w:val="18"/>
              </w:rPr>
            </w:pPr>
            <w:r w:rsidRPr="00507112">
              <w:rPr>
                <w:szCs w:val="18"/>
              </w:rPr>
              <w:t xml:space="preserve">If the trust is a non-resident trust, has income from </w:t>
            </w:r>
            <w:r>
              <w:rPr>
                <w:szCs w:val="18"/>
              </w:rPr>
              <w:t>all</w:t>
            </w:r>
            <w:r w:rsidRPr="00507112">
              <w:rPr>
                <w:szCs w:val="18"/>
              </w:rPr>
              <w:t xml:space="preserve"> sources been included in assessable income?</w:t>
            </w:r>
            <w:r>
              <w:rPr>
                <w:szCs w:val="18"/>
              </w:rPr>
              <w:t xml:space="preserve"> We note that a foreign trust will generally not be required to pay tax on foreign income where it is not distributed or has been distributed to foreign beneficiaries.</w:t>
            </w:r>
          </w:p>
        </w:tc>
        <w:tc>
          <w:tcPr>
            <w:tcW w:w="416" w:type="pct"/>
          </w:tcPr>
          <w:p w14:paraId="6C7108F6" w14:textId="77777777" w:rsidR="007B5704" w:rsidRDefault="007B5704" w:rsidP="007B5704">
            <w:pPr>
              <w:pStyle w:val="Table"/>
              <w:spacing w:before="100" w:after="100"/>
              <w:rPr>
                <w:sz w:val="18"/>
                <w:szCs w:val="18"/>
              </w:rPr>
            </w:pPr>
          </w:p>
        </w:tc>
        <w:tc>
          <w:tcPr>
            <w:tcW w:w="348" w:type="pct"/>
          </w:tcPr>
          <w:p w14:paraId="4771BB3B" w14:textId="77777777" w:rsidR="007B5704" w:rsidRDefault="007B5704" w:rsidP="007B5704">
            <w:pPr>
              <w:pStyle w:val="Table"/>
              <w:spacing w:before="100" w:after="100"/>
              <w:rPr>
                <w:sz w:val="18"/>
                <w:szCs w:val="18"/>
              </w:rPr>
            </w:pPr>
          </w:p>
        </w:tc>
        <w:tc>
          <w:tcPr>
            <w:tcW w:w="348" w:type="pct"/>
            <w:gridSpan w:val="2"/>
          </w:tcPr>
          <w:p w14:paraId="712895A1" w14:textId="77777777" w:rsidR="007B5704" w:rsidRDefault="007B5704" w:rsidP="007B5704">
            <w:pPr>
              <w:pStyle w:val="Table"/>
              <w:spacing w:before="100" w:after="100"/>
              <w:rPr>
                <w:sz w:val="18"/>
                <w:szCs w:val="18"/>
              </w:rPr>
            </w:pPr>
          </w:p>
        </w:tc>
      </w:tr>
      <w:tr w:rsidR="007B5704" w14:paraId="68A1A279"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hideMark/>
          </w:tcPr>
          <w:p w14:paraId="1C13A8C6" w14:textId="77777777" w:rsidR="007B5704" w:rsidRDefault="007B5704" w:rsidP="007B5704">
            <w:pPr>
              <w:spacing w:before="100" w:after="100"/>
              <w:rPr>
                <w:szCs w:val="18"/>
              </w:rPr>
            </w:pPr>
            <w:r w:rsidRPr="00507112">
              <w:rPr>
                <w:szCs w:val="18"/>
              </w:rPr>
              <w:t>Have the CGT implications of a sale of taxable Australian property by a foreign resident trust been considered?</w:t>
            </w:r>
            <w:r>
              <w:rPr>
                <w:szCs w:val="18"/>
              </w:rPr>
              <w:t xml:space="preserve"> </w:t>
            </w:r>
          </w:p>
          <w:p w14:paraId="568C902C" w14:textId="6BEDC7B7" w:rsidR="007B5704" w:rsidRPr="00507112" w:rsidRDefault="007B5704" w:rsidP="007B5704">
            <w:pPr>
              <w:spacing w:before="100" w:after="100"/>
              <w:rPr>
                <w:szCs w:val="18"/>
              </w:rPr>
            </w:pPr>
            <w:r w:rsidRPr="00507112">
              <w:rPr>
                <w:szCs w:val="18"/>
              </w:rPr>
              <w:t xml:space="preserve">Taxation Determinations TD 2017/23 and TD 2017/24 provide that the distribution of a capital gain on non-taxable Australian property derived by a foreign resident trust to a resident beneficiary will be assessed under section 99B of the </w:t>
            </w:r>
            <w:r w:rsidRPr="00507112">
              <w:rPr>
                <w:i/>
                <w:iCs/>
                <w:szCs w:val="18"/>
              </w:rPr>
              <w:t>ITAA 1936</w:t>
            </w:r>
            <w:r w:rsidRPr="00507112">
              <w:rPr>
                <w:szCs w:val="18"/>
              </w:rPr>
              <w:t xml:space="preserve"> and that such a capital gain cannot be reduced under the 50% CGT discount or by capital losses.</w:t>
            </w:r>
          </w:p>
        </w:tc>
        <w:tc>
          <w:tcPr>
            <w:tcW w:w="416" w:type="pct"/>
          </w:tcPr>
          <w:p w14:paraId="6983DB99" w14:textId="77777777" w:rsidR="007B5704" w:rsidRDefault="007B5704" w:rsidP="007B5704">
            <w:pPr>
              <w:pStyle w:val="Table"/>
              <w:spacing w:before="100" w:after="100"/>
              <w:rPr>
                <w:sz w:val="18"/>
                <w:szCs w:val="18"/>
              </w:rPr>
            </w:pPr>
          </w:p>
        </w:tc>
        <w:tc>
          <w:tcPr>
            <w:tcW w:w="348" w:type="pct"/>
          </w:tcPr>
          <w:p w14:paraId="028C60D7" w14:textId="77777777" w:rsidR="007B5704" w:rsidRDefault="007B5704" w:rsidP="007B5704">
            <w:pPr>
              <w:pStyle w:val="Table"/>
              <w:spacing w:before="100" w:after="100"/>
              <w:rPr>
                <w:sz w:val="18"/>
                <w:szCs w:val="18"/>
              </w:rPr>
            </w:pPr>
          </w:p>
        </w:tc>
        <w:tc>
          <w:tcPr>
            <w:tcW w:w="348" w:type="pct"/>
            <w:gridSpan w:val="2"/>
          </w:tcPr>
          <w:p w14:paraId="5E6BCCEE" w14:textId="77777777" w:rsidR="007B5704" w:rsidRDefault="007B5704" w:rsidP="007B5704">
            <w:pPr>
              <w:pStyle w:val="Table"/>
              <w:spacing w:before="100" w:after="100"/>
              <w:rPr>
                <w:sz w:val="18"/>
                <w:szCs w:val="18"/>
              </w:rPr>
            </w:pPr>
          </w:p>
        </w:tc>
      </w:tr>
      <w:tr w:rsidR="007B5704" w14:paraId="6BF3B974" w14:textId="77777777" w:rsidTr="00E54AE7">
        <w:trPr>
          <w:gridAfter w:val="1"/>
          <w:wAfter w:w="3" w:type="pct"/>
        </w:trPr>
        <w:tc>
          <w:tcPr>
            <w:tcW w:w="4997" w:type="pct"/>
            <w:gridSpan w:val="4"/>
            <w:shd w:val="clear" w:color="auto" w:fill="0A5CC7" w:themeFill="accent3"/>
            <w:hideMark/>
          </w:tcPr>
          <w:p w14:paraId="1BE2EEE6" w14:textId="77777777" w:rsidR="007B5704" w:rsidRPr="00C06D12" w:rsidRDefault="007B5704" w:rsidP="007B5704">
            <w:pPr>
              <w:pStyle w:val="Tableheading"/>
              <w:spacing w:before="100" w:after="100"/>
              <w:rPr>
                <w:bCs/>
                <w:color w:val="FFFFFF" w:themeColor="background1"/>
                <w:sz w:val="18"/>
                <w:szCs w:val="18"/>
              </w:rPr>
            </w:pPr>
            <w:r w:rsidRPr="00C06D12">
              <w:rPr>
                <w:bCs/>
                <w:color w:val="FFFFFF" w:themeColor="background1"/>
                <w:sz w:val="18"/>
                <w:szCs w:val="18"/>
              </w:rPr>
              <w:t xml:space="preserve">FOREIGN RESIDENT CGT WITHHOLDING </w:t>
            </w:r>
          </w:p>
        </w:tc>
      </w:tr>
      <w:tr w:rsidR="007B5704" w14:paraId="3ED036ED"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hideMark/>
          </w:tcPr>
          <w:p w14:paraId="001E976C" w14:textId="77777777" w:rsidR="007B5704" w:rsidRPr="00C06D12" w:rsidRDefault="007B5704" w:rsidP="007B5704">
            <w:pPr>
              <w:pStyle w:val="Table"/>
              <w:spacing w:before="100" w:after="100"/>
              <w:rPr>
                <w:rFonts w:asciiTheme="minorHAnsi" w:hAnsiTheme="minorHAnsi" w:cstheme="minorHAnsi"/>
                <w:color w:val="090D46" w:themeColor="text1"/>
                <w:sz w:val="18"/>
                <w:szCs w:val="18"/>
              </w:rPr>
            </w:pPr>
            <w:r w:rsidRPr="00C06D12">
              <w:rPr>
                <w:rFonts w:asciiTheme="minorHAnsi" w:hAnsiTheme="minorHAnsi" w:cstheme="minorHAnsi"/>
                <w:color w:val="090D46" w:themeColor="text1"/>
                <w:sz w:val="18"/>
                <w:szCs w:val="18"/>
              </w:rPr>
              <w:t xml:space="preserve">A 12.5% non-final withholding tax applies to vendors selling certain taxable Australian property which needs to be retained by the purchaser at settlement from the purchase price of the property which must be subsequently remitted to the ATO. </w:t>
            </w:r>
          </w:p>
          <w:p w14:paraId="30A3BC83" w14:textId="77777777" w:rsidR="007B5704" w:rsidRPr="00C06D12" w:rsidRDefault="007B5704" w:rsidP="007B5704">
            <w:pPr>
              <w:pStyle w:val="Table"/>
              <w:spacing w:before="100" w:after="100"/>
              <w:rPr>
                <w:rFonts w:asciiTheme="minorHAnsi" w:hAnsiTheme="minorHAnsi" w:cstheme="minorHAnsi"/>
                <w:color w:val="090D46" w:themeColor="text1"/>
                <w:sz w:val="18"/>
                <w:szCs w:val="18"/>
              </w:rPr>
            </w:pPr>
            <w:r w:rsidRPr="00C06D12">
              <w:rPr>
                <w:rFonts w:asciiTheme="minorHAnsi" w:hAnsiTheme="minorHAnsi" w:cstheme="minorHAnsi"/>
                <w:color w:val="090D46" w:themeColor="text1"/>
                <w:sz w:val="18"/>
                <w:szCs w:val="18"/>
              </w:rPr>
              <w:t xml:space="preserve">However, such tax will not need to be retained from the purchase price of the property if the vendor obtains a clearance certificate from the ATO prior to settlement or if an exemption or variation otherwise applies. </w:t>
            </w:r>
          </w:p>
          <w:p w14:paraId="1483C2DD" w14:textId="77777777" w:rsidR="007B5704" w:rsidRDefault="007B5704" w:rsidP="007B5704">
            <w:pPr>
              <w:pStyle w:val="Table"/>
              <w:spacing w:before="100" w:after="100"/>
              <w:rPr>
                <w:sz w:val="18"/>
                <w:szCs w:val="18"/>
              </w:rPr>
            </w:pPr>
            <w:r w:rsidRPr="00C06D12">
              <w:rPr>
                <w:rFonts w:asciiTheme="minorHAnsi" w:hAnsiTheme="minorHAnsi" w:cstheme="minorHAnsi"/>
                <w:color w:val="090D46" w:themeColor="text1"/>
                <w:sz w:val="18"/>
                <w:szCs w:val="18"/>
              </w:rPr>
              <w:t>The foreign resident CGT withholding obligation does not arise in relation to a CGT asset if the market value of the CGT asset that is real property is less than $750,000 or if the CGT asset is not taxable Australian real property or not an indirect taxable Australian real property interest</w:t>
            </w:r>
          </w:p>
        </w:tc>
        <w:tc>
          <w:tcPr>
            <w:tcW w:w="416" w:type="pct"/>
          </w:tcPr>
          <w:p w14:paraId="1DD74EE9" w14:textId="77777777" w:rsidR="007B5704" w:rsidRDefault="007B5704" w:rsidP="007B5704">
            <w:pPr>
              <w:pStyle w:val="Table"/>
              <w:spacing w:before="100" w:after="100"/>
              <w:rPr>
                <w:sz w:val="18"/>
                <w:szCs w:val="18"/>
              </w:rPr>
            </w:pPr>
          </w:p>
        </w:tc>
        <w:tc>
          <w:tcPr>
            <w:tcW w:w="348" w:type="pct"/>
          </w:tcPr>
          <w:p w14:paraId="67FB0414" w14:textId="77777777" w:rsidR="007B5704" w:rsidRDefault="007B5704" w:rsidP="007B5704">
            <w:pPr>
              <w:pStyle w:val="Table"/>
              <w:spacing w:before="100" w:after="100"/>
              <w:rPr>
                <w:sz w:val="18"/>
                <w:szCs w:val="18"/>
              </w:rPr>
            </w:pPr>
          </w:p>
        </w:tc>
        <w:tc>
          <w:tcPr>
            <w:tcW w:w="348" w:type="pct"/>
            <w:gridSpan w:val="2"/>
          </w:tcPr>
          <w:p w14:paraId="23D85F64" w14:textId="77777777" w:rsidR="007B5704" w:rsidRDefault="007B5704" w:rsidP="007B5704">
            <w:pPr>
              <w:pStyle w:val="Table"/>
              <w:spacing w:before="100" w:after="100"/>
              <w:rPr>
                <w:sz w:val="18"/>
                <w:szCs w:val="18"/>
              </w:rPr>
            </w:pPr>
          </w:p>
        </w:tc>
      </w:tr>
      <w:tr w:rsidR="007B5704" w14:paraId="7BA14699" w14:textId="77777777" w:rsidTr="00E54AE7">
        <w:trPr>
          <w:gridAfter w:val="1"/>
          <w:wAfter w:w="3" w:type="pct"/>
        </w:trPr>
        <w:tc>
          <w:tcPr>
            <w:tcW w:w="4997" w:type="pct"/>
            <w:gridSpan w:val="4"/>
            <w:shd w:val="clear" w:color="auto" w:fill="0A5CC7" w:themeFill="accent3"/>
            <w:hideMark/>
          </w:tcPr>
          <w:p w14:paraId="54D7F365" w14:textId="77777777" w:rsidR="007B5704" w:rsidRPr="00C06D12" w:rsidRDefault="007B5704" w:rsidP="007B5704">
            <w:pPr>
              <w:pStyle w:val="Table"/>
              <w:spacing w:before="100" w:after="100"/>
              <w:rPr>
                <w:b/>
                <w:bCs/>
                <w:color w:val="FFFFFF" w:themeColor="background1"/>
                <w:sz w:val="18"/>
                <w:szCs w:val="18"/>
              </w:rPr>
            </w:pPr>
            <w:r w:rsidRPr="00C06D12">
              <w:rPr>
                <w:b/>
                <w:bCs/>
                <w:color w:val="FFFFFF" w:themeColor="background1"/>
                <w:sz w:val="18"/>
                <w:szCs w:val="18"/>
              </w:rPr>
              <w:t>CGT DISCOUNT FOR NON-RESIDENT TRUSTS</w:t>
            </w:r>
          </w:p>
        </w:tc>
      </w:tr>
      <w:tr w:rsidR="007B5704" w14:paraId="7B590E6E"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hideMark/>
          </w:tcPr>
          <w:p w14:paraId="751E64C6" w14:textId="639F8C21" w:rsidR="007B5704" w:rsidRPr="00C06D12" w:rsidRDefault="007B5704" w:rsidP="007B5704">
            <w:pPr>
              <w:spacing w:before="100" w:after="100"/>
              <w:rPr>
                <w:rFonts w:eastAsia="Times New Roman" w:cs="Arial"/>
                <w:szCs w:val="18"/>
                <w:lang w:eastAsia="en-AU"/>
              </w:rPr>
            </w:pPr>
            <w:r w:rsidRPr="00C06D12">
              <w:rPr>
                <w:rFonts w:eastAsia="Times New Roman" w:cs="Arial"/>
                <w:szCs w:val="18"/>
                <w:lang w:eastAsia="en-AU"/>
              </w:rPr>
              <w:t>Has the non-resident trust crystallised any capital gains after 7:30 pm on 8 May 2012 that may be eligible for the CGT Discount? If so, has the trust calculated the ‘pre’ and ‘post’ 8 May 2012 portions of their capital gain</w:t>
            </w:r>
            <w:r w:rsidRPr="00D332B6">
              <w:rPr>
                <w:rFonts w:eastAsia="Times New Roman" w:cs="Arial"/>
                <w:szCs w:val="18"/>
                <w:lang w:eastAsia="en-AU"/>
              </w:rPr>
              <w:t>,</w:t>
            </w:r>
            <w:r w:rsidRPr="00C06D12">
              <w:rPr>
                <w:rFonts w:eastAsia="Times New Roman" w:cs="Arial"/>
                <w:szCs w:val="18"/>
                <w:lang w:eastAsia="en-AU"/>
              </w:rPr>
              <w:t xml:space="preserve"> where applicable?</w:t>
            </w:r>
          </w:p>
          <w:p w14:paraId="2A0CF040" w14:textId="7DB5319A" w:rsidR="007B5704" w:rsidRDefault="007B5704" w:rsidP="007B5704">
            <w:pPr>
              <w:pStyle w:val="Table"/>
              <w:spacing w:before="100" w:after="100"/>
              <w:rPr>
                <w:sz w:val="18"/>
                <w:szCs w:val="18"/>
              </w:rPr>
            </w:pPr>
            <w:r w:rsidRPr="00C06D12">
              <w:rPr>
                <w:rFonts w:eastAsia="Times New Roman" w:cs="Arial"/>
                <w:bCs/>
                <w:color w:val="090D46" w:themeColor="text1"/>
                <w:sz w:val="18"/>
                <w:szCs w:val="18"/>
                <w:lang w:eastAsia="en-AU"/>
              </w:rPr>
              <w:t>If</w:t>
            </w:r>
            <w:r w:rsidRPr="00C06D12">
              <w:rPr>
                <w:color w:val="090D46" w:themeColor="text1"/>
                <w:sz w:val="18"/>
                <w:szCs w:val="18"/>
              </w:rPr>
              <w:t xml:space="preserve"> the taxpayer is a foreign resident</w:t>
            </w:r>
            <w:r w:rsidRPr="00D332B6">
              <w:rPr>
                <w:color w:val="090D46" w:themeColor="text1"/>
                <w:sz w:val="18"/>
                <w:szCs w:val="18"/>
              </w:rPr>
              <w:t>,</w:t>
            </w:r>
            <w:r w:rsidRPr="00C06D12">
              <w:rPr>
                <w:color w:val="090D46" w:themeColor="text1"/>
                <w:sz w:val="18"/>
                <w:szCs w:val="18"/>
              </w:rPr>
              <w:t xml:space="preserve"> it will not be eligible for the CGT discount on any capital gain that accrued after 8 May 2012. Where the foreign resident acquired ‘taxable Australia real property’ before 8 May 2012 it is recommended that a valuation is obtained to determine the </w:t>
            </w:r>
          </w:p>
        </w:tc>
        <w:tc>
          <w:tcPr>
            <w:tcW w:w="416" w:type="pct"/>
          </w:tcPr>
          <w:p w14:paraId="4D698584" w14:textId="77777777" w:rsidR="007B5704" w:rsidRDefault="007B5704" w:rsidP="007B5704">
            <w:pPr>
              <w:pStyle w:val="Table"/>
              <w:spacing w:before="100" w:after="100"/>
              <w:rPr>
                <w:sz w:val="18"/>
                <w:szCs w:val="18"/>
              </w:rPr>
            </w:pPr>
          </w:p>
        </w:tc>
        <w:tc>
          <w:tcPr>
            <w:tcW w:w="348" w:type="pct"/>
          </w:tcPr>
          <w:p w14:paraId="6433F09E" w14:textId="77777777" w:rsidR="007B5704" w:rsidRDefault="007B5704" w:rsidP="007B5704">
            <w:pPr>
              <w:pStyle w:val="Table"/>
              <w:spacing w:before="100" w:after="100"/>
              <w:rPr>
                <w:sz w:val="18"/>
                <w:szCs w:val="18"/>
              </w:rPr>
            </w:pPr>
          </w:p>
        </w:tc>
        <w:tc>
          <w:tcPr>
            <w:tcW w:w="348" w:type="pct"/>
            <w:gridSpan w:val="2"/>
          </w:tcPr>
          <w:p w14:paraId="37A2CB2B" w14:textId="77777777" w:rsidR="007B5704" w:rsidRDefault="007B5704" w:rsidP="007B5704">
            <w:pPr>
              <w:pStyle w:val="Table"/>
              <w:spacing w:before="100" w:after="100"/>
              <w:rPr>
                <w:sz w:val="18"/>
                <w:szCs w:val="18"/>
              </w:rPr>
            </w:pPr>
          </w:p>
        </w:tc>
      </w:tr>
      <w:tr w:rsidR="0068570A" w14:paraId="24FE9EC2" w14:textId="77777777" w:rsidTr="00E54AE7">
        <w:tc>
          <w:tcPr>
            <w:tcW w:w="5000" w:type="pct"/>
            <w:gridSpan w:val="5"/>
            <w:shd w:val="clear" w:color="auto" w:fill="0A5CC7" w:themeFill="accent3"/>
          </w:tcPr>
          <w:p w14:paraId="79394450" w14:textId="162222B8" w:rsidR="0068570A" w:rsidRDefault="0068570A" w:rsidP="0068570A">
            <w:pPr>
              <w:pStyle w:val="Table"/>
              <w:spacing w:before="100" w:after="100"/>
              <w:rPr>
                <w:sz w:val="18"/>
                <w:szCs w:val="18"/>
              </w:rPr>
            </w:pPr>
            <w:r w:rsidRPr="00C06D12">
              <w:rPr>
                <w:b/>
                <w:bCs/>
                <w:color w:val="FFFFFF" w:themeColor="background1"/>
                <w:sz w:val="18"/>
                <w:szCs w:val="18"/>
              </w:rPr>
              <w:t>CGT DISCOUNT FOR NON-RESIDENT TRUSTS</w:t>
            </w:r>
          </w:p>
        </w:tc>
      </w:tr>
      <w:tr w:rsidR="0068570A" w14:paraId="790F2406"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tcPr>
          <w:p w14:paraId="5B294709" w14:textId="6FDA615C" w:rsidR="0068570A" w:rsidRPr="00C06D12" w:rsidRDefault="0068570A" w:rsidP="0068570A">
            <w:pPr>
              <w:spacing w:before="100" w:after="100"/>
              <w:rPr>
                <w:rFonts w:eastAsia="Times New Roman" w:cs="Arial"/>
                <w:szCs w:val="18"/>
                <w:lang w:eastAsia="en-AU"/>
              </w:rPr>
            </w:pPr>
            <w:r w:rsidRPr="00C06D12">
              <w:rPr>
                <w:szCs w:val="18"/>
              </w:rPr>
              <w:t>market value of the asset at 8 May 2012, which will enable the CGT discount to be applied to discount the gain (if any) that accrued from acquisition until this date.</w:t>
            </w:r>
          </w:p>
        </w:tc>
        <w:tc>
          <w:tcPr>
            <w:tcW w:w="416" w:type="pct"/>
          </w:tcPr>
          <w:p w14:paraId="5997108A" w14:textId="77777777" w:rsidR="0068570A" w:rsidRDefault="0068570A" w:rsidP="0068570A">
            <w:pPr>
              <w:pStyle w:val="Table"/>
              <w:spacing w:before="100" w:after="100"/>
              <w:rPr>
                <w:sz w:val="18"/>
                <w:szCs w:val="18"/>
              </w:rPr>
            </w:pPr>
          </w:p>
        </w:tc>
        <w:tc>
          <w:tcPr>
            <w:tcW w:w="348" w:type="pct"/>
          </w:tcPr>
          <w:p w14:paraId="13626A08" w14:textId="77777777" w:rsidR="0068570A" w:rsidRDefault="0068570A" w:rsidP="0068570A">
            <w:pPr>
              <w:pStyle w:val="Table"/>
              <w:spacing w:before="100" w:after="100"/>
              <w:rPr>
                <w:sz w:val="18"/>
                <w:szCs w:val="18"/>
              </w:rPr>
            </w:pPr>
          </w:p>
        </w:tc>
        <w:tc>
          <w:tcPr>
            <w:tcW w:w="348" w:type="pct"/>
            <w:gridSpan w:val="2"/>
          </w:tcPr>
          <w:p w14:paraId="418A7DF6" w14:textId="77777777" w:rsidR="0068570A" w:rsidRDefault="0068570A" w:rsidP="0068570A">
            <w:pPr>
              <w:pStyle w:val="Table"/>
              <w:spacing w:before="100" w:after="100"/>
              <w:rPr>
                <w:sz w:val="18"/>
                <w:szCs w:val="18"/>
              </w:rPr>
            </w:pPr>
          </w:p>
        </w:tc>
      </w:tr>
      <w:tr w:rsidR="0068570A" w14:paraId="46A2B278" w14:textId="77777777" w:rsidTr="00E54AE7">
        <w:tc>
          <w:tcPr>
            <w:tcW w:w="5000" w:type="pct"/>
            <w:gridSpan w:val="5"/>
            <w:shd w:val="clear" w:color="auto" w:fill="0A5CC7" w:themeFill="accent3"/>
          </w:tcPr>
          <w:p w14:paraId="7AD48942" w14:textId="3D6D6DF2" w:rsidR="0068570A" w:rsidRDefault="0068570A" w:rsidP="0068570A">
            <w:pPr>
              <w:pStyle w:val="Table"/>
              <w:spacing w:before="100" w:after="100"/>
              <w:rPr>
                <w:sz w:val="18"/>
                <w:szCs w:val="18"/>
              </w:rPr>
            </w:pPr>
            <w:r w:rsidRPr="00C06D12">
              <w:rPr>
                <w:b/>
                <w:bCs/>
                <w:color w:val="FFFFFF" w:themeColor="background1"/>
                <w:sz w:val="18"/>
                <w:szCs w:val="18"/>
              </w:rPr>
              <w:t>SUPERANNUATION</w:t>
            </w:r>
          </w:p>
        </w:tc>
      </w:tr>
      <w:tr w:rsidR="0068570A" w14:paraId="15343C14"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hideMark/>
          </w:tcPr>
          <w:p w14:paraId="25281A86" w14:textId="77777777" w:rsidR="0068570A" w:rsidRPr="00C06D12" w:rsidRDefault="0068570A" w:rsidP="0068570A">
            <w:pPr>
              <w:pStyle w:val="Table"/>
              <w:spacing w:before="100" w:after="100"/>
              <w:rPr>
                <w:rFonts w:asciiTheme="minorHAnsi" w:hAnsiTheme="minorHAnsi" w:cstheme="minorHAnsi"/>
                <w:color w:val="090D46" w:themeColor="text1"/>
                <w:sz w:val="18"/>
                <w:szCs w:val="18"/>
              </w:rPr>
            </w:pPr>
            <w:r w:rsidRPr="00C06D12">
              <w:rPr>
                <w:rFonts w:asciiTheme="minorHAnsi" w:hAnsiTheme="minorHAnsi" w:cstheme="minorHAnsi"/>
                <w:color w:val="090D46" w:themeColor="text1"/>
                <w:sz w:val="18"/>
                <w:szCs w:val="18"/>
              </w:rPr>
              <w:t xml:space="preserve">Have all superannuation contributions claimed for the year been received by a complying fund before year end? </w:t>
            </w:r>
          </w:p>
          <w:p w14:paraId="0E8E537C" w14:textId="77777777" w:rsidR="0068570A" w:rsidRPr="00C06D12" w:rsidRDefault="0068570A" w:rsidP="0068570A">
            <w:pPr>
              <w:pStyle w:val="Table"/>
              <w:spacing w:before="100" w:after="100"/>
              <w:rPr>
                <w:rFonts w:asciiTheme="minorHAnsi" w:hAnsiTheme="minorHAnsi" w:cstheme="minorHAnsi"/>
                <w:color w:val="090D46" w:themeColor="text1"/>
                <w:sz w:val="18"/>
                <w:szCs w:val="18"/>
              </w:rPr>
            </w:pPr>
            <w:r w:rsidRPr="00C06D12">
              <w:rPr>
                <w:rFonts w:asciiTheme="minorHAnsi" w:hAnsiTheme="minorHAnsi" w:cstheme="minorHAnsi"/>
                <w:color w:val="090D46" w:themeColor="text1"/>
                <w:sz w:val="18"/>
                <w:szCs w:val="18"/>
              </w:rPr>
              <w:t>If not, have accrued superannuation contributions been added back?</w:t>
            </w:r>
          </w:p>
        </w:tc>
        <w:tc>
          <w:tcPr>
            <w:tcW w:w="416" w:type="pct"/>
          </w:tcPr>
          <w:p w14:paraId="0525767F" w14:textId="77777777" w:rsidR="0068570A" w:rsidRDefault="0068570A" w:rsidP="0068570A">
            <w:pPr>
              <w:pStyle w:val="Table"/>
              <w:spacing w:before="100" w:after="100"/>
              <w:rPr>
                <w:sz w:val="18"/>
                <w:szCs w:val="18"/>
              </w:rPr>
            </w:pPr>
          </w:p>
        </w:tc>
        <w:tc>
          <w:tcPr>
            <w:tcW w:w="348" w:type="pct"/>
          </w:tcPr>
          <w:p w14:paraId="093F8D54" w14:textId="77777777" w:rsidR="0068570A" w:rsidRDefault="0068570A" w:rsidP="0068570A">
            <w:pPr>
              <w:pStyle w:val="Table"/>
              <w:spacing w:before="100" w:after="100"/>
              <w:rPr>
                <w:sz w:val="18"/>
                <w:szCs w:val="18"/>
              </w:rPr>
            </w:pPr>
          </w:p>
        </w:tc>
        <w:tc>
          <w:tcPr>
            <w:tcW w:w="348" w:type="pct"/>
            <w:gridSpan w:val="2"/>
          </w:tcPr>
          <w:p w14:paraId="661D82EA" w14:textId="77777777" w:rsidR="0068570A" w:rsidRDefault="0068570A" w:rsidP="0068570A">
            <w:pPr>
              <w:pStyle w:val="Table"/>
              <w:spacing w:before="100" w:after="100"/>
              <w:rPr>
                <w:sz w:val="18"/>
                <w:szCs w:val="18"/>
              </w:rPr>
            </w:pPr>
          </w:p>
        </w:tc>
      </w:tr>
      <w:tr w:rsidR="0068570A" w14:paraId="37B8A152" w14:textId="77777777" w:rsidTr="00E54AE7">
        <w:tc>
          <w:tcPr>
            <w:tcW w:w="3888" w:type="pct"/>
          </w:tcPr>
          <w:p w14:paraId="2225D3C3" w14:textId="77777777" w:rsidR="0068570A" w:rsidRDefault="0068570A" w:rsidP="0068570A">
            <w:pPr>
              <w:pStyle w:val="Table"/>
              <w:spacing w:before="100" w:after="100"/>
              <w:rPr>
                <w:rFonts w:asciiTheme="minorHAnsi" w:hAnsiTheme="minorHAnsi" w:cstheme="minorHAnsi"/>
                <w:color w:val="090D46" w:themeColor="text1"/>
                <w:sz w:val="18"/>
                <w:szCs w:val="18"/>
              </w:rPr>
            </w:pPr>
            <w:r w:rsidRPr="00C06D12">
              <w:rPr>
                <w:rFonts w:asciiTheme="minorHAnsi" w:hAnsiTheme="minorHAnsi" w:cstheme="minorHAnsi"/>
                <w:color w:val="090D46" w:themeColor="text1"/>
                <w:sz w:val="18"/>
                <w:szCs w:val="18"/>
              </w:rPr>
              <w:t>Has the trust provided the prescribed level of superannuation for each employee pursuant to the Superannuation Guarantee Scheme?</w:t>
            </w:r>
          </w:p>
          <w:p w14:paraId="0F63AE6D" w14:textId="77777777" w:rsidR="0068570A" w:rsidRPr="00C06D12" w:rsidRDefault="0068570A" w:rsidP="0068570A">
            <w:pPr>
              <w:pStyle w:val="Table"/>
              <w:spacing w:before="100" w:after="100"/>
              <w:rPr>
                <w:rFonts w:asciiTheme="minorHAnsi" w:hAnsiTheme="minorHAnsi" w:cstheme="minorHAnsi"/>
                <w:color w:val="090D46" w:themeColor="text1"/>
                <w:sz w:val="18"/>
                <w:szCs w:val="18"/>
              </w:rPr>
            </w:pPr>
            <w:r w:rsidRPr="00C06D12">
              <w:rPr>
                <w:rFonts w:asciiTheme="minorHAnsi" w:hAnsiTheme="minorHAnsi" w:cstheme="minorHAnsi"/>
                <w:color w:val="090D46" w:themeColor="text1"/>
                <w:sz w:val="18"/>
                <w:szCs w:val="18"/>
              </w:rPr>
              <w:t>Has any Superannuation Guarantee Charge (SGC) amount been paid by the entity? If so, has the amount been added back as non-deductible?</w:t>
            </w:r>
          </w:p>
          <w:p w14:paraId="3F24EA5C" w14:textId="7E274357" w:rsidR="0068570A" w:rsidRPr="00C06D12" w:rsidRDefault="0068570A" w:rsidP="0068570A">
            <w:pPr>
              <w:pStyle w:val="Table"/>
              <w:spacing w:before="100" w:after="100"/>
              <w:rPr>
                <w:rFonts w:asciiTheme="minorHAnsi" w:hAnsiTheme="minorHAnsi" w:cstheme="minorHAnsi"/>
                <w:color w:val="090D46" w:themeColor="text1"/>
                <w:sz w:val="18"/>
                <w:szCs w:val="18"/>
              </w:rPr>
            </w:pPr>
            <w:r w:rsidRPr="00C06D12">
              <w:rPr>
                <w:rFonts w:asciiTheme="minorHAnsi" w:hAnsiTheme="minorHAnsi" w:cstheme="minorHAnsi"/>
                <w:color w:val="090D46" w:themeColor="text1"/>
                <w:sz w:val="18"/>
                <w:szCs w:val="18"/>
              </w:rPr>
              <w:t>If a late superannuation contribution was offset against the superannuation guarantee charge, the offset amount is not deductible.</w:t>
            </w:r>
          </w:p>
        </w:tc>
        <w:tc>
          <w:tcPr>
            <w:tcW w:w="416" w:type="pct"/>
          </w:tcPr>
          <w:p w14:paraId="063F9AB3" w14:textId="77777777" w:rsidR="0068570A" w:rsidRDefault="0068570A" w:rsidP="0068570A">
            <w:pPr>
              <w:pStyle w:val="Table"/>
              <w:spacing w:before="100" w:after="100"/>
              <w:rPr>
                <w:sz w:val="18"/>
                <w:szCs w:val="18"/>
              </w:rPr>
            </w:pPr>
          </w:p>
        </w:tc>
        <w:tc>
          <w:tcPr>
            <w:tcW w:w="348" w:type="pct"/>
          </w:tcPr>
          <w:p w14:paraId="511E7F3F" w14:textId="77777777" w:rsidR="0068570A" w:rsidRDefault="0068570A" w:rsidP="0068570A">
            <w:pPr>
              <w:pStyle w:val="Table"/>
              <w:spacing w:before="100" w:after="100"/>
              <w:rPr>
                <w:sz w:val="18"/>
                <w:szCs w:val="18"/>
              </w:rPr>
            </w:pPr>
          </w:p>
        </w:tc>
        <w:tc>
          <w:tcPr>
            <w:tcW w:w="348" w:type="pct"/>
            <w:gridSpan w:val="2"/>
          </w:tcPr>
          <w:p w14:paraId="1A0472E6" w14:textId="77777777" w:rsidR="0068570A" w:rsidRDefault="0068570A" w:rsidP="0068570A">
            <w:pPr>
              <w:pStyle w:val="Table"/>
              <w:spacing w:before="100" w:after="100"/>
              <w:rPr>
                <w:sz w:val="18"/>
                <w:szCs w:val="18"/>
              </w:rPr>
            </w:pPr>
          </w:p>
        </w:tc>
      </w:tr>
      <w:tr w:rsidR="0068570A" w14:paraId="702B33C1" w14:textId="77777777" w:rsidTr="00E54AE7">
        <w:trPr>
          <w:cnfStyle w:val="000000100000" w:firstRow="0" w:lastRow="0" w:firstColumn="0" w:lastColumn="0" w:oddVBand="0" w:evenVBand="0" w:oddHBand="1" w:evenHBand="0" w:firstRowFirstColumn="0" w:firstRowLastColumn="0" w:lastRowFirstColumn="0" w:lastRowLastColumn="0"/>
        </w:trPr>
        <w:tc>
          <w:tcPr>
            <w:tcW w:w="5000" w:type="pct"/>
            <w:gridSpan w:val="5"/>
            <w:shd w:val="clear" w:color="auto" w:fill="0A5CC7" w:themeFill="accent3"/>
          </w:tcPr>
          <w:p w14:paraId="5873DE7D" w14:textId="7E2FD4A3" w:rsidR="0068570A" w:rsidRPr="00E54AE7" w:rsidRDefault="00E54AE7" w:rsidP="0068570A">
            <w:pPr>
              <w:pStyle w:val="Table"/>
              <w:spacing w:before="100" w:after="100"/>
              <w:rPr>
                <w:b/>
                <w:bCs/>
                <w:color w:val="FFFFFF" w:themeColor="background1"/>
                <w:sz w:val="18"/>
                <w:szCs w:val="18"/>
              </w:rPr>
            </w:pPr>
            <w:r w:rsidRPr="00E54AE7">
              <w:rPr>
                <w:b/>
                <w:bCs/>
                <w:color w:val="FFFFFF" w:themeColor="background1"/>
                <w:sz w:val="18"/>
                <w:szCs w:val="18"/>
              </w:rPr>
              <w:t>REPAIRS AND MAINTENANCE</w:t>
            </w:r>
          </w:p>
        </w:tc>
      </w:tr>
      <w:tr w:rsidR="0068570A" w14:paraId="3E559DED" w14:textId="77777777" w:rsidTr="00E54AE7">
        <w:trPr>
          <w:gridAfter w:val="1"/>
          <w:wAfter w:w="3" w:type="pct"/>
        </w:trPr>
        <w:tc>
          <w:tcPr>
            <w:tcW w:w="4997" w:type="pct"/>
            <w:gridSpan w:val="4"/>
            <w:shd w:val="clear" w:color="auto" w:fill="FFFFFF" w:themeFill="background1"/>
            <w:hideMark/>
          </w:tcPr>
          <w:p w14:paraId="64C281BD" w14:textId="77777777" w:rsidR="0068570A" w:rsidRPr="00C06D12" w:rsidRDefault="0068570A" w:rsidP="0068570A">
            <w:pPr>
              <w:pStyle w:val="Table"/>
              <w:spacing w:before="100" w:after="100"/>
              <w:rPr>
                <w:rFonts w:asciiTheme="minorHAnsi" w:hAnsiTheme="minorHAnsi" w:cstheme="minorHAnsi"/>
                <w:color w:val="090D46" w:themeColor="text1"/>
                <w:sz w:val="18"/>
                <w:szCs w:val="18"/>
              </w:rPr>
            </w:pPr>
            <w:r w:rsidRPr="00C06D12">
              <w:rPr>
                <w:rFonts w:asciiTheme="minorHAnsi" w:hAnsiTheme="minorHAnsi" w:cstheme="minorHAnsi"/>
                <w:color w:val="090D46" w:themeColor="text1"/>
                <w:sz w:val="18"/>
                <w:szCs w:val="18"/>
              </w:rPr>
              <w:t xml:space="preserve">Have repairs and maintenance claims been reviewed to ensure they are of a revenue nature and contain no capital items? </w:t>
            </w:r>
          </w:p>
          <w:p w14:paraId="14F816B1" w14:textId="77777777" w:rsidR="0068570A" w:rsidRPr="00C06D12" w:rsidRDefault="0068570A" w:rsidP="0068570A">
            <w:pPr>
              <w:pStyle w:val="Table"/>
              <w:spacing w:before="100" w:after="100"/>
              <w:rPr>
                <w:rFonts w:asciiTheme="minorHAnsi" w:hAnsiTheme="minorHAnsi" w:cstheme="minorHAnsi"/>
                <w:color w:val="090D46" w:themeColor="text1"/>
                <w:sz w:val="18"/>
                <w:szCs w:val="18"/>
              </w:rPr>
            </w:pPr>
            <w:r w:rsidRPr="00C06D12">
              <w:rPr>
                <w:rFonts w:asciiTheme="minorHAnsi" w:hAnsiTheme="minorHAnsi" w:cstheme="minorHAnsi"/>
                <w:color w:val="090D46" w:themeColor="text1"/>
                <w:sz w:val="18"/>
                <w:szCs w:val="18"/>
              </w:rPr>
              <w:t xml:space="preserve">Further guidance as to when repair expenditure will be deductible under section 25-10 of the </w:t>
            </w:r>
            <w:r w:rsidRPr="00C06D12">
              <w:rPr>
                <w:rFonts w:asciiTheme="minorHAnsi" w:hAnsiTheme="minorHAnsi" w:cstheme="minorHAnsi"/>
                <w:i/>
                <w:color w:val="090D46" w:themeColor="text1"/>
                <w:sz w:val="18"/>
                <w:szCs w:val="18"/>
              </w:rPr>
              <w:t>ITAA 1997</w:t>
            </w:r>
            <w:r w:rsidRPr="00C06D12">
              <w:rPr>
                <w:rFonts w:asciiTheme="minorHAnsi" w:hAnsiTheme="minorHAnsi" w:cstheme="minorHAnsi"/>
                <w:color w:val="090D46" w:themeColor="text1"/>
                <w:sz w:val="18"/>
                <w:szCs w:val="18"/>
              </w:rPr>
              <w:t xml:space="preserve"> is set out in Taxation Ruling TR 97/23. </w:t>
            </w:r>
          </w:p>
          <w:p w14:paraId="0C8B2E6A" w14:textId="77777777" w:rsidR="0068570A" w:rsidRPr="00C06D12" w:rsidRDefault="0068570A" w:rsidP="0068570A">
            <w:pPr>
              <w:pStyle w:val="Table"/>
              <w:spacing w:before="100" w:after="100"/>
              <w:rPr>
                <w:rFonts w:asciiTheme="minorHAnsi" w:hAnsiTheme="minorHAnsi" w:cstheme="minorHAnsi"/>
                <w:color w:val="090D46" w:themeColor="text1"/>
                <w:sz w:val="18"/>
                <w:szCs w:val="18"/>
              </w:rPr>
            </w:pPr>
            <w:r w:rsidRPr="00C06D12">
              <w:rPr>
                <w:rFonts w:asciiTheme="minorHAnsi" w:hAnsiTheme="minorHAnsi" w:cstheme="minorHAnsi"/>
                <w:color w:val="090D46" w:themeColor="text1"/>
                <w:sz w:val="18"/>
                <w:szCs w:val="18"/>
              </w:rPr>
              <w:t>An amount will not be regarded as being a deductible repair where it constitutes capital expenditure relating to the replacement of an entire asset (as opposed to part of an asset), a capital improvement or an initial repair</w:t>
            </w:r>
            <w:r>
              <w:rPr>
                <w:rFonts w:asciiTheme="minorHAnsi" w:hAnsiTheme="minorHAnsi" w:cstheme="minorHAnsi"/>
                <w:color w:val="090D46" w:themeColor="text1"/>
                <w:sz w:val="18"/>
                <w:szCs w:val="18"/>
              </w:rPr>
              <w:t xml:space="preserve"> (e.g. to improve the state of the asset beyond the state that it was acquired in)</w:t>
            </w:r>
            <w:r w:rsidRPr="00C06D12">
              <w:rPr>
                <w:rFonts w:asciiTheme="minorHAnsi" w:hAnsiTheme="minorHAnsi" w:cstheme="minorHAnsi"/>
                <w:color w:val="090D46" w:themeColor="text1"/>
                <w:sz w:val="18"/>
                <w:szCs w:val="18"/>
              </w:rPr>
              <w:t>.</w:t>
            </w:r>
          </w:p>
          <w:p w14:paraId="05202C71" w14:textId="323AE68E" w:rsidR="0068570A" w:rsidRPr="00C06D12" w:rsidRDefault="0068570A" w:rsidP="0068570A">
            <w:pPr>
              <w:pStyle w:val="Tableheading"/>
              <w:spacing w:before="100" w:after="100"/>
              <w:rPr>
                <w:bCs/>
                <w:color w:val="FFFFFF" w:themeColor="background1"/>
                <w:sz w:val="18"/>
                <w:szCs w:val="18"/>
              </w:rPr>
            </w:pPr>
          </w:p>
        </w:tc>
      </w:tr>
      <w:tr w:rsidR="0068570A" w14:paraId="76D197AA"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shd w:val="clear" w:color="auto" w:fill="0A5CC7" w:themeFill="accent3"/>
            <w:hideMark/>
          </w:tcPr>
          <w:p w14:paraId="54954AB0" w14:textId="4E0DF0E0" w:rsidR="0068570A" w:rsidRDefault="0068570A" w:rsidP="0068570A">
            <w:pPr>
              <w:pStyle w:val="Table"/>
              <w:spacing w:before="100" w:after="100"/>
              <w:rPr>
                <w:rFonts w:cs="Arial"/>
                <w:sz w:val="18"/>
                <w:szCs w:val="18"/>
              </w:rPr>
            </w:pPr>
            <w:r w:rsidRPr="00C06D12">
              <w:rPr>
                <w:b/>
                <w:bCs/>
                <w:color w:val="FFFFFF" w:themeColor="background1"/>
                <w:sz w:val="18"/>
                <w:szCs w:val="18"/>
              </w:rPr>
              <w:t>BAD DEBTS</w:t>
            </w:r>
          </w:p>
        </w:tc>
        <w:tc>
          <w:tcPr>
            <w:tcW w:w="416" w:type="pct"/>
            <w:shd w:val="clear" w:color="auto" w:fill="0A5CC7" w:themeFill="accent3"/>
            <w:vAlign w:val="top"/>
          </w:tcPr>
          <w:p w14:paraId="7E5F30E7" w14:textId="77777777" w:rsidR="0068570A" w:rsidRDefault="0068570A" w:rsidP="0068570A">
            <w:pPr>
              <w:pStyle w:val="Table"/>
              <w:spacing w:before="100" w:after="100"/>
              <w:rPr>
                <w:sz w:val="18"/>
                <w:szCs w:val="18"/>
              </w:rPr>
            </w:pPr>
          </w:p>
        </w:tc>
        <w:tc>
          <w:tcPr>
            <w:tcW w:w="348" w:type="pct"/>
            <w:shd w:val="clear" w:color="auto" w:fill="0A5CC7" w:themeFill="accent3"/>
          </w:tcPr>
          <w:p w14:paraId="24E40E7F" w14:textId="77777777" w:rsidR="0068570A" w:rsidRDefault="0068570A" w:rsidP="0068570A">
            <w:pPr>
              <w:pStyle w:val="Table"/>
              <w:spacing w:before="100" w:after="100"/>
              <w:rPr>
                <w:sz w:val="18"/>
                <w:szCs w:val="18"/>
              </w:rPr>
            </w:pPr>
          </w:p>
        </w:tc>
        <w:tc>
          <w:tcPr>
            <w:tcW w:w="348" w:type="pct"/>
            <w:gridSpan w:val="2"/>
            <w:shd w:val="clear" w:color="auto" w:fill="0A5CC7" w:themeFill="accent3"/>
          </w:tcPr>
          <w:p w14:paraId="5C0CEC49" w14:textId="77777777" w:rsidR="0068570A" w:rsidRDefault="0068570A" w:rsidP="0068570A">
            <w:pPr>
              <w:pStyle w:val="Table"/>
              <w:spacing w:before="100" w:after="100"/>
              <w:rPr>
                <w:sz w:val="18"/>
                <w:szCs w:val="18"/>
              </w:rPr>
            </w:pPr>
          </w:p>
        </w:tc>
      </w:tr>
      <w:tr w:rsidR="00E54AE7" w14:paraId="4519015F" w14:textId="77777777" w:rsidTr="00E54AE7">
        <w:tc>
          <w:tcPr>
            <w:tcW w:w="3888" w:type="pct"/>
          </w:tcPr>
          <w:p w14:paraId="583FF2AE" w14:textId="77777777" w:rsidR="00E54AE7" w:rsidRPr="00C06D12" w:rsidRDefault="00E54AE7" w:rsidP="00E54AE7">
            <w:pPr>
              <w:pStyle w:val="Table"/>
              <w:spacing w:before="100" w:after="100"/>
              <w:rPr>
                <w:rFonts w:asciiTheme="minorHAnsi" w:hAnsiTheme="minorHAnsi" w:cstheme="minorHAnsi"/>
                <w:color w:val="090D46" w:themeColor="text1"/>
                <w:sz w:val="18"/>
                <w:szCs w:val="18"/>
              </w:rPr>
            </w:pPr>
            <w:r w:rsidRPr="00C06D12">
              <w:rPr>
                <w:rFonts w:asciiTheme="minorHAnsi" w:hAnsiTheme="minorHAnsi" w:cstheme="minorHAnsi"/>
                <w:color w:val="090D46" w:themeColor="text1"/>
                <w:sz w:val="18"/>
                <w:szCs w:val="18"/>
              </w:rPr>
              <w:t>Have bad debts written off during the year been claimed as a tax deduction? Is there documentation on file evidencing the company’s inability to collect the debt? Have any of these debts been compromised or released before being written off, in which case a bad debt deduction will not be available?</w:t>
            </w:r>
          </w:p>
          <w:p w14:paraId="284DF0E7" w14:textId="77777777" w:rsidR="00E54AE7" w:rsidRPr="00C06D12" w:rsidRDefault="00E54AE7" w:rsidP="00E54AE7">
            <w:pPr>
              <w:pStyle w:val="Table"/>
              <w:spacing w:before="100" w:after="100"/>
              <w:rPr>
                <w:rFonts w:asciiTheme="minorHAnsi" w:hAnsiTheme="minorHAnsi" w:cstheme="minorHAnsi"/>
                <w:color w:val="090D46" w:themeColor="text1"/>
                <w:sz w:val="18"/>
                <w:szCs w:val="18"/>
              </w:rPr>
            </w:pPr>
            <w:r w:rsidRPr="00C06D12">
              <w:rPr>
                <w:rFonts w:asciiTheme="minorHAnsi" w:hAnsiTheme="minorHAnsi" w:cstheme="minorHAnsi"/>
                <w:color w:val="090D46" w:themeColor="text1"/>
                <w:sz w:val="18"/>
                <w:szCs w:val="18"/>
              </w:rPr>
              <w:t>For bad debts claimed as deductions during the year has:</w:t>
            </w:r>
          </w:p>
          <w:p w14:paraId="511F92C7" w14:textId="77777777" w:rsidR="00E54AE7" w:rsidRPr="00C06D12" w:rsidRDefault="00E54AE7" w:rsidP="00E54AE7">
            <w:pPr>
              <w:pStyle w:val="ListBullet"/>
            </w:pPr>
            <w:r w:rsidRPr="00C06D12">
              <w:t>the debt been physically written off prior to balance date, or is there a Trustee minute authorising the writing-off of the debt prior to year-end, confirming that the debt is irrecoverable?</w:t>
            </w:r>
          </w:p>
          <w:p w14:paraId="434EB35C" w14:textId="77777777" w:rsidR="00E54AE7" w:rsidRPr="00C06D12" w:rsidRDefault="00E54AE7" w:rsidP="00E54AE7">
            <w:pPr>
              <w:pStyle w:val="ListBullet"/>
            </w:pPr>
            <w:r w:rsidRPr="00C06D12">
              <w:t xml:space="preserve">the debt either previously been returned as assessable income by the trust or does it represent a loan made in the ordinary course of a money lending business? </w:t>
            </w:r>
          </w:p>
          <w:p w14:paraId="127AD493" w14:textId="3D43ACCF" w:rsidR="00E54AE7" w:rsidRDefault="00E54AE7" w:rsidP="00E54AE7">
            <w:pPr>
              <w:pStyle w:val="Tableheading"/>
              <w:spacing w:before="100" w:after="100"/>
              <w:rPr>
                <w:bCs/>
                <w:sz w:val="18"/>
                <w:szCs w:val="18"/>
              </w:rPr>
            </w:pPr>
            <w:r w:rsidRPr="00C06D12">
              <w:rPr>
                <w:rFonts w:asciiTheme="minorHAnsi" w:hAnsiTheme="minorHAnsi" w:cstheme="minorHAnsi"/>
                <w:color w:val="090D46" w:themeColor="text1"/>
                <w:sz w:val="18"/>
                <w:szCs w:val="18"/>
              </w:rPr>
              <w:t xml:space="preserve">the trust satisfied the trust loss provisions (Schedule 2F of the </w:t>
            </w:r>
            <w:r w:rsidRPr="00C06D12">
              <w:rPr>
                <w:rFonts w:asciiTheme="minorHAnsi" w:hAnsiTheme="minorHAnsi" w:cstheme="minorHAnsi"/>
                <w:i/>
                <w:color w:val="090D46" w:themeColor="text1"/>
                <w:sz w:val="18"/>
                <w:szCs w:val="18"/>
              </w:rPr>
              <w:t xml:space="preserve">ITAA 1936) </w:t>
            </w:r>
            <w:r w:rsidRPr="00C06D12">
              <w:rPr>
                <w:rFonts w:asciiTheme="minorHAnsi" w:hAnsiTheme="minorHAnsi" w:cstheme="minorHAnsi"/>
                <w:color w:val="090D46" w:themeColor="text1"/>
                <w:sz w:val="18"/>
                <w:szCs w:val="18"/>
              </w:rPr>
              <w:t>during the period from when the debt was created to when the debt is proposed to be written off as bad?</w:t>
            </w:r>
          </w:p>
        </w:tc>
        <w:tc>
          <w:tcPr>
            <w:tcW w:w="416" w:type="pct"/>
            <w:vAlign w:val="top"/>
          </w:tcPr>
          <w:p w14:paraId="0D39BA29" w14:textId="77777777" w:rsidR="00E54AE7" w:rsidRDefault="00E54AE7" w:rsidP="0068570A">
            <w:pPr>
              <w:pStyle w:val="Table"/>
              <w:spacing w:before="100" w:after="100"/>
              <w:rPr>
                <w:sz w:val="18"/>
                <w:szCs w:val="18"/>
              </w:rPr>
            </w:pPr>
          </w:p>
        </w:tc>
        <w:tc>
          <w:tcPr>
            <w:tcW w:w="348" w:type="pct"/>
          </w:tcPr>
          <w:p w14:paraId="7AA7778E" w14:textId="77777777" w:rsidR="00E54AE7" w:rsidRDefault="00E54AE7" w:rsidP="0068570A">
            <w:pPr>
              <w:pStyle w:val="Table"/>
              <w:spacing w:before="100" w:after="100"/>
              <w:rPr>
                <w:sz w:val="18"/>
                <w:szCs w:val="18"/>
              </w:rPr>
            </w:pPr>
          </w:p>
        </w:tc>
        <w:tc>
          <w:tcPr>
            <w:tcW w:w="348" w:type="pct"/>
            <w:gridSpan w:val="2"/>
          </w:tcPr>
          <w:p w14:paraId="05A2796D" w14:textId="77777777" w:rsidR="00E54AE7" w:rsidRDefault="00E54AE7" w:rsidP="0068570A">
            <w:pPr>
              <w:pStyle w:val="Table"/>
              <w:spacing w:before="100" w:after="100"/>
              <w:rPr>
                <w:sz w:val="18"/>
                <w:szCs w:val="18"/>
              </w:rPr>
            </w:pPr>
          </w:p>
        </w:tc>
      </w:tr>
      <w:tr w:rsidR="0068570A" w14:paraId="7D5BCE66" w14:textId="77777777" w:rsidTr="00E54AE7">
        <w:trPr>
          <w:cnfStyle w:val="000000100000" w:firstRow="0" w:lastRow="0" w:firstColumn="0" w:lastColumn="0" w:oddVBand="0" w:evenVBand="0" w:oddHBand="1" w:evenHBand="0" w:firstRowFirstColumn="0" w:firstRowLastColumn="0" w:lastRowFirstColumn="0" w:lastRowLastColumn="0"/>
        </w:trPr>
        <w:tc>
          <w:tcPr>
            <w:tcW w:w="3888" w:type="pct"/>
            <w:hideMark/>
          </w:tcPr>
          <w:p w14:paraId="68E11BFA" w14:textId="191FB11D" w:rsidR="0068570A" w:rsidRDefault="0068570A" w:rsidP="0068570A">
            <w:pPr>
              <w:pStyle w:val="Tableheading"/>
              <w:spacing w:before="100" w:after="100"/>
              <w:rPr>
                <w:bCs/>
                <w:sz w:val="18"/>
                <w:szCs w:val="18"/>
              </w:rPr>
            </w:pPr>
            <w:r>
              <w:rPr>
                <w:bCs/>
                <w:sz w:val="18"/>
                <w:szCs w:val="18"/>
              </w:rPr>
              <w:t>Comments:</w:t>
            </w:r>
          </w:p>
          <w:p w14:paraId="6FDA66F2" w14:textId="1ED2889C" w:rsidR="00E54AE7" w:rsidRDefault="00E54AE7" w:rsidP="0068570A">
            <w:pPr>
              <w:pStyle w:val="Tableheading"/>
              <w:spacing w:before="100" w:after="100"/>
              <w:rPr>
                <w:bCs/>
                <w:sz w:val="18"/>
                <w:szCs w:val="18"/>
              </w:rPr>
            </w:pPr>
          </w:p>
          <w:p w14:paraId="0DCF9B52" w14:textId="77777777" w:rsidR="00E54AE7" w:rsidRDefault="00E54AE7" w:rsidP="0068570A">
            <w:pPr>
              <w:pStyle w:val="Tableheading"/>
              <w:spacing w:before="100" w:after="100"/>
              <w:rPr>
                <w:bCs/>
                <w:sz w:val="18"/>
                <w:szCs w:val="18"/>
              </w:rPr>
            </w:pPr>
          </w:p>
          <w:p w14:paraId="7ACE851A" w14:textId="261E33B8" w:rsidR="0068570A" w:rsidRDefault="0068570A" w:rsidP="0068570A">
            <w:pPr>
              <w:pStyle w:val="Table"/>
              <w:spacing w:before="100" w:after="100"/>
              <w:ind w:left="357"/>
              <w:rPr>
                <w:sz w:val="18"/>
                <w:szCs w:val="18"/>
              </w:rPr>
            </w:pPr>
          </w:p>
        </w:tc>
        <w:tc>
          <w:tcPr>
            <w:tcW w:w="416" w:type="pct"/>
            <w:vAlign w:val="top"/>
          </w:tcPr>
          <w:p w14:paraId="5FD52DA8" w14:textId="77777777" w:rsidR="0068570A" w:rsidRDefault="0068570A" w:rsidP="0068570A">
            <w:pPr>
              <w:pStyle w:val="Table"/>
              <w:spacing w:before="100" w:after="100"/>
              <w:rPr>
                <w:sz w:val="18"/>
                <w:szCs w:val="18"/>
              </w:rPr>
            </w:pPr>
          </w:p>
        </w:tc>
        <w:tc>
          <w:tcPr>
            <w:tcW w:w="348" w:type="pct"/>
          </w:tcPr>
          <w:p w14:paraId="10455F93" w14:textId="77777777" w:rsidR="0068570A" w:rsidRDefault="0068570A" w:rsidP="0068570A">
            <w:pPr>
              <w:pStyle w:val="Table"/>
              <w:spacing w:before="100" w:after="100"/>
              <w:rPr>
                <w:sz w:val="18"/>
                <w:szCs w:val="18"/>
              </w:rPr>
            </w:pPr>
          </w:p>
        </w:tc>
        <w:tc>
          <w:tcPr>
            <w:tcW w:w="348" w:type="pct"/>
            <w:gridSpan w:val="2"/>
          </w:tcPr>
          <w:p w14:paraId="50704033" w14:textId="77777777" w:rsidR="0068570A" w:rsidRDefault="0068570A" w:rsidP="0068570A">
            <w:pPr>
              <w:pStyle w:val="Table"/>
              <w:spacing w:before="100" w:after="100"/>
              <w:rPr>
                <w:sz w:val="18"/>
                <w:szCs w:val="18"/>
              </w:rPr>
            </w:pPr>
          </w:p>
        </w:tc>
      </w:tr>
    </w:tbl>
    <w:p w14:paraId="3E948BBE" w14:textId="77777777" w:rsidR="00AE1BC5" w:rsidRPr="004D70B6" w:rsidRDefault="00AE1BC5">
      <w:pPr>
        <w:rPr>
          <w:rFonts w:ascii="Arial" w:hAnsi="Arial"/>
          <w:sz w:val="24"/>
          <w:szCs w:val="24"/>
        </w:rPr>
      </w:pPr>
    </w:p>
    <w:tbl>
      <w:tblPr>
        <w:tblStyle w:val="RACVTable"/>
        <w:tblW w:w="5100" w:type="pct"/>
        <w:tblLook w:val="01E0" w:firstRow="1" w:lastRow="1" w:firstColumn="1" w:lastColumn="1" w:noHBand="0" w:noVBand="0"/>
      </w:tblPr>
      <w:tblGrid>
        <w:gridCol w:w="7939"/>
        <w:gridCol w:w="863"/>
        <w:gridCol w:w="696"/>
        <w:gridCol w:w="680"/>
      </w:tblGrid>
      <w:tr w:rsidR="003F0524" w14:paraId="2399953B" w14:textId="77777777" w:rsidTr="00E54AE7">
        <w:trPr>
          <w:cnfStyle w:val="100000000000" w:firstRow="1" w:lastRow="0" w:firstColumn="0" w:lastColumn="0" w:oddVBand="0" w:evenVBand="0" w:oddHBand="0" w:evenHBand="0" w:firstRowFirstColumn="0" w:firstRowLastColumn="0" w:lastRowFirstColumn="0" w:lastRowLastColumn="0"/>
        </w:trPr>
        <w:tc>
          <w:tcPr>
            <w:tcW w:w="3900" w:type="pct"/>
            <w:hideMark/>
          </w:tcPr>
          <w:p w14:paraId="697E9809" w14:textId="77777777" w:rsidR="003F0524" w:rsidRPr="0048080D" w:rsidRDefault="003F0524">
            <w:pPr>
              <w:pStyle w:val="Tableheading"/>
              <w:spacing w:before="100" w:after="100"/>
              <w:rPr>
                <w:rFonts w:asciiTheme="minorHAnsi" w:eastAsiaTheme="minorHAnsi" w:hAnsiTheme="minorHAnsi" w:cs="Times New Roman"/>
                <w:b/>
                <w:color w:val="090D46" w:themeColor="text1"/>
                <w:sz w:val="18"/>
                <w:szCs w:val="18"/>
              </w:rPr>
            </w:pPr>
            <w:r w:rsidRPr="0048080D">
              <w:rPr>
                <w:rFonts w:asciiTheme="minorHAnsi" w:eastAsiaTheme="minorHAnsi" w:hAnsiTheme="minorHAnsi" w:cs="Times New Roman"/>
                <w:b/>
                <w:color w:val="090D46" w:themeColor="text1"/>
                <w:sz w:val="18"/>
                <w:szCs w:val="18"/>
              </w:rPr>
              <w:t xml:space="preserve">TAX RETURN FORM COMPLETION </w:t>
            </w:r>
          </w:p>
        </w:tc>
        <w:tc>
          <w:tcPr>
            <w:tcW w:w="424" w:type="pct"/>
            <w:hideMark/>
          </w:tcPr>
          <w:p w14:paraId="389B7D9E" w14:textId="77777777" w:rsidR="003F0524" w:rsidRPr="0048080D"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48080D">
              <w:rPr>
                <w:rFonts w:asciiTheme="minorHAnsi" w:eastAsiaTheme="minorHAnsi" w:hAnsiTheme="minorHAnsi" w:cs="Times New Roman"/>
                <w:b/>
                <w:color w:val="090D46" w:themeColor="text1"/>
                <w:sz w:val="18"/>
                <w:szCs w:val="18"/>
              </w:rPr>
              <w:t>YES</w:t>
            </w:r>
          </w:p>
        </w:tc>
        <w:tc>
          <w:tcPr>
            <w:tcW w:w="342" w:type="pct"/>
            <w:hideMark/>
          </w:tcPr>
          <w:p w14:paraId="402EE2E7" w14:textId="77777777" w:rsidR="003F0524" w:rsidRPr="0048080D"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48080D">
              <w:rPr>
                <w:rFonts w:asciiTheme="minorHAnsi" w:eastAsiaTheme="minorHAnsi" w:hAnsiTheme="minorHAnsi" w:cs="Times New Roman"/>
                <w:b/>
                <w:color w:val="090D46" w:themeColor="text1"/>
                <w:sz w:val="18"/>
                <w:szCs w:val="18"/>
              </w:rPr>
              <w:t>NO</w:t>
            </w:r>
          </w:p>
        </w:tc>
        <w:tc>
          <w:tcPr>
            <w:tcW w:w="334" w:type="pct"/>
            <w:hideMark/>
          </w:tcPr>
          <w:p w14:paraId="61C37CDA" w14:textId="77777777" w:rsidR="003F0524" w:rsidRPr="0048080D" w:rsidRDefault="003F0524">
            <w:pPr>
              <w:pStyle w:val="Tableheading"/>
              <w:spacing w:before="100" w:after="100"/>
              <w:jc w:val="center"/>
              <w:rPr>
                <w:rFonts w:asciiTheme="minorHAnsi" w:eastAsiaTheme="minorHAnsi" w:hAnsiTheme="minorHAnsi" w:cs="Times New Roman"/>
                <w:b/>
                <w:color w:val="090D46" w:themeColor="text1"/>
                <w:sz w:val="18"/>
                <w:szCs w:val="18"/>
              </w:rPr>
            </w:pPr>
            <w:r w:rsidRPr="0048080D">
              <w:rPr>
                <w:rFonts w:asciiTheme="minorHAnsi" w:eastAsiaTheme="minorHAnsi" w:hAnsiTheme="minorHAnsi" w:cs="Times New Roman"/>
                <w:b/>
                <w:color w:val="090D46" w:themeColor="text1"/>
                <w:sz w:val="18"/>
                <w:szCs w:val="18"/>
              </w:rPr>
              <w:t>N/A</w:t>
            </w:r>
          </w:p>
        </w:tc>
      </w:tr>
      <w:tr w:rsidR="003F0524" w14:paraId="2B993BD2" w14:textId="77777777" w:rsidTr="0048080D">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55FED0B3" w14:textId="77777777" w:rsidR="003F0524" w:rsidRPr="0048080D" w:rsidRDefault="003F0524">
            <w:pPr>
              <w:pStyle w:val="Tableheading"/>
              <w:spacing w:before="100" w:after="100"/>
              <w:rPr>
                <w:bCs/>
                <w:color w:val="FFFFFF" w:themeColor="background1"/>
                <w:sz w:val="18"/>
                <w:szCs w:val="18"/>
              </w:rPr>
            </w:pPr>
            <w:r w:rsidRPr="0048080D">
              <w:rPr>
                <w:bCs/>
                <w:color w:val="FFFFFF" w:themeColor="background1"/>
                <w:sz w:val="18"/>
                <w:szCs w:val="18"/>
              </w:rPr>
              <w:t xml:space="preserve">FAMILY TRUST / INTERPOSED ENTITY ELECTION STATUS (FRONT COVER) </w:t>
            </w:r>
          </w:p>
        </w:tc>
      </w:tr>
      <w:tr w:rsidR="003F0524" w14:paraId="0A3E6D95" w14:textId="77777777" w:rsidTr="00E54AE7">
        <w:tc>
          <w:tcPr>
            <w:tcW w:w="3900" w:type="pct"/>
            <w:hideMark/>
          </w:tcPr>
          <w:p w14:paraId="3098A422" w14:textId="77777777" w:rsidR="003F0524" w:rsidRPr="00D4619D" w:rsidRDefault="003F0524">
            <w:pPr>
              <w:pStyle w:val="Table"/>
              <w:spacing w:before="100" w:after="100"/>
              <w:rPr>
                <w:bCs/>
                <w:color w:val="090D46" w:themeColor="text1"/>
                <w:sz w:val="18"/>
                <w:szCs w:val="18"/>
              </w:rPr>
            </w:pPr>
            <w:r w:rsidRPr="00D4619D">
              <w:rPr>
                <w:bCs/>
                <w:color w:val="090D46" w:themeColor="text1"/>
                <w:sz w:val="18"/>
                <w:szCs w:val="18"/>
              </w:rPr>
              <w:t xml:space="preserve">Has the trust made a family trust election (FTE)? If so, in what year was the FTE made? </w:t>
            </w:r>
          </w:p>
        </w:tc>
        <w:tc>
          <w:tcPr>
            <w:tcW w:w="424" w:type="pct"/>
          </w:tcPr>
          <w:p w14:paraId="6ADD72B5" w14:textId="77777777" w:rsidR="003F0524" w:rsidRDefault="003F0524">
            <w:pPr>
              <w:pStyle w:val="Tableheading"/>
              <w:spacing w:before="100" w:after="100"/>
              <w:rPr>
                <w:b w:val="0"/>
                <w:color w:val="FFFFFF"/>
                <w:sz w:val="18"/>
                <w:szCs w:val="18"/>
              </w:rPr>
            </w:pPr>
          </w:p>
        </w:tc>
        <w:tc>
          <w:tcPr>
            <w:tcW w:w="342" w:type="pct"/>
          </w:tcPr>
          <w:p w14:paraId="4C867919" w14:textId="77777777" w:rsidR="003F0524" w:rsidRDefault="003F0524">
            <w:pPr>
              <w:pStyle w:val="Tableheading"/>
              <w:spacing w:before="100" w:after="100"/>
              <w:rPr>
                <w:b w:val="0"/>
                <w:color w:val="FFFFFF"/>
                <w:sz w:val="18"/>
                <w:szCs w:val="18"/>
              </w:rPr>
            </w:pPr>
          </w:p>
        </w:tc>
        <w:tc>
          <w:tcPr>
            <w:tcW w:w="334" w:type="pct"/>
          </w:tcPr>
          <w:p w14:paraId="5DE08AEC" w14:textId="77777777" w:rsidR="003F0524" w:rsidRDefault="003F0524">
            <w:pPr>
              <w:pStyle w:val="Tableheading"/>
              <w:spacing w:before="100" w:after="100"/>
              <w:rPr>
                <w:b w:val="0"/>
                <w:color w:val="FFFFFF"/>
                <w:sz w:val="18"/>
                <w:szCs w:val="18"/>
              </w:rPr>
            </w:pPr>
          </w:p>
        </w:tc>
      </w:tr>
      <w:tr w:rsidR="003F0524" w14:paraId="60B4A0D7"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hideMark/>
          </w:tcPr>
          <w:p w14:paraId="17FEAB8C" w14:textId="77777777" w:rsidR="003F0524" w:rsidRPr="00D4619D" w:rsidRDefault="003F0524">
            <w:pPr>
              <w:pStyle w:val="Table"/>
              <w:spacing w:before="100" w:after="100"/>
              <w:rPr>
                <w:color w:val="090D46" w:themeColor="text1"/>
                <w:sz w:val="18"/>
                <w:szCs w:val="18"/>
              </w:rPr>
            </w:pPr>
            <w:r w:rsidRPr="00D4619D">
              <w:rPr>
                <w:color w:val="090D46" w:themeColor="text1"/>
                <w:sz w:val="18"/>
                <w:szCs w:val="18"/>
              </w:rPr>
              <w:t xml:space="preserve">Has the trust made an interposed entity election (IEE)? If so, in what year was the IEE made? </w:t>
            </w:r>
          </w:p>
          <w:p w14:paraId="2007D91A" w14:textId="3F1E938A" w:rsidR="003F0524" w:rsidRPr="00D4619D" w:rsidRDefault="003F0524">
            <w:pPr>
              <w:pStyle w:val="Table"/>
              <w:spacing w:before="100" w:after="100"/>
              <w:rPr>
                <w:color w:val="090D46" w:themeColor="text1"/>
                <w:sz w:val="18"/>
                <w:szCs w:val="18"/>
              </w:rPr>
            </w:pPr>
            <w:r w:rsidRPr="00D4619D">
              <w:rPr>
                <w:color w:val="090D46" w:themeColor="text1"/>
                <w:sz w:val="18"/>
                <w:szCs w:val="18"/>
              </w:rPr>
              <w:t xml:space="preserve">A trust may be required to make an IEE to be included in the family group of a trust that has made a </w:t>
            </w:r>
            <w:r w:rsidR="00BA45AF">
              <w:rPr>
                <w:color w:val="090D46" w:themeColor="text1"/>
                <w:sz w:val="18"/>
                <w:szCs w:val="18"/>
              </w:rPr>
              <w:t>FTE</w:t>
            </w:r>
            <w:r w:rsidRPr="00D4619D">
              <w:rPr>
                <w:color w:val="090D46" w:themeColor="text1"/>
                <w:sz w:val="18"/>
                <w:szCs w:val="18"/>
              </w:rPr>
              <w:t xml:space="preserve">. </w:t>
            </w:r>
          </w:p>
        </w:tc>
        <w:tc>
          <w:tcPr>
            <w:tcW w:w="424" w:type="pct"/>
          </w:tcPr>
          <w:p w14:paraId="6820799C" w14:textId="77777777" w:rsidR="003F0524" w:rsidRDefault="003F0524">
            <w:pPr>
              <w:pStyle w:val="Tableheading"/>
              <w:spacing w:before="100" w:after="100"/>
              <w:rPr>
                <w:b w:val="0"/>
                <w:color w:val="FFFFFF"/>
                <w:sz w:val="18"/>
                <w:szCs w:val="18"/>
              </w:rPr>
            </w:pPr>
          </w:p>
        </w:tc>
        <w:tc>
          <w:tcPr>
            <w:tcW w:w="342" w:type="pct"/>
          </w:tcPr>
          <w:p w14:paraId="40E6343B" w14:textId="77777777" w:rsidR="003F0524" w:rsidRDefault="003F0524">
            <w:pPr>
              <w:pStyle w:val="Tableheading"/>
              <w:spacing w:before="100" w:after="100"/>
              <w:rPr>
                <w:b w:val="0"/>
                <w:color w:val="FFFFFF"/>
                <w:sz w:val="18"/>
                <w:szCs w:val="18"/>
              </w:rPr>
            </w:pPr>
          </w:p>
        </w:tc>
        <w:tc>
          <w:tcPr>
            <w:tcW w:w="334" w:type="pct"/>
          </w:tcPr>
          <w:p w14:paraId="5A6E9E1D" w14:textId="77777777" w:rsidR="003F0524" w:rsidRDefault="003F0524">
            <w:pPr>
              <w:pStyle w:val="Tableheading"/>
              <w:spacing w:before="100" w:after="100"/>
              <w:rPr>
                <w:b w:val="0"/>
                <w:color w:val="FFFFFF"/>
                <w:sz w:val="18"/>
                <w:szCs w:val="18"/>
              </w:rPr>
            </w:pPr>
          </w:p>
        </w:tc>
      </w:tr>
      <w:tr w:rsidR="003F0524" w14:paraId="574CBB13" w14:textId="77777777" w:rsidTr="00E54AE7">
        <w:tc>
          <w:tcPr>
            <w:tcW w:w="3900" w:type="pct"/>
            <w:hideMark/>
          </w:tcPr>
          <w:p w14:paraId="0C8B3DF0" w14:textId="130EF15F" w:rsidR="003F0524" w:rsidRPr="00D4619D" w:rsidRDefault="003F0524">
            <w:pPr>
              <w:pStyle w:val="Table"/>
              <w:spacing w:before="100" w:after="100"/>
              <w:rPr>
                <w:color w:val="090D46" w:themeColor="text1"/>
                <w:sz w:val="18"/>
                <w:szCs w:val="18"/>
              </w:rPr>
            </w:pPr>
            <w:r w:rsidRPr="00D4619D">
              <w:rPr>
                <w:color w:val="090D46" w:themeColor="text1"/>
                <w:sz w:val="18"/>
                <w:szCs w:val="18"/>
              </w:rPr>
              <w:t xml:space="preserve">Where a trust that has made an FTE distributes income or capital to another trust which is not part of the family group, the distribution may be subject to family trust distributions tax (FTDT) which is currently levied at a rate of 47% on the trustee of the family trust. </w:t>
            </w:r>
            <w:r w:rsidR="00E4522F">
              <w:rPr>
                <w:color w:val="090D46" w:themeColor="text1"/>
                <w:sz w:val="18"/>
                <w:szCs w:val="18"/>
              </w:rPr>
              <w:t xml:space="preserve"> For certain entities, it may be necessary for an IEE to be made relative to the distributing trust to be included in the family group of the distributing trust.</w:t>
            </w:r>
            <w:r w:rsidRPr="00D4619D">
              <w:rPr>
                <w:color w:val="090D46" w:themeColor="text1"/>
                <w:sz w:val="18"/>
                <w:szCs w:val="18"/>
              </w:rPr>
              <w:t xml:space="preserve"> </w:t>
            </w:r>
          </w:p>
          <w:p w14:paraId="54D3CDE5" w14:textId="4EDCC415" w:rsidR="003F0524" w:rsidRPr="00D4619D" w:rsidRDefault="003F0524">
            <w:pPr>
              <w:pStyle w:val="Table"/>
              <w:spacing w:before="100" w:after="100"/>
              <w:rPr>
                <w:color w:val="090D46" w:themeColor="text1"/>
                <w:sz w:val="18"/>
                <w:szCs w:val="18"/>
              </w:rPr>
            </w:pPr>
            <w:r w:rsidRPr="00D4619D">
              <w:rPr>
                <w:color w:val="090D46" w:themeColor="text1"/>
                <w:sz w:val="18"/>
                <w:szCs w:val="18"/>
              </w:rPr>
              <w:t xml:space="preserve">Note that subsequent distributions by a trust that has made an IEE of income to entities outside the </w:t>
            </w:r>
            <w:r w:rsidR="001021BB">
              <w:rPr>
                <w:color w:val="090D46" w:themeColor="text1"/>
                <w:sz w:val="18"/>
                <w:szCs w:val="18"/>
              </w:rPr>
              <w:t xml:space="preserve">same </w:t>
            </w:r>
            <w:r w:rsidRPr="00D4619D">
              <w:rPr>
                <w:color w:val="090D46" w:themeColor="text1"/>
                <w:sz w:val="18"/>
                <w:szCs w:val="18"/>
              </w:rPr>
              <w:t>family group may also attract FTDT.</w:t>
            </w:r>
          </w:p>
        </w:tc>
        <w:tc>
          <w:tcPr>
            <w:tcW w:w="424" w:type="pct"/>
          </w:tcPr>
          <w:p w14:paraId="5C8E9C63" w14:textId="77777777" w:rsidR="003F0524" w:rsidRDefault="003F0524">
            <w:pPr>
              <w:pStyle w:val="Tableheading"/>
              <w:spacing w:before="100" w:after="100"/>
              <w:rPr>
                <w:b w:val="0"/>
                <w:color w:val="FFFFFF"/>
                <w:sz w:val="18"/>
                <w:szCs w:val="18"/>
              </w:rPr>
            </w:pPr>
          </w:p>
        </w:tc>
        <w:tc>
          <w:tcPr>
            <w:tcW w:w="342" w:type="pct"/>
          </w:tcPr>
          <w:p w14:paraId="661265C4" w14:textId="77777777" w:rsidR="003F0524" w:rsidRDefault="003F0524">
            <w:pPr>
              <w:pStyle w:val="Tableheading"/>
              <w:spacing w:before="100" w:after="100"/>
              <w:rPr>
                <w:b w:val="0"/>
                <w:color w:val="FFFFFF"/>
                <w:sz w:val="18"/>
                <w:szCs w:val="18"/>
              </w:rPr>
            </w:pPr>
          </w:p>
        </w:tc>
        <w:tc>
          <w:tcPr>
            <w:tcW w:w="334" w:type="pct"/>
          </w:tcPr>
          <w:p w14:paraId="6AD70E4E" w14:textId="77777777" w:rsidR="003F0524" w:rsidRDefault="003F0524">
            <w:pPr>
              <w:pStyle w:val="Tableheading"/>
              <w:spacing w:before="100" w:after="100"/>
              <w:rPr>
                <w:b w:val="0"/>
                <w:color w:val="FFFFFF"/>
                <w:sz w:val="18"/>
                <w:szCs w:val="18"/>
              </w:rPr>
            </w:pPr>
          </w:p>
        </w:tc>
      </w:tr>
      <w:tr w:rsidR="003F0524" w14:paraId="30988401"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hideMark/>
          </w:tcPr>
          <w:p w14:paraId="35B1A1BE" w14:textId="6CEF74F3" w:rsidR="003F0524" w:rsidRPr="00D4619D" w:rsidRDefault="003F0524">
            <w:pPr>
              <w:pStyle w:val="Table"/>
              <w:spacing w:before="100" w:after="100"/>
              <w:rPr>
                <w:color w:val="090D46" w:themeColor="text1"/>
                <w:sz w:val="18"/>
                <w:szCs w:val="18"/>
              </w:rPr>
            </w:pPr>
            <w:r w:rsidRPr="00D4619D">
              <w:rPr>
                <w:color w:val="090D46" w:themeColor="text1"/>
                <w:sz w:val="18"/>
                <w:szCs w:val="18"/>
              </w:rPr>
              <w:t xml:space="preserve">If a FTE has not yet been made, should the trust make a FTE in order to </w:t>
            </w:r>
            <w:r w:rsidR="00C97CA4">
              <w:rPr>
                <w:color w:val="090D46" w:themeColor="text1"/>
                <w:sz w:val="18"/>
                <w:szCs w:val="18"/>
              </w:rPr>
              <w:t xml:space="preserve">ensure </w:t>
            </w:r>
            <w:r w:rsidRPr="00D4619D">
              <w:rPr>
                <w:color w:val="090D46" w:themeColor="text1"/>
                <w:sz w:val="18"/>
                <w:szCs w:val="18"/>
              </w:rPr>
              <w:t>tax losses</w:t>
            </w:r>
            <w:r w:rsidR="00C97CA4">
              <w:rPr>
                <w:color w:val="090D46" w:themeColor="text1"/>
                <w:sz w:val="18"/>
                <w:szCs w:val="18"/>
              </w:rPr>
              <w:t xml:space="preserve"> are claimable</w:t>
            </w:r>
            <w:r w:rsidRPr="00D4619D">
              <w:rPr>
                <w:color w:val="090D46" w:themeColor="text1"/>
                <w:sz w:val="18"/>
                <w:szCs w:val="18"/>
              </w:rPr>
              <w:t xml:space="preserve">, pass on franking credits, satisfy the continuity of ownership test in respect of a subsidiary company’s tax losses or to be excluded from the trustee beneficiary reporting rules? </w:t>
            </w:r>
          </w:p>
          <w:p w14:paraId="7A96C7B1" w14:textId="77777777" w:rsidR="003F0524" w:rsidRPr="00D4619D" w:rsidRDefault="003F0524">
            <w:pPr>
              <w:pStyle w:val="Table"/>
              <w:spacing w:before="100" w:after="100"/>
              <w:rPr>
                <w:rFonts w:eastAsia="Times New Roman" w:cs="Arial"/>
                <w:color w:val="090D46" w:themeColor="text1"/>
                <w:sz w:val="18"/>
                <w:szCs w:val="18"/>
                <w:lang w:eastAsia="en-AU"/>
              </w:rPr>
            </w:pPr>
            <w:r w:rsidRPr="00D4619D">
              <w:rPr>
                <w:rFonts w:eastAsia="Times New Roman" w:cs="Arial"/>
                <w:color w:val="090D46" w:themeColor="text1"/>
                <w:sz w:val="18"/>
                <w:szCs w:val="18"/>
                <w:lang w:eastAsia="en-AU"/>
              </w:rPr>
              <w:t xml:space="preserve">The trust loss measures in Schedule 2F </w:t>
            </w:r>
            <w:r w:rsidRPr="00D4619D">
              <w:rPr>
                <w:color w:val="090D46" w:themeColor="text1"/>
                <w:sz w:val="18"/>
                <w:szCs w:val="18"/>
              </w:rPr>
              <w:t xml:space="preserve">of the </w:t>
            </w:r>
            <w:r w:rsidRPr="00D4619D">
              <w:rPr>
                <w:i/>
                <w:color w:val="090D46" w:themeColor="text1"/>
                <w:sz w:val="18"/>
                <w:szCs w:val="18"/>
              </w:rPr>
              <w:t xml:space="preserve">ITAA 1936 </w:t>
            </w:r>
            <w:r w:rsidRPr="00D4619D">
              <w:rPr>
                <w:rFonts w:eastAsia="Times New Roman" w:cs="Arial"/>
                <w:color w:val="090D46" w:themeColor="text1"/>
                <w:sz w:val="18"/>
                <w:szCs w:val="18"/>
                <w:lang w:eastAsia="en-AU"/>
              </w:rPr>
              <w:t>do not apply to the carrying forward of capital losses.</w:t>
            </w:r>
          </w:p>
          <w:p w14:paraId="0577D10F" w14:textId="396682CB" w:rsidR="003F0524" w:rsidRPr="00D4619D" w:rsidRDefault="003F0524">
            <w:pPr>
              <w:pStyle w:val="Table"/>
              <w:spacing w:before="100" w:after="100"/>
              <w:rPr>
                <w:bCs/>
                <w:color w:val="090D46" w:themeColor="text1"/>
                <w:sz w:val="18"/>
                <w:szCs w:val="18"/>
              </w:rPr>
            </w:pPr>
            <w:r w:rsidRPr="00D4619D">
              <w:rPr>
                <w:rFonts w:eastAsia="Times New Roman"/>
                <w:bCs/>
                <w:color w:val="090D46" w:themeColor="text1"/>
                <w:sz w:val="18"/>
                <w:szCs w:val="18"/>
                <w:lang w:eastAsia="en-AU"/>
              </w:rPr>
              <w:t xml:space="preserve">A FTE may also be required to be made where one or both of the parties seeking to apply the CGT small business restructure rollover relief under Subdivision 328-G </w:t>
            </w:r>
            <w:r w:rsidRPr="00D4619D">
              <w:rPr>
                <w:bCs/>
                <w:color w:val="090D46" w:themeColor="text1"/>
                <w:sz w:val="18"/>
                <w:szCs w:val="18"/>
              </w:rPr>
              <w:t xml:space="preserve">of the </w:t>
            </w:r>
            <w:r w:rsidRPr="00D4619D">
              <w:rPr>
                <w:bCs/>
                <w:i/>
                <w:color w:val="090D46" w:themeColor="text1"/>
                <w:sz w:val="18"/>
                <w:szCs w:val="18"/>
              </w:rPr>
              <w:t xml:space="preserve">ITAA 1997 </w:t>
            </w:r>
            <w:r w:rsidRPr="00D4619D">
              <w:rPr>
                <w:rFonts w:eastAsia="Times New Roman"/>
                <w:bCs/>
                <w:color w:val="090D46" w:themeColor="text1"/>
                <w:sz w:val="18"/>
                <w:szCs w:val="18"/>
                <w:lang w:eastAsia="en-AU"/>
              </w:rPr>
              <w:t xml:space="preserve">is a non-fixed trust.   </w:t>
            </w:r>
          </w:p>
        </w:tc>
        <w:tc>
          <w:tcPr>
            <w:tcW w:w="424" w:type="pct"/>
          </w:tcPr>
          <w:p w14:paraId="609BD462" w14:textId="77777777" w:rsidR="003F0524" w:rsidRDefault="003F0524">
            <w:pPr>
              <w:pStyle w:val="Tableheading"/>
              <w:spacing w:before="100" w:after="100"/>
              <w:rPr>
                <w:b w:val="0"/>
                <w:color w:val="FFFFFF"/>
                <w:sz w:val="18"/>
                <w:szCs w:val="18"/>
              </w:rPr>
            </w:pPr>
          </w:p>
        </w:tc>
        <w:tc>
          <w:tcPr>
            <w:tcW w:w="342" w:type="pct"/>
          </w:tcPr>
          <w:p w14:paraId="552FACAF" w14:textId="77777777" w:rsidR="003F0524" w:rsidRDefault="003F0524">
            <w:pPr>
              <w:pStyle w:val="Tableheading"/>
              <w:spacing w:before="100" w:after="100"/>
              <w:rPr>
                <w:b w:val="0"/>
                <w:color w:val="FFFFFF"/>
                <w:sz w:val="18"/>
                <w:szCs w:val="18"/>
              </w:rPr>
            </w:pPr>
          </w:p>
        </w:tc>
        <w:tc>
          <w:tcPr>
            <w:tcW w:w="334" w:type="pct"/>
          </w:tcPr>
          <w:p w14:paraId="2100A3CC" w14:textId="77777777" w:rsidR="003F0524" w:rsidRDefault="003F0524">
            <w:pPr>
              <w:pStyle w:val="Tableheading"/>
              <w:spacing w:before="100" w:after="100"/>
              <w:rPr>
                <w:b w:val="0"/>
                <w:color w:val="FFFFFF"/>
                <w:sz w:val="18"/>
                <w:szCs w:val="18"/>
              </w:rPr>
            </w:pPr>
          </w:p>
        </w:tc>
      </w:tr>
      <w:tr w:rsidR="003F0524" w14:paraId="18AE0FD3" w14:textId="77777777" w:rsidTr="002D3EC6">
        <w:trPr>
          <w:trHeight w:val="552"/>
        </w:trPr>
        <w:tc>
          <w:tcPr>
            <w:tcW w:w="5000" w:type="pct"/>
            <w:gridSpan w:val="4"/>
            <w:hideMark/>
          </w:tcPr>
          <w:p w14:paraId="3F8C1693" w14:textId="1EB6ED1B" w:rsidR="003F0524" w:rsidRDefault="003F0524">
            <w:pPr>
              <w:pStyle w:val="Tableheading"/>
              <w:spacing w:before="100" w:after="100"/>
              <w:rPr>
                <w:bCs/>
                <w:color w:val="090D46" w:themeColor="text1"/>
                <w:sz w:val="18"/>
                <w:szCs w:val="18"/>
              </w:rPr>
            </w:pPr>
            <w:r w:rsidRPr="00D4619D">
              <w:rPr>
                <w:bCs/>
                <w:color w:val="090D46" w:themeColor="text1"/>
                <w:sz w:val="18"/>
                <w:szCs w:val="18"/>
              </w:rPr>
              <w:t>Comments:</w:t>
            </w:r>
          </w:p>
          <w:p w14:paraId="6AB2F5CE" w14:textId="17A79A38" w:rsidR="00E54AE7" w:rsidRDefault="00E54AE7">
            <w:pPr>
              <w:pStyle w:val="Tableheading"/>
              <w:spacing w:before="100" w:after="100"/>
              <w:rPr>
                <w:bCs/>
                <w:color w:val="090D46" w:themeColor="text1"/>
                <w:sz w:val="18"/>
                <w:szCs w:val="18"/>
              </w:rPr>
            </w:pPr>
          </w:p>
          <w:p w14:paraId="13D4118A" w14:textId="620F861F" w:rsidR="00E54AE7" w:rsidRDefault="00E54AE7">
            <w:pPr>
              <w:pStyle w:val="Tableheading"/>
              <w:spacing w:before="100" w:after="100"/>
              <w:rPr>
                <w:bCs/>
                <w:color w:val="090D46" w:themeColor="text1"/>
                <w:sz w:val="18"/>
                <w:szCs w:val="18"/>
              </w:rPr>
            </w:pPr>
          </w:p>
          <w:p w14:paraId="08993DE3" w14:textId="77777777" w:rsidR="00E54AE7" w:rsidRDefault="00E54AE7">
            <w:pPr>
              <w:pStyle w:val="Tableheading"/>
              <w:spacing w:before="100" w:after="100"/>
              <w:rPr>
                <w:bCs/>
                <w:color w:val="090D46" w:themeColor="text1"/>
                <w:sz w:val="18"/>
                <w:szCs w:val="18"/>
              </w:rPr>
            </w:pPr>
          </w:p>
          <w:p w14:paraId="660CEB5C" w14:textId="3959A7EE" w:rsidR="00E54AE7" w:rsidRPr="00D4619D" w:rsidRDefault="00E54AE7">
            <w:pPr>
              <w:pStyle w:val="Tableheading"/>
              <w:spacing w:before="100" w:after="100"/>
              <w:rPr>
                <w:bCs/>
                <w:color w:val="090D46" w:themeColor="text1"/>
                <w:sz w:val="18"/>
                <w:szCs w:val="18"/>
              </w:rPr>
            </w:pPr>
          </w:p>
        </w:tc>
      </w:tr>
      <w:tr w:rsidR="003F0524" w14:paraId="24E5A8B1" w14:textId="77777777" w:rsidTr="0048080D">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68A1DE9A" w14:textId="77777777" w:rsidR="003F0524" w:rsidRPr="0048080D" w:rsidRDefault="003F0524">
            <w:pPr>
              <w:pStyle w:val="Tableheading"/>
              <w:spacing w:before="100" w:after="100"/>
              <w:rPr>
                <w:bCs/>
                <w:color w:val="FFFFFF" w:themeColor="background1"/>
                <w:sz w:val="18"/>
                <w:szCs w:val="18"/>
              </w:rPr>
            </w:pPr>
            <w:r w:rsidRPr="0048080D">
              <w:rPr>
                <w:bCs/>
                <w:color w:val="FFFFFF" w:themeColor="background1"/>
                <w:sz w:val="18"/>
                <w:szCs w:val="18"/>
              </w:rPr>
              <w:t>MANAGED INVESTMENT TRUST – CAPITAL ACCOUNT ELECTION (FRONT COVER)</w:t>
            </w:r>
          </w:p>
        </w:tc>
      </w:tr>
      <w:tr w:rsidR="003F0524" w14:paraId="1CF5C972" w14:textId="77777777" w:rsidTr="00E54AE7">
        <w:tc>
          <w:tcPr>
            <w:tcW w:w="3900" w:type="pct"/>
            <w:hideMark/>
          </w:tcPr>
          <w:p w14:paraId="1985539D" w14:textId="77777777" w:rsidR="003F0524" w:rsidRPr="00D4619D" w:rsidRDefault="003F0524">
            <w:pPr>
              <w:pStyle w:val="Table"/>
              <w:keepNext/>
              <w:spacing w:before="100" w:after="100"/>
              <w:rPr>
                <w:color w:val="090D46" w:themeColor="text1"/>
                <w:sz w:val="18"/>
                <w:szCs w:val="18"/>
              </w:rPr>
            </w:pPr>
            <w:r w:rsidRPr="00D4619D">
              <w:rPr>
                <w:color w:val="090D46" w:themeColor="text1"/>
                <w:sz w:val="18"/>
                <w:szCs w:val="18"/>
              </w:rPr>
              <w:t xml:space="preserve">Is the trust a managed investment trust pursuant to Division 275 of the </w:t>
            </w:r>
            <w:r w:rsidRPr="00D4619D">
              <w:rPr>
                <w:i/>
                <w:color w:val="090D46" w:themeColor="text1"/>
                <w:sz w:val="18"/>
                <w:szCs w:val="18"/>
              </w:rPr>
              <w:t>ITAA 1997</w:t>
            </w:r>
            <w:r w:rsidRPr="00D4619D">
              <w:rPr>
                <w:color w:val="090D46" w:themeColor="text1"/>
                <w:sz w:val="18"/>
                <w:szCs w:val="18"/>
              </w:rPr>
              <w:t xml:space="preserve">? </w:t>
            </w:r>
          </w:p>
          <w:p w14:paraId="2AE56230" w14:textId="77777777" w:rsidR="003F0524" w:rsidRPr="00D4619D" w:rsidRDefault="003F0524">
            <w:pPr>
              <w:pStyle w:val="Table"/>
              <w:spacing w:before="100" w:after="100"/>
              <w:rPr>
                <w:color w:val="090D46" w:themeColor="text1"/>
                <w:sz w:val="18"/>
                <w:szCs w:val="18"/>
              </w:rPr>
            </w:pPr>
            <w:r w:rsidRPr="00D4619D">
              <w:rPr>
                <w:color w:val="090D46" w:themeColor="text1"/>
                <w:sz w:val="18"/>
                <w:szCs w:val="18"/>
              </w:rPr>
              <w:t xml:space="preserve">Has the trust made an election to have its eligible assets (e.g. shares, units and real property) treated exclusively on capital account? </w:t>
            </w:r>
          </w:p>
          <w:p w14:paraId="3CF48F19" w14:textId="77777777" w:rsidR="003F0524" w:rsidRPr="00D4619D" w:rsidRDefault="003F0524">
            <w:pPr>
              <w:pStyle w:val="Table"/>
              <w:spacing w:before="100" w:after="100"/>
              <w:rPr>
                <w:color w:val="090D46" w:themeColor="text1"/>
                <w:sz w:val="18"/>
                <w:szCs w:val="18"/>
              </w:rPr>
            </w:pPr>
            <w:r w:rsidRPr="00D4619D">
              <w:rPr>
                <w:color w:val="090D46" w:themeColor="text1"/>
                <w:sz w:val="18"/>
                <w:szCs w:val="18"/>
              </w:rPr>
              <w:t>Managed investment trusts that have made the irrevocable election to have their eligible assets on capital account will have the CGT provisions apply to disposals of eligible assets exclusively.</w:t>
            </w:r>
          </w:p>
        </w:tc>
        <w:tc>
          <w:tcPr>
            <w:tcW w:w="424" w:type="pct"/>
          </w:tcPr>
          <w:p w14:paraId="0D228CC0" w14:textId="77777777" w:rsidR="003F0524" w:rsidRDefault="003F0524">
            <w:pPr>
              <w:pStyle w:val="Table"/>
              <w:spacing w:before="100" w:after="100"/>
              <w:rPr>
                <w:sz w:val="18"/>
                <w:szCs w:val="18"/>
              </w:rPr>
            </w:pPr>
          </w:p>
        </w:tc>
        <w:tc>
          <w:tcPr>
            <w:tcW w:w="342" w:type="pct"/>
          </w:tcPr>
          <w:p w14:paraId="017E4CFD" w14:textId="77777777" w:rsidR="003F0524" w:rsidRDefault="003F0524">
            <w:pPr>
              <w:pStyle w:val="Table"/>
              <w:spacing w:before="100" w:after="100"/>
              <w:rPr>
                <w:sz w:val="18"/>
                <w:szCs w:val="18"/>
              </w:rPr>
            </w:pPr>
          </w:p>
        </w:tc>
        <w:tc>
          <w:tcPr>
            <w:tcW w:w="334" w:type="pct"/>
          </w:tcPr>
          <w:p w14:paraId="655C31F7" w14:textId="77777777" w:rsidR="003F0524" w:rsidRDefault="003F0524">
            <w:pPr>
              <w:pStyle w:val="Table"/>
              <w:spacing w:before="100" w:after="100"/>
              <w:rPr>
                <w:sz w:val="18"/>
                <w:szCs w:val="18"/>
              </w:rPr>
            </w:pPr>
          </w:p>
        </w:tc>
      </w:tr>
      <w:tr w:rsidR="003F0524" w14:paraId="099D7AAD" w14:textId="77777777" w:rsidTr="002D3EC6">
        <w:trPr>
          <w:cnfStyle w:val="000000100000" w:firstRow="0" w:lastRow="0" w:firstColumn="0" w:lastColumn="0" w:oddVBand="0" w:evenVBand="0" w:oddHBand="1" w:evenHBand="0" w:firstRowFirstColumn="0" w:firstRowLastColumn="0" w:lastRowFirstColumn="0" w:lastRowLastColumn="0"/>
          <w:trHeight w:val="530"/>
        </w:trPr>
        <w:tc>
          <w:tcPr>
            <w:tcW w:w="5000" w:type="pct"/>
            <w:gridSpan w:val="4"/>
            <w:hideMark/>
          </w:tcPr>
          <w:p w14:paraId="2EB9494A" w14:textId="4169348E" w:rsidR="00D4619D" w:rsidRDefault="003F0524">
            <w:pPr>
              <w:pStyle w:val="Tableheading"/>
              <w:spacing w:before="100" w:after="100"/>
              <w:rPr>
                <w:bCs/>
                <w:color w:val="090D46" w:themeColor="text1"/>
                <w:sz w:val="18"/>
                <w:szCs w:val="18"/>
              </w:rPr>
            </w:pPr>
            <w:r w:rsidRPr="00D4619D">
              <w:rPr>
                <w:bCs/>
                <w:color w:val="090D46" w:themeColor="text1"/>
                <w:sz w:val="18"/>
                <w:szCs w:val="18"/>
              </w:rPr>
              <w:t>Comments:</w:t>
            </w:r>
          </w:p>
          <w:p w14:paraId="7C11F563" w14:textId="77777777" w:rsidR="00E54AE7" w:rsidRDefault="00E54AE7">
            <w:pPr>
              <w:pStyle w:val="Tableheading"/>
              <w:spacing w:before="100" w:after="100"/>
              <w:rPr>
                <w:bCs/>
                <w:color w:val="090D46" w:themeColor="text1"/>
                <w:sz w:val="18"/>
                <w:szCs w:val="18"/>
              </w:rPr>
            </w:pPr>
          </w:p>
          <w:p w14:paraId="1531B10B" w14:textId="4115AF8E" w:rsidR="00AE1BC5" w:rsidRDefault="00AE1BC5">
            <w:pPr>
              <w:pStyle w:val="Tableheading"/>
              <w:spacing w:before="100" w:after="100"/>
              <w:rPr>
                <w:bCs/>
                <w:color w:val="090D46" w:themeColor="text1"/>
                <w:sz w:val="18"/>
                <w:szCs w:val="18"/>
              </w:rPr>
            </w:pPr>
          </w:p>
          <w:p w14:paraId="77FCA98F" w14:textId="77777777" w:rsidR="00E54AE7" w:rsidRDefault="00E54AE7">
            <w:pPr>
              <w:pStyle w:val="Tableheading"/>
              <w:spacing w:before="100" w:after="100"/>
              <w:rPr>
                <w:bCs/>
                <w:color w:val="090D46" w:themeColor="text1"/>
                <w:sz w:val="18"/>
                <w:szCs w:val="18"/>
              </w:rPr>
            </w:pPr>
          </w:p>
          <w:p w14:paraId="1F8878B3" w14:textId="77777777" w:rsidR="00AE1BC5" w:rsidRDefault="00AE1BC5">
            <w:pPr>
              <w:pStyle w:val="Tableheading"/>
              <w:spacing w:before="100" w:after="100"/>
              <w:rPr>
                <w:bCs/>
                <w:color w:val="090D46" w:themeColor="text1"/>
                <w:sz w:val="18"/>
                <w:szCs w:val="18"/>
              </w:rPr>
            </w:pPr>
          </w:p>
          <w:p w14:paraId="1C3DCAE5" w14:textId="0F7BE838" w:rsidR="00D4619D" w:rsidRPr="00D4619D" w:rsidRDefault="00D4619D">
            <w:pPr>
              <w:pStyle w:val="Tableheading"/>
              <w:spacing w:before="100" w:after="100"/>
              <w:rPr>
                <w:bCs/>
                <w:color w:val="090D46" w:themeColor="text1"/>
                <w:sz w:val="18"/>
                <w:szCs w:val="18"/>
              </w:rPr>
            </w:pPr>
          </w:p>
        </w:tc>
      </w:tr>
      <w:tr w:rsidR="003F0524" w14:paraId="0B3BD8F2" w14:textId="77777777" w:rsidTr="0048080D">
        <w:tc>
          <w:tcPr>
            <w:tcW w:w="5000" w:type="pct"/>
            <w:gridSpan w:val="4"/>
            <w:shd w:val="clear" w:color="auto" w:fill="0A5CC7" w:themeFill="accent3"/>
            <w:hideMark/>
          </w:tcPr>
          <w:p w14:paraId="7977FD42" w14:textId="77777777" w:rsidR="003F0524" w:rsidRPr="0048080D" w:rsidRDefault="003F0524">
            <w:pPr>
              <w:pStyle w:val="Tableheading"/>
              <w:keepNext/>
              <w:spacing w:before="100" w:after="100"/>
              <w:rPr>
                <w:bCs/>
                <w:color w:val="FFFFFF" w:themeColor="background1"/>
                <w:sz w:val="18"/>
                <w:szCs w:val="18"/>
              </w:rPr>
            </w:pPr>
            <w:r w:rsidRPr="0048080D">
              <w:rPr>
                <w:bCs/>
                <w:color w:val="FFFFFF" w:themeColor="background1"/>
                <w:sz w:val="18"/>
                <w:szCs w:val="18"/>
              </w:rPr>
              <w:t>CAPITAL GAINS TAX (CGT) (ITEM 21)</w:t>
            </w:r>
          </w:p>
        </w:tc>
      </w:tr>
      <w:tr w:rsidR="003F0524" w14:paraId="386498C6"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hideMark/>
          </w:tcPr>
          <w:p w14:paraId="11FE7B15" w14:textId="2CB46A9B" w:rsidR="003F0524" w:rsidRPr="00D4619D" w:rsidRDefault="003F0524">
            <w:pPr>
              <w:pStyle w:val="Table"/>
              <w:keepNext/>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t>Have all capital gains arising under the CGT provisions for the 202</w:t>
            </w:r>
            <w:r w:rsidR="00E551F9">
              <w:rPr>
                <w:rFonts w:asciiTheme="minorHAnsi" w:hAnsiTheme="minorHAnsi" w:cstheme="minorHAnsi"/>
                <w:color w:val="090D46" w:themeColor="text1"/>
                <w:sz w:val="18"/>
                <w:szCs w:val="18"/>
              </w:rPr>
              <w:t>3</w:t>
            </w:r>
            <w:r w:rsidRPr="00D4619D">
              <w:rPr>
                <w:rFonts w:asciiTheme="minorHAnsi" w:hAnsiTheme="minorHAnsi" w:cstheme="minorHAnsi"/>
                <w:color w:val="090D46" w:themeColor="text1"/>
                <w:sz w:val="18"/>
                <w:szCs w:val="18"/>
              </w:rPr>
              <w:t xml:space="preserve"> year been correctly identified? Are any of these capital gains exempt?</w:t>
            </w:r>
          </w:p>
        </w:tc>
        <w:tc>
          <w:tcPr>
            <w:tcW w:w="424" w:type="pct"/>
          </w:tcPr>
          <w:p w14:paraId="6AC48CD3" w14:textId="77777777" w:rsidR="003F0524" w:rsidRDefault="003F0524">
            <w:pPr>
              <w:pStyle w:val="Table"/>
              <w:keepNext/>
              <w:spacing w:before="100" w:after="100"/>
              <w:rPr>
                <w:sz w:val="18"/>
                <w:szCs w:val="18"/>
              </w:rPr>
            </w:pPr>
          </w:p>
        </w:tc>
        <w:tc>
          <w:tcPr>
            <w:tcW w:w="342" w:type="pct"/>
          </w:tcPr>
          <w:p w14:paraId="115B5D56" w14:textId="77777777" w:rsidR="003F0524" w:rsidRDefault="003F0524">
            <w:pPr>
              <w:pStyle w:val="Table"/>
              <w:keepNext/>
              <w:spacing w:before="100" w:after="100"/>
              <w:rPr>
                <w:sz w:val="18"/>
                <w:szCs w:val="18"/>
              </w:rPr>
            </w:pPr>
          </w:p>
        </w:tc>
        <w:tc>
          <w:tcPr>
            <w:tcW w:w="334" w:type="pct"/>
          </w:tcPr>
          <w:p w14:paraId="79186842" w14:textId="77777777" w:rsidR="003F0524" w:rsidRDefault="003F0524">
            <w:pPr>
              <w:pStyle w:val="Table"/>
              <w:keepNext/>
              <w:spacing w:before="100" w:after="100"/>
              <w:rPr>
                <w:sz w:val="18"/>
                <w:szCs w:val="18"/>
              </w:rPr>
            </w:pPr>
          </w:p>
        </w:tc>
      </w:tr>
      <w:tr w:rsidR="003F0524" w14:paraId="46931246" w14:textId="77777777" w:rsidTr="00E54AE7">
        <w:tc>
          <w:tcPr>
            <w:tcW w:w="3900" w:type="pct"/>
            <w:hideMark/>
          </w:tcPr>
          <w:p w14:paraId="6CB2A6CA" w14:textId="206A9361" w:rsidR="003F0524" w:rsidRPr="00D4619D" w:rsidRDefault="003F0524" w:rsidP="009E6C2F">
            <w:pPr>
              <w:pStyle w:val="Table"/>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t>Did the trust apply any CGT rollover relief in respect of disposals of CGT assets during the 202</w:t>
            </w:r>
            <w:r w:rsidR="00E551F9">
              <w:rPr>
                <w:rFonts w:asciiTheme="minorHAnsi" w:hAnsiTheme="minorHAnsi" w:cstheme="minorHAnsi"/>
                <w:color w:val="090D46" w:themeColor="text1"/>
                <w:sz w:val="18"/>
                <w:szCs w:val="18"/>
              </w:rPr>
              <w:t>3</w:t>
            </w:r>
            <w:r w:rsidRPr="00D4619D">
              <w:rPr>
                <w:rFonts w:asciiTheme="minorHAnsi" w:hAnsiTheme="minorHAnsi" w:cstheme="minorHAnsi"/>
                <w:color w:val="090D46" w:themeColor="text1"/>
                <w:sz w:val="18"/>
                <w:szCs w:val="18"/>
              </w:rPr>
              <w:t xml:space="preserve"> year? </w:t>
            </w:r>
          </w:p>
          <w:p w14:paraId="1CB58D5E" w14:textId="33A4A643" w:rsidR="003F0524" w:rsidRPr="00D4619D" w:rsidRDefault="003F0524" w:rsidP="009E6C2F">
            <w:pPr>
              <w:pStyle w:val="Table"/>
              <w:keepNext/>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t xml:space="preserve">A trust which is an SBE may apply small business CGT restructure rollover relief where the eligibility conditions set out in Subdivision 328-G of the </w:t>
            </w:r>
            <w:r w:rsidRPr="00D4619D">
              <w:rPr>
                <w:rFonts w:asciiTheme="minorHAnsi" w:hAnsiTheme="minorHAnsi" w:cstheme="minorHAnsi"/>
                <w:i/>
                <w:color w:val="090D46" w:themeColor="text1"/>
                <w:sz w:val="18"/>
                <w:szCs w:val="18"/>
              </w:rPr>
              <w:t>ITAA 1997</w:t>
            </w:r>
            <w:r w:rsidRPr="00D4619D">
              <w:rPr>
                <w:rFonts w:asciiTheme="minorHAnsi" w:hAnsiTheme="minorHAnsi" w:cstheme="minorHAnsi"/>
                <w:color w:val="090D46" w:themeColor="text1"/>
                <w:sz w:val="18"/>
                <w:szCs w:val="18"/>
              </w:rPr>
              <w:t xml:space="preserve"> have been satisfied. A trust will be an SBE for the purposes of Subdivision 328-G the 202</w:t>
            </w:r>
            <w:r w:rsidR="00F22B8B">
              <w:rPr>
                <w:rFonts w:asciiTheme="minorHAnsi" w:hAnsiTheme="minorHAnsi" w:cstheme="minorHAnsi"/>
                <w:color w:val="090D46" w:themeColor="text1"/>
                <w:sz w:val="18"/>
                <w:szCs w:val="18"/>
              </w:rPr>
              <w:t>3</w:t>
            </w:r>
            <w:r w:rsidRPr="00D4619D">
              <w:rPr>
                <w:rFonts w:asciiTheme="minorHAnsi" w:hAnsiTheme="minorHAnsi" w:cstheme="minorHAnsi"/>
                <w:color w:val="090D46" w:themeColor="text1"/>
                <w:sz w:val="18"/>
                <w:szCs w:val="18"/>
              </w:rPr>
              <w:t xml:space="preserve"> year where it carries on business and its aggregated turnover is less than $10 million.</w:t>
            </w:r>
          </w:p>
        </w:tc>
        <w:tc>
          <w:tcPr>
            <w:tcW w:w="424" w:type="pct"/>
          </w:tcPr>
          <w:p w14:paraId="7BFD1DE5" w14:textId="77777777" w:rsidR="003F0524" w:rsidRDefault="003F0524" w:rsidP="009E6C2F">
            <w:pPr>
              <w:pStyle w:val="Table"/>
              <w:keepNext/>
              <w:spacing w:before="100" w:after="100"/>
              <w:rPr>
                <w:sz w:val="18"/>
                <w:szCs w:val="18"/>
              </w:rPr>
            </w:pPr>
          </w:p>
        </w:tc>
        <w:tc>
          <w:tcPr>
            <w:tcW w:w="342" w:type="pct"/>
          </w:tcPr>
          <w:p w14:paraId="3870D6B9" w14:textId="77777777" w:rsidR="003F0524" w:rsidRDefault="003F0524" w:rsidP="009E6C2F">
            <w:pPr>
              <w:pStyle w:val="Table"/>
              <w:keepNext/>
              <w:spacing w:before="100" w:after="100"/>
              <w:rPr>
                <w:sz w:val="18"/>
                <w:szCs w:val="18"/>
              </w:rPr>
            </w:pPr>
          </w:p>
        </w:tc>
        <w:tc>
          <w:tcPr>
            <w:tcW w:w="334" w:type="pct"/>
          </w:tcPr>
          <w:p w14:paraId="5BEA4CD9" w14:textId="77777777" w:rsidR="003F0524" w:rsidRDefault="003F0524" w:rsidP="009E6C2F">
            <w:pPr>
              <w:pStyle w:val="Table"/>
              <w:keepNext/>
              <w:spacing w:before="100" w:after="100"/>
              <w:rPr>
                <w:sz w:val="18"/>
                <w:szCs w:val="18"/>
              </w:rPr>
            </w:pPr>
          </w:p>
        </w:tc>
      </w:tr>
      <w:tr w:rsidR="00FE690E" w14:paraId="17BCDDB8"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tcPr>
          <w:p w14:paraId="47B40FC8" w14:textId="4E8B30C1" w:rsidR="00FE690E" w:rsidRPr="00D4619D" w:rsidRDefault="00FE690E" w:rsidP="009E6C2F">
            <w:pPr>
              <w:pStyle w:val="Table"/>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t>Have all elements of the cost base of a CGT asset be</w:t>
            </w:r>
            <w:r w:rsidR="00E67E8A">
              <w:rPr>
                <w:rFonts w:asciiTheme="minorHAnsi" w:hAnsiTheme="minorHAnsi" w:cstheme="minorHAnsi"/>
                <w:color w:val="090D46" w:themeColor="text1"/>
                <w:sz w:val="18"/>
                <w:szCs w:val="18"/>
              </w:rPr>
              <w:t>en</w:t>
            </w:r>
            <w:r w:rsidRPr="00D4619D">
              <w:rPr>
                <w:rFonts w:asciiTheme="minorHAnsi" w:hAnsiTheme="minorHAnsi" w:cstheme="minorHAnsi"/>
                <w:color w:val="090D46" w:themeColor="text1"/>
                <w:sz w:val="18"/>
                <w:szCs w:val="18"/>
              </w:rPr>
              <w:t xml:space="preserve"> considered for a CGT event occurring in relation to that CGT asset for the year ended 30 June 202</w:t>
            </w:r>
            <w:r w:rsidR="00B8156D">
              <w:rPr>
                <w:rFonts w:asciiTheme="minorHAnsi" w:hAnsiTheme="minorHAnsi" w:cstheme="minorHAnsi"/>
                <w:color w:val="090D46" w:themeColor="text1"/>
                <w:sz w:val="18"/>
                <w:szCs w:val="18"/>
              </w:rPr>
              <w:t>3</w:t>
            </w:r>
            <w:r w:rsidRPr="00D4619D">
              <w:rPr>
                <w:rFonts w:asciiTheme="minorHAnsi" w:hAnsiTheme="minorHAnsi" w:cstheme="minorHAnsi"/>
                <w:color w:val="090D46" w:themeColor="text1"/>
                <w:sz w:val="18"/>
                <w:szCs w:val="18"/>
              </w:rPr>
              <w:t>? In particular, have all eligible incidental costs on acquisition and disposal be considered as well as any capital improvements in the cost base of the asset? Do the market valuation substitution rule, or any other cost base modifications apply?</w:t>
            </w:r>
          </w:p>
        </w:tc>
        <w:tc>
          <w:tcPr>
            <w:tcW w:w="424" w:type="pct"/>
          </w:tcPr>
          <w:p w14:paraId="61CE56BA" w14:textId="77777777" w:rsidR="00FE690E" w:rsidRDefault="00FE690E" w:rsidP="009E6C2F">
            <w:pPr>
              <w:pStyle w:val="Table"/>
              <w:keepNext/>
              <w:spacing w:before="100" w:after="100"/>
              <w:rPr>
                <w:sz w:val="18"/>
                <w:szCs w:val="18"/>
              </w:rPr>
            </w:pPr>
          </w:p>
        </w:tc>
        <w:tc>
          <w:tcPr>
            <w:tcW w:w="342" w:type="pct"/>
          </w:tcPr>
          <w:p w14:paraId="43E20D10" w14:textId="77777777" w:rsidR="00FE690E" w:rsidRDefault="00FE690E" w:rsidP="009E6C2F">
            <w:pPr>
              <w:pStyle w:val="Table"/>
              <w:keepNext/>
              <w:spacing w:before="100" w:after="100"/>
              <w:rPr>
                <w:sz w:val="18"/>
                <w:szCs w:val="18"/>
              </w:rPr>
            </w:pPr>
          </w:p>
        </w:tc>
        <w:tc>
          <w:tcPr>
            <w:tcW w:w="334" w:type="pct"/>
          </w:tcPr>
          <w:p w14:paraId="521C0371" w14:textId="77777777" w:rsidR="00FE690E" w:rsidRDefault="00FE690E" w:rsidP="009E6C2F">
            <w:pPr>
              <w:pStyle w:val="Table"/>
              <w:keepNext/>
              <w:spacing w:before="100" w:after="100"/>
              <w:rPr>
                <w:sz w:val="18"/>
                <w:szCs w:val="18"/>
              </w:rPr>
            </w:pPr>
          </w:p>
        </w:tc>
      </w:tr>
      <w:tr w:rsidR="00FE690E" w14:paraId="2749B531" w14:textId="77777777" w:rsidTr="00E54AE7">
        <w:tc>
          <w:tcPr>
            <w:tcW w:w="3900" w:type="pct"/>
          </w:tcPr>
          <w:p w14:paraId="1A02F499" w14:textId="3177AB34" w:rsidR="00FE690E" w:rsidRPr="00D4619D" w:rsidRDefault="00FE690E" w:rsidP="009E6C2F">
            <w:pPr>
              <w:pStyle w:val="Table"/>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t>Are the capital proceeds received on the disposal of the CGT asset under the CGT event being correctly determined? Do the market value substitution rule or other modifications to capital proceeds apply?</w:t>
            </w:r>
          </w:p>
        </w:tc>
        <w:tc>
          <w:tcPr>
            <w:tcW w:w="424" w:type="pct"/>
          </w:tcPr>
          <w:p w14:paraId="7E6E540A" w14:textId="77777777" w:rsidR="00FE690E" w:rsidRDefault="00FE690E" w:rsidP="009E6C2F">
            <w:pPr>
              <w:pStyle w:val="Table"/>
              <w:keepNext/>
              <w:spacing w:before="100" w:after="100"/>
              <w:rPr>
                <w:sz w:val="18"/>
                <w:szCs w:val="18"/>
              </w:rPr>
            </w:pPr>
          </w:p>
        </w:tc>
        <w:tc>
          <w:tcPr>
            <w:tcW w:w="342" w:type="pct"/>
          </w:tcPr>
          <w:p w14:paraId="699B0841" w14:textId="77777777" w:rsidR="00FE690E" w:rsidRDefault="00FE690E" w:rsidP="009E6C2F">
            <w:pPr>
              <w:pStyle w:val="Table"/>
              <w:keepNext/>
              <w:spacing w:before="100" w:after="100"/>
              <w:rPr>
                <w:sz w:val="18"/>
                <w:szCs w:val="18"/>
              </w:rPr>
            </w:pPr>
          </w:p>
        </w:tc>
        <w:tc>
          <w:tcPr>
            <w:tcW w:w="334" w:type="pct"/>
          </w:tcPr>
          <w:p w14:paraId="7B9892EE" w14:textId="77777777" w:rsidR="00FE690E" w:rsidRDefault="00FE690E" w:rsidP="009E6C2F">
            <w:pPr>
              <w:pStyle w:val="Table"/>
              <w:keepNext/>
              <w:spacing w:before="100" w:after="100"/>
              <w:rPr>
                <w:sz w:val="18"/>
                <w:szCs w:val="18"/>
              </w:rPr>
            </w:pPr>
          </w:p>
        </w:tc>
      </w:tr>
      <w:tr w:rsidR="00FE690E" w14:paraId="620BAE72"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tcPr>
          <w:p w14:paraId="4E36CDCD" w14:textId="6FF8CC50" w:rsidR="00FE690E" w:rsidRPr="00D4619D" w:rsidRDefault="00FE690E" w:rsidP="009E6C2F">
            <w:pPr>
              <w:pStyle w:val="Table"/>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t>Where pre-CGT acquired assets were sold during the 202</w:t>
            </w:r>
            <w:r w:rsidR="00046B12">
              <w:rPr>
                <w:rFonts w:asciiTheme="minorHAnsi" w:hAnsiTheme="minorHAnsi" w:cstheme="minorHAnsi"/>
                <w:color w:val="090D46" w:themeColor="text1"/>
                <w:sz w:val="18"/>
                <w:szCs w:val="18"/>
              </w:rPr>
              <w:t>3</w:t>
            </w:r>
            <w:r w:rsidRPr="00D4619D">
              <w:rPr>
                <w:rFonts w:asciiTheme="minorHAnsi" w:hAnsiTheme="minorHAnsi" w:cstheme="minorHAnsi"/>
                <w:color w:val="090D46" w:themeColor="text1"/>
                <w:sz w:val="18"/>
                <w:szCs w:val="18"/>
              </w:rPr>
              <w:t xml:space="preserve"> year, were there any sales of related separate post CGT assets (particularly taking into account the 202</w:t>
            </w:r>
            <w:r w:rsidR="00046B12">
              <w:rPr>
                <w:rFonts w:asciiTheme="minorHAnsi" w:hAnsiTheme="minorHAnsi" w:cstheme="minorHAnsi"/>
                <w:color w:val="090D46" w:themeColor="text1"/>
                <w:sz w:val="18"/>
                <w:szCs w:val="18"/>
              </w:rPr>
              <w:t>3</w:t>
            </w:r>
            <w:r w:rsidRPr="00D4619D">
              <w:rPr>
                <w:rFonts w:asciiTheme="minorHAnsi" w:hAnsiTheme="minorHAnsi" w:cstheme="minorHAnsi"/>
                <w:color w:val="090D46" w:themeColor="text1"/>
                <w:sz w:val="18"/>
                <w:szCs w:val="18"/>
              </w:rPr>
              <w:t xml:space="preserve"> CGT improvement threshold of $1</w:t>
            </w:r>
            <w:r w:rsidR="001B2C64">
              <w:rPr>
                <w:rFonts w:asciiTheme="minorHAnsi" w:hAnsiTheme="minorHAnsi" w:cstheme="minorHAnsi"/>
                <w:color w:val="090D46" w:themeColor="text1"/>
                <w:sz w:val="18"/>
                <w:szCs w:val="18"/>
              </w:rPr>
              <w:t>62,899</w:t>
            </w:r>
            <w:r w:rsidRPr="00D4619D">
              <w:rPr>
                <w:rFonts w:asciiTheme="minorHAnsi" w:hAnsiTheme="minorHAnsi" w:cstheme="minorHAnsi"/>
                <w:color w:val="090D46" w:themeColor="text1"/>
                <w:sz w:val="18"/>
                <w:szCs w:val="18"/>
              </w:rPr>
              <w:t>)?</w:t>
            </w:r>
          </w:p>
        </w:tc>
        <w:tc>
          <w:tcPr>
            <w:tcW w:w="424" w:type="pct"/>
          </w:tcPr>
          <w:p w14:paraId="2781FD60" w14:textId="77777777" w:rsidR="00FE690E" w:rsidRDefault="00FE690E" w:rsidP="009E6C2F">
            <w:pPr>
              <w:pStyle w:val="Table"/>
              <w:keepNext/>
              <w:spacing w:before="100" w:after="100"/>
              <w:rPr>
                <w:sz w:val="18"/>
                <w:szCs w:val="18"/>
              </w:rPr>
            </w:pPr>
          </w:p>
        </w:tc>
        <w:tc>
          <w:tcPr>
            <w:tcW w:w="342" w:type="pct"/>
          </w:tcPr>
          <w:p w14:paraId="40E225CA" w14:textId="77777777" w:rsidR="00FE690E" w:rsidRDefault="00FE690E" w:rsidP="009E6C2F">
            <w:pPr>
              <w:pStyle w:val="Table"/>
              <w:keepNext/>
              <w:spacing w:before="100" w:after="100"/>
              <w:rPr>
                <w:sz w:val="18"/>
                <w:szCs w:val="18"/>
              </w:rPr>
            </w:pPr>
          </w:p>
        </w:tc>
        <w:tc>
          <w:tcPr>
            <w:tcW w:w="334" w:type="pct"/>
          </w:tcPr>
          <w:p w14:paraId="3ED08F06" w14:textId="77777777" w:rsidR="00FE690E" w:rsidRDefault="00FE690E" w:rsidP="009E6C2F">
            <w:pPr>
              <w:pStyle w:val="Table"/>
              <w:keepNext/>
              <w:spacing w:before="100" w:after="100"/>
              <w:rPr>
                <w:sz w:val="18"/>
                <w:szCs w:val="18"/>
              </w:rPr>
            </w:pPr>
          </w:p>
        </w:tc>
      </w:tr>
      <w:tr w:rsidR="00FE690E" w14:paraId="68641AE8" w14:textId="77777777" w:rsidTr="00E54AE7">
        <w:tc>
          <w:tcPr>
            <w:tcW w:w="3900" w:type="pct"/>
          </w:tcPr>
          <w:p w14:paraId="07037858" w14:textId="63B67956" w:rsidR="00FE690E" w:rsidRPr="00D4619D" w:rsidRDefault="00FE690E" w:rsidP="00FE690E">
            <w:pPr>
              <w:pStyle w:val="Table"/>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t>Have all capital gains calculations been reviewed for their correctness?</w:t>
            </w:r>
          </w:p>
        </w:tc>
        <w:tc>
          <w:tcPr>
            <w:tcW w:w="424" w:type="pct"/>
          </w:tcPr>
          <w:p w14:paraId="2B2C7DB2" w14:textId="77777777" w:rsidR="00FE690E" w:rsidRDefault="00FE690E" w:rsidP="00FE690E">
            <w:pPr>
              <w:pStyle w:val="Table"/>
              <w:keepNext/>
              <w:spacing w:before="100" w:after="100"/>
              <w:rPr>
                <w:sz w:val="18"/>
                <w:szCs w:val="18"/>
              </w:rPr>
            </w:pPr>
          </w:p>
        </w:tc>
        <w:tc>
          <w:tcPr>
            <w:tcW w:w="342" w:type="pct"/>
          </w:tcPr>
          <w:p w14:paraId="64DED234" w14:textId="77777777" w:rsidR="00FE690E" w:rsidRDefault="00FE690E" w:rsidP="00FE690E">
            <w:pPr>
              <w:pStyle w:val="Table"/>
              <w:keepNext/>
              <w:spacing w:before="100" w:after="100"/>
              <w:rPr>
                <w:sz w:val="18"/>
                <w:szCs w:val="18"/>
              </w:rPr>
            </w:pPr>
          </w:p>
        </w:tc>
        <w:tc>
          <w:tcPr>
            <w:tcW w:w="334" w:type="pct"/>
          </w:tcPr>
          <w:p w14:paraId="53330C1A" w14:textId="77777777" w:rsidR="00FE690E" w:rsidRDefault="00FE690E" w:rsidP="00FE690E">
            <w:pPr>
              <w:pStyle w:val="Table"/>
              <w:keepNext/>
              <w:spacing w:before="100" w:after="100"/>
              <w:rPr>
                <w:sz w:val="18"/>
                <w:szCs w:val="18"/>
              </w:rPr>
            </w:pPr>
          </w:p>
        </w:tc>
      </w:tr>
      <w:tr w:rsidR="00FE690E" w14:paraId="1BA2D266"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tcPr>
          <w:p w14:paraId="4F476779" w14:textId="7ACA1025" w:rsidR="00FE690E" w:rsidRPr="00D4619D" w:rsidRDefault="00FE690E" w:rsidP="00FE690E">
            <w:pPr>
              <w:pStyle w:val="Table"/>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t>Has a book-to-tax reconciliation been performed to reconcile the difference between the accounting and tax capital gains?</w:t>
            </w:r>
          </w:p>
        </w:tc>
        <w:tc>
          <w:tcPr>
            <w:tcW w:w="424" w:type="pct"/>
          </w:tcPr>
          <w:p w14:paraId="0159702B" w14:textId="77777777" w:rsidR="00FE690E" w:rsidRDefault="00FE690E" w:rsidP="00FE690E">
            <w:pPr>
              <w:pStyle w:val="Table"/>
              <w:keepNext/>
              <w:spacing w:before="100" w:after="100"/>
              <w:rPr>
                <w:sz w:val="18"/>
                <w:szCs w:val="18"/>
              </w:rPr>
            </w:pPr>
          </w:p>
        </w:tc>
        <w:tc>
          <w:tcPr>
            <w:tcW w:w="342" w:type="pct"/>
          </w:tcPr>
          <w:p w14:paraId="5F30C19D" w14:textId="77777777" w:rsidR="00FE690E" w:rsidRDefault="00FE690E" w:rsidP="00FE690E">
            <w:pPr>
              <w:pStyle w:val="Table"/>
              <w:keepNext/>
              <w:spacing w:before="100" w:after="100"/>
              <w:rPr>
                <w:sz w:val="18"/>
                <w:szCs w:val="18"/>
              </w:rPr>
            </w:pPr>
          </w:p>
        </w:tc>
        <w:tc>
          <w:tcPr>
            <w:tcW w:w="334" w:type="pct"/>
          </w:tcPr>
          <w:p w14:paraId="6C809361" w14:textId="77777777" w:rsidR="00FE690E" w:rsidRDefault="00FE690E" w:rsidP="00FE690E">
            <w:pPr>
              <w:pStyle w:val="Table"/>
              <w:keepNext/>
              <w:spacing w:before="100" w:after="100"/>
              <w:rPr>
                <w:sz w:val="18"/>
                <w:szCs w:val="18"/>
              </w:rPr>
            </w:pPr>
          </w:p>
        </w:tc>
      </w:tr>
      <w:tr w:rsidR="00FE690E" w14:paraId="4DADEA9F" w14:textId="77777777" w:rsidTr="00E54AE7">
        <w:tc>
          <w:tcPr>
            <w:tcW w:w="3900" w:type="pct"/>
          </w:tcPr>
          <w:p w14:paraId="02F03E78" w14:textId="77777777" w:rsidR="00FE690E" w:rsidRPr="00D4619D" w:rsidRDefault="00FE690E" w:rsidP="00FE690E">
            <w:pPr>
              <w:pStyle w:val="Table"/>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t>Have you considered whether capital gains are eligible for the 50% CGT discount reduction, and how the distribution of any such gains may impact beneficiaries? Can such a capital gain be streamed under the trust deed to specifically entitled beneficiaries?</w:t>
            </w:r>
          </w:p>
          <w:p w14:paraId="6D7A06B4" w14:textId="01A5ECB8" w:rsidR="00FE690E" w:rsidRPr="00D4619D" w:rsidRDefault="00FE690E" w:rsidP="00FE690E">
            <w:pPr>
              <w:pStyle w:val="Table"/>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t xml:space="preserve">Has the application of the rules grossing-up capital gains been considered by the trustee? Where the trust is a discretionary trust, are capital gains being distributed </w:t>
            </w:r>
            <w:r w:rsidR="006A377B">
              <w:rPr>
                <w:rFonts w:asciiTheme="minorHAnsi" w:hAnsiTheme="minorHAnsi" w:cstheme="minorHAnsi"/>
                <w:color w:val="090D46" w:themeColor="text1"/>
                <w:sz w:val="18"/>
                <w:szCs w:val="18"/>
              </w:rPr>
              <w:t>appropriately</w:t>
            </w:r>
            <w:r w:rsidRPr="00D4619D">
              <w:rPr>
                <w:rFonts w:asciiTheme="minorHAnsi" w:hAnsiTheme="minorHAnsi" w:cstheme="minorHAnsi"/>
                <w:color w:val="090D46" w:themeColor="text1"/>
                <w:sz w:val="18"/>
                <w:szCs w:val="18"/>
              </w:rPr>
              <w:t xml:space="preserve"> to specifically entitled beneficiaries? It should be noted that any company beneficiary receiving a discounted gain will not be entitled to claim the CGT discount on any grossed-up amount of the gain which the company receives. </w:t>
            </w:r>
          </w:p>
        </w:tc>
        <w:tc>
          <w:tcPr>
            <w:tcW w:w="424" w:type="pct"/>
          </w:tcPr>
          <w:p w14:paraId="7D6011EF" w14:textId="77777777" w:rsidR="00FE690E" w:rsidRDefault="00FE690E" w:rsidP="00FE690E">
            <w:pPr>
              <w:pStyle w:val="Table"/>
              <w:keepNext/>
              <w:spacing w:before="100" w:after="100"/>
              <w:rPr>
                <w:sz w:val="18"/>
                <w:szCs w:val="18"/>
              </w:rPr>
            </w:pPr>
          </w:p>
        </w:tc>
        <w:tc>
          <w:tcPr>
            <w:tcW w:w="342" w:type="pct"/>
          </w:tcPr>
          <w:p w14:paraId="699D096A" w14:textId="77777777" w:rsidR="00FE690E" w:rsidRDefault="00FE690E" w:rsidP="00FE690E">
            <w:pPr>
              <w:pStyle w:val="Table"/>
              <w:keepNext/>
              <w:spacing w:before="100" w:after="100"/>
              <w:rPr>
                <w:sz w:val="18"/>
                <w:szCs w:val="18"/>
              </w:rPr>
            </w:pPr>
          </w:p>
        </w:tc>
        <w:tc>
          <w:tcPr>
            <w:tcW w:w="334" w:type="pct"/>
          </w:tcPr>
          <w:p w14:paraId="487F10A2" w14:textId="77777777" w:rsidR="00FE690E" w:rsidRDefault="00FE690E" w:rsidP="00FE690E">
            <w:pPr>
              <w:pStyle w:val="Table"/>
              <w:keepNext/>
              <w:spacing w:before="100" w:after="100"/>
              <w:rPr>
                <w:sz w:val="18"/>
                <w:szCs w:val="18"/>
              </w:rPr>
            </w:pPr>
          </w:p>
        </w:tc>
      </w:tr>
      <w:tr w:rsidR="00107585" w14:paraId="103ADF51"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tcPr>
          <w:p w14:paraId="2A74D1FE" w14:textId="77777777" w:rsidR="00107585" w:rsidRPr="00107585" w:rsidRDefault="00107585" w:rsidP="00107585">
            <w:pPr>
              <w:pStyle w:val="Table"/>
              <w:spacing w:before="100" w:after="100"/>
              <w:rPr>
                <w:rFonts w:asciiTheme="minorHAnsi" w:hAnsiTheme="minorHAnsi" w:cstheme="minorHAnsi"/>
                <w:color w:val="090D46" w:themeColor="text1"/>
                <w:sz w:val="18"/>
                <w:szCs w:val="18"/>
              </w:rPr>
            </w:pPr>
            <w:r w:rsidRPr="00107585">
              <w:rPr>
                <w:rFonts w:asciiTheme="minorHAnsi" w:hAnsiTheme="minorHAnsi" w:cstheme="minorHAnsi"/>
                <w:color w:val="090D46" w:themeColor="text1"/>
                <w:sz w:val="18"/>
                <w:szCs w:val="18"/>
              </w:rPr>
              <w:t xml:space="preserve">Have you considered whether capital gains may be able to be reduced / eliminated in accordance with the small business CGT concessions? Have you considered the impact of any distribution of the gain sheltered by those concessions on beneficiaries? </w:t>
            </w:r>
          </w:p>
          <w:p w14:paraId="6242F73E" w14:textId="40B257B4" w:rsidR="00107585" w:rsidRPr="00D4619D" w:rsidRDefault="00107585" w:rsidP="00FE690E">
            <w:pPr>
              <w:pStyle w:val="Table"/>
              <w:spacing w:before="100" w:after="100"/>
              <w:rPr>
                <w:rFonts w:asciiTheme="minorHAnsi" w:hAnsiTheme="minorHAnsi" w:cstheme="minorHAnsi"/>
                <w:color w:val="090D46" w:themeColor="text1"/>
                <w:sz w:val="18"/>
                <w:szCs w:val="18"/>
              </w:rPr>
            </w:pPr>
            <w:r w:rsidRPr="00107585">
              <w:rPr>
                <w:rFonts w:asciiTheme="minorHAnsi" w:hAnsiTheme="minorHAnsi" w:cstheme="minorHAnsi"/>
                <w:color w:val="090D46" w:themeColor="text1"/>
                <w:sz w:val="18"/>
                <w:szCs w:val="18"/>
              </w:rPr>
              <w:t xml:space="preserve">For more information on the eligibility conditions for these concessions refer to CPA Australia’s </w:t>
            </w:r>
            <w:hyperlink r:id="rId21" w:history="1">
              <w:r w:rsidRPr="00107585">
                <w:rPr>
                  <w:rStyle w:val="Hyperlink"/>
                  <w:rFonts w:asciiTheme="minorHAnsi" w:hAnsiTheme="minorHAnsi" w:cstheme="minorHAnsi"/>
                  <w:sz w:val="18"/>
                  <w:szCs w:val="18"/>
                </w:rPr>
                <w:t>2023 tax preparation checklist</w:t>
              </w:r>
            </w:hyperlink>
            <w:r w:rsidRPr="00107585">
              <w:rPr>
                <w:rFonts w:asciiTheme="minorHAnsi" w:hAnsiTheme="minorHAnsi" w:cstheme="minorHAnsi"/>
                <w:color w:val="090D46" w:themeColor="text1"/>
                <w:sz w:val="18"/>
                <w:szCs w:val="18"/>
              </w:rPr>
              <w:t>.</w:t>
            </w:r>
          </w:p>
        </w:tc>
        <w:tc>
          <w:tcPr>
            <w:tcW w:w="424" w:type="pct"/>
          </w:tcPr>
          <w:p w14:paraId="3E14026E" w14:textId="77777777" w:rsidR="00107585" w:rsidRDefault="00107585" w:rsidP="00FE690E">
            <w:pPr>
              <w:pStyle w:val="Table"/>
              <w:keepNext/>
              <w:spacing w:before="100" w:after="100"/>
              <w:rPr>
                <w:sz w:val="18"/>
                <w:szCs w:val="18"/>
              </w:rPr>
            </w:pPr>
          </w:p>
        </w:tc>
        <w:tc>
          <w:tcPr>
            <w:tcW w:w="342" w:type="pct"/>
          </w:tcPr>
          <w:p w14:paraId="20AE07EF" w14:textId="77777777" w:rsidR="00107585" w:rsidRDefault="00107585" w:rsidP="00FE690E">
            <w:pPr>
              <w:pStyle w:val="Table"/>
              <w:keepNext/>
              <w:spacing w:before="100" w:after="100"/>
              <w:rPr>
                <w:sz w:val="18"/>
                <w:szCs w:val="18"/>
              </w:rPr>
            </w:pPr>
          </w:p>
        </w:tc>
        <w:tc>
          <w:tcPr>
            <w:tcW w:w="334" w:type="pct"/>
          </w:tcPr>
          <w:p w14:paraId="4F732AB9" w14:textId="77777777" w:rsidR="00107585" w:rsidRDefault="00107585" w:rsidP="00FE690E">
            <w:pPr>
              <w:pStyle w:val="Table"/>
              <w:keepNext/>
              <w:spacing w:before="100" w:after="100"/>
              <w:rPr>
                <w:sz w:val="18"/>
                <w:szCs w:val="18"/>
              </w:rPr>
            </w:pPr>
          </w:p>
        </w:tc>
      </w:tr>
      <w:tr w:rsidR="00107585" w14:paraId="119FB11A" w14:textId="77777777" w:rsidTr="00E54AE7">
        <w:tc>
          <w:tcPr>
            <w:tcW w:w="3900" w:type="pct"/>
          </w:tcPr>
          <w:p w14:paraId="7D73E01E" w14:textId="77777777" w:rsidR="00107585" w:rsidRPr="00107585" w:rsidRDefault="00107585" w:rsidP="00107585">
            <w:pPr>
              <w:pStyle w:val="Table"/>
              <w:spacing w:before="100" w:after="100"/>
              <w:rPr>
                <w:rFonts w:asciiTheme="minorHAnsi" w:hAnsiTheme="minorHAnsi" w:cstheme="minorHAnsi"/>
                <w:color w:val="090D46" w:themeColor="text1"/>
                <w:sz w:val="18"/>
                <w:szCs w:val="18"/>
              </w:rPr>
            </w:pPr>
            <w:r w:rsidRPr="00107585">
              <w:rPr>
                <w:rFonts w:asciiTheme="minorHAnsi" w:hAnsiTheme="minorHAnsi" w:cstheme="minorHAnsi"/>
                <w:color w:val="090D46" w:themeColor="text1"/>
                <w:sz w:val="18"/>
                <w:szCs w:val="18"/>
              </w:rPr>
              <w:t xml:space="preserve">Have any capital gains been distributed to foreign resident beneficiaries? </w:t>
            </w:r>
          </w:p>
          <w:p w14:paraId="4C0C0C24" w14:textId="77777777" w:rsidR="00107585" w:rsidRDefault="00107585" w:rsidP="00107585">
            <w:pPr>
              <w:pStyle w:val="Table"/>
              <w:spacing w:before="100" w:after="100"/>
              <w:rPr>
                <w:rFonts w:asciiTheme="minorHAnsi" w:hAnsiTheme="minorHAnsi" w:cstheme="minorHAnsi"/>
                <w:color w:val="090D46" w:themeColor="text1"/>
                <w:sz w:val="18"/>
                <w:szCs w:val="18"/>
              </w:rPr>
            </w:pPr>
            <w:r w:rsidRPr="00107585">
              <w:rPr>
                <w:rFonts w:asciiTheme="minorHAnsi" w:hAnsiTheme="minorHAnsi" w:cstheme="minorHAnsi"/>
                <w:color w:val="090D46" w:themeColor="text1"/>
                <w:sz w:val="18"/>
                <w:szCs w:val="18"/>
              </w:rPr>
              <w:t xml:space="preserve">Taxation Determination 2022/13 provides that if the trust is a non-fixed trust, Division 855 will not apply to exempt the foreign resident beneficiary from CGT even if the disposal is in relation of an asset that is not Taxable Australian Property. </w:t>
            </w:r>
          </w:p>
          <w:p w14:paraId="07E8BD33" w14:textId="47BB1530" w:rsidR="00107585" w:rsidRPr="00107585" w:rsidRDefault="00107585" w:rsidP="00107585">
            <w:pPr>
              <w:pStyle w:val="Table"/>
              <w:spacing w:before="100" w:after="100"/>
              <w:rPr>
                <w:rFonts w:asciiTheme="minorHAnsi" w:hAnsiTheme="minorHAnsi" w:cstheme="minorHAnsi"/>
                <w:color w:val="090D46" w:themeColor="text1"/>
                <w:sz w:val="18"/>
                <w:szCs w:val="18"/>
              </w:rPr>
            </w:pPr>
            <w:r>
              <w:rPr>
                <w:color w:val="090D46" w:themeColor="text1"/>
                <w:sz w:val="18"/>
                <w:szCs w:val="18"/>
              </w:rPr>
              <w:t>Whilst a temporary resident can disregard a capital gain made directly under Division 855, a gain which a temporary resident is taken to have under Subdivision 115-C cannot be disregarded under Division 855 whether the trust is a fixed or non-fixed trust.</w:t>
            </w:r>
          </w:p>
        </w:tc>
        <w:tc>
          <w:tcPr>
            <w:tcW w:w="424" w:type="pct"/>
          </w:tcPr>
          <w:p w14:paraId="06AEF851" w14:textId="77777777" w:rsidR="00107585" w:rsidRDefault="00107585" w:rsidP="00FE690E">
            <w:pPr>
              <w:pStyle w:val="Table"/>
              <w:keepNext/>
              <w:spacing w:before="100" w:after="100"/>
              <w:rPr>
                <w:sz w:val="18"/>
                <w:szCs w:val="18"/>
              </w:rPr>
            </w:pPr>
          </w:p>
        </w:tc>
        <w:tc>
          <w:tcPr>
            <w:tcW w:w="342" w:type="pct"/>
          </w:tcPr>
          <w:p w14:paraId="0178E40B" w14:textId="77777777" w:rsidR="00107585" w:rsidRDefault="00107585" w:rsidP="00FE690E">
            <w:pPr>
              <w:pStyle w:val="Table"/>
              <w:keepNext/>
              <w:spacing w:before="100" w:after="100"/>
              <w:rPr>
                <w:sz w:val="18"/>
                <w:szCs w:val="18"/>
              </w:rPr>
            </w:pPr>
          </w:p>
        </w:tc>
        <w:tc>
          <w:tcPr>
            <w:tcW w:w="334" w:type="pct"/>
          </w:tcPr>
          <w:p w14:paraId="15D11858" w14:textId="77777777" w:rsidR="00107585" w:rsidRDefault="00107585" w:rsidP="00FE690E">
            <w:pPr>
              <w:pStyle w:val="Table"/>
              <w:keepNext/>
              <w:spacing w:before="100" w:after="100"/>
              <w:rPr>
                <w:sz w:val="18"/>
                <w:szCs w:val="18"/>
              </w:rPr>
            </w:pPr>
          </w:p>
        </w:tc>
      </w:tr>
      <w:tr w:rsidR="00107585" w14:paraId="776080FC"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hideMark/>
          </w:tcPr>
          <w:p w14:paraId="618659AF" w14:textId="410090D3" w:rsidR="00FE690E" w:rsidRPr="00D4619D" w:rsidRDefault="00FE690E" w:rsidP="00FE690E">
            <w:pPr>
              <w:pStyle w:val="Table"/>
              <w:keepNext/>
              <w:spacing w:before="100" w:after="100"/>
              <w:rPr>
                <w:color w:val="090D46" w:themeColor="text1"/>
                <w:sz w:val="18"/>
                <w:szCs w:val="18"/>
              </w:rPr>
            </w:pPr>
            <w:r w:rsidRPr="00D4619D">
              <w:rPr>
                <w:color w:val="090D46" w:themeColor="text1"/>
                <w:sz w:val="18"/>
                <w:szCs w:val="18"/>
              </w:rPr>
              <w:t>Has any sale consideration been received during the year under an eligible earnout arrangement relating to the prior year disposal of a CGT active asset in which case the consideration received is disregarded in the 202</w:t>
            </w:r>
            <w:r w:rsidR="00E62EE9">
              <w:rPr>
                <w:color w:val="090D46" w:themeColor="text1"/>
                <w:sz w:val="18"/>
                <w:szCs w:val="18"/>
              </w:rPr>
              <w:t>3</w:t>
            </w:r>
            <w:r w:rsidRPr="00D4619D">
              <w:rPr>
                <w:color w:val="090D46" w:themeColor="text1"/>
                <w:sz w:val="18"/>
                <w:szCs w:val="18"/>
              </w:rPr>
              <w:t xml:space="preserve"> year but will form part of the capital proceeds relating to the disposal of that asset in that earlier year? </w:t>
            </w:r>
          </w:p>
          <w:p w14:paraId="7A2B66FD" w14:textId="77777777" w:rsidR="00FE690E" w:rsidRPr="00D4619D" w:rsidRDefault="00FE690E" w:rsidP="00FE690E">
            <w:pPr>
              <w:pStyle w:val="Table"/>
              <w:keepNext/>
              <w:spacing w:before="100" w:after="100"/>
              <w:rPr>
                <w:color w:val="090D46" w:themeColor="text1"/>
                <w:sz w:val="18"/>
                <w:szCs w:val="18"/>
              </w:rPr>
            </w:pPr>
            <w:r w:rsidRPr="00D4619D">
              <w:rPr>
                <w:color w:val="090D46" w:themeColor="text1"/>
                <w:sz w:val="18"/>
                <w:szCs w:val="18"/>
              </w:rPr>
              <w:t xml:space="preserve">Care should be taken to ensure that all the requirements of being an eligible earnout arrangement under Subdivision 118-I of the </w:t>
            </w:r>
            <w:r w:rsidRPr="00D4619D">
              <w:rPr>
                <w:i/>
                <w:color w:val="090D46" w:themeColor="text1"/>
                <w:sz w:val="18"/>
                <w:szCs w:val="18"/>
              </w:rPr>
              <w:t xml:space="preserve">ITAA 1997 </w:t>
            </w:r>
            <w:r w:rsidRPr="00D4619D">
              <w:rPr>
                <w:color w:val="090D46" w:themeColor="text1"/>
                <w:sz w:val="18"/>
                <w:szCs w:val="18"/>
              </w:rPr>
              <w:t>are satisfied.</w:t>
            </w:r>
          </w:p>
        </w:tc>
        <w:tc>
          <w:tcPr>
            <w:tcW w:w="424" w:type="pct"/>
          </w:tcPr>
          <w:p w14:paraId="6E1ADEA2" w14:textId="77777777" w:rsidR="00FE690E" w:rsidRDefault="00FE690E" w:rsidP="00FE690E">
            <w:pPr>
              <w:pStyle w:val="Table"/>
              <w:keepNext/>
              <w:spacing w:before="100" w:after="100"/>
              <w:rPr>
                <w:sz w:val="18"/>
                <w:szCs w:val="18"/>
              </w:rPr>
            </w:pPr>
          </w:p>
        </w:tc>
        <w:tc>
          <w:tcPr>
            <w:tcW w:w="342" w:type="pct"/>
          </w:tcPr>
          <w:p w14:paraId="17DBEE41" w14:textId="77777777" w:rsidR="00FE690E" w:rsidRDefault="00FE690E" w:rsidP="00FE690E">
            <w:pPr>
              <w:pStyle w:val="Table"/>
              <w:keepNext/>
              <w:spacing w:before="100" w:after="100"/>
              <w:rPr>
                <w:sz w:val="18"/>
                <w:szCs w:val="18"/>
              </w:rPr>
            </w:pPr>
          </w:p>
        </w:tc>
        <w:tc>
          <w:tcPr>
            <w:tcW w:w="334" w:type="pct"/>
          </w:tcPr>
          <w:p w14:paraId="6B5001C3" w14:textId="77777777" w:rsidR="00FE690E" w:rsidRDefault="00FE690E" w:rsidP="00FE690E">
            <w:pPr>
              <w:pStyle w:val="Table"/>
              <w:keepNext/>
              <w:spacing w:before="100" w:after="100"/>
              <w:rPr>
                <w:sz w:val="18"/>
                <w:szCs w:val="18"/>
              </w:rPr>
            </w:pPr>
          </w:p>
        </w:tc>
      </w:tr>
      <w:tr w:rsidR="00107585" w14:paraId="2EC53F29" w14:textId="77777777" w:rsidTr="00E54AE7">
        <w:tc>
          <w:tcPr>
            <w:tcW w:w="3900" w:type="pct"/>
            <w:hideMark/>
          </w:tcPr>
          <w:p w14:paraId="4C413A28" w14:textId="77777777" w:rsidR="00FE690E" w:rsidRPr="00D4619D" w:rsidRDefault="00FE690E" w:rsidP="00FE690E">
            <w:pPr>
              <w:pStyle w:val="Table"/>
              <w:keepNext/>
              <w:spacing w:before="100" w:after="100"/>
              <w:rPr>
                <w:color w:val="090D46" w:themeColor="text1"/>
                <w:sz w:val="18"/>
                <w:szCs w:val="18"/>
              </w:rPr>
            </w:pPr>
            <w:r w:rsidRPr="00D4619D">
              <w:rPr>
                <w:color w:val="090D46" w:themeColor="text1"/>
                <w:sz w:val="18"/>
                <w:szCs w:val="18"/>
              </w:rPr>
              <w:t>Has the trust received any financial benefits representing a capital gain which has been streamed from another trust?</w:t>
            </w:r>
          </w:p>
        </w:tc>
        <w:tc>
          <w:tcPr>
            <w:tcW w:w="424" w:type="pct"/>
          </w:tcPr>
          <w:p w14:paraId="7D60FF0C" w14:textId="77777777" w:rsidR="00FE690E" w:rsidRDefault="00FE690E" w:rsidP="00FE690E">
            <w:pPr>
              <w:pStyle w:val="Table"/>
              <w:keepNext/>
              <w:spacing w:before="100" w:after="100"/>
              <w:rPr>
                <w:sz w:val="18"/>
                <w:szCs w:val="18"/>
              </w:rPr>
            </w:pPr>
          </w:p>
        </w:tc>
        <w:tc>
          <w:tcPr>
            <w:tcW w:w="342" w:type="pct"/>
          </w:tcPr>
          <w:p w14:paraId="0D256C7E" w14:textId="77777777" w:rsidR="00FE690E" w:rsidRDefault="00FE690E" w:rsidP="00FE690E">
            <w:pPr>
              <w:pStyle w:val="Table"/>
              <w:keepNext/>
              <w:spacing w:before="100" w:after="100"/>
              <w:rPr>
                <w:sz w:val="18"/>
                <w:szCs w:val="18"/>
              </w:rPr>
            </w:pPr>
          </w:p>
        </w:tc>
        <w:tc>
          <w:tcPr>
            <w:tcW w:w="334" w:type="pct"/>
          </w:tcPr>
          <w:p w14:paraId="6FBFDE6F" w14:textId="77777777" w:rsidR="00FE690E" w:rsidRDefault="00FE690E" w:rsidP="00FE690E">
            <w:pPr>
              <w:pStyle w:val="Table"/>
              <w:keepNext/>
              <w:spacing w:before="100" w:after="100"/>
              <w:rPr>
                <w:sz w:val="18"/>
                <w:szCs w:val="18"/>
              </w:rPr>
            </w:pPr>
          </w:p>
        </w:tc>
      </w:tr>
      <w:tr w:rsidR="00FE690E" w14:paraId="1CA33548" w14:textId="77777777" w:rsidTr="002D3EC6">
        <w:trPr>
          <w:cnfStyle w:val="000000100000" w:firstRow="0" w:lastRow="0" w:firstColumn="0" w:lastColumn="0" w:oddVBand="0" w:evenVBand="0" w:oddHBand="1" w:evenHBand="0" w:firstRowFirstColumn="0" w:firstRowLastColumn="0" w:lastRowFirstColumn="0" w:lastRowLastColumn="0"/>
        </w:trPr>
        <w:tc>
          <w:tcPr>
            <w:tcW w:w="5000" w:type="pct"/>
            <w:gridSpan w:val="4"/>
            <w:hideMark/>
          </w:tcPr>
          <w:p w14:paraId="79A60DB9" w14:textId="77777777" w:rsidR="00FE690E" w:rsidRDefault="00FE690E" w:rsidP="00FE690E">
            <w:pPr>
              <w:pStyle w:val="Table"/>
              <w:keepNext/>
              <w:spacing w:before="100" w:after="100"/>
              <w:rPr>
                <w:b/>
                <w:bCs/>
                <w:color w:val="090D46" w:themeColor="text1"/>
                <w:sz w:val="18"/>
                <w:szCs w:val="18"/>
              </w:rPr>
            </w:pPr>
            <w:r w:rsidRPr="00D4619D">
              <w:rPr>
                <w:b/>
                <w:bCs/>
                <w:color w:val="090D46" w:themeColor="text1"/>
                <w:sz w:val="18"/>
                <w:szCs w:val="18"/>
              </w:rPr>
              <w:t>Comments:</w:t>
            </w:r>
          </w:p>
          <w:p w14:paraId="2DFD1409" w14:textId="77777777" w:rsidR="00591702" w:rsidRDefault="00591702" w:rsidP="00FE690E">
            <w:pPr>
              <w:pStyle w:val="Table"/>
              <w:keepNext/>
              <w:spacing w:before="100" w:after="100"/>
              <w:rPr>
                <w:b/>
                <w:bCs/>
                <w:color w:val="090D46" w:themeColor="text1"/>
                <w:sz w:val="18"/>
                <w:szCs w:val="18"/>
              </w:rPr>
            </w:pPr>
          </w:p>
          <w:p w14:paraId="18429996" w14:textId="77777777" w:rsidR="00591702" w:rsidRDefault="00591702" w:rsidP="00FE690E">
            <w:pPr>
              <w:pStyle w:val="Table"/>
              <w:keepNext/>
              <w:spacing w:before="100" w:after="100"/>
              <w:rPr>
                <w:b/>
                <w:bCs/>
                <w:color w:val="090D46" w:themeColor="text1"/>
                <w:sz w:val="18"/>
                <w:szCs w:val="18"/>
              </w:rPr>
            </w:pPr>
          </w:p>
          <w:p w14:paraId="6014E507" w14:textId="3049BF74" w:rsidR="00591702" w:rsidRPr="00D4619D" w:rsidRDefault="00591702" w:rsidP="00FE690E">
            <w:pPr>
              <w:pStyle w:val="Table"/>
              <w:keepNext/>
              <w:spacing w:before="100" w:after="100"/>
              <w:rPr>
                <w:b/>
                <w:bCs/>
                <w:color w:val="090D46" w:themeColor="text1"/>
                <w:sz w:val="18"/>
                <w:szCs w:val="18"/>
              </w:rPr>
            </w:pPr>
          </w:p>
        </w:tc>
      </w:tr>
      <w:tr w:rsidR="00FE690E" w14:paraId="4FC9298E" w14:textId="77777777" w:rsidTr="00D4619D">
        <w:tc>
          <w:tcPr>
            <w:tcW w:w="5000" w:type="pct"/>
            <w:gridSpan w:val="4"/>
            <w:shd w:val="clear" w:color="auto" w:fill="0A5CC7" w:themeFill="accent3"/>
            <w:hideMark/>
          </w:tcPr>
          <w:p w14:paraId="55EBBD47" w14:textId="77777777" w:rsidR="00FE690E" w:rsidRPr="00D4619D" w:rsidRDefault="00FE690E" w:rsidP="00FE690E">
            <w:pPr>
              <w:pStyle w:val="Table"/>
              <w:keepNext/>
              <w:spacing w:before="100" w:after="100"/>
              <w:rPr>
                <w:b/>
                <w:bCs/>
                <w:color w:val="FFFFFF" w:themeColor="background1"/>
                <w:sz w:val="18"/>
                <w:szCs w:val="18"/>
              </w:rPr>
            </w:pPr>
            <w:r w:rsidRPr="00D4619D">
              <w:rPr>
                <w:b/>
                <w:bCs/>
                <w:color w:val="FFFFFF" w:themeColor="background1"/>
                <w:sz w:val="18"/>
                <w:szCs w:val="18"/>
              </w:rPr>
              <w:t>ATTRIBUTED FOREIGN INCOME (ITEM 22)</w:t>
            </w:r>
          </w:p>
        </w:tc>
      </w:tr>
      <w:tr w:rsidR="00107585" w14:paraId="503473D5"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hideMark/>
          </w:tcPr>
          <w:p w14:paraId="734C017A" w14:textId="77777777" w:rsidR="00FE690E" w:rsidRPr="00D4619D" w:rsidRDefault="00FE690E" w:rsidP="00FE690E">
            <w:pPr>
              <w:pStyle w:val="Table"/>
              <w:keepNext/>
              <w:spacing w:before="100" w:after="100"/>
              <w:rPr>
                <w:color w:val="090D46" w:themeColor="text1"/>
                <w:sz w:val="18"/>
                <w:szCs w:val="18"/>
              </w:rPr>
            </w:pPr>
            <w:r w:rsidRPr="00D4619D">
              <w:rPr>
                <w:color w:val="090D46" w:themeColor="text1"/>
                <w:sz w:val="18"/>
                <w:szCs w:val="18"/>
              </w:rPr>
              <w:t xml:space="preserve">Did the trust have a direct or indirect interest in a foreign trust, controlled foreign company or transferor trust? </w:t>
            </w:r>
          </w:p>
          <w:p w14:paraId="45E19DCE" w14:textId="4DC0BF0D" w:rsidR="00FE690E" w:rsidRPr="00D4619D" w:rsidRDefault="00FE690E" w:rsidP="00FE690E">
            <w:pPr>
              <w:pStyle w:val="Table"/>
              <w:keepNext/>
              <w:spacing w:before="100" w:after="100"/>
              <w:rPr>
                <w:color w:val="090D46" w:themeColor="text1"/>
                <w:sz w:val="18"/>
                <w:szCs w:val="18"/>
              </w:rPr>
            </w:pPr>
            <w:r w:rsidRPr="00D4619D">
              <w:rPr>
                <w:color w:val="090D46" w:themeColor="text1"/>
                <w:sz w:val="18"/>
                <w:szCs w:val="18"/>
              </w:rPr>
              <w:t>If the answer is yes, has an International Dealings Schedule (IDS) been prepared for the year ended 30 June 202</w:t>
            </w:r>
            <w:r w:rsidR="008F3FDD">
              <w:rPr>
                <w:color w:val="090D46" w:themeColor="text1"/>
                <w:sz w:val="18"/>
                <w:szCs w:val="18"/>
              </w:rPr>
              <w:t>3</w:t>
            </w:r>
            <w:r w:rsidRPr="00D4619D">
              <w:rPr>
                <w:color w:val="090D46" w:themeColor="text1"/>
                <w:sz w:val="18"/>
                <w:szCs w:val="18"/>
              </w:rPr>
              <w:t>?</w:t>
            </w:r>
          </w:p>
        </w:tc>
        <w:tc>
          <w:tcPr>
            <w:tcW w:w="424" w:type="pct"/>
          </w:tcPr>
          <w:p w14:paraId="7B6FC4AB" w14:textId="77777777" w:rsidR="00FE690E" w:rsidRDefault="00FE690E" w:rsidP="00FE690E">
            <w:pPr>
              <w:pStyle w:val="Table"/>
              <w:keepNext/>
              <w:spacing w:before="100" w:after="100"/>
            </w:pPr>
          </w:p>
        </w:tc>
        <w:tc>
          <w:tcPr>
            <w:tcW w:w="342" w:type="pct"/>
          </w:tcPr>
          <w:p w14:paraId="09D8D65A" w14:textId="77777777" w:rsidR="00FE690E" w:rsidRDefault="00FE690E" w:rsidP="00FE690E">
            <w:pPr>
              <w:pStyle w:val="Table"/>
              <w:keepNext/>
              <w:spacing w:before="100" w:after="100"/>
            </w:pPr>
          </w:p>
        </w:tc>
        <w:tc>
          <w:tcPr>
            <w:tcW w:w="334" w:type="pct"/>
          </w:tcPr>
          <w:p w14:paraId="5EA3E27B" w14:textId="77777777" w:rsidR="00FE690E" w:rsidRDefault="00FE690E" w:rsidP="00FE690E">
            <w:pPr>
              <w:pStyle w:val="Table"/>
              <w:keepNext/>
              <w:spacing w:before="100" w:after="100"/>
            </w:pPr>
          </w:p>
        </w:tc>
      </w:tr>
      <w:tr w:rsidR="00FE690E" w14:paraId="1D3662D5" w14:textId="77777777" w:rsidTr="002D3EC6">
        <w:tc>
          <w:tcPr>
            <w:tcW w:w="5000" w:type="pct"/>
            <w:gridSpan w:val="4"/>
            <w:hideMark/>
          </w:tcPr>
          <w:p w14:paraId="0FB38C0B" w14:textId="77777777" w:rsidR="00FE690E" w:rsidRDefault="00FE690E" w:rsidP="00FE690E">
            <w:pPr>
              <w:pStyle w:val="Tableheading"/>
              <w:spacing w:before="100" w:after="100"/>
              <w:rPr>
                <w:bCs/>
                <w:color w:val="090D46" w:themeColor="text1"/>
                <w:sz w:val="18"/>
                <w:szCs w:val="18"/>
              </w:rPr>
            </w:pPr>
            <w:r w:rsidRPr="00D4619D">
              <w:rPr>
                <w:bCs/>
                <w:color w:val="090D46" w:themeColor="text1"/>
                <w:sz w:val="18"/>
                <w:szCs w:val="18"/>
              </w:rPr>
              <w:t>Comments:</w:t>
            </w:r>
          </w:p>
          <w:p w14:paraId="61F84319" w14:textId="77777777" w:rsidR="00AE1BC5" w:rsidRDefault="00AE1BC5" w:rsidP="00FE690E">
            <w:pPr>
              <w:pStyle w:val="Tableheading"/>
              <w:spacing w:before="100" w:after="100"/>
              <w:rPr>
                <w:bCs/>
                <w:color w:val="090D46" w:themeColor="text1"/>
                <w:sz w:val="18"/>
                <w:szCs w:val="18"/>
              </w:rPr>
            </w:pPr>
          </w:p>
          <w:p w14:paraId="1FAF13C8" w14:textId="77777777" w:rsidR="00AE1BC5" w:rsidRDefault="00AE1BC5" w:rsidP="00FE690E">
            <w:pPr>
              <w:pStyle w:val="Tableheading"/>
              <w:spacing w:before="100" w:after="100"/>
              <w:rPr>
                <w:bCs/>
                <w:color w:val="090D46" w:themeColor="text1"/>
                <w:sz w:val="18"/>
                <w:szCs w:val="18"/>
              </w:rPr>
            </w:pPr>
          </w:p>
          <w:p w14:paraId="29064079" w14:textId="680C1689" w:rsidR="00AE1BC5" w:rsidRDefault="00AE1BC5" w:rsidP="00FE690E">
            <w:pPr>
              <w:pStyle w:val="Tableheading"/>
              <w:spacing w:before="100" w:after="100"/>
              <w:rPr>
                <w:bCs/>
                <w:color w:val="090D46" w:themeColor="text1"/>
                <w:sz w:val="18"/>
                <w:szCs w:val="18"/>
              </w:rPr>
            </w:pPr>
          </w:p>
          <w:p w14:paraId="32C974BD" w14:textId="407407E5" w:rsidR="00107585" w:rsidRDefault="00107585" w:rsidP="00FE690E">
            <w:pPr>
              <w:pStyle w:val="Tableheading"/>
              <w:spacing w:before="100" w:after="100"/>
              <w:rPr>
                <w:bCs/>
                <w:color w:val="090D46" w:themeColor="text1"/>
                <w:sz w:val="18"/>
                <w:szCs w:val="18"/>
              </w:rPr>
            </w:pPr>
          </w:p>
          <w:p w14:paraId="3E5FA5EC" w14:textId="77777777" w:rsidR="00107585" w:rsidRDefault="00107585" w:rsidP="00FE690E">
            <w:pPr>
              <w:pStyle w:val="Tableheading"/>
              <w:spacing w:before="100" w:after="100"/>
              <w:rPr>
                <w:bCs/>
                <w:color w:val="090D46" w:themeColor="text1"/>
                <w:sz w:val="18"/>
                <w:szCs w:val="18"/>
              </w:rPr>
            </w:pPr>
          </w:p>
          <w:p w14:paraId="074C827B" w14:textId="75C5316E" w:rsidR="00FE690E" w:rsidRPr="00D4619D" w:rsidRDefault="00FE690E" w:rsidP="00FE690E">
            <w:pPr>
              <w:pStyle w:val="Tableheading"/>
              <w:spacing w:before="100" w:after="100"/>
              <w:rPr>
                <w:bCs/>
                <w:color w:val="090D46" w:themeColor="text1"/>
                <w:sz w:val="18"/>
                <w:szCs w:val="18"/>
              </w:rPr>
            </w:pPr>
          </w:p>
        </w:tc>
      </w:tr>
      <w:tr w:rsidR="00FE690E" w14:paraId="4D9EFE55" w14:textId="77777777" w:rsidTr="00D4619D">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4A7A370E" w14:textId="77777777" w:rsidR="00FE690E" w:rsidRPr="00D4619D" w:rsidRDefault="00FE690E" w:rsidP="00FE690E">
            <w:pPr>
              <w:pStyle w:val="Table"/>
              <w:keepNext/>
              <w:spacing w:before="100" w:after="100"/>
              <w:rPr>
                <w:b/>
                <w:bCs/>
                <w:color w:val="FFFFFF" w:themeColor="background1"/>
              </w:rPr>
            </w:pPr>
            <w:r w:rsidRPr="00D4619D">
              <w:rPr>
                <w:b/>
                <w:bCs/>
                <w:color w:val="FFFFFF" w:themeColor="background1"/>
                <w:sz w:val="18"/>
                <w:szCs w:val="18"/>
              </w:rPr>
              <w:t xml:space="preserve">LOSSES INFORMATION (ITEMS 25 and 27) </w:t>
            </w:r>
          </w:p>
        </w:tc>
      </w:tr>
      <w:tr w:rsidR="00107585" w14:paraId="474FFC63" w14:textId="77777777" w:rsidTr="00E54AE7">
        <w:tc>
          <w:tcPr>
            <w:tcW w:w="3900" w:type="pct"/>
            <w:hideMark/>
          </w:tcPr>
          <w:p w14:paraId="678FF272" w14:textId="77777777" w:rsidR="00FE690E" w:rsidRPr="00D4619D" w:rsidRDefault="00FE690E" w:rsidP="00FE690E">
            <w:pPr>
              <w:pStyle w:val="Table"/>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t xml:space="preserve">Have the trust loss provisions in Schedule 2F of the </w:t>
            </w:r>
            <w:r w:rsidRPr="00D4619D">
              <w:rPr>
                <w:rFonts w:asciiTheme="minorHAnsi" w:hAnsiTheme="minorHAnsi" w:cstheme="minorHAnsi"/>
                <w:i/>
                <w:color w:val="090D46" w:themeColor="text1"/>
                <w:sz w:val="18"/>
                <w:szCs w:val="18"/>
              </w:rPr>
              <w:t>ITAA 1936</w:t>
            </w:r>
            <w:r w:rsidRPr="00D4619D">
              <w:rPr>
                <w:rFonts w:asciiTheme="minorHAnsi" w:hAnsiTheme="minorHAnsi" w:cstheme="minorHAnsi"/>
                <w:color w:val="090D46" w:themeColor="text1"/>
                <w:sz w:val="18"/>
                <w:szCs w:val="18"/>
              </w:rPr>
              <w:t xml:space="preserve"> been reviewed to ensure the deductibility of a bad debt or a prior year tax loss claimed by the trust? </w:t>
            </w:r>
          </w:p>
          <w:p w14:paraId="1854EB04" w14:textId="77777777" w:rsidR="00FE690E" w:rsidRPr="00D4619D" w:rsidRDefault="00FE690E" w:rsidP="00FE690E">
            <w:pPr>
              <w:pStyle w:val="Table"/>
              <w:spacing w:before="100" w:after="100"/>
              <w:rPr>
                <w:rFonts w:asciiTheme="minorHAnsi" w:hAnsiTheme="minorHAnsi" w:cstheme="minorHAnsi"/>
                <w:color w:val="090D46" w:themeColor="text1"/>
                <w:sz w:val="18"/>
                <w:szCs w:val="18"/>
              </w:rPr>
            </w:pPr>
            <w:r w:rsidRPr="00D4619D">
              <w:rPr>
                <w:rFonts w:asciiTheme="minorHAnsi" w:hAnsiTheme="minorHAnsi" w:cstheme="minorHAnsi"/>
                <w:color w:val="090D46" w:themeColor="text1"/>
                <w:sz w:val="18"/>
                <w:szCs w:val="18"/>
              </w:rPr>
              <w:t xml:space="preserve">Prior to being eligible to recoup a tax loss deduction, a trust is required to satisfy various tests. Separate loss recoupment rules apply to fixed trusts, non-fixed trusts and family trusts under Schedule 2F of the </w:t>
            </w:r>
            <w:r w:rsidRPr="00D4619D">
              <w:rPr>
                <w:rFonts w:asciiTheme="minorHAnsi" w:hAnsiTheme="minorHAnsi" w:cstheme="minorHAnsi"/>
                <w:i/>
                <w:color w:val="090D46" w:themeColor="text1"/>
                <w:sz w:val="18"/>
                <w:szCs w:val="18"/>
              </w:rPr>
              <w:t>ITAA 1936</w:t>
            </w:r>
            <w:r w:rsidRPr="00D4619D">
              <w:rPr>
                <w:rFonts w:asciiTheme="minorHAnsi" w:hAnsiTheme="minorHAnsi" w:cstheme="minorHAnsi"/>
                <w:color w:val="090D46" w:themeColor="text1"/>
                <w:sz w:val="18"/>
                <w:szCs w:val="18"/>
              </w:rPr>
              <w:t xml:space="preserve"> as follows:</w:t>
            </w:r>
          </w:p>
          <w:p w14:paraId="3F7EA0B8" w14:textId="3FB69B5F" w:rsidR="00012243" w:rsidRPr="00D4619D" w:rsidRDefault="00FE690E" w:rsidP="00FE690E">
            <w:pPr>
              <w:spacing w:before="100" w:after="100"/>
              <w:rPr>
                <w:rFonts w:eastAsia="Times New Roman" w:cstheme="minorHAnsi"/>
                <w:szCs w:val="18"/>
                <w:lang w:eastAsia="en-AU"/>
              </w:rPr>
            </w:pPr>
            <w:r w:rsidRPr="00D4619D">
              <w:rPr>
                <w:rFonts w:cstheme="minorHAnsi"/>
                <w:i/>
                <w:szCs w:val="18"/>
              </w:rPr>
              <w:t>Fixed trusts</w:t>
            </w:r>
            <w:r w:rsidRPr="00D4619D">
              <w:rPr>
                <w:rFonts w:cstheme="minorHAnsi"/>
                <w:szCs w:val="18"/>
              </w:rPr>
              <w:t xml:space="preserve"> – fixed trusts are trusts where beneficiaries have vested and indefeasible interests in all of the income and capital of the trust. Fixed trusts are required to satisfy the income injection test and the 50% stake test. Where the 50% stake test cannot be satisfied, an a</w:t>
            </w:r>
            <w:r w:rsidRPr="00D4619D">
              <w:rPr>
                <w:rFonts w:eastAsia="Times New Roman" w:cstheme="minorHAnsi"/>
                <w:szCs w:val="18"/>
                <w:lang w:eastAsia="en-AU"/>
              </w:rPr>
              <w:t>lternative loss recoupment test may be</w:t>
            </w:r>
            <w:r w:rsidRPr="00D4619D">
              <w:rPr>
                <w:rFonts w:cstheme="minorHAnsi"/>
                <w:szCs w:val="18"/>
              </w:rPr>
              <w:t xml:space="preserve"> available under section 266-45 of Schedule 2F of the </w:t>
            </w:r>
            <w:r w:rsidRPr="00D4619D">
              <w:rPr>
                <w:rFonts w:cstheme="minorHAnsi"/>
                <w:i/>
                <w:szCs w:val="18"/>
              </w:rPr>
              <w:t>ITAA 1936</w:t>
            </w:r>
            <w:r w:rsidRPr="00D4619D">
              <w:rPr>
                <w:rFonts w:cstheme="minorHAnsi"/>
                <w:szCs w:val="18"/>
              </w:rPr>
              <w:t xml:space="preserve"> where a non-fixed trust (other than a family trust) holds 50% or more of the fixed entitlements to the income or capital of the fixed trust. In these circumstances,</w:t>
            </w:r>
            <w:r w:rsidRPr="00D4619D">
              <w:rPr>
                <w:rFonts w:eastAsia="Times New Roman" w:cstheme="minorHAnsi"/>
                <w:szCs w:val="18"/>
                <w:lang w:eastAsia="en-AU"/>
              </w:rPr>
              <w:t xml:space="preserve"> the non-fixed trust holding the interest in a fixed trust must be able to pass the pattern of distributions test, the control test and the 50% stake test as if it had notionally incurred the tax losses instead of the fixed trust. </w:t>
            </w:r>
          </w:p>
          <w:p w14:paraId="248A3638" w14:textId="3F118CE1" w:rsidR="00FE690E" w:rsidRDefault="00FE690E" w:rsidP="00FE690E">
            <w:pPr>
              <w:spacing w:before="100" w:after="100"/>
              <w:rPr>
                <w:szCs w:val="18"/>
              </w:rPr>
            </w:pPr>
          </w:p>
        </w:tc>
        <w:tc>
          <w:tcPr>
            <w:tcW w:w="424" w:type="pct"/>
          </w:tcPr>
          <w:p w14:paraId="654EC301" w14:textId="77777777" w:rsidR="00FE690E" w:rsidRDefault="00FE690E" w:rsidP="00FE690E">
            <w:pPr>
              <w:pStyle w:val="Table"/>
              <w:keepNext/>
              <w:spacing w:before="100" w:after="100"/>
            </w:pPr>
          </w:p>
        </w:tc>
        <w:tc>
          <w:tcPr>
            <w:tcW w:w="342" w:type="pct"/>
          </w:tcPr>
          <w:p w14:paraId="199BF434" w14:textId="77777777" w:rsidR="00FE690E" w:rsidRDefault="00FE690E" w:rsidP="00FE690E">
            <w:pPr>
              <w:pStyle w:val="Table"/>
              <w:keepNext/>
              <w:spacing w:before="100" w:after="100"/>
            </w:pPr>
          </w:p>
        </w:tc>
        <w:tc>
          <w:tcPr>
            <w:tcW w:w="334" w:type="pct"/>
          </w:tcPr>
          <w:p w14:paraId="0EF42584" w14:textId="77777777" w:rsidR="00FE690E" w:rsidRDefault="00FE690E" w:rsidP="00FE690E">
            <w:pPr>
              <w:pStyle w:val="Table"/>
              <w:keepNext/>
              <w:spacing w:before="100" w:after="100"/>
            </w:pPr>
          </w:p>
        </w:tc>
      </w:tr>
      <w:tr w:rsidR="00107585" w14:paraId="3EDDC38C"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tcPr>
          <w:p w14:paraId="1B42C5A2" w14:textId="7B90DF94" w:rsidR="00D4619D" w:rsidRPr="00D4619D" w:rsidRDefault="00D4619D" w:rsidP="00D4619D">
            <w:pPr>
              <w:pStyle w:val="Source"/>
              <w:spacing w:before="100" w:after="100"/>
              <w:ind w:right="0"/>
              <w:rPr>
                <w:rFonts w:asciiTheme="minorHAnsi" w:hAnsiTheme="minorHAnsi" w:cstheme="minorHAnsi"/>
                <w:b w:val="0"/>
                <w:color w:val="090D46" w:themeColor="text1"/>
                <w:sz w:val="18"/>
                <w:szCs w:val="18"/>
              </w:rPr>
            </w:pPr>
            <w:r w:rsidRPr="00D4619D">
              <w:rPr>
                <w:rFonts w:asciiTheme="minorHAnsi" w:hAnsiTheme="minorHAnsi" w:cstheme="minorHAnsi"/>
                <w:b w:val="0"/>
                <w:i/>
                <w:color w:val="090D46" w:themeColor="text1"/>
                <w:sz w:val="18"/>
                <w:szCs w:val="18"/>
              </w:rPr>
              <w:t>Non-fixed trusts</w:t>
            </w:r>
            <w:r w:rsidRPr="00D4619D">
              <w:rPr>
                <w:rFonts w:asciiTheme="minorHAnsi" w:hAnsiTheme="minorHAnsi" w:cstheme="minorHAnsi"/>
                <w:b w:val="0"/>
                <w:color w:val="090D46" w:themeColor="text1"/>
                <w:sz w:val="18"/>
                <w:szCs w:val="18"/>
              </w:rPr>
              <w:t xml:space="preserve"> – non-fixed trusts </w:t>
            </w:r>
            <w:r w:rsidR="00497848">
              <w:rPr>
                <w:rFonts w:asciiTheme="minorHAnsi" w:hAnsiTheme="minorHAnsi" w:cstheme="minorHAnsi"/>
                <w:b w:val="0"/>
                <w:color w:val="090D46" w:themeColor="text1"/>
                <w:sz w:val="18"/>
                <w:szCs w:val="18"/>
              </w:rPr>
              <w:t xml:space="preserve">(that are not family trusts – see following) </w:t>
            </w:r>
            <w:r w:rsidRPr="00D4619D">
              <w:rPr>
                <w:rFonts w:asciiTheme="minorHAnsi" w:hAnsiTheme="minorHAnsi" w:cstheme="minorHAnsi"/>
                <w:b w:val="0"/>
                <w:color w:val="090D46" w:themeColor="text1"/>
                <w:sz w:val="18"/>
                <w:szCs w:val="18"/>
              </w:rPr>
              <w:t xml:space="preserve">are trusts that do not meet the definition of a fixed trust. </w:t>
            </w:r>
            <w:r w:rsidR="00814869">
              <w:rPr>
                <w:rFonts w:asciiTheme="minorHAnsi" w:hAnsiTheme="minorHAnsi" w:cstheme="minorHAnsi"/>
                <w:b w:val="0"/>
                <w:color w:val="090D46" w:themeColor="text1"/>
                <w:sz w:val="18"/>
                <w:szCs w:val="18"/>
              </w:rPr>
              <w:t>In respect of revenue losses, n</w:t>
            </w:r>
            <w:r w:rsidRPr="00D4619D">
              <w:rPr>
                <w:rFonts w:asciiTheme="minorHAnsi" w:hAnsiTheme="minorHAnsi" w:cstheme="minorHAnsi"/>
                <w:b w:val="0"/>
                <w:color w:val="090D46" w:themeColor="text1"/>
                <w:sz w:val="18"/>
                <w:szCs w:val="18"/>
              </w:rPr>
              <w:t>on-fixed trusts are required to satisfy the income injection test, the pattern of distributions test, the 50% stake test (if applicable) and the control test.</w:t>
            </w:r>
          </w:p>
          <w:p w14:paraId="6BA48DB9" w14:textId="7FDE1C95" w:rsidR="00D4619D" w:rsidRPr="00D4619D" w:rsidRDefault="00D4619D" w:rsidP="00D4619D">
            <w:pPr>
              <w:pStyle w:val="Source"/>
              <w:spacing w:before="100" w:after="100"/>
              <w:ind w:right="0"/>
              <w:rPr>
                <w:rFonts w:asciiTheme="minorHAnsi" w:hAnsiTheme="minorHAnsi" w:cstheme="minorHAnsi"/>
                <w:b w:val="0"/>
                <w:color w:val="090D46" w:themeColor="text1"/>
                <w:sz w:val="18"/>
                <w:szCs w:val="18"/>
              </w:rPr>
            </w:pPr>
            <w:r w:rsidRPr="00D4619D">
              <w:rPr>
                <w:rFonts w:asciiTheme="minorHAnsi" w:hAnsiTheme="minorHAnsi" w:cstheme="minorHAnsi"/>
                <w:b w:val="0"/>
                <w:i/>
                <w:color w:val="090D46" w:themeColor="text1"/>
                <w:sz w:val="18"/>
                <w:szCs w:val="18"/>
              </w:rPr>
              <w:t>Family trusts</w:t>
            </w:r>
            <w:r w:rsidRPr="00D4619D">
              <w:rPr>
                <w:rFonts w:asciiTheme="minorHAnsi" w:hAnsiTheme="minorHAnsi" w:cstheme="minorHAnsi"/>
                <w:b w:val="0"/>
                <w:color w:val="090D46" w:themeColor="text1"/>
                <w:sz w:val="18"/>
                <w:szCs w:val="18"/>
              </w:rPr>
              <w:t xml:space="preserve"> – family trusts are trusts that have made a family trust election in accordance with section 272-80 of Schedule 2F of the </w:t>
            </w:r>
            <w:r w:rsidRPr="00D4619D">
              <w:rPr>
                <w:rFonts w:asciiTheme="minorHAnsi" w:hAnsiTheme="minorHAnsi" w:cstheme="minorHAnsi"/>
                <w:b w:val="0"/>
                <w:i/>
                <w:color w:val="090D46" w:themeColor="text1"/>
                <w:sz w:val="18"/>
                <w:szCs w:val="18"/>
              </w:rPr>
              <w:t>ITAA 1936</w:t>
            </w:r>
            <w:r w:rsidRPr="00D4619D">
              <w:rPr>
                <w:rFonts w:asciiTheme="minorHAnsi" w:hAnsiTheme="minorHAnsi" w:cstheme="minorHAnsi"/>
                <w:b w:val="0"/>
                <w:color w:val="090D46" w:themeColor="text1"/>
                <w:sz w:val="18"/>
                <w:szCs w:val="18"/>
              </w:rPr>
              <w:t xml:space="preserve">. </w:t>
            </w:r>
            <w:r w:rsidR="00814869">
              <w:rPr>
                <w:rFonts w:asciiTheme="minorHAnsi" w:hAnsiTheme="minorHAnsi" w:cstheme="minorHAnsi"/>
                <w:b w:val="0"/>
                <w:color w:val="090D46" w:themeColor="text1"/>
                <w:sz w:val="18"/>
                <w:szCs w:val="18"/>
              </w:rPr>
              <w:t>In respect of revenue losses, f</w:t>
            </w:r>
            <w:r w:rsidRPr="00D4619D">
              <w:rPr>
                <w:rFonts w:asciiTheme="minorHAnsi" w:hAnsiTheme="minorHAnsi" w:cstheme="minorHAnsi"/>
                <w:b w:val="0"/>
                <w:color w:val="090D46" w:themeColor="text1"/>
                <w:sz w:val="18"/>
                <w:szCs w:val="18"/>
              </w:rPr>
              <w:t xml:space="preserve">amily trusts are only required to satisfy a modified </w:t>
            </w:r>
            <w:r w:rsidR="00497848">
              <w:rPr>
                <w:rFonts w:asciiTheme="minorHAnsi" w:hAnsiTheme="minorHAnsi" w:cstheme="minorHAnsi"/>
                <w:b w:val="0"/>
                <w:color w:val="090D46" w:themeColor="text1"/>
                <w:sz w:val="18"/>
                <w:szCs w:val="18"/>
              </w:rPr>
              <w:t xml:space="preserve">(and concessional) </w:t>
            </w:r>
            <w:r w:rsidRPr="00D4619D">
              <w:rPr>
                <w:rFonts w:asciiTheme="minorHAnsi" w:hAnsiTheme="minorHAnsi" w:cstheme="minorHAnsi"/>
                <w:b w:val="0"/>
                <w:color w:val="090D46" w:themeColor="text1"/>
                <w:sz w:val="18"/>
                <w:szCs w:val="18"/>
              </w:rPr>
              <w:t>version of the income injection test.</w:t>
            </w:r>
          </w:p>
          <w:p w14:paraId="2FC4D818" w14:textId="06FB8F05" w:rsidR="00D4619D" w:rsidRDefault="00D4619D" w:rsidP="00D4619D">
            <w:pPr>
              <w:spacing w:before="100" w:after="100"/>
              <w:rPr>
                <w:szCs w:val="18"/>
              </w:rPr>
            </w:pPr>
            <w:r w:rsidRPr="00D4619D">
              <w:rPr>
                <w:rFonts w:cstheme="minorHAnsi"/>
                <w:szCs w:val="18"/>
              </w:rPr>
              <w:t>T</w:t>
            </w:r>
            <w:r w:rsidRPr="00D4619D">
              <w:rPr>
                <w:rFonts w:eastAsia="Calibri" w:cstheme="minorHAnsi"/>
                <w:szCs w:val="18"/>
                <w:lang w:val="en-US"/>
              </w:rPr>
              <w:t xml:space="preserve">he legislative distinction between fixed and non-fixed trusts became somewhat blurred following the Federal Court decision in </w:t>
            </w:r>
            <w:r w:rsidRPr="00D4619D">
              <w:rPr>
                <w:rFonts w:eastAsia="Calibri" w:cstheme="minorHAnsi"/>
                <w:i/>
                <w:szCs w:val="18"/>
              </w:rPr>
              <w:t>Colonial First State Investments Ltd v Commissioner of Taxation</w:t>
            </w:r>
            <w:r w:rsidRPr="00D4619D">
              <w:rPr>
                <w:rFonts w:eastAsia="Calibri" w:cstheme="minorHAnsi"/>
                <w:szCs w:val="18"/>
                <w:lang w:val="en-US"/>
              </w:rPr>
              <w:t xml:space="preserve"> (2011) FCA 16</w:t>
            </w:r>
            <w:r w:rsidRPr="00D4619D">
              <w:rPr>
                <w:rFonts w:cstheme="minorHAnsi"/>
                <w:iCs/>
                <w:szCs w:val="18"/>
              </w:rPr>
              <w:t>. However, the Commissioner of Taxation may exercise a discretion to treat a trust as a fixed trust in certain circumstances. Practical Compliance Guideline PCG2016/16 provides practical guidance on how the Commissioner exercises this discretion including the application of safe harbours that allow trustees of certain trusts to manage their tax affairs on the basis that the Commissioner has exercised a discretion to treat the trust as a fixed trust.</w:t>
            </w:r>
          </w:p>
        </w:tc>
        <w:tc>
          <w:tcPr>
            <w:tcW w:w="424" w:type="pct"/>
          </w:tcPr>
          <w:p w14:paraId="2DA2EEAE" w14:textId="77777777" w:rsidR="00D4619D" w:rsidRDefault="00D4619D" w:rsidP="00FE690E">
            <w:pPr>
              <w:pStyle w:val="Table"/>
              <w:keepNext/>
              <w:spacing w:before="100" w:after="100"/>
            </w:pPr>
          </w:p>
        </w:tc>
        <w:tc>
          <w:tcPr>
            <w:tcW w:w="342" w:type="pct"/>
          </w:tcPr>
          <w:p w14:paraId="5EAB5A82" w14:textId="77777777" w:rsidR="00D4619D" w:rsidRDefault="00D4619D" w:rsidP="00FE690E">
            <w:pPr>
              <w:pStyle w:val="Table"/>
              <w:keepNext/>
              <w:spacing w:before="100" w:after="100"/>
            </w:pPr>
          </w:p>
        </w:tc>
        <w:tc>
          <w:tcPr>
            <w:tcW w:w="334" w:type="pct"/>
          </w:tcPr>
          <w:p w14:paraId="6EBC0A23" w14:textId="77777777" w:rsidR="00D4619D" w:rsidRDefault="00D4619D" w:rsidP="00FE690E">
            <w:pPr>
              <w:pStyle w:val="Table"/>
              <w:keepNext/>
              <w:spacing w:before="100" w:after="100"/>
            </w:pPr>
          </w:p>
        </w:tc>
      </w:tr>
      <w:tr w:rsidR="00107585" w14:paraId="71D449E9" w14:textId="77777777" w:rsidTr="00E54AE7">
        <w:tc>
          <w:tcPr>
            <w:tcW w:w="3900" w:type="pct"/>
            <w:hideMark/>
          </w:tcPr>
          <w:p w14:paraId="5A86ADB3" w14:textId="36E76164" w:rsidR="00F91932" w:rsidRDefault="00AA0F33" w:rsidP="00FE690E">
            <w:pPr>
              <w:spacing w:before="100" w:after="100"/>
              <w:rPr>
                <w:szCs w:val="18"/>
              </w:rPr>
            </w:pPr>
            <w:r>
              <w:rPr>
                <w:szCs w:val="18"/>
              </w:rPr>
              <w:t>Note that c</w:t>
            </w:r>
            <w:r w:rsidR="00F91932">
              <w:rPr>
                <w:szCs w:val="18"/>
              </w:rPr>
              <w:t xml:space="preserve">apital losses of a trust are not subject to the recoupment tests referred to above. </w:t>
            </w:r>
          </w:p>
          <w:p w14:paraId="62924E16" w14:textId="6656DE84" w:rsidR="00FE690E" w:rsidRDefault="00FE690E" w:rsidP="00FE690E">
            <w:pPr>
              <w:spacing w:before="100" w:after="100"/>
              <w:rPr>
                <w:szCs w:val="18"/>
              </w:rPr>
            </w:pPr>
            <w:r>
              <w:rPr>
                <w:szCs w:val="18"/>
              </w:rPr>
              <w:t xml:space="preserve">If the trust has tax losses and net capital losses </w:t>
            </w:r>
            <w:r w:rsidR="0022500D">
              <w:rPr>
                <w:szCs w:val="18"/>
              </w:rPr>
              <w:t xml:space="preserve">totalling </w:t>
            </w:r>
            <w:r>
              <w:rPr>
                <w:szCs w:val="18"/>
              </w:rPr>
              <w:t>in excess of $100,000 or is a listed widely held trust and fails the majority ownership test for a loss, has a Losses Schedule been completed?</w:t>
            </w:r>
          </w:p>
        </w:tc>
        <w:tc>
          <w:tcPr>
            <w:tcW w:w="424" w:type="pct"/>
          </w:tcPr>
          <w:p w14:paraId="21CA7FF4" w14:textId="77777777" w:rsidR="00FE690E" w:rsidRDefault="00FE690E" w:rsidP="00FE690E">
            <w:pPr>
              <w:pStyle w:val="Table"/>
              <w:keepNext/>
              <w:spacing w:before="100" w:after="100"/>
            </w:pPr>
          </w:p>
        </w:tc>
        <w:tc>
          <w:tcPr>
            <w:tcW w:w="342" w:type="pct"/>
          </w:tcPr>
          <w:p w14:paraId="709B84EF" w14:textId="77777777" w:rsidR="00FE690E" w:rsidRDefault="00FE690E" w:rsidP="00FE690E">
            <w:pPr>
              <w:pStyle w:val="Table"/>
              <w:keepNext/>
              <w:spacing w:before="100" w:after="100"/>
            </w:pPr>
          </w:p>
        </w:tc>
        <w:tc>
          <w:tcPr>
            <w:tcW w:w="334" w:type="pct"/>
          </w:tcPr>
          <w:p w14:paraId="1947C81A" w14:textId="77777777" w:rsidR="00FE690E" w:rsidRDefault="00FE690E" w:rsidP="00FE690E">
            <w:pPr>
              <w:pStyle w:val="Table"/>
              <w:keepNext/>
              <w:spacing w:before="100" w:after="100"/>
            </w:pPr>
          </w:p>
        </w:tc>
      </w:tr>
      <w:tr w:rsidR="00107585" w14:paraId="0FBFC690"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hideMark/>
          </w:tcPr>
          <w:p w14:paraId="78245FE2" w14:textId="7BAA7546" w:rsidR="00FE690E" w:rsidRDefault="00FE690E" w:rsidP="00FE690E">
            <w:pPr>
              <w:spacing w:before="100" w:after="100"/>
              <w:rPr>
                <w:szCs w:val="18"/>
              </w:rPr>
            </w:pPr>
            <w:r>
              <w:rPr>
                <w:szCs w:val="18"/>
              </w:rPr>
              <w:t>Does the trust have an interest in a controlled foreign company that has 202</w:t>
            </w:r>
            <w:r w:rsidR="002C16CB">
              <w:rPr>
                <w:szCs w:val="18"/>
              </w:rPr>
              <w:t>3</w:t>
            </w:r>
            <w:r>
              <w:rPr>
                <w:szCs w:val="18"/>
              </w:rPr>
              <w:t xml:space="preserve"> losses greater than $100,000, or has it deducted or carried forward a loss greater than $100,000 to later income years? If so, a Losses Schedule must also be completed.</w:t>
            </w:r>
          </w:p>
        </w:tc>
        <w:tc>
          <w:tcPr>
            <w:tcW w:w="424" w:type="pct"/>
          </w:tcPr>
          <w:p w14:paraId="267F6534" w14:textId="77777777" w:rsidR="00FE690E" w:rsidRDefault="00FE690E" w:rsidP="00FE690E">
            <w:pPr>
              <w:pStyle w:val="Table"/>
              <w:keepNext/>
              <w:spacing w:before="100" w:after="100"/>
            </w:pPr>
          </w:p>
        </w:tc>
        <w:tc>
          <w:tcPr>
            <w:tcW w:w="342" w:type="pct"/>
          </w:tcPr>
          <w:p w14:paraId="005A385D" w14:textId="77777777" w:rsidR="00FE690E" w:rsidRDefault="00FE690E" w:rsidP="00FE690E">
            <w:pPr>
              <w:pStyle w:val="Table"/>
              <w:keepNext/>
              <w:spacing w:before="100" w:after="100"/>
            </w:pPr>
          </w:p>
        </w:tc>
        <w:tc>
          <w:tcPr>
            <w:tcW w:w="334" w:type="pct"/>
          </w:tcPr>
          <w:p w14:paraId="2030EB4E" w14:textId="77777777" w:rsidR="00FE690E" w:rsidRDefault="00FE690E" w:rsidP="00FE690E">
            <w:pPr>
              <w:pStyle w:val="Table"/>
              <w:keepNext/>
              <w:spacing w:before="100" w:after="100"/>
            </w:pPr>
          </w:p>
        </w:tc>
      </w:tr>
      <w:tr w:rsidR="00107585" w14:paraId="50A5C451" w14:textId="77777777" w:rsidTr="00E54AE7">
        <w:tc>
          <w:tcPr>
            <w:tcW w:w="3900" w:type="pct"/>
          </w:tcPr>
          <w:p w14:paraId="4B313F27" w14:textId="77777777" w:rsidR="00FE690E" w:rsidRDefault="00FE690E" w:rsidP="00FE690E">
            <w:pPr>
              <w:spacing w:before="100" w:after="100"/>
              <w:rPr>
                <w:b/>
                <w:bCs/>
                <w:szCs w:val="18"/>
              </w:rPr>
            </w:pPr>
            <w:r>
              <w:rPr>
                <w:b/>
                <w:bCs/>
                <w:szCs w:val="18"/>
              </w:rPr>
              <w:t>Comments:</w:t>
            </w:r>
          </w:p>
          <w:p w14:paraId="08B854A7" w14:textId="77777777" w:rsidR="00AE1BC5" w:rsidRDefault="00AE1BC5" w:rsidP="00FE690E">
            <w:pPr>
              <w:spacing w:before="100" w:after="100"/>
              <w:rPr>
                <w:b/>
                <w:bCs/>
                <w:szCs w:val="18"/>
              </w:rPr>
            </w:pPr>
          </w:p>
          <w:p w14:paraId="5AFA69A4" w14:textId="77777777" w:rsidR="00AE1BC5" w:rsidRDefault="00AE1BC5" w:rsidP="00FE690E">
            <w:pPr>
              <w:spacing w:before="100" w:after="100"/>
              <w:rPr>
                <w:b/>
                <w:bCs/>
                <w:szCs w:val="18"/>
              </w:rPr>
            </w:pPr>
          </w:p>
          <w:p w14:paraId="3B50A7E4" w14:textId="77777777" w:rsidR="00FE690E" w:rsidRDefault="00FE690E" w:rsidP="00FE690E">
            <w:pPr>
              <w:spacing w:before="100" w:after="100"/>
              <w:rPr>
                <w:b/>
                <w:bCs/>
                <w:szCs w:val="18"/>
              </w:rPr>
            </w:pPr>
          </w:p>
        </w:tc>
        <w:tc>
          <w:tcPr>
            <w:tcW w:w="424" w:type="pct"/>
          </w:tcPr>
          <w:p w14:paraId="20459ECF" w14:textId="77777777" w:rsidR="00FE690E" w:rsidRDefault="00FE690E" w:rsidP="00FE690E">
            <w:pPr>
              <w:pStyle w:val="Table"/>
              <w:keepNext/>
              <w:spacing w:before="100" w:after="100"/>
            </w:pPr>
          </w:p>
        </w:tc>
        <w:tc>
          <w:tcPr>
            <w:tcW w:w="342" w:type="pct"/>
          </w:tcPr>
          <w:p w14:paraId="29EA41E5" w14:textId="77777777" w:rsidR="00FE690E" w:rsidRDefault="00FE690E" w:rsidP="00FE690E">
            <w:pPr>
              <w:pStyle w:val="Table"/>
              <w:keepNext/>
              <w:spacing w:before="100" w:after="100"/>
            </w:pPr>
          </w:p>
        </w:tc>
        <w:tc>
          <w:tcPr>
            <w:tcW w:w="334" w:type="pct"/>
          </w:tcPr>
          <w:p w14:paraId="1AEEA7BD" w14:textId="77777777" w:rsidR="00FE690E" w:rsidRDefault="00FE690E" w:rsidP="00FE690E">
            <w:pPr>
              <w:pStyle w:val="Table"/>
              <w:keepNext/>
              <w:spacing w:before="100" w:after="100"/>
            </w:pPr>
          </w:p>
        </w:tc>
      </w:tr>
      <w:tr w:rsidR="00FE690E" w14:paraId="1A3A5C5E" w14:textId="77777777" w:rsidTr="00D4619D">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02693C49" w14:textId="77777777" w:rsidR="00FE690E" w:rsidRPr="00D4619D" w:rsidRDefault="00FE690E" w:rsidP="00FE690E">
            <w:pPr>
              <w:pStyle w:val="Table"/>
              <w:keepNext/>
              <w:spacing w:before="100" w:after="100"/>
              <w:rPr>
                <w:b/>
                <w:color w:val="FFFFFF" w:themeColor="background1"/>
              </w:rPr>
            </w:pPr>
            <w:r w:rsidRPr="00D4619D">
              <w:rPr>
                <w:b/>
                <w:color w:val="FFFFFF" w:themeColor="background1"/>
              </w:rPr>
              <w:br w:type="page"/>
            </w:r>
            <w:r w:rsidRPr="00D4619D">
              <w:rPr>
                <w:b/>
                <w:color w:val="FFFFFF" w:themeColor="background1"/>
                <w:sz w:val="18"/>
                <w:szCs w:val="18"/>
              </w:rPr>
              <w:t>OVERSEAS TRANSACTIONS / THIN CAPITALISATION (ITEM 29)</w:t>
            </w:r>
          </w:p>
        </w:tc>
      </w:tr>
      <w:tr w:rsidR="00107585" w14:paraId="49E29CD7" w14:textId="77777777" w:rsidTr="00E54AE7">
        <w:tc>
          <w:tcPr>
            <w:tcW w:w="3900" w:type="pct"/>
            <w:hideMark/>
          </w:tcPr>
          <w:p w14:paraId="4BF63D32" w14:textId="77777777" w:rsidR="00FE690E" w:rsidRDefault="00FE690E" w:rsidP="00FE690E">
            <w:pPr>
              <w:spacing w:before="100" w:after="100"/>
              <w:rPr>
                <w:szCs w:val="18"/>
              </w:rPr>
            </w:pPr>
            <w:r>
              <w:rPr>
                <w:szCs w:val="18"/>
              </w:rPr>
              <w:t xml:space="preserve">Have the transfer pricing provisions in Division </w:t>
            </w:r>
            <w:r>
              <w:rPr>
                <w:rFonts w:cs="Arial"/>
                <w:szCs w:val="18"/>
              </w:rPr>
              <w:t xml:space="preserve">815 of the </w:t>
            </w:r>
            <w:r>
              <w:rPr>
                <w:rFonts w:cs="Arial"/>
                <w:i/>
                <w:szCs w:val="18"/>
              </w:rPr>
              <w:t>ITAA 1997</w:t>
            </w:r>
            <w:r>
              <w:rPr>
                <w:szCs w:val="18"/>
              </w:rPr>
              <w:t xml:space="preserve"> (i.e. the need for commercial arm’s length principles) been applied to cross-border transactions with international related parties?</w:t>
            </w:r>
          </w:p>
        </w:tc>
        <w:tc>
          <w:tcPr>
            <w:tcW w:w="424" w:type="pct"/>
          </w:tcPr>
          <w:p w14:paraId="409676BD" w14:textId="77777777" w:rsidR="00FE690E" w:rsidRDefault="00FE690E" w:rsidP="00FE690E">
            <w:pPr>
              <w:pStyle w:val="Table"/>
              <w:keepNext/>
              <w:spacing w:before="100" w:after="100"/>
            </w:pPr>
          </w:p>
        </w:tc>
        <w:tc>
          <w:tcPr>
            <w:tcW w:w="342" w:type="pct"/>
          </w:tcPr>
          <w:p w14:paraId="675606C0" w14:textId="77777777" w:rsidR="00FE690E" w:rsidRDefault="00FE690E" w:rsidP="00FE690E">
            <w:pPr>
              <w:pStyle w:val="Table"/>
              <w:keepNext/>
              <w:spacing w:before="100" w:after="100"/>
            </w:pPr>
          </w:p>
        </w:tc>
        <w:tc>
          <w:tcPr>
            <w:tcW w:w="334" w:type="pct"/>
          </w:tcPr>
          <w:p w14:paraId="6A4DE8A3" w14:textId="77777777" w:rsidR="00FE690E" w:rsidRDefault="00FE690E" w:rsidP="00FE690E">
            <w:pPr>
              <w:pStyle w:val="Table"/>
              <w:keepNext/>
              <w:spacing w:before="100" w:after="100"/>
            </w:pPr>
          </w:p>
        </w:tc>
      </w:tr>
      <w:tr w:rsidR="00107585" w14:paraId="782CC3BF"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hideMark/>
          </w:tcPr>
          <w:p w14:paraId="15A7C5F7" w14:textId="77777777" w:rsidR="00FE690E" w:rsidRDefault="00FE690E" w:rsidP="00FE690E">
            <w:pPr>
              <w:spacing w:before="100" w:after="100"/>
              <w:rPr>
                <w:szCs w:val="18"/>
              </w:rPr>
            </w:pPr>
            <w:r>
              <w:rPr>
                <w:rFonts w:cs="Arial"/>
                <w:szCs w:val="18"/>
              </w:rPr>
              <w:t xml:space="preserve">Are the arm’s length conditions of cross-border transactions consistent with the arm’s length methodologies approved by the OECD as effectively required under section 815-135 of </w:t>
            </w:r>
            <w:r>
              <w:rPr>
                <w:rFonts w:cs="Arial"/>
                <w:i/>
                <w:szCs w:val="18"/>
              </w:rPr>
              <w:t>ITAA 1997?</w:t>
            </w:r>
          </w:p>
        </w:tc>
        <w:tc>
          <w:tcPr>
            <w:tcW w:w="424" w:type="pct"/>
          </w:tcPr>
          <w:p w14:paraId="606250BF" w14:textId="77777777" w:rsidR="00FE690E" w:rsidRDefault="00FE690E" w:rsidP="00FE690E">
            <w:pPr>
              <w:pStyle w:val="Table"/>
              <w:keepNext/>
              <w:spacing w:before="100" w:after="100"/>
            </w:pPr>
          </w:p>
        </w:tc>
        <w:tc>
          <w:tcPr>
            <w:tcW w:w="342" w:type="pct"/>
          </w:tcPr>
          <w:p w14:paraId="36C09C2F" w14:textId="77777777" w:rsidR="00FE690E" w:rsidRDefault="00FE690E" w:rsidP="00FE690E">
            <w:pPr>
              <w:pStyle w:val="Table"/>
              <w:keepNext/>
              <w:spacing w:before="100" w:after="100"/>
            </w:pPr>
          </w:p>
        </w:tc>
        <w:tc>
          <w:tcPr>
            <w:tcW w:w="334" w:type="pct"/>
          </w:tcPr>
          <w:p w14:paraId="16348707" w14:textId="77777777" w:rsidR="00FE690E" w:rsidRDefault="00FE690E" w:rsidP="00FE690E">
            <w:pPr>
              <w:pStyle w:val="Table"/>
              <w:keepNext/>
              <w:spacing w:before="100" w:after="100"/>
            </w:pPr>
          </w:p>
        </w:tc>
      </w:tr>
      <w:tr w:rsidR="00107585" w14:paraId="12FFBFD7" w14:textId="77777777" w:rsidTr="00E54AE7">
        <w:tc>
          <w:tcPr>
            <w:tcW w:w="3900" w:type="pct"/>
          </w:tcPr>
          <w:p w14:paraId="39A082EA" w14:textId="77777777" w:rsidR="00BC7E80" w:rsidRPr="00BC7E80" w:rsidRDefault="00BC7E80" w:rsidP="00BC7E80">
            <w:pPr>
              <w:pStyle w:val="Table"/>
              <w:keepNext/>
              <w:spacing w:before="100" w:after="100"/>
              <w:rPr>
                <w:rFonts w:asciiTheme="minorHAnsi" w:hAnsiTheme="minorHAnsi" w:cstheme="minorHAnsi"/>
                <w:color w:val="090D46" w:themeColor="text1"/>
                <w:sz w:val="18"/>
                <w:szCs w:val="18"/>
              </w:rPr>
            </w:pPr>
            <w:r w:rsidRPr="00BC7E80">
              <w:rPr>
                <w:rFonts w:asciiTheme="minorHAnsi" w:hAnsiTheme="minorHAnsi" w:cstheme="minorHAnsi"/>
                <w:color w:val="090D46" w:themeColor="text1"/>
                <w:sz w:val="18"/>
                <w:szCs w:val="18"/>
              </w:rPr>
              <w:t xml:space="preserve">Has the trust prepared contemporaneous documentation in respect of the arm’s length conditions of any cross-border transaction setting out the arm’s length methodology used in identifying the arm’s length conditions and pricing of such a transaction? </w:t>
            </w:r>
          </w:p>
          <w:p w14:paraId="506E5A7F" w14:textId="5DCB0F44" w:rsidR="00BC7E80" w:rsidRDefault="00BC7E80" w:rsidP="00BC7E80">
            <w:pPr>
              <w:spacing w:before="100" w:after="100"/>
              <w:rPr>
                <w:rFonts w:cs="Arial"/>
                <w:szCs w:val="18"/>
              </w:rPr>
            </w:pPr>
            <w:r w:rsidRPr="00BC7E80">
              <w:rPr>
                <w:rFonts w:cstheme="minorHAnsi"/>
                <w:szCs w:val="18"/>
              </w:rPr>
              <w:t xml:space="preserve">Does such documentation satisfy the requirements of Subdivision 284-E of Schedule 1 of the </w:t>
            </w:r>
            <w:r w:rsidRPr="00BC7E80">
              <w:rPr>
                <w:rFonts w:cstheme="minorHAnsi"/>
                <w:i/>
                <w:szCs w:val="18"/>
              </w:rPr>
              <w:t>Taxation Administration Act (TAA 1953)</w:t>
            </w:r>
            <w:r w:rsidRPr="00BC7E80">
              <w:rPr>
                <w:rFonts w:cstheme="minorHAnsi"/>
                <w:szCs w:val="18"/>
              </w:rPr>
              <w:t xml:space="preserve"> and Taxation Ruling TR 2014/8?</w:t>
            </w:r>
          </w:p>
        </w:tc>
        <w:tc>
          <w:tcPr>
            <w:tcW w:w="424" w:type="pct"/>
          </w:tcPr>
          <w:p w14:paraId="3492940D" w14:textId="77777777" w:rsidR="00BC7E80" w:rsidRDefault="00BC7E80" w:rsidP="00FE690E">
            <w:pPr>
              <w:pStyle w:val="Table"/>
              <w:keepNext/>
              <w:spacing w:before="100" w:after="100"/>
            </w:pPr>
          </w:p>
        </w:tc>
        <w:tc>
          <w:tcPr>
            <w:tcW w:w="342" w:type="pct"/>
          </w:tcPr>
          <w:p w14:paraId="76468F5C" w14:textId="77777777" w:rsidR="00BC7E80" w:rsidRDefault="00BC7E80" w:rsidP="00FE690E">
            <w:pPr>
              <w:pStyle w:val="Table"/>
              <w:keepNext/>
              <w:spacing w:before="100" w:after="100"/>
            </w:pPr>
          </w:p>
        </w:tc>
        <w:tc>
          <w:tcPr>
            <w:tcW w:w="334" w:type="pct"/>
          </w:tcPr>
          <w:p w14:paraId="0BF6B80F" w14:textId="77777777" w:rsidR="00BC7E80" w:rsidRDefault="00BC7E80" w:rsidP="00FE690E">
            <w:pPr>
              <w:pStyle w:val="Table"/>
              <w:keepNext/>
              <w:spacing w:before="100" w:after="100"/>
            </w:pPr>
          </w:p>
        </w:tc>
      </w:tr>
      <w:tr w:rsidR="00107585" w14:paraId="79FAE188"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tcPr>
          <w:p w14:paraId="7DEDAA5F" w14:textId="56B9283D" w:rsidR="00BC7E80" w:rsidRDefault="00BC7E80" w:rsidP="00FE690E">
            <w:pPr>
              <w:spacing w:before="100" w:after="100"/>
              <w:rPr>
                <w:rFonts w:cs="Arial"/>
                <w:szCs w:val="18"/>
              </w:rPr>
            </w:pPr>
            <w:r w:rsidRPr="00BC7E80">
              <w:rPr>
                <w:rFonts w:cs="Arial"/>
                <w:szCs w:val="18"/>
              </w:rPr>
              <w:t>Is the trust eligible to elect to apply the simplified transfer pricing record keeping options under Practical Compliance Guideline PCG 2017/2 to reduce the amount of contemporaneous transfer pricing documentation administratively required to be retained in order to ensure that a penalty for a failure to maintain a reasonably arguable position will not be imposed?</w:t>
            </w:r>
          </w:p>
        </w:tc>
        <w:tc>
          <w:tcPr>
            <w:tcW w:w="424" w:type="pct"/>
          </w:tcPr>
          <w:p w14:paraId="21ADEAEF" w14:textId="77777777" w:rsidR="00BC7E80" w:rsidRDefault="00BC7E80" w:rsidP="00FE690E">
            <w:pPr>
              <w:pStyle w:val="Table"/>
              <w:keepNext/>
              <w:spacing w:before="100" w:after="100"/>
            </w:pPr>
          </w:p>
        </w:tc>
        <w:tc>
          <w:tcPr>
            <w:tcW w:w="342" w:type="pct"/>
          </w:tcPr>
          <w:p w14:paraId="281AA65F" w14:textId="77777777" w:rsidR="00BC7E80" w:rsidRDefault="00BC7E80" w:rsidP="00FE690E">
            <w:pPr>
              <w:pStyle w:val="Table"/>
              <w:keepNext/>
              <w:spacing w:before="100" w:after="100"/>
            </w:pPr>
          </w:p>
        </w:tc>
        <w:tc>
          <w:tcPr>
            <w:tcW w:w="334" w:type="pct"/>
          </w:tcPr>
          <w:p w14:paraId="216D524C" w14:textId="77777777" w:rsidR="00BC7E80" w:rsidRDefault="00BC7E80" w:rsidP="00FE690E">
            <w:pPr>
              <w:pStyle w:val="Table"/>
              <w:keepNext/>
              <w:spacing w:before="100" w:after="100"/>
            </w:pPr>
          </w:p>
        </w:tc>
      </w:tr>
      <w:tr w:rsidR="00207075" w14:paraId="7FC462A4" w14:textId="77777777" w:rsidTr="00BC7E80">
        <w:tc>
          <w:tcPr>
            <w:tcW w:w="5000" w:type="pct"/>
            <w:gridSpan w:val="4"/>
            <w:shd w:val="clear" w:color="auto" w:fill="0A5CC7" w:themeFill="accent3"/>
          </w:tcPr>
          <w:p w14:paraId="65797683" w14:textId="4D660555" w:rsidR="00207075" w:rsidRPr="00BC7E80" w:rsidRDefault="00207075" w:rsidP="00207075">
            <w:pPr>
              <w:pStyle w:val="Table"/>
              <w:keepNext/>
              <w:spacing w:before="100" w:after="100"/>
              <w:rPr>
                <w:b/>
                <w:color w:val="FFFFFF" w:themeColor="background1"/>
              </w:rPr>
            </w:pPr>
            <w:r w:rsidRPr="00D4619D">
              <w:rPr>
                <w:b/>
                <w:color w:val="FFFFFF" w:themeColor="background1"/>
              </w:rPr>
              <w:br w:type="page"/>
            </w:r>
            <w:r w:rsidRPr="00D4619D">
              <w:rPr>
                <w:b/>
                <w:color w:val="FFFFFF" w:themeColor="background1"/>
                <w:sz w:val="18"/>
                <w:szCs w:val="18"/>
              </w:rPr>
              <w:t>OVERSEAS TRANSACTIONS / THIN CAPITALISATION (ITEM 29)</w:t>
            </w:r>
            <w:r>
              <w:rPr>
                <w:b/>
                <w:color w:val="FFFFFF" w:themeColor="background1"/>
                <w:sz w:val="18"/>
                <w:szCs w:val="18"/>
              </w:rPr>
              <w:t xml:space="preserve"> (CONTINUED)</w:t>
            </w:r>
          </w:p>
        </w:tc>
      </w:tr>
      <w:tr w:rsidR="00207075" w14:paraId="3F70716C"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tcPr>
          <w:p w14:paraId="1C771302" w14:textId="1E2E6904" w:rsidR="00207075" w:rsidRPr="00BC7E80" w:rsidRDefault="00207075" w:rsidP="00207075">
            <w:pPr>
              <w:pStyle w:val="Tablealphabullet"/>
              <w:numPr>
                <w:ilvl w:val="0"/>
                <w:numId w:val="0"/>
              </w:numPr>
              <w:spacing w:before="100" w:after="100"/>
              <w:rPr>
                <w:rFonts w:asciiTheme="minorHAnsi" w:hAnsiTheme="minorHAnsi" w:cstheme="minorHAnsi"/>
                <w:color w:val="090D46" w:themeColor="text1"/>
                <w:sz w:val="18"/>
                <w:szCs w:val="18"/>
              </w:rPr>
            </w:pPr>
            <w:r>
              <w:rPr>
                <w:szCs w:val="18"/>
              </w:rPr>
              <w:t>Was the aggregate amount of your transactions or dealings with international related parties greater than $2 million? If so, has a 2023 IDS been completed?</w:t>
            </w:r>
          </w:p>
        </w:tc>
        <w:tc>
          <w:tcPr>
            <w:tcW w:w="424" w:type="pct"/>
          </w:tcPr>
          <w:p w14:paraId="1F20E1F6" w14:textId="77777777" w:rsidR="00207075" w:rsidRDefault="00207075" w:rsidP="00207075">
            <w:pPr>
              <w:pStyle w:val="Table"/>
              <w:spacing w:before="100" w:after="100"/>
              <w:rPr>
                <w:sz w:val="18"/>
                <w:szCs w:val="18"/>
              </w:rPr>
            </w:pPr>
          </w:p>
        </w:tc>
        <w:tc>
          <w:tcPr>
            <w:tcW w:w="342" w:type="pct"/>
          </w:tcPr>
          <w:p w14:paraId="4B89509D" w14:textId="77777777" w:rsidR="00207075" w:rsidRDefault="00207075" w:rsidP="00207075">
            <w:pPr>
              <w:pStyle w:val="Table"/>
              <w:spacing w:before="100" w:after="100"/>
              <w:rPr>
                <w:sz w:val="18"/>
                <w:szCs w:val="18"/>
              </w:rPr>
            </w:pPr>
          </w:p>
        </w:tc>
        <w:tc>
          <w:tcPr>
            <w:tcW w:w="334" w:type="pct"/>
          </w:tcPr>
          <w:p w14:paraId="6DE6845A" w14:textId="77777777" w:rsidR="00207075" w:rsidRDefault="00207075" w:rsidP="00207075">
            <w:pPr>
              <w:pStyle w:val="Table"/>
              <w:spacing w:before="100" w:after="100"/>
              <w:rPr>
                <w:sz w:val="18"/>
                <w:szCs w:val="18"/>
              </w:rPr>
            </w:pPr>
          </w:p>
        </w:tc>
      </w:tr>
      <w:tr w:rsidR="00207075" w14:paraId="09F2460E" w14:textId="77777777" w:rsidTr="00E54AE7">
        <w:tc>
          <w:tcPr>
            <w:tcW w:w="3900" w:type="pct"/>
            <w:hideMark/>
          </w:tcPr>
          <w:p w14:paraId="2A191BD0" w14:textId="77777777" w:rsidR="00207075" w:rsidRPr="00BC7E80" w:rsidRDefault="00207075" w:rsidP="00207075">
            <w:pPr>
              <w:pStyle w:val="Tablealphabullet"/>
              <w:numPr>
                <w:ilvl w:val="0"/>
                <w:numId w:val="0"/>
              </w:numPr>
              <w:spacing w:before="100" w:after="100"/>
              <w:rPr>
                <w:rFonts w:asciiTheme="minorHAnsi" w:hAnsiTheme="minorHAnsi" w:cstheme="minorHAnsi"/>
                <w:color w:val="090D46" w:themeColor="text1"/>
                <w:sz w:val="18"/>
                <w:szCs w:val="18"/>
              </w:rPr>
            </w:pPr>
            <w:r w:rsidRPr="00BC7E80">
              <w:rPr>
                <w:rFonts w:asciiTheme="minorHAnsi" w:hAnsiTheme="minorHAnsi" w:cstheme="minorHAnsi"/>
                <w:color w:val="090D46" w:themeColor="text1"/>
                <w:sz w:val="18"/>
                <w:szCs w:val="18"/>
              </w:rPr>
              <w:t xml:space="preserve">Have the thin capitalisation provisions in Division 820 of the </w:t>
            </w:r>
            <w:r w:rsidRPr="00BC7E80">
              <w:rPr>
                <w:rFonts w:asciiTheme="minorHAnsi" w:hAnsiTheme="minorHAnsi" w:cstheme="minorHAnsi"/>
                <w:i/>
                <w:color w:val="090D46" w:themeColor="text1"/>
                <w:sz w:val="18"/>
                <w:szCs w:val="18"/>
              </w:rPr>
              <w:t>ITAA 1997</w:t>
            </w:r>
            <w:r w:rsidRPr="00BC7E80">
              <w:rPr>
                <w:rFonts w:asciiTheme="minorHAnsi" w:hAnsiTheme="minorHAnsi" w:cstheme="minorHAnsi"/>
                <w:color w:val="090D46" w:themeColor="text1"/>
                <w:sz w:val="18"/>
                <w:szCs w:val="18"/>
              </w:rPr>
              <w:t xml:space="preserve"> been considered? The following entities are subject to the thin capitalisation provisions:</w:t>
            </w:r>
          </w:p>
          <w:p w14:paraId="204CB250" w14:textId="77777777" w:rsidR="00207075" w:rsidRDefault="00207075" w:rsidP="00207075">
            <w:pPr>
              <w:pStyle w:val="ListBullet"/>
            </w:pPr>
            <w:r>
              <w:t xml:space="preserve">Australian entities with certain overseas operations, and their associate entities (outward investors) </w:t>
            </w:r>
          </w:p>
          <w:p w14:paraId="39615FEF" w14:textId="77777777" w:rsidR="00207075" w:rsidRDefault="00207075" w:rsidP="00207075">
            <w:pPr>
              <w:pStyle w:val="ListBullet"/>
            </w:pPr>
            <w:r>
              <w:t xml:space="preserve">Australian entities that are foreign controlled (inward investors) </w:t>
            </w:r>
          </w:p>
          <w:p w14:paraId="67AA287E" w14:textId="77777777" w:rsidR="00207075" w:rsidRDefault="00207075" w:rsidP="00207075">
            <w:pPr>
              <w:pStyle w:val="ListBullet"/>
            </w:pPr>
            <w:r>
              <w:t>Foreign entities with operations or investments in Australia that are claiming debt deductions (inward investors).</w:t>
            </w:r>
            <w:r>
              <w:rPr>
                <w:rFonts w:cs="Arial"/>
                <w:color w:val="333333"/>
              </w:rPr>
              <w:t xml:space="preserve"> </w:t>
            </w:r>
          </w:p>
          <w:p w14:paraId="05E04D5B" w14:textId="77777777" w:rsidR="00207075" w:rsidRPr="00BC7E80" w:rsidRDefault="00207075" w:rsidP="00207075">
            <w:pPr>
              <w:pStyle w:val="Tableheading"/>
              <w:keepNext/>
              <w:spacing w:before="100" w:after="100"/>
              <w:rPr>
                <w:rFonts w:asciiTheme="minorHAnsi" w:hAnsiTheme="minorHAnsi" w:cstheme="minorHAnsi"/>
                <w:b w:val="0"/>
                <w:color w:val="090D46" w:themeColor="text1"/>
                <w:sz w:val="18"/>
                <w:szCs w:val="18"/>
              </w:rPr>
            </w:pPr>
            <w:r w:rsidRPr="00BC7E80">
              <w:rPr>
                <w:rFonts w:asciiTheme="minorHAnsi" w:hAnsiTheme="minorHAnsi" w:cstheme="minorHAnsi"/>
                <w:b w:val="0"/>
                <w:color w:val="090D46" w:themeColor="text1"/>
                <w:sz w:val="18"/>
                <w:szCs w:val="18"/>
              </w:rPr>
              <w:t xml:space="preserve">Check whether the outward investor’s foreign assets represent less than 10% of its total assets. If so, the exemption in section 820-37 of the </w:t>
            </w:r>
            <w:r w:rsidRPr="00BC7E80">
              <w:rPr>
                <w:rFonts w:asciiTheme="minorHAnsi" w:hAnsiTheme="minorHAnsi" w:cstheme="minorHAnsi"/>
                <w:b w:val="0"/>
                <w:i/>
                <w:color w:val="090D46" w:themeColor="text1"/>
                <w:sz w:val="18"/>
                <w:szCs w:val="18"/>
              </w:rPr>
              <w:t>ITAA 1997</w:t>
            </w:r>
            <w:r w:rsidRPr="00BC7E80">
              <w:rPr>
                <w:rFonts w:asciiTheme="minorHAnsi" w:hAnsiTheme="minorHAnsi" w:cstheme="minorHAnsi"/>
                <w:b w:val="0"/>
                <w:color w:val="090D46" w:themeColor="text1"/>
                <w:sz w:val="18"/>
                <w:szCs w:val="18"/>
              </w:rPr>
              <w:t xml:space="preserve"> may apply.</w:t>
            </w:r>
          </w:p>
          <w:p w14:paraId="09045EE6" w14:textId="77777777" w:rsidR="00207075" w:rsidRPr="00BC7E80" w:rsidRDefault="00207075" w:rsidP="00207075">
            <w:pPr>
              <w:pStyle w:val="Table"/>
              <w:keepNext/>
              <w:spacing w:before="100" w:after="100"/>
              <w:rPr>
                <w:rFonts w:asciiTheme="minorHAnsi" w:hAnsiTheme="minorHAnsi" w:cstheme="minorHAnsi"/>
                <w:color w:val="090D46" w:themeColor="text1"/>
                <w:sz w:val="18"/>
                <w:szCs w:val="18"/>
              </w:rPr>
            </w:pPr>
            <w:r w:rsidRPr="00BC7E80">
              <w:rPr>
                <w:rFonts w:asciiTheme="minorHAnsi" w:hAnsiTheme="minorHAnsi" w:cstheme="minorHAnsi"/>
                <w:color w:val="090D46" w:themeColor="text1"/>
                <w:sz w:val="18"/>
                <w:szCs w:val="18"/>
              </w:rPr>
              <w:t>Check</w:t>
            </w:r>
            <w:r w:rsidRPr="00BC7E80">
              <w:rPr>
                <w:rFonts w:asciiTheme="minorHAnsi" w:hAnsiTheme="minorHAnsi" w:cstheme="minorHAnsi"/>
                <w:b/>
                <w:color w:val="090D46" w:themeColor="text1"/>
                <w:sz w:val="18"/>
                <w:szCs w:val="18"/>
              </w:rPr>
              <w:t xml:space="preserve"> </w:t>
            </w:r>
            <w:r w:rsidRPr="00BC7E80">
              <w:rPr>
                <w:rFonts w:asciiTheme="minorHAnsi" w:hAnsiTheme="minorHAnsi" w:cstheme="minorHAnsi"/>
                <w:color w:val="090D46" w:themeColor="text1"/>
                <w:sz w:val="18"/>
                <w:szCs w:val="18"/>
              </w:rPr>
              <w:t>whether the sum of the</w:t>
            </w:r>
            <w:r w:rsidRPr="00BC7E80">
              <w:rPr>
                <w:rFonts w:asciiTheme="minorHAnsi" w:hAnsiTheme="minorHAnsi" w:cstheme="minorHAnsi"/>
                <w:b/>
                <w:color w:val="090D46" w:themeColor="text1"/>
                <w:sz w:val="18"/>
                <w:szCs w:val="18"/>
              </w:rPr>
              <w:t xml:space="preserve"> </w:t>
            </w:r>
            <w:r w:rsidRPr="00BC7E80">
              <w:rPr>
                <w:rFonts w:asciiTheme="minorHAnsi" w:hAnsiTheme="minorHAnsi" w:cstheme="minorHAnsi"/>
                <w:color w:val="090D46" w:themeColor="text1"/>
                <w:sz w:val="18"/>
                <w:szCs w:val="18"/>
              </w:rPr>
              <w:t>trust’s</w:t>
            </w:r>
            <w:r w:rsidRPr="00BC7E80">
              <w:rPr>
                <w:rFonts w:asciiTheme="minorHAnsi" w:hAnsiTheme="minorHAnsi" w:cstheme="minorHAnsi"/>
                <w:b/>
                <w:color w:val="090D46" w:themeColor="text1"/>
                <w:sz w:val="18"/>
                <w:szCs w:val="18"/>
              </w:rPr>
              <w:t xml:space="preserve"> </w:t>
            </w:r>
            <w:r w:rsidRPr="00BC7E80">
              <w:rPr>
                <w:rFonts w:asciiTheme="minorHAnsi" w:hAnsiTheme="minorHAnsi" w:cstheme="minorHAnsi"/>
                <w:bCs/>
                <w:color w:val="090D46" w:themeColor="text1"/>
                <w:sz w:val="18"/>
                <w:szCs w:val="18"/>
              </w:rPr>
              <w:t>d</w:t>
            </w:r>
            <w:r w:rsidRPr="00BC7E80">
              <w:rPr>
                <w:rFonts w:asciiTheme="minorHAnsi" w:hAnsiTheme="minorHAnsi" w:cstheme="minorHAnsi"/>
                <w:color w:val="090D46" w:themeColor="text1"/>
                <w:sz w:val="18"/>
                <w:szCs w:val="18"/>
              </w:rPr>
              <w:t xml:space="preserve">ebt deductions together with all the debt deductions of its associate entities is $2 million or less. If so, the exemption under section 820-35 of the </w:t>
            </w:r>
            <w:r w:rsidRPr="00BC7E80">
              <w:rPr>
                <w:rFonts w:asciiTheme="minorHAnsi" w:hAnsiTheme="minorHAnsi" w:cstheme="minorHAnsi"/>
                <w:i/>
                <w:color w:val="090D46" w:themeColor="text1"/>
                <w:sz w:val="18"/>
                <w:szCs w:val="18"/>
              </w:rPr>
              <w:t>ITAA 1997</w:t>
            </w:r>
            <w:r w:rsidRPr="00BC7E80">
              <w:rPr>
                <w:rFonts w:asciiTheme="minorHAnsi" w:hAnsiTheme="minorHAnsi" w:cstheme="minorHAnsi"/>
                <w:color w:val="090D46" w:themeColor="text1"/>
                <w:sz w:val="18"/>
                <w:szCs w:val="18"/>
              </w:rPr>
              <w:t xml:space="preserve"> may apply. Refer to Taxation Determination TD 2019/12 for the ATO’s views as to the type of costs that are debt deductions.</w:t>
            </w:r>
          </w:p>
          <w:p w14:paraId="07B951EF" w14:textId="77777777" w:rsidR="00207075" w:rsidRPr="00BC7E80" w:rsidRDefault="00207075" w:rsidP="00207075">
            <w:pPr>
              <w:pStyle w:val="Table"/>
              <w:keepNext/>
              <w:spacing w:before="100" w:after="100"/>
              <w:rPr>
                <w:rFonts w:asciiTheme="minorHAnsi" w:hAnsiTheme="minorHAnsi" w:cstheme="minorHAnsi"/>
                <w:color w:val="090D46" w:themeColor="text1"/>
                <w:sz w:val="18"/>
                <w:szCs w:val="18"/>
              </w:rPr>
            </w:pPr>
            <w:r w:rsidRPr="00BC7E80">
              <w:rPr>
                <w:rFonts w:asciiTheme="minorHAnsi" w:hAnsiTheme="minorHAnsi" w:cstheme="minorHAnsi"/>
                <w:color w:val="090D46" w:themeColor="text1"/>
                <w:sz w:val="18"/>
                <w:szCs w:val="18"/>
              </w:rPr>
              <w:t xml:space="preserve">Does the entity need to work out its maximum allowable debt (e.g. the safe harbour debt amount) under the thin capitalisation provisions in Division 820 of the </w:t>
            </w:r>
            <w:r w:rsidRPr="00BC7E80">
              <w:rPr>
                <w:rFonts w:asciiTheme="minorHAnsi" w:hAnsiTheme="minorHAnsi" w:cstheme="minorHAnsi"/>
                <w:i/>
                <w:color w:val="090D46" w:themeColor="text1"/>
                <w:sz w:val="18"/>
                <w:szCs w:val="18"/>
              </w:rPr>
              <w:t>ITAA 1997</w:t>
            </w:r>
            <w:r w:rsidRPr="00BC7E80">
              <w:rPr>
                <w:rFonts w:asciiTheme="minorHAnsi" w:hAnsiTheme="minorHAnsi" w:cstheme="minorHAnsi"/>
                <w:color w:val="090D46" w:themeColor="text1"/>
                <w:sz w:val="18"/>
                <w:szCs w:val="18"/>
              </w:rPr>
              <w:t>?</w:t>
            </w:r>
          </w:p>
          <w:p w14:paraId="2F8C7BFA" w14:textId="25B2A222" w:rsidR="00207075" w:rsidRDefault="00207075" w:rsidP="00207075">
            <w:pPr>
              <w:pStyle w:val="Table"/>
              <w:keepNext/>
              <w:spacing w:before="100" w:after="100"/>
              <w:rPr>
                <w:rFonts w:asciiTheme="minorHAnsi" w:hAnsiTheme="minorHAnsi" w:cstheme="minorHAnsi"/>
                <w:color w:val="090D46" w:themeColor="text1"/>
                <w:sz w:val="18"/>
                <w:szCs w:val="18"/>
              </w:rPr>
            </w:pPr>
            <w:r w:rsidRPr="00BC7E80">
              <w:rPr>
                <w:rFonts w:asciiTheme="minorHAnsi" w:hAnsiTheme="minorHAnsi" w:cstheme="minorHAnsi"/>
                <w:color w:val="090D46" w:themeColor="text1"/>
                <w:sz w:val="18"/>
                <w:szCs w:val="18"/>
              </w:rPr>
              <w:t>If the thin capitalisation provisions apply, has a 202</w:t>
            </w:r>
            <w:r>
              <w:rPr>
                <w:rFonts w:asciiTheme="minorHAnsi" w:hAnsiTheme="minorHAnsi" w:cstheme="minorHAnsi"/>
                <w:color w:val="090D46" w:themeColor="text1"/>
                <w:sz w:val="18"/>
                <w:szCs w:val="18"/>
              </w:rPr>
              <w:t>3</w:t>
            </w:r>
            <w:r w:rsidRPr="00BC7E80">
              <w:rPr>
                <w:rFonts w:asciiTheme="minorHAnsi" w:hAnsiTheme="minorHAnsi" w:cstheme="minorHAnsi"/>
                <w:color w:val="090D46" w:themeColor="text1"/>
                <w:sz w:val="18"/>
                <w:szCs w:val="18"/>
              </w:rPr>
              <w:t xml:space="preserve"> IDS been completed?</w:t>
            </w:r>
          </w:p>
          <w:p w14:paraId="6B88F006" w14:textId="113B039F" w:rsidR="00207075" w:rsidRDefault="00207075" w:rsidP="00207075">
            <w:pPr>
              <w:pStyle w:val="Table"/>
              <w:keepNext/>
              <w:spacing w:before="100" w:after="100"/>
              <w:rPr>
                <w:rFonts w:cs="Arial"/>
                <w:sz w:val="18"/>
                <w:szCs w:val="18"/>
              </w:rPr>
            </w:pPr>
          </w:p>
        </w:tc>
        <w:tc>
          <w:tcPr>
            <w:tcW w:w="424" w:type="pct"/>
          </w:tcPr>
          <w:p w14:paraId="7F6D0AD7" w14:textId="77777777" w:rsidR="00207075" w:rsidRDefault="00207075" w:rsidP="00207075">
            <w:pPr>
              <w:pStyle w:val="Table"/>
              <w:spacing w:before="100" w:after="100"/>
              <w:rPr>
                <w:sz w:val="18"/>
                <w:szCs w:val="18"/>
              </w:rPr>
            </w:pPr>
          </w:p>
        </w:tc>
        <w:tc>
          <w:tcPr>
            <w:tcW w:w="342" w:type="pct"/>
          </w:tcPr>
          <w:p w14:paraId="1545D344" w14:textId="77777777" w:rsidR="00207075" w:rsidRDefault="00207075" w:rsidP="00207075">
            <w:pPr>
              <w:pStyle w:val="Table"/>
              <w:spacing w:before="100" w:after="100"/>
              <w:rPr>
                <w:sz w:val="18"/>
                <w:szCs w:val="18"/>
              </w:rPr>
            </w:pPr>
          </w:p>
        </w:tc>
        <w:tc>
          <w:tcPr>
            <w:tcW w:w="334" w:type="pct"/>
          </w:tcPr>
          <w:p w14:paraId="32C6A69B" w14:textId="77777777" w:rsidR="00207075" w:rsidRDefault="00207075" w:rsidP="00207075">
            <w:pPr>
              <w:pStyle w:val="Table"/>
              <w:spacing w:before="100" w:after="100"/>
              <w:rPr>
                <w:sz w:val="18"/>
                <w:szCs w:val="18"/>
              </w:rPr>
            </w:pPr>
          </w:p>
        </w:tc>
      </w:tr>
      <w:tr w:rsidR="00207075" w14:paraId="60DCB844"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hideMark/>
          </w:tcPr>
          <w:p w14:paraId="2E762DFA" w14:textId="5102C333" w:rsidR="00207075" w:rsidRPr="00BC7E80" w:rsidRDefault="00207075" w:rsidP="00207075">
            <w:pPr>
              <w:pStyle w:val="Tablealphabullet"/>
              <w:numPr>
                <w:ilvl w:val="0"/>
                <w:numId w:val="0"/>
              </w:numPr>
              <w:spacing w:before="100" w:after="100"/>
              <w:rPr>
                <w:rFonts w:asciiTheme="minorHAnsi" w:hAnsiTheme="minorHAnsi" w:cstheme="minorHAnsi"/>
                <w:color w:val="090D46" w:themeColor="text1"/>
                <w:sz w:val="18"/>
                <w:szCs w:val="18"/>
              </w:rPr>
            </w:pPr>
            <w:r w:rsidRPr="00BC7E80">
              <w:rPr>
                <w:rFonts w:asciiTheme="minorHAnsi" w:hAnsiTheme="minorHAnsi" w:cstheme="minorHAnsi"/>
                <w:color w:val="090D46" w:themeColor="text1"/>
                <w:sz w:val="18"/>
                <w:szCs w:val="18"/>
              </w:rPr>
              <w:t>Has the entity paid any interest or royalties to overseas entities? If yes, has a 202</w:t>
            </w:r>
            <w:r>
              <w:rPr>
                <w:rFonts w:asciiTheme="minorHAnsi" w:hAnsiTheme="minorHAnsi" w:cstheme="minorHAnsi"/>
                <w:color w:val="090D46" w:themeColor="text1"/>
                <w:sz w:val="18"/>
                <w:szCs w:val="18"/>
              </w:rPr>
              <w:t>3</w:t>
            </w:r>
            <w:r w:rsidRPr="00BC7E80">
              <w:rPr>
                <w:rFonts w:asciiTheme="minorHAnsi" w:hAnsiTheme="minorHAnsi" w:cstheme="minorHAnsi"/>
                <w:color w:val="090D46" w:themeColor="text1"/>
                <w:sz w:val="18"/>
                <w:szCs w:val="18"/>
              </w:rPr>
              <w:t xml:space="preserve"> IDS been prepared?</w:t>
            </w:r>
          </w:p>
        </w:tc>
        <w:tc>
          <w:tcPr>
            <w:tcW w:w="424" w:type="pct"/>
          </w:tcPr>
          <w:p w14:paraId="06CE8DB7" w14:textId="77777777" w:rsidR="00207075" w:rsidRDefault="00207075" w:rsidP="00207075">
            <w:pPr>
              <w:pStyle w:val="Table"/>
              <w:spacing w:before="100" w:after="100"/>
              <w:rPr>
                <w:sz w:val="18"/>
                <w:szCs w:val="18"/>
              </w:rPr>
            </w:pPr>
          </w:p>
        </w:tc>
        <w:tc>
          <w:tcPr>
            <w:tcW w:w="342" w:type="pct"/>
          </w:tcPr>
          <w:p w14:paraId="3D1F5A4E" w14:textId="77777777" w:rsidR="00207075" w:rsidRDefault="00207075" w:rsidP="00207075">
            <w:pPr>
              <w:pStyle w:val="Table"/>
              <w:spacing w:before="100" w:after="100"/>
              <w:rPr>
                <w:sz w:val="18"/>
                <w:szCs w:val="18"/>
              </w:rPr>
            </w:pPr>
          </w:p>
        </w:tc>
        <w:tc>
          <w:tcPr>
            <w:tcW w:w="334" w:type="pct"/>
          </w:tcPr>
          <w:p w14:paraId="76D83E58" w14:textId="77777777" w:rsidR="00207075" w:rsidRDefault="00207075" w:rsidP="00207075">
            <w:pPr>
              <w:pStyle w:val="Table"/>
              <w:spacing w:before="100" w:after="100"/>
              <w:rPr>
                <w:sz w:val="18"/>
                <w:szCs w:val="18"/>
              </w:rPr>
            </w:pPr>
          </w:p>
        </w:tc>
      </w:tr>
      <w:tr w:rsidR="00207075" w14:paraId="0F31147E" w14:textId="77777777" w:rsidTr="00E54AE7">
        <w:tc>
          <w:tcPr>
            <w:tcW w:w="3900" w:type="pct"/>
            <w:hideMark/>
          </w:tcPr>
          <w:p w14:paraId="0E96041D" w14:textId="77777777" w:rsidR="00207075" w:rsidRPr="00BC7E80" w:rsidRDefault="00207075" w:rsidP="00207075">
            <w:pPr>
              <w:pStyle w:val="Tablealphabullet"/>
              <w:numPr>
                <w:ilvl w:val="0"/>
                <w:numId w:val="0"/>
              </w:numPr>
              <w:spacing w:before="100" w:after="100"/>
              <w:rPr>
                <w:rFonts w:asciiTheme="minorHAnsi" w:hAnsiTheme="minorHAnsi" w:cstheme="minorHAnsi"/>
                <w:color w:val="090D46" w:themeColor="text1"/>
                <w:sz w:val="18"/>
                <w:szCs w:val="18"/>
              </w:rPr>
            </w:pPr>
            <w:r w:rsidRPr="00BC7E80">
              <w:rPr>
                <w:rFonts w:asciiTheme="minorHAnsi" w:hAnsiTheme="minorHAnsi" w:cstheme="minorHAnsi"/>
                <w:color w:val="090D46" w:themeColor="text1"/>
                <w:sz w:val="18"/>
                <w:szCs w:val="18"/>
              </w:rPr>
              <w:t xml:space="preserve">Section 815-140 of the </w:t>
            </w:r>
            <w:r w:rsidRPr="00BC7E80">
              <w:rPr>
                <w:rFonts w:asciiTheme="minorHAnsi" w:hAnsiTheme="minorHAnsi" w:cstheme="minorHAnsi"/>
                <w:i/>
                <w:color w:val="090D46" w:themeColor="text1"/>
                <w:sz w:val="18"/>
                <w:szCs w:val="18"/>
              </w:rPr>
              <w:t>ITAA 1997</w:t>
            </w:r>
            <w:r w:rsidRPr="00BC7E80">
              <w:rPr>
                <w:rFonts w:asciiTheme="minorHAnsi" w:hAnsiTheme="minorHAnsi" w:cstheme="minorHAnsi"/>
                <w:color w:val="090D46" w:themeColor="text1"/>
                <w:sz w:val="18"/>
                <w:szCs w:val="18"/>
              </w:rPr>
              <w:t xml:space="preserve"> essentially provides that the transfer pricing provisions under Subdivision 815-B may apply to reduce any interest rate charged on related party debt to an arm’s length amount which may result in reduced debt deductions. The thin capitalisation provisions under Division 820 of the </w:t>
            </w:r>
            <w:r w:rsidRPr="00BC7E80">
              <w:rPr>
                <w:rFonts w:asciiTheme="minorHAnsi" w:hAnsiTheme="minorHAnsi" w:cstheme="minorHAnsi"/>
                <w:i/>
                <w:color w:val="090D46" w:themeColor="text1"/>
                <w:sz w:val="18"/>
                <w:szCs w:val="18"/>
              </w:rPr>
              <w:t>ITAA 1997</w:t>
            </w:r>
            <w:r w:rsidRPr="00BC7E80">
              <w:rPr>
                <w:rFonts w:asciiTheme="minorHAnsi" w:hAnsiTheme="minorHAnsi" w:cstheme="minorHAnsi"/>
                <w:color w:val="090D46" w:themeColor="text1"/>
                <w:sz w:val="18"/>
                <w:szCs w:val="18"/>
              </w:rPr>
              <w:t xml:space="preserve"> are then applied after any transfer pricing benefit has been cancelled to determine whether an entity’s adjusted average debt exceeds its maximum allowable debt.</w:t>
            </w:r>
          </w:p>
        </w:tc>
        <w:tc>
          <w:tcPr>
            <w:tcW w:w="424" w:type="pct"/>
          </w:tcPr>
          <w:p w14:paraId="2C28863B" w14:textId="77777777" w:rsidR="00207075" w:rsidRDefault="00207075" w:rsidP="00207075">
            <w:pPr>
              <w:pStyle w:val="Table"/>
              <w:spacing w:before="100" w:after="100"/>
              <w:rPr>
                <w:sz w:val="18"/>
                <w:szCs w:val="18"/>
              </w:rPr>
            </w:pPr>
          </w:p>
        </w:tc>
        <w:tc>
          <w:tcPr>
            <w:tcW w:w="342" w:type="pct"/>
          </w:tcPr>
          <w:p w14:paraId="29B25A08" w14:textId="77777777" w:rsidR="00207075" w:rsidRDefault="00207075" w:rsidP="00207075">
            <w:pPr>
              <w:pStyle w:val="Table"/>
              <w:spacing w:before="100" w:after="100"/>
              <w:rPr>
                <w:sz w:val="18"/>
                <w:szCs w:val="18"/>
              </w:rPr>
            </w:pPr>
          </w:p>
        </w:tc>
        <w:tc>
          <w:tcPr>
            <w:tcW w:w="334" w:type="pct"/>
          </w:tcPr>
          <w:p w14:paraId="3A349B28" w14:textId="77777777" w:rsidR="00207075" w:rsidRDefault="00207075" w:rsidP="00207075">
            <w:pPr>
              <w:pStyle w:val="Table"/>
              <w:spacing w:before="100" w:after="100"/>
              <w:rPr>
                <w:sz w:val="18"/>
                <w:szCs w:val="18"/>
              </w:rPr>
            </w:pPr>
          </w:p>
        </w:tc>
      </w:tr>
      <w:tr w:rsidR="00861707" w14:paraId="20C67B34"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tcPr>
          <w:p w14:paraId="5819CB9E" w14:textId="77777777" w:rsidR="00861707" w:rsidRPr="00861707" w:rsidRDefault="00861707" w:rsidP="00861707">
            <w:pPr>
              <w:pStyle w:val="Tablealphabullet"/>
              <w:numPr>
                <w:ilvl w:val="0"/>
                <w:numId w:val="0"/>
              </w:numPr>
              <w:spacing w:before="100" w:after="100"/>
              <w:rPr>
                <w:rFonts w:asciiTheme="minorHAnsi" w:hAnsiTheme="minorHAnsi" w:cstheme="minorHAnsi"/>
                <w:color w:val="090D46" w:themeColor="text1"/>
                <w:sz w:val="18"/>
                <w:szCs w:val="18"/>
              </w:rPr>
            </w:pPr>
            <w:r w:rsidRPr="00861707">
              <w:rPr>
                <w:rFonts w:asciiTheme="minorHAnsi" w:hAnsiTheme="minorHAnsi" w:cstheme="minorHAnsi"/>
                <w:color w:val="090D46" w:themeColor="text1"/>
                <w:sz w:val="18"/>
                <w:szCs w:val="18"/>
              </w:rPr>
              <w:t xml:space="preserve">Was any beneficiary who was not a resident of Australia at any time during the year ‘presently entitled’ to a share of the trust income? </w:t>
            </w:r>
          </w:p>
          <w:p w14:paraId="70A5475C" w14:textId="77777777" w:rsidR="00861707" w:rsidRPr="00861707" w:rsidRDefault="00861707" w:rsidP="00861707">
            <w:pPr>
              <w:pStyle w:val="Tablealphabullet"/>
              <w:numPr>
                <w:ilvl w:val="0"/>
                <w:numId w:val="0"/>
              </w:numPr>
              <w:spacing w:before="100" w:after="100"/>
              <w:rPr>
                <w:rFonts w:asciiTheme="minorHAnsi" w:hAnsiTheme="minorHAnsi" w:cstheme="minorHAnsi"/>
                <w:color w:val="090D46" w:themeColor="text1"/>
                <w:sz w:val="18"/>
                <w:szCs w:val="18"/>
              </w:rPr>
            </w:pPr>
            <w:r w:rsidRPr="00861707">
              <w:rPr>
                <w:rFonts w:asciiTheme="minorHAnsi" w:hAnsiTheme="minorHAnsi" w:cstheme="minorHAnsi"/>
                <w:color w:val="090D46" w:themeColor="text1"/>
                <w:sz w:val="18"/>
                <w:szCs w:val="18"/>
              </w:rPr>
              <w:t>If the answer is yes, an attachment should be prepared that includes the following information in relation to the beneficiary:</w:t>
            </w:r>
          </w:p>
          <w:p w14:paraId="0FAF81E5" w14:textId="6BB03145" w:rsidR="00861707" w:rsidRPr="00861707" w:rsidRDefault="00861707" w:rsidP="00861707">
            <w:pPr>
              <w:pStyle w:val="ListBullet"/>
            </w:pPr>
            <w:r w:rsidRPr="00861707">
              <w:t>the beneficiary’s name and residential address</w:t>
            </w:r>
          </w:p>
          <w:p w14:paraId="5B16F034" w14:textId="5024D7C1" w:rsidR="00861707" w:rsidRPr="00861707" w:rsidRDefault="00861707" w:rsidP="00861707">
            <w:pPr>
              <w:pStyle w:val="ListBullet"/>
            </w:pPr>
            <w:r w:rsidRPr="00861707">
              <w:t>details of any distribution to the beneficiary, including amounts of interest, royalties, franked and unfranked dividends</w:t>
            </w:r>
          </w:p>
          <w:p w14:paraId="1A09D5B5" w14:textId="515A0308" w:rsidR="00861707" w:rsidRPr="00861707" w:rsidRDefault="00861707" w:rsidP="00861707">
            <w:pPr>
              <w:pStyle w:val="ListBullet"/>
            </w:pPr>
            <w:r w:rsidRPr="00861707">
              <w:t>if a withholding amount has been paid and remitted to the ATO from the distribution, the amount of the distribution and the withholding amount paid</w:t>
            </w:r>
          </w:p>
          <w:p w14:paraId="065839EE" w14:textId="4FBF8FB7" w:rsidR="00861707" w:rsidRPr="00861707" w:rsidRDefault="00861707" w:rsidP="00861707">
            <w:pPr>
              <w:pStyle w:val="ListBullet"/>
            </w:pPr>
            <w:r w:rsidRPr="00861707">
              <w:t>if the beneficiary’s residency status changed during the year, detail when the beneficiary ceased to be an Australian resident</w:t>
            </w:r>
          </w:p>
          <w:p w14:paraId="01B30348" w14:textId="55C1BFF1" w:rsidR="00861707" w:rsidRPr="00861707" w:rsidRDefault="00861707" w:rsidP="00861707">
            <w:pPr>
              <w:pStyle w:val="ListBullet"/>
            </w:pPr>
            <w:r w:rsidRPr="00861707">
              <w:t>if tax has been deducted by the trustee from income not subject to withholding tax, the amount of any credit for such tax remittance</w:t>
            </w:r>
          </w:p>
          <w:p w14:paraId="4B918DE3" w14:textId="519EC08D" w:rsidR="00861707" w:rsidRPr="00861707" w:rsidRDefault="00861707" w:rsidP="00861707">
            <w:pPr>
              <w:pStyle w:val="ListBullet"/>
            </w:pPr>
            <w:r w:rsidRPr="00861707">
              <w:t>if the trust is a fixed trust and at least 90% of its assets, held either directly or indirectly, are not taxable Australian property</w:t>
            </w:r>
          </w:p>
          <w:p w14:paraId="2B8A7407" w14:textId="66757693" w:rsidR="00861707" w:rsidRPr="00D848AF" w:rsidRDefault="00861707" w:rsidP="00D848AF">
            <w:pPr>
              <w:pStyle w:val="ListBullet"/>
            </w:pPr>
            <w:r w:rsidRPr="00861707">
              <w:t>details of any non-Australian sourced income derived whilst the beneficiary was a non-resident.</w:t>
            </w:r>
          </w:p>
        </w:tc>
        <w:tc>
          <w:tcPr>
            <w:tcW w:w="424" w:type="pct"/>
          </w:tcPr>
          <w:p w14:paraId="7991F134" w14:textId="77777777" w:rsidR="00861707" w:rsidRDefault="00861707" w:rsidP="00207075">
            <w:pPr>
              <w:pStyle w:val="Table"/>
              <w:spacing w:before="100" w:after="100"/>
              <w:rPr>
                <w:sz w:val="18"/>
                <w:szCs w:val="18"/>
              </w:rPr>
            </w:pPr>
          </w:p>
        </w:tc>
        <w:tc>
          <w:tcPr>
            <w:tcW w:w="342" w:type="pct"/>
          </w:tcPr>
          <w:p w14:paraId="6EDF4EB9" w14:textId="77777777" w:rsidR="00861707" w:rsidRDefault="00861707" w:rsidP="00207075">
            <w:pPr>
              <w:pStyle w:val="Table"/>
              <w:spacing w:before="100" w:after="100"/>
              <w:rPr>
                <w:sz w:val="18"/>
                <w:szCs w:val="18"/>
              </w:rPr>
            </w:pPr>
          </w:p>
        </w:tc>
        <w:tc>
          <w:tcPr>
            <w:tcW w:w="334" w:type="pct"/>
          </w:tcPr>
          <w:p w14:paraId="07DC12B6" w14:textId="77777777" w:rsidR="00861707" w:rsidRDefault="00861707" w:rsidP="00207075">
            <w:pPr>
              <w:pStyle w:val="Table"/>
              <w:spacing w:before="100" w:after="100"/>
              <w:rPr>
                <w:sz w:val="18"/>
                <w:szCs w:val="18"/>
              </w:rPr>
            </w:pPr>
          </w:p>
        </w:tc>
      </w:tr>
      <w:tr w:rsidR="00861707" w14:paraId="77DABE5E" w14:textId="77777777" w:rsidTr="00E54AE7">
        <w:tc>
          <w:tcPr>
            <w:tcW w:w="3900" w:type="pct"/>
          </w:tcPr>
          <w:p w14:paraId="7504585E" w14:textId="77777777" w:rsidR="00207075" w:rsidRDefault="00207075" w:rsidP="00207075">
            <w:pPr>
              <w:pStyle w:val="Table"/>
              <w:spacing w:before="100" w:after="100"/>
              <w:rPr>
                <w:b/>
                <w:bCs/>
                <w:sz w:val="18"/>
                <w:szCs w:val="18"/>
              </w:rPr>
            </w:pPr>
            <w:r>
              <w:rPr>
                <w:b/>
                <w:bCs/>
                <w:sz w:val="18"/>
                <w:szCs w:val="18"/>
              </w:rPr>
              <w:t>Comments:</w:t>
            </w:r>
          </w:p>
          <w:p w14:paraId="16820E8E" w14:textId="5A1BBBE6" w:rsidR="00207075" w:rsidRDefault="00207075" w:rsidP="00207075">
            <w:pPr>
              <w:pStyle w:val="Table"/>
              <w:spacing w:before="100" w:after="100"/>
              <w:rPr>
                <w:sz w:val="18"/>
                <w:szCs w:val="18"/>
              </w:rPr>
            </w:pPr>
          </w:p>
        </w:tc>
        <w:tc>
          <w:tcPr>
            <w:tcW w:w="424" w:type="pct"/>
          </w:tcPr>
          <w:p w14:paraId="16752DB0" w14:textId="77777777" w:rsidR="00207075" w:rsidRDefault="00207075" w:rsidP="00207075">
            <w:pPr>
              <w:pStyle w:val="Table"/>
              <w:keepNext/>
              <w:spacing w:before="100" w:after="100"/>
              <w:rPr>
                <w:sz w:val="18"/>
                <w:szCs w:val="18"/>
              </w:rPr>
            </w:pPr>
          </w:p>
        </w:tc>
        <w:tc>
          <w:tcPr>
            <w:tcW w:w="342" w:type="pct"/>
          </w:tcPr>
          <w:p w14:paraId="28667315" w14:textId="77777777" w:rsidR="00207075" w:rsidRDefault="00207075" w:rsidP="00207075">
            <w:pPr>
              <w:pStyle w:val="Table"/>
              <w:keepNext/>
              <w:spacing w:before="100" w:after="100"/>
              <w:rPr>
                <w:sz w:val="18"/>
                <w:szCs w:val="18"/>
              </w:rPr>
            </w:pPr>
          </w:p>
        </w:tc>
        <w:tc>
          <w:tcPr>
            <w:tcW w:w="334" w:type="pct"/>
          </w:tcPr>
          <w:p w14:paraId="7D59C4AB" w14:textId="77777777" w:rsidR="00207075" w:rsidRDefault="00207075" w:rsidP="00207075">
            <w:pPr>
              <w:pStyle w:val="Table"/>
              <w:keepNext/>
              <w:spacing w:before="100" w:after="100"/>
              <w:rPr>
                <w:sz w:val="18"/>
                <w:szCs w:val="18"/>
              </w:rPr>
            </w:pPr>
          </w:p>
        </w:tc>
      </w:tr>
      <w:tr w:rsidR="00207075" w14:paraId="2586D55F" w14:textId="77777777" w:rsidTr="00BC7E80">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tcPr>
          <w:p w14:paraId="6C12BA6D" w14:textId="793337B0" w:rsidR="00207075" w:rsidRPr="00BC7E80" w:rsidRDefault="00207075" w:rsidP="00207075">
            <w:pPr>
              <w:pStyle w:val="Table"/>
              <w:keepNext/>
              <w:spacing w:before="100" w:after="100"/>
              <w:rPr>
                <w:color w:val="FFFFFF" w:themeColor="background1"/>
                <w:sz w:val="18"/>
                <w:szCs w:val="18"/>
              </w:rPr>
            </w:pPr>
            <w:r w:rsidRPr="00BC7E80">
              <w:rPr>
                <w:b/>
                <w:color w:val="FFFFFF" w:themeColor="background1"/>
                <w:sz w:val="18"/>
                <w:szCs w:val="18"/>
              </w:rPr>
              <w:t>PERSONAL SERVICES INCOME (PSI) (ITEM 30)</w:t>
            </w:r>
          </w:p>
        </w:tc>
      </w:tr>
      <w:tr w:rsidR="00861707" w14:paraId="743C39E1" w14:textId="77777777" w:rsidTr="00E54AE7">
        <w:tc>
          <w:tcPr>
            <w:tcW w:w="3900" w:type="pct"/>
          </w:tcPr>
          <w:p w14:paraId="45856FF0" w14:textId="77777777" w:rsidR="00207075" w:rsidRPr="00BC7E80" w:rsidRDefault="00207075" w:rsidP="00207075">
            <w:pPr>
              <w:spacing w:before="100" w:after="100"/>
              <w:rPr>
                <w:rFonts w:eastAsia="Times New Roman"/>
                <w:lang w:eastAsia="en-AU"/>
              </w:rPr>
            </w:pPr>
            <w:r w:rsidRPr="00BC7E80">
              <w:rPr>
                <w:rFonts w:eastAsia="Times New Roman"/>
                <w:lang w:eastAsia="en-AU"/>
              </w:rPr>
              <w:t xml:space="preserve">Does the income of the trust include income which is an individual’s PSI? If yes, the trust must complete the PSI disclosures at Item 30. </w:t>
            </w:r>
          </w:p>
          <w:p w14:paraId="3E4CD82D" w14:textId="1E546978" w:rsidR="00207075" w:rsidRDefault="00207075" w:rsidP="00207075">
            <w:pPr>
              <w:pStyle w:val="Table"/>
              <w:spacing w:before="100" w:after="100"/>
              <w:rPr>
                <w:sz w:val="18"/>
                <w:szCs w:val="18"/>
              </w:rPr>
            </w:pPr>
            <w:r w:rsidRPr="00BC7E80">
              <w:rPr>
                <w:rFonts w:asciiTheme="minorHAnsi" w:eastAsia="Times New Roman" w:hAnsiTheme="minorHAnsi"/>
                <w:color w:val="090D46" w:themeColor="text1"/>
                <w:sz w:val="18"/>
                <w:szCs w:val="22"/>
                <w:lang w:eastAsia="en-AU"/>
              </w:rPr>
              <w:t>PSI is included in the individual’s personal income tax return. PSI is income that is mainly a reward for an individual’s personal efforts or skills. Please refer to CPA Australia’s 202</w:t>
            </w:r>
            <w:r>
              <w:rPr>
                <w:rFonts w:asciiTheme="minorHAnsi" w:eastAsia="Times New Roman" w:hAnsiTheme="minorHAnsi"/>
                <w:color w:val="090D46" w:themeColor="text1"/>
                <w:sz w:val="18"/>
                <w:szCs w:val="22"/>
                <w:lang w:eastAsia="en-AU"/>
              </w:rPr>
              <w:t>3</w:t>
            </w:r>
            <w:r w:rsidRPr="00BC7E80">
              <w:rPr>
                <w:rFonts w:asciiTheme="minorHAnsi" w:eastAsia="Times New Roman" w:hAnsiTheme="minorHAnsi"/>
                <w:color w:val="090D46" w:themeColor="text1"/>
                <w:sz w:val="18"/>
                <w:szCs w:val="22"/>
                <w:lang w:eastAsia="en-AU"/>
              </w:rPr>
              <w:t xml:space="preserve"> PSI / PSB self-assessment checklist for further information as to when PSI derived via a trust will be regarded as being derived by an individual.</w:t>
            </w:r>
          </w:p>
        </w:tc>
        <w:tc>
          <w:tcPr>
            <w:tcW w:w="424" w:type="pct"/>
          </w:tcPr>
          <w:p w14:paraId="250E094C" w14:textId="77777777" w:rsidR="00207075" w:rsidRDefault="00207075" w:rsidP="00207075">
            <w:pPr>
              <w:pStyle w:val="Table"/>
              <w:keepNext/>
              <w:spacing w:before="100" w:after="100"/>
              <w:rPr>
                <w:sz w:val="18"/>
                <w:szCs w:val="18"/>
              </w:rPr>
            </w:pPr>
          </w:p>
        </w:tc>
        <w:tc>
          <w:tcPr>
            <w:tcW w:w="342" w:type="pct"/>
          </w:tcPr>
          <w:p w14:paraId="26875F02" w14:textId="77777777" w:rsidR="00207075" w:rsidRDefault="00207075" w:rsidP="00207075">
            <w:pPr>
              <w:pStyle w:val="Table"/>
              <w:keepNext/>
              <w:spacing w:before="100" w:after="100"/>
              <w:rPr>
                <w:sz w:val="18"/>
                <w:szCs w:val="18"/>
              </w:rPr>
            </w:pPr>
          </w:p>
        </w:tc>
        <w:tc>
          <w:tcPr>
            <w:tcW w:w="334" w:type="pct"/>
          </w:tcPr>
          <w:p w14:paraId="3254A49F" w14:textId="77777777" w:rsidR="00207075" w:rsidRDefault="00207075" w:rsidP="00207075">
            <w:pPr>
              <w:pStyle w:val="Table"/>
              <w:keepNext/>
              <w:spacing w:before="100" w:after="100"/>
              <w:rPr>
                <w:sz w:val="18"/>
                <w:szCs w:val="18"/>
              </w:rPr>
            </w:pPr>
          </w:p>
        </w:tc>
      </w:tr>
      <w:tr w:rsidR="00D848AF" w14:paraId="40BF7CDF"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tcPr>
          <w:p w14:paraId="5C36E200" w14:textId="77777777" w:rsidR="00207075" w:rsidRDefault="00207075" w:rsidP="00207075">
            <w:pPr>
              <w:spacing w:before="100" w:after="100"/>
              <w:rPr>
                <w:b/>
                <w:szCs w:val="18"/>
              </w:rPr>
            </w:pPr>
            <w:r w:rsidRPr="00BC7E80">
              <w:rPr>
                <w:b/>
                <w:szCs w:val="18"/>
              </w:rPr>
              <w:t>Comments:</w:t>
            </w:r>
          </w:p>
          <w:p w14:paraId="0737C4DF" w14:textId="4FD5E820" w:rsidR="00207075" w:rsidRPr="00BC7E80" w:rsidRDefault="00207075" w:rsidP="00207075">
            <w:pPr>
              <w:spacing w:before="100" w:after="100"/>
              <w:rPr>
                <w:b/>
                <w:szCs w:val="18"/>
              </w:rPr>
            </w:pPr>
          </w:p>
        </w:tc>
        <w:tc>
          <w:tcPr>
            <w:tcW w:w="424" w:type="pct"/>
          </w:tcPr>
          <w:p w14:paraId="01884142" w14:textId="77777777" w:rsidR="00207075" w:rsidRDefault="00207075" w:rsidP="00207075">
            <w:pPr>
              <w:pStyle w:val="Table"/>
              <w:keepNext/>
              <w:spacing w:before="100" w:after="100"/>
              <w:rPr>
                <w:sz w:val="18"/>
                <w:szCs w:val="18"/>
              </w:rPr>
            </w:pPr>
          </w:p>
        </w:tc>
        <w:tc>
          <w:tcPr>
            <w:tcW w:w="342" w:type="pct"/>
          </w:tcPr>
          <w:p w14:paraId="633C34D3" w14:textId="77777777" w:rsidR="00207075" w:rsidRDefault="00207075" w:rsidP="00207075">
            <w:pPr>
              <w:pStyle w:val="Table"/>
              <w:keepNext/>
              <w:spacing w:before="100" w:after="100"/>
              <w:rPr>
                <w:sz w:val="18"/>
                <w:szCs w:val="18"/>
              </w:rPr>
            </w:pPr>
          </w:p>
        </w:tc>
        <w:tc>
          <w:tcPr>
            <w:tcW w:w="334" w:type="pct"/>
          </w:tcPr>
          <w:p w14:paraId="17C3772B" w14:textId="77777777" w:rsidR="00207075" w:rsidRDefault="00207075" w:rsidP="00207075">
            <w:pPr>
              <w:pStyle w:val="Table"/>
              <w:keepNext/>
              <w:spacing w:before="100" w:after="100"/>
              <w:rPr>
                <w:sz w:val="18"/>
                <w:szCs w:val="18"/>
              </w:rPr>
            </w:pPr>
          </w:p>
        </w:tc>
      </w:tr>
      <w:tr w:rsidR="00207075" w14:paraId="04E39F40" w14:textId="77777777" w:rsidTr="00BC7E80">
        <w:tc>
          <w:tcPr>
            <w:tcW w:w="5000" w:type="pct"/>
            <w:gridSpan w:val="4"/>
            <w:shd w:val="clear" w:color="auto" w:fill="0A5CC7" w:themeFill="accent3"/>
          </w:tcPr>
          <w:p w14:paraId="01C886AF" w14:textId="66C3DAC0" w:rsidR="00207075" w:rsidRPr="00BC7E80" w:rsidRDefault="00207075" w:rsidP="00207075">
            <w:pPr>
              <w:pStyle w:val="Table"/>
              <w:keepNext/>
              <w:spacing w:before="100" w:after="100"/>
              <w:rPr>
                <w:b/>
                <w:bCs/>
                <w:color w:val="FFFFFF" w:themeColor="background1"/>
                <w:sz w:val="18"/>
                <w:szCs w:val="18"/>
              </w:rPr>
            </w:pPr>
            <w:r w:rsidRPr="00BC7E80">
              <w:rPr>
                <w:b/>
                <w:bCs/>
                <w:color w:val="FFFFFF" w:themeColor="background1"/>
                <w:sz w:val="18"/>
                <w:szCs w:val="18"/>
              </w:rPr>
              <w:t>TAXATION OF FINANCIAL ARRANGEMENTS (TOFA) (ITEM 31)</w:t>
            </w:r>
          </w:p>
        </w:tc>
      </w:tr>
      <w:tr w:rsidR="00D848AF" w14:paraId="2EF316A1"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tcPr>
          <w:p w14:paraId="3EB7F28F" w14:textId="77777777" w:rsidR="00207075" w:rsidRPr="006802FD" w:rsidRDefault="00207075" w:rsidP="00207075">
            <w:pPr>
              <w:pStyle w:val="TableBullet"/>
              <w:numPr>
                <w:ilvl w:val="0"/>
                <w:numId w:val="0"/>
              </w:numPr>
              <w:spacing w:before="100" w:after="100"/>
              <w:rPr>
                <w:color w:val="090D46" w:themeColor="text1"/>
                <w:sz w:val="18"/>
                <w:szCs w:val="18"/>
              </w:rPr>
            </w:pPr>
            <w:r w:rsidRPr="006802FD">
              <w:rPr>
                <w:color w:val="090D46" w:themeColor="text1"/>
                <w:sz w:val="18"/>
                <w:szCs w:val="18"/>
              </w:rPr>
              <w:t xml:space="preserve">Have you considered the application of the TOFA rules to the trust? </w:t>
            </w:r>
          </w:p>
          <w:p w14:paraId="31E12A26" w14:textId="77777777" w:rsidR="00207075" w:rsidRPr="006802FD" w:rsidRDefault="00207075" w:rsidP="00207075">
            <w:pPr>
              <w:pStyle w:val="TableBullet"/>
              <w:numPr>
                <w:ilvl w:val="0"/>
                <w:numId w:val="0"/>
              </w:numPr>
              <w:spacing w:before="100" w:after="100"/>
              <w:rPr>
                <w:color w:val="090D46" w:themeColor="text1"/>
                <w:sz w:val="18"/>
                <w:szCs w:val="18"/>
              </w:rPr>
            </w:pPr>
            <w:r w:rsidRPr="006802FD">
              <w:rPr>
                <w:color w:val="090D46" w:themeColor="text1"/>
                <w:sz w:val="18"/>
                <w:szCs w:val="18"/>
              </w:rPr>
              <w:t>The TOFA rules apply to the following entities:</w:t>
            </w:r>
          </w:p>
          <w:p w14:paraId="261AB13F" w14:textId="77777777" w:rsidR="00207075" w:rsidRDefault="00207075" w:rsidP="00207075">
            <w:pPr>
              <w:pStyle w:val="ListBullet"/>
            </w:pPr>
            <w:r>
              <w:t>authorised deposit-taking institutions, securitisation vehicles, and financial sector entities with an aggregated turnover of $20 million or more</w:t>
            </w:r>
          </w:p>
          <w:p w14:paraId="690E95A0" w14:textId="77777777" w:rsidR="00207075" w:rsidRDefault="00207075" w:rsidP="00207075">
            <w:pPr>
              <w:pStyle w:val="ListBullet"/>
            </w:pPr>
            <w:r>
              <w:t>a superannuation entity, a managed investment scheme or entities with a similar status under foreign law, if the value of the entity’s assets is $100 million or more</w:t>
            </w:r>
          </w:p>
          <w:p w14:paraId="6F8F0FDC" w14:textId="77777777" w:rsidR="00207075" w:rsidRDefault="00207075" w:rsidP="00207075">
            <w:pPr>
              <w:pStyle w:val="ListBullet"/>
            </w:pPr>
            <w:r>
              <w:t>any other entity (excluding individuals) which satisfies one or more of the following:</w:t>
            </w:r>
          </w:p>
          <w:p w14:paraId="5E606AF9" w14:textId="77777777" w:rsidR="00207075" w:rsidRDefault="00207075" w:rsidP="00207075">
            <w:pPr>
              <w:pStyle w:val="ListBullet2"/>
            </w:pPr>
            <w:r>
              <w:t>an aggregated turnover of $100 million or more</w:t>
            </w:r>
          </w:p>
          <w:p w14:paraId="33F4BCA2" w14:textId="77777777" w:rsidR="00207075" w:rsidRDefault="00207075" w:rsidP="00207075">
            <w:pPr>
              <w:pStyle w:val="ListBullet2"/>
            </w:pPr>
            <w:r>
              <w:t>assets of $300 million or more or</w:t>
            </w:r>
          </w:p>
          <w:p w14:paraId="4EF55516" w14:textId="77777777" w:rsidR="00207075" w:rsidRDefault="00207075" w:rsidP="00207075">
            <w:pPr>
              <w:pStyle w:val="ListBullet2"/>
            </w:pPr>
            <w:r>
              <w:t>financial assets of $100 million or more.</w:t>
            </w:r>
          </w:p>
          <w:p w14:paraId="34CE1CB6" w14:textId="77777777" w:rsidR="00207075" w:rsidRPr="006802FD" w:rsidRDefault="00207075" w:rsidP="00207075">
            <w:pPr>
              <w:pStyle w:val="ColorfulList-Accent11"/>
              <w:spacing w:before="100" w:after="100" w:line="240" w:lineRule="auto"/>
              <w:ind w:left="0"/>
              <w:rPr>
                <w:rFonts w:ascii="Arial" w:hAnsi="Arial" w:cs="Arial"/>
                <w:color w:val="090D46" w:themeColor="text1"/>
                <w:szCs w:val="18"/>
              </w:rPr>
            </w:pPr>
            <w:r w:rsidRPr="006802FD">
              <w:rPr>
                <w:rFonts w:ascii="Arial" w:hAnsi="Arial" w:cs="Arial"/>
                <w:color w:val="090D46" w:themeColor="text1"/>
                <w:szCs w:val="18"/>
              </w:rPr>
              <w:t>Trusts that do not meet the above can elect in to the TOFA regime.</w:t>
            </w:r>
          </w:p>
          <w:p w14:paraId="62304549" w14:textId="77777777" w:rsidR="00207075" w:rsidRPr="006802FD" w:rsidRDefault="00207075" w:rsidP="00207075">
            <w:pPr>
              <w:pStyle w:val="Table"/>
              <w:spacing w:before="100" w:after="100"/>
              <w:rPr>
                <w:color w:val="090D46" w:themeColor="text1"/>
                <w:sz w:val="18"/>
                <w:szCs w:val="18"/>
              </w:rPr>
            </w:pPr>
            <w:r w:rsidRPr="006802FD">
              <w:rPr>
                <w:color w:val="090D46" w:themeColor="text1"/>
                <w:sz w:val="18"/>
                <w:szCs w:val="18"/>
              </w:rPr>
              <w:t>If the trust has previously been subject to TOFA, this does not change if the thresholds above are no longer satisfied.</w:t>
            </w:r>
          </w:p>
          <w:p w14:paraId="15A745AF" w14:textId="70DEF32F" w:rsidR="00207075" w:rsidRDefault="00207075" w:rsidP="00207075">
            <w:pPr>
              <w:spacing w:before="100" w:after="100"/>
              <w:rPr>
                <w:szCs w:val="18"/>
              </w:rPr>
            </w:pPr>
            <w:r w:rsidRPr="00E83991">
              <w:rPr>
                <w:szCs w:val="18"/>
              </w:rPr>
              <w:t>The aggregated turnover test includes the annual turnover of any entity a trust is connected with, or any affiliate of the trust (including foreign resident companies and trusts).</w:t>
            </w:r>
          </w:p>
        </w:tc>
        <w:tc>
          <w:tcPr>
            <w:tcW w:w="424" w:type="pct"/>
          </w:tcPr>
          <w:p w14:paraId="4D2902C5" w14:textId="77777777" w:rsidR="00207075" w:rsidRDefault="00207075" w:rsidP="00207075">
            <w:pPr>
              <w:pStyle w:val="Table"/>
              <w:keepNext/>
              <w:spacing w:before="100" w:after="100"/>
              <w:rPr>
                <w:sz w:val="18"/>
                <w:szCs w:val="18"/>
              </w:rPr>
            </w:pPr>
          </w:p>
        </w:tc>
        <w:tc>
          <w:tcPr>
            <w:tcW w:w="342" w:type="pct"/>
          </w:tcPr>
          <w:p w14:paraId="395C223F" w14:textId="77777777" w:rsidR="00207075" w:rsidRDefault="00207075" w:rsidP="00207075">
            <w:pPr>
              <w:pStyle w:val="Table"/>
              <w:keepNext/>
              <w:spacing w:before="100" w:after="100"/>
              <w:rPr>
                <w:sz w:val="18"/>
                <w:szCs w:val="18"/>
              </w:rPr>
            </w:pPr>
          </w:p>
        </w:tc>
        <w:tc>
          <w:tcPr>
            <w:tcW w:w="334" w:type="pct"/>
          </w:tcPr>
          <w:p w14:paraId="1E9AAD32" w14:textId="77777777" w:rsidR="00207075" w:rsidRDefault="00207075" w:rsidP="00207075">
            <w:pPr>
              <w:pStyle w:val="Table"/>
              <w:keepNext/>
              <w:spacing w:before="100" w:after="100"/>
              <w:rPr>
                <w:sz w:val="18"/>
                <w:szCs w:val="18"/>
              </w:rPr>
            </w:pPr>
          </w:p>
        </w:tc>
      </w:tr>
      <w:tr w:rsidR="00861707" w14:paraId="26F69598" w14:textId="77777777" w:rsidTr="00E54AE7">
        <w:tc>
          <w:tcPr>
            <w:tcW w:w="3900" w:type="pct"/>
          </w:tcPr>
          <w:p w14:paraId="304F5BF8" w14:textId="77777777" w:rsidR="00207075" w:rsidRDefault="00207075" w:rsidP="00207075">
            <w:pPr>
              <w:pStyle w:val="TableBullet"/>
              <w:numPr>
                <w:ilvl w:val="0"/>
                <w:numId w:val="0"/>
              </w:numPr>
              <w:spacing w:before="100" w:after="100"/>
              <w:rPr>
                <w:b/>
                <w:bCs/>
                <w:color w:val="090D46" w:themeColor="text1"/>
                <w:sz w:val="18"/>
                <w:szCs w:val="18"/>
              </w:rPr>
            </w:pPr>
            <w:r w:rsidRPr="006802FD">
              <w:rPr>
                <w:b/>
                <w:bCs/>
                <w:color w:val="090D46" w:themeColor="text1"/>
                <w:sz w:val="18"/>
                <w:szCs w:val="18"/>
              </w:rPr>
              <w:t>Comments:</w:t>
            </w:r>
          </w:p>
          <w:p w14:paraId="6859752A" w14:textId="525F626A" w:rsidR="00207075" w:rsidRDefault="00207075" w:rsidP="00207075">
            <w:pPr>
              <w:pStyle w:val="TableBullet"/>
              <w:numPr>
                <w:ilvl w:val="0"/>
                <w:numId w:val="0"/>
              </w:numPr>
              <w:spacing w:before="100" w:after="100"/>
              <w:rPr>
                <w:sz w:val="18"/>
                <w:szCs w:val="18"/>
              </w:rPr>
            </w:pPr>
          </w:p>
        </w:tc>
        <w:tc>
          <w:tcPr>
            <w:tcW w:w="424" w:type="pct"/>
          </w:tcPr>
          <w:p w14:paraId="4AF0B921" w14:textId="77777777" w:rsidR="00207075" w:rsidRDefault="00207075" w:rsidP="00207075">
            <w:pPr>
              <w:pStyle w:val="Table"/>
              <w:keepNext/>
              <w:spacing w:before="100" w:after="100"/>
              <w:rPr>
                <w:sz w:val="18"/>
                <w:szCs w:val="18"/>
              </w:rPr>
            </w:pPr>
          </w:p>
        </w:tc>
        <w:tc>
          <w:tcPr>
            <w:tcW w:w="342" w:type="pct"/>
          </w:tcPr>
          <w:p w14:paraId="0FFAFDE9" w14:textId="77777777" w:rsidR="00207075" w:rsidRDefault="00207075" w:rsidP="00207075">
            <w:pPr>
              <w:pStyle w:val="Table"/>
              <w:keepNext/>
              <w:spacing w:before="100" w:after="100"/>
              <w:rPr>
                <w:sz w:val="18"/>
                <w:szCs w:val="18"/>
              </w:rPr>
            </w:pPr>
          </w:p>
        </w:tc>
        <w:tc>
          <w:tcPr>
            <w:tcW w:w="334" w:type="pct"/>
          </w:tcPr>
          <w:p w14:paraId="2AEB7BBC" w14:textId="77777777" w:rsidR="00207075" w:rsidRDefault="00207075" w:rsidP="00207075">
            <w:pPr>
              <w:pStyle w:val="Table"/>
              <w:keepNext/>
              <w:spacing w:before="100" w:after="100"/>
              <w:rPr>
                <w:sz w:val="18"/>
                <w:szCs w:val="18"/>
              </w:rPr>
            </w:pPr>
          </w:p>
        </w:tc>
      </w:tr>
      <w:tr w:rsidR="00207075" w14:paraId="238CE7E8"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shd w:val="clear" w:color="auto" w:fill="0A5CC7" w:themeFill="accent3"/>
          </w:tcPr>
          <w:p w14:paraId="032627A4" w14:textId="6FA96C45" w:rsidR="00207075" w:rsidRPr="006802FD" w:rsidRDefault="00207075" w:rsidP="00207075">
            <w:pPr>
              <w:pStyle w:val="TableBullet"/>
              <w:numPr>
                <w:ilvl w:val="0"/>
                <w:numId w:val="0"/>
              </w:numPr>
              <w:spacing w:before="100" w:after="100"/>
              <w:rPr>
                <w:b/>
                <w:bCs/>
                <w:color w:val="FFFFFF" w:themeColor="background1"/>
                <w:sz w:val="18"/>
                <w:szCs w:val="18"/>
              </w:rPr>
            </w:pPr>
            <w:r w:rsidRPr="006802FD">
              <w:rPr>
                <w:b/>
                <w:color w:val="FFFFFF" w:themeColor="background1"/>
                <w:sz w:val="18"/>
                <w:szCs w:val="18"/>
              </w:rPr>
              <w:t>KEY FINANCIAL INFORMATION AND BUSINESS AND PROFESSIONAL ITEMS (ITEMS 33-49)</w:t>
            </w:r>
          </w:p>
        </w:tc>
        <w:tc>
          <w:tcPr>
            <w:tcW w:w="424" w:type="pct"/>
            <w:shd w:val="clear" w:color="auto" w:fill="0A5CC7" w:themeFill="accent3"/>
          </w:tcPr>
          <w:p w14:paraId="69CB75A6" w14:textId="77777777" w:rsidR="00207075" w:rsidRPr="006802FD" w:rsidRDefault="00207075" w:rsidP="00207075">
            <w:pPr>
              <w:pStyle w:val="Table"/>
              <w:keepNext/>
              <w:spacing w:before="100" w:after="100"/>
              <w:rPr>
                <w:color w:val="FFFFFF" w:themeColor="background1"/>
                <w:sz w:val="18"/>
                <w:szCs w:val="18"/>
              </w:rPr>
            </w:pPr>
          </w:p>
        </w:tc>
        <w:tc>
          <w:tcPr>
            <w:tcW w:w="342" w:type="pct"/>
            <w:shd w:val="clear" w:color="auto" w:fill="0A5CC7" w:themeFill="accent3"/>
          </w:tcPr>
          <w:p w14:paraId="3D6D4E8E" w14:textId="77777777" w:rsidR="00207075" w:rsidRPr="006802FD" w:rsidRDefault="00207075" w:rsidP="00207075">
            <w:pPr>
              <w:pStyle w:val="Table"/>
              <w:keepNext/>
              <w:spacing w:before="100" w:after="100"/>
              <w:rPr>
                <w:color w:val="FFFFFF" w:themeColor="background1"/>
                <w:sz w:val="18"/>
                <w:szCs w:val="18"/>
              </w:rPr>
            </w:pPr>
          </w:p>
        </w:tc>
        <w:tc>
          <w:tcPr>
            <w:tcW w:w="334" w:type="pct"/>
            <w:shd w:val="clear" w:color="auto" w:fill="0A5CC7" w:themeFill="accent3"/>
          </w:tcPr>
          <w:p w14:paraId="256B619F" w14:textId="77777777" w:rsidR="00207075" w:rsidRPr="006802FD" w:rsidRDefault="00207075" w:rsidP="00207075">
            <w:pPr>
              <w:pStyle w:val="Table"/>
              <w:keepNext/>
              <w:spacing w:before="100" w:after="100"/>
              <w:rPr>
                <w:color w:val="FFFFFF" w:themeColor="background1"/>
                <w:sz w:val="18"/>
                <w:szCs w:val="18"/>
              </w:rPr>
            </w:pPr>
          </w:p>
        </w:tc>
      </w:tr>
      <w:tr w:rsidR="00861707" w14:paraId="409485DA" w14:textId="77777777" w:rsidTr="00E54AE7">
        <w:tc>
          <w:tcPr>
            <w:tcW w:w="3900" w:type="pct"/>
          </w:tcPr>
          <w:p w14:paraId="71965C00" w14:textId="1CDFE360" w:rsidR="00207075" w:rsidRPr="006802FD" w:rsidRDefault="00207075" w:rsidP="00207075">
            <w:pPr>
              <w:pStyle w:val="TableBullet"/>
              <w:numPr>
                <w:ilvl w:val="0"/>
                <w:numId w:val="0"/>
              </w:numPr>
              <w:spacing w:before="100" w:after="100"/>
              <w:rPr>
                <w:b/>
                <w:color w:val="090D46" w:themeColor="text1"/>
                <w:sz w:val="18"/>
                <w:szCs w:val="18"/>
              </w:rPr>
            </w:pPr>
            <w:r w:rsidRPr="006802FD">
              <w:rPr>
                <w:color w:val="090D46" w:themeColor="text1"/>
                <w:sz w:val="18"/>
                <w:szCs w:val="18"/>
              </w:rPr>
              <w:t>Have all the appropriate disclosures on key financial information been made?</w:t>
            </w:r>
          </w:p>
        </w:tc>
        <w:tc>
          <w:tcPr>
            <w:tcW w:w="424" w:type="pct"/>
          </w:tcPr>
          <w:p w14:paraId="3054580C" w14:textId="77777777" w:rsidR="00207075" w:rsidRDefault="00207075" w:rsidP="00207075">
            <w:pPr>
              <w:pStyle w:val="Table"/>
              <w:keepNext/>
              <w:spacing w:before="100" w:after="100"/>
              <w:rPr>
                <w:sz w:val="18"/>
                <w:szCs w:val="18"/>
              </w:rPr>
            </w:pPr>
          </w:p>
        </w:tc>
        <w:tc>
          <w:tcPr>
            <w:tcW w:w="342" w:type="pct"/>
          </w:tcPr>
          <w:p w14:paraId="2EC29B81" w14:textId="77777777" w:rsidR="00207075" w:rsidRDefault="00207075" w:rsidP="00207075">
            <w:pPr>
              <w:pStyle w:val="Table"/>
              <w:keepNext/>
              <w:spacing w:before="100" w:after="100"/>
              <w:rPr>
                <w:sz w:val="18"/>
                <w:szCs w:val="18"/>
              </w:rPr>
            </w:pPr>
          </w:p>
        </w:tc>
        <w:tc>
          <w:tcPr>
            <w:tcW w:w="334" w:type="pct"/>
          </w:tcPr>
          <w:p w14:paraId="7AD460DA" w14:textId="77777777" w:rsidR="00207075" w:rsidRDefault="00207075" w:rsidP="00207075">
            <w:pPr>
              <w:pStyle w:val="Table"/>
              <w:keepNext/>
              <w:spacing w:before="100" w:after="100"/>
              <w:rPr>
                <w:sz w:val="18"/>
                <w:szCs w:val="18"/>
              </w:rPr>
            </w:pPr>
          </w:p>
        </w:tc>
      </w:tr>
      <w:tr w:rsidR="00D848AF" w14:paraId="57765BC4"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tcPr>
          <w:p w14:paraId="13FC3CB0" w14:textId="72AB627D" w:rsidR="00207075" w:rsidRPr="006802FD" w:rsidRDefault="00207075" w:rsidP="00207075">
            <w:pPr>
              <w:pStyle w:val="TableBullet"/>
              <w:numPr>
                <w:ilvl w:val="0"/>
                <w:numId w:val="0"/>
              </w:numPr>
              <w:spacing w:before="100" w:after="100"/>
              <w:rPr>
                <w:color w:val="090D46" w:themeColor="text1"/>
                <w:sz w:val="18"/>
                <w:szCs w:val="18"/>
              </w:rPr>
            </w:pPr>
            <w:r w:rsidRPr="006802FD">
              <w:rPr>
                <w:color w:val="090D46" w:themeColor="text1"/>
                <w:sz w:val="18"/>
                <w:szCs w:val="18"/>
              </w:rPr>
              <w:t>Has the trust disclosed all payments made during the year (including salaries, wages, commissions, superannuation contributions and allowances) to associated persons?</w:t>
            </w:r>
          </w:p>
        </w:tc>
        <w:tc>
          <w:tcPr>
            <w:tcW w:w="424" w:type="pct"/>
          </w:tcPr>
          <w:p w14:paraId="4EB0DA9E" w14:textId="77777777" w:rsidR="00207075" w:rsidRDefault="00207075" w:rsidP="00207075">
            <w:pPr>
              <w:pStyle w:val="Table"/>
              <w:keepNext/>
              <w:spacing w:before="100" w:after="100"/>
              <w:rPr>
                <w:sz w:val="18"/>
                <w:szCs w:val="18"/>
              </w:rPr>
            </w:pPr>
          </w:p>
        </w:tc>
        <w:tc>
          <w:tcPr>
            <w:tcW w:w="342" w:type="pct"/>
          </w:tcPr>
          <w:p w14:paraId="71BFBF74" w14:textId="77777777" w:rsidR="00207075" w:rsidRDefault="00207075" w:rsidP="00207075">
            <w:pPr>
              <w:pStyle w:val="Table"/>
              <w:keepNext/>
              <w:spacing w:before="100" w:after="100"/>
              <w:rPr>
                <w:sz w:val="18"/>
                <w:szCs w:val="18"/>
              </w:rPr>
            </w:pPr>
          </w:p>
        </w:tc>
        <w:tc>
          <w:tcPr>
            <w:tcW w:w="334" w:type="pct"/>
          </w:tcPr>
          <w:p w14:paraId="6420C019" w14:textId="77777777" w:rsidR="00207075" w:rsidRDefault="00207075" w:rsidP="00207075">
            <w:pPr>
              <w:pStyle w:val="Table"/>
              <w:keepNext/>
              <w:spacing w:before="100" w:after="100"/>
              <w:rPr>
                <w:sz w:val="18"/>
                <w:szCs w:val="18"/>
              </w:rPr>
            </w:pPr>
          </w:p>
        </w:tc>
      </w:tr>
      <w:tr w:rsidR="00861707" w14:paraId="2F6A6A88" w14:textId="77777777" w:rsidTr="00E54AE7">
        <w:tc>
          <w:tcPr>
            <w:tcW w:w="3900" w:type="pct"/>
          </w:tcPr>
          <w:p w14:paraId="699E4D5D" w14:textId="2085BD19" w:rsidR="00207075" w:rsidRPr="006802FD" w:rsidRDefault="00207075" w:rsidP="00207075">
            <w:pPr>
              <w:pStyle w:val="TableBullet"/>
              <w:numPr>
                <w:ilvl w:val="0"/>
                <w:numId w:val="0"/>
              </w:numPr>
              <w:spacing w:before="100" w:after="100"/>
              <w:rPr>
                <w:color w:val="090D46" w:themeColor="text1"/>
                <w:sz w:val="18"/>
                <w:szCs w:val="18"/>
              </w:rPr>
            </w:pPr>
            <w:r w:rsidRPr="006802FD">
              <w:rPr>
                <w:color w:val="090D46" w:themeColor="text1"/>
                <w:sz w:val="18"/>
                <w:szCs w:val="18"/>
              </w:rPr>
              <w:t>Has total salary and wages expenditure been disclosed and reconciled to Label W1 on the BAS?</w:t>
            </w:r>
          </w:p>
        </w:tc>
        <w:tc>
          <w:tcPr>
            <w:tcW w:w="424" w:type="pct"/>
          </w:tcPr>
          <w:p w14:paraId="790ACF35" w14:textId="77777777" w:rsidR="00207075" w:rsidRDefault="00207075" w:rsidP="00207075">
            <w:pPr>
              <w:pStyle w:val="Table"/>
              <w:keepNext/>
              <w:spacing w:before="100" w:after="100"/>
              <w:rPr>
                <w:sz w:val="18"/>
                <w:szCs w:val="18"/>
              </w:rPr>
            </w:pPr>
          </w:p>
        </w:tc>
        <w:tc>
          <w:tcPr>
            <w:tcW w:w="342" w:type="pct"/>
          </w:tcPr>
          <w:p w14:paraId="2EBC3012" w14:textId="77777777" w:rsidR="00207075" w:rsidRDefault="00207075" w:rsidP="00207075">
            <w:pPr>
              <w:pStyle w:val="Table"/>
              <w:keepNext/>
              <w:spacing w:before="100" w:after="100"/>
              <w:rPr>
                <w:sz w:val="18"/>
                <w:szCs w:val="18"/>
              </w:rPr>
            </w:pPr>
          </w:p>
        </w:tc>
        <w:tc>
          <w:tcPr>
            <w:tcW w:w="334" w:type="pct"/>
          </w:tcPr>
          <w:p w14:paraId="048CFA49" w14:textId="77777777" w:rsidR="00207075" w:rsidRDefault="00207075" w:rsidP="00207075">
            <w:pPr>
              <w:pStyle w:val="Table"/>
              <w:keepNext/>
              <w:spacing w:before="100" w:after="100"/>
              <w:rPr>
                <w:sz w:val="18"/>
                <w:szCs w:val="18"/>
              </w:rPr>
            </w:pPr>
          </w:p>
        </w:tc>
      </w:tr>
      <w:tr w:rsidR="00D848AF" w14:paraId="48068B7D"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tcPr>
          <w:p w14:paraId="3F2BE684" w14:textId="275EE84D" w:rsidR="00207075" w:rsidRPr="006802FD" w:rsidRDefault="00207075" w:rsidP="00207075">
            <w:pPr>
              <w:pStyle w:val="TableBullet"/>
              <w:numPr>
                <w:ilvl w:val="0"/>
                <w:numId w:val="0"/>
              </w:numPr>
              <w:spacing w:before="100" w:after="100"/>
              <w:rPr>
                <w:bCs/>
                <w:color w:val="090D46" w:themeColor="text1"/>
                <w:sz w:val="18"/>
                <w:szCs w:val="18"/>
              </w:rPr>
            </w:pPr>
            <w:r w:rsidRPr="006802FD">
              <w:rPr>
                <w:bCs/>
                <w:color w:val="090D46" w:themeColor="text1"/>
                <w:sz w:val="18"/>
                <w:szCs w:val="18"/>
              </w:rPr>
              <w:t>From the 202</w:t>
            </w:r>
            <w:r>
              <w:rPr>
                <w:bCs/>
                <w:color w:val="090D46" w:themeColor="text1"/>
                <w:sz w:val="18"/>
                <w:szCs w:val="18"/>
              </w:rPr>
              <w:t>3</w:t>
            </w:r>
            <w:r w:rsidRPr="006802FD">
              <w:rPr>
                <w:bCs/>
                <w:color w:val="090D46" w:themeColor="text1"/>
                <w:sz w:val="18"/>
                <w:szCs w:val="18"/>
              </w:rPr>
              <w:t xml:space="preserve"> income year it is necessary to disclose the aggregated turnover of the entity and the aggregated turnover range, if the trust is claiming TFE or any of the small business entity concessions.</w:t>
            </w:r>
          </w:p>
        </w:tc>
        <w:tc>
          <w:tcPr>
            <w:tcW w:w="424" w:type="pct"/>
          </w:tcPr>
          <w:p w14:paraId="12373318" w14:textId="77777777" w:rsidR="00207075" w:rsidRDefault="00207075" w:rsidP="00207075">
            <w:pPr>
              <w:pStyle w:val="Table"/>
              <w:keepNext/>
              <w:spacing w:before="100" w:after="100"/>
              <w:rPr>
                <w:sz w:val="18"/>
                <w:szCs w:val="18"/>
              </w:rPr>
            </w:pPr>
          </w:p>
        </w:tc>
        <w:tc>
          <w:tcPr>
            <w:tcW w:w="342" w:type="pct"/>
          </w:tcPr>
          <w:p w14:paraId="6AAFCABA" w14:textId="77777777" w:rsidR="00207075" w:rsidRDefault="00207075" w:rsidP="00207075">
            <w:pPr>
              <w:pStyle w:val="Table"/>
              <w:keepNext/>
              <w:spacing w:before="100" w:after="100"/>
              <w:rPr>
                <w:sz w:val="18"/>
                <w:szCs w:val="18"/>
              </w:rPr>
            </w:pPr>
          </w:p>
        </w:tc>
        <w:tc>
          <w:tcPr>
            <w:tcW w:w="334" w:type="pct"/>
          </w:tcPr>
          <w:p w14:paraId="75012572" w14:textId="77777777" w:rsidR="00207075" w:rsidRDefault="00207075" w:rsidP="00207075">
            <w:pPr>
              <w:pStyle w:val="Table"/>
              <w:keepNext/>
              <w:spacing w:before="100" w:after="100"/>
              <w:rPr>
                <w:sz w:val="18"/>
                <w:szCs w:val="18"/>
              </w:rPr>
            </w:pPr>
          </w:p>
        </w:tc>
      </w:tr>
      <w:tr w:rsidR="00861707" w14:paraId="6CF2150A" w14:textId="77777777" w:rsidTr="00E54AE7">
        <w:tc>
          <w:tcPr>
            <w:tcW w:w="3900" w:type="pct"/>
          </w:tcPr>
          <w:p w14:paraId="3B81C425" w14:textId="77777777" w:rsidR="00207075" w:rsidRDefault="00207075" w:rsidP="00207075">
            <w:pPr>
              <w:pStyle w:val="TableBullet"/>
              <w:numPr>
                <w:ilvl w:val="0"/>
                <w:numId w:val="0"/>
              </w:numPr>
              <w:spacing w:before="100" w:after="100"/>
              <w:rPr>
                <w:b/>
                <w:bCs/>
                <w:color w:val="090D46" w:themeColor="text1"/>
                <w:sz w:val="18"/>
                <w:szCs w:val="18"/>
              </w:rPr>
            </w:pPr>
            <w:r w:rsidRPr="006802FD">
              <w:rPr>
                <w:b/>
                <w:bCs/>
                <w:color w:val="090D46" w:themeColor="text1"/>
                <w:sz w:val="18"/>
                <w:szCs w:val="18"/>
              </w:rPr>
              <w:t>Comments:</w:t>
            </w:r>
          </w:p>
          <w:p w14:paraId="1A3157B8" w14:textId="7EAC8546" w:rsidR="00207075" w:rsidRPr="006802FD" w:rsidRDefault="00207075" w:rsidP="00207075">
            <w:pPr>
              <w:pStyle w:val="TableBullet"/>
              <w:numPr>
                <w:ilvl w:val="0"/>
                <w:numId w:val="0"/>
              </w:numPr>
              <w:spacing w:before="100" w:after="100"/>
              <w:rPr>
                <w:bCs/>
                <w:color w:val="090D46" w:themeColor="text1"/>
                <w:sz w:val="18"/>
                <w:szCs w:val="18"/>
              </w:rPr>
            </w:pPr>
          </w:p>
        </w:tc>
        <w:tc>
          <w:tcPr>
            <w:tcW w:w="424" w:type="pct"/>
          </w:tcPr>
          <w:p w14:paraId="71FEE25E" w14:textId="77777777" w:rsidR="00207075" w:rsidRDefault="00207075" w:rsidP="00207075">
            <w:pPr>
              <w:pStyle w:val="Table"/>
              <w:keepNext/>
              <w:spacing w:before="100" w:after="100"/>
              <w:rPr>
                <w:sz w:val="18"/>
                <w:szCs w:val="18"/>
              </w:rPr>
            </w:pPr>
          </w:p>
        </w:tc>
        <w:tc>
          <w:tcPr>
            <w:tcW w:w="342" w:type="pct"/>
          </w:tcPr>
          <w:p w14:paraId="5A3F16A6" w14:textId="77777777" w:rsidR="00207075" w:rsidRDefault="00207075" w:rsidP="00207075">
            <w:pPr>
              <w:pStyle w:val="Table"/>
              <w:keepNext/>
              <w:spacing w:before="100" w:after="100"/>
              <w:rPr>
                <w:sz w:val="18"/>
                <w:szCs w:val="18"/>
              </w:rPr>
            </w:pPr>
          </w:p>
        </w:tc>
        <w:tc>
          <w:tcPr>
            <w:tcW w:w="334" w:type="pct"/>
          </w:tcPr>
          <w:p w14:paraId="4154CABA" w14:textId="77777777" w:rsidR="00207075" w:rsidRDefault="00207075" w:rsidP="00207075">
            <w:pPr>
              <w:pStyle w:val="Table"/>
              <w:keepNext/>
              <w:spacing w:before="100" w:after="100"/>
              <w:rPr>
                <w:sz w:val="18"/>
                <w:szCs w:val="18"/>
              </w:rPr>
            </w:pPr>
          </w:p>
        </w:tc>
      </w:tr>
      <w:tr w:rsidR="00207075" w14:paraId="47BBD001" w14:textId="77777777" w:rsidTr="006802FD">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46806BFE" w14:textId="77777777" w:rsidR="00207075" w:rsidRPr="006802FD" w:rsidRDefault="00207075" w:rsidP="00207075">
            <w:pPr>
              <w:pStyle w:val="Tableheading"/>
              <w:keepNext/>
              <w:spacing w:before="100" w:after="100"/>
              <w:rPr>
                <w:bCs/>
                <w:color w:val="FFFFFF" w:themeColor="background1"/>
                <w:sz w:val="18"/>
                <w:szCs w:val="18"/>
              </w:rPr>
            </w:pPr>
            <w:r w:rsidRPr="006802FD">
              <w:rPr>
                <w:bCs/>
                <w:color w:val="FFFFFF" w:themeColor="background1"/>
                <w:sz w:val="18"/>
                <w:szCs w:val="18"/>
              </w:rPr>
              <w:t xml:space="preserve">CAPITAL ALLOWANCES (ITEM 50) </w:t>
            </w:r>
          </w:p>
        </w:tc>
      </w:tr>
      <w:tr w:rsidR="00861707" w14:paraId="415C7C3F" w14:textId="77777777" w:rsidTr="00E54AE7">
        <w:tc>
          <w:tcPr>
            <w:tcW w:w="3900" w:type="pct"/>
            <w:hideMark/>
          </w:tcPr>
          <w:p w14:paraId="0B27A350" w14:textId="77777777" w:rsidR="00207075" w:rsidRPr="006802FD" w:rsidRDefault="00207075" w:rsidP="00207075">
            <w:pPr>
              <w:pStyle w:val="Table"/>
              <w:spacing w:before="100" w:after="100"/>
              <w:rPr>
                <w:color w:val="090D46" w:themeColor="text1"/>
                <w:sz w:val="18"/>
                <w:szCs w:val="18"/>
              </w:rPr>
            </w:pPr>
            <w:r w:rsidRPr="006802FD">
              <w:rPr>
                <w:color w:val="090D46" w:themeColor="text1"/>
                <w:sz w:val="18"/>
                <w:szCs w:val="18"/>
              </w:rPr>
              <w:t>Did the trust hold any depreciating assets (tangible or intangible) during the year? If so, have the appropriate disclosures been made in relation to the trust’s capital allowances?</w:t>
            </w:r>
          </w:p>
        </w:tc>
        <w:tc>
          <w:tcPr>
            <w:tcW w:w="424" w:type="pct"/>
          </w:tcPr>
          <w:p w14:paraId="0AB0EB97" w14:textId="77777777" w:rsidR="00207075" w:rsidRDefault="00207075" w:rsidP="00207075">
            <w:pPr>
              <w:pStyle w:val="Table"/>
              <w:spacing w:before="100" w:after="100"/>
            </w:pPr>
          </w:p>
        </w:tc>
        <w:tc>
          <w:tcPr>
            <w:tcW w:w="342" w:type="pct"/>
          </w:tcPr>
          <w:p w14:paraId="404AA3D2" w14:textId="77777777" w:rsidR="00207075" w:rsidRDefault="00207075" w:rsidP="00207075">
            <w:pPr>
              <w:pStyle w:val="Table"/>
              <w:spacing w:before="100" w:after="100"/>
            </w:pPr>
          </w:p>
        </w:tc>
        <w:tc>
          <w:tcPr>
            <w:tcW w:w="334" w:type="pct"/>
          </w:tcPr>
          <w:p w14:paraId="0A7B9053" w14:textId="77777777" w:rsidR="00207075" w:rsidRDefault="00207075" w:rsidP="00207075">
            <w:pPr>
              <w:pStyle w:val="Table"/>
              <w:spacing w:before="100" w:after="100"/>
            </w:pPr>
          </w:p>
        </w:tc>
      </w:tr>
      <w:tr w:rsidR="00207075" w14:paraId="5C89C4B5" w14:textId="77777777" w:rsidTr="002D3EC6">
        <w:trPr>
          <w:cnfStyle w:val="000000100000" w:firstRow="0" w:lastRow="0" w:firstColumn="0" w:lastColumn="0" w:oddVBand="0" w:evenVBand="0" w:oddHBand="1" w:evenHBand="0" w:firstRowFirstColumn="0" w:firstRowLastColumn="0" w:lastRowFirstColumn="0" w:lastRowLastColumn="0"/>
        </w:trPr>
        <w:tc>
          <w:tcPr>
            <w:tcW w:w="5000" w:type="pct"/>
            <w:gridSpan w:val="4"/>
            <w:hideMark/>
          </w:tcPr>
          <w:p w14:paraId="2F72FAB6" w14:textId="77777777" w:rsidR="00207075" w:rsidRDefault="00207075" w:rsidP="00207075">
            <w:pPr>
              <w:pStyle w:val="Table"/>
              <w:spacing w:before="100" w:after="100"/>
              <w:rPr>
                <w:b/>
                <w:bCs/>
                <w:color w:val="090D46" w:themeColor="text1"/>
                <w:sz w:val="18"/>
                <w:szCs w:val="18"/>
              </w:rPr>
            </w:pPr>
            <w:r w:rsidRPr="006802FD">
              <w:rPr>
                <w:b/>
                <w:bCs/>
                <w:color w:val="090D46" w:themeColor="text1"/>
                <w:sz w:val="18"/>
                <w:szCs w:val="18"/>
              </w:rPr>
              <w:t>Comments:</w:t>
            </w:r>
          </w:p>
          <w:p w14:paraId="14174A4A" w14:textId="5D0BF997" w:rsidR="00207075" w:rsidRPr="006802FD" w:rsidRDefault="00207075" w:rsidP="00207075">
            <w:pPr>
              <w:pStyle w:val="Table"/>
              <w:spacing w:before="100" w:after="100"/>
              <w:rPr>
                <w:color w:val="090D46" w:themeColor="text1"/>
              </w:rPr>
            </w:pPr>
          </w:p>
        </w:tc>
      </w:tr>
      <w:tr w:rsidR="00207075" w14:paraId="06353B94" w14:textId="77777777" w:rsidTr="006802FD">
        <w:tc>
          <w:tcPr>
            <w:tcW w:w="5000" w:type="pct"/>
            <w:gridSpan w:val="4"/>
            <w:shd w:val="clear" w:color="auto" w:fill="0A5CC7" w:themeFill="accent3"/>
            <w:hideMark/>
          </w:tcPr>
          <w:p w14:paraId="2C4C4D10" w14:textId="77777777" w:rsidR="00207075" w:rsidRPr="006802FD" w:rsidRDefault="00207075" w:rsidP="00207075">
            <w:pPr>
              <w:pStyle w:val="Tableheading"/>
              <w:spacing w:before="100" w:after="100"/>
              <w:rPr>
                <w:bCs/>
                <w:color w:val="FFFFFF" w:themeColor="background1"/>
                <w:sz w:val="18"/>
                <w:szCs w:val="18"/>
              </w:rPr>
            </w:pPr>
            <w:r w:rsidRPr="006802FD">
              <w:rPr>
                <w:rFonts w:cs="Times New Roman"/>
                <w:bCs/>
                <w:color w:val="FFFFFF" w:themeColor="background1"/>
                <w:sz w:val="18"/>
                <w:szCs w:val="18"/>
              </w:rPr>
              <w:t xml:space="preserve">SMALL BUSINESS ENTITY SIMPLIFIED DEPRECIATING ASSETS (ITEM 51) </w:t>
            </w:r>
          </w:p>
        </w:tc>
      </w:tr>
      <w:tr w:rsidR="00D848AF" w14:paraId="22523CF7"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hideMark/>
          </w:tcPr>
          <w:p w14:paraId="433B4B4C" w14:textId="77777777" w:rsidR="00207075" w:rsidRPr="006802FD" w:rsidRDefault="00207075" w:rsidP="00207075">
            <w:pPr>
              <w:pStyle w:val="TableBullet"/>
              <w:numPr>
                <w:ilvl w:val="0"/>
                <w:numId w:val="0"/>
              </w:numPr>
              <w:spacing w:before="100" w:after="100"/>
              <w:rPr>
                <w:color w:val="090D46" w:themeColor="text1"/>
                <w:sz w:val="18"/>
                <w:szCs w:val="18"/>
              </w:rPr>
            </w:pPr>
            <w:r w:rsidRPr="006802FD">
              <w:rPr>
                <w:color w:val="090D46" w:themeColor="text1"/>
                <w:sz w:val="18"/>
                <w:szCs w:val="18"/>
              </w:rPr>
              <w:t>If the trust is a small business entity, has the appropriate small business entity depreciating assets and small business depreciation claim been disclosed? Refer to the above ‘decline in value’ for further information.</w:t>
            </w:r>
          </w:p>
        </w:tc>
        <w:tc>
          <w:tcPr>
            <w:tcW w:w="424" w:type="pct"/>
          </w:tcPr>
          <w:p w14:paraId="54C474BB" w14:textId="77777777" w:rsidR="00207075" w:rsidRDefault="00207075" w:rsidP="00207075">
            <w:pPr>
              <w:pStyle w:val="Table"/>
              <w:spacing w:before="100" w:after="100"/>
              <w:rPr>
                <w:sz w:val="18"/>
                <w:szCs w:val="18"/>
              </w:rPr>
            </w:pPr>
          </w:p>
        </w:tc>
        <w:tc>
          <w:tcPr>
            <w:tcW w:w="342" w:type="pct"/>
          </w:tcPr>
          <w:p w14:paraId="0FBF06C6" w14:textId="77777777" w:rsidR="00207075" w:rsidRDefault="00207075" w:rsidP="00207075">
            <w:pPr>
              <w:pStyle w:val="Table"/>
              <w:spacing w:before="100" w:after="100"/>
              <w:rPr>
                <w:sz w:val="18"/>
                <w:szCs w:val="18"/>
              </w:rPr>
            </w:pPr>
          </w:p>
        </w:tc>
        <w:tc>
          <w:tcPr>
            <w:tcW w:w="334" w:type="pct"/>
          </w:tcPr>
          <w:p w14:paraId="2E738F6E" w14:textId="77777777" w:rsidR="00207075" w:rsidRDefault="00207075" w:rsidP="00207075">
            <w:pPr>
              <w:pStyle w:val="Table"/>
              <w:spacing w:before="100" w:after="100"/>
              <w:rPr>
                <w:sz w:val="18"/>
                <w:szCs w:val="18"/>
              </w:rPr>
            </w:pPr>
          </w:p>
        </w:tc>
      </w:tr>
      <w:tr w:rsidR="00207075" w14:paraId="4AACB41B" w14:textId="77777777" w:rsidTr="002D3EC6">
        <w:tc>
          <w:tcPr>
            <w:tcW w:w="5000" w:type="pct"/>
            <w:gridSpan w:val="4"/>
            <w:hideMark/>
          </w:tcPr>
          <w:p w14:paraId="55D73A9D" w14:textId="77777777" w:rsidR="00207075" w:rsidRDefault="00207075" w:rsidP="00207075">
            <w:pPr>
              <w:pStyle w:val="Table"/>
              <w:spacing w:before="100" w:after="100"/>
              <w:rPr>
                <w:b/>
                <w:bCs/>
                <w:color w:val="090D46" w:themeColor="text1"/>
                <w:sz w:val="18"/>
                <w:szCs w:val="18"/>
              </w:rPr>
            </w:pPr>
            <w:r w:rsidRPr="006802FD">
              <w:rPr>
                <w:b/>
                <w:bCs/>
                <w:color w:val="090D46" w:themeColor="text1"/>
                <w:sz w:val="18"/>
                <w:szCs w:val="18"/>
              </w:rPr>
              <w:t>Comments:</w:t>
            </w:r>
          </w:p>
          <w:p w14:paraId="47F98694" w14:textId="3F20512E" w:rsidR="00207075" w:rsidRPr="006802FD" w:rsidRDefault="00207075" w:rsidP="00207075">
            <w:pPr>
              <w:pStyle w:val="Table"/>
              <w:spacing w:before="100" w:after="100"/>
              <w:rPr>
                <w:b/>
                <w:bCs/>
                <w:color w:val="090D46" w:themeColor="text1"/>
                <w:sz w:val="18"/>
                <w:szCs w:val="18"/>
              </w:rPr>
            </w:pPr>
          </w:p>
        </w:tc>
      </w:tr>
      <w:tr w:rsidR="00207075" w14:paraId="61A74CC2" w14:textId="77777777" w:rsidTr="006802FD">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5E864F91" w14:textId="77777777" w:rsidR="00207075" w:rsidRPr="006802FD" w:rsidRDefault="00207075" w:rsidP="00207075">
            <w:pPr>
              <w:pStyle w:val="Table"/>
              <w:spacing w:before="100" w:after="100"/>
              <w:rPr>
                <w:rFonts w:cs="Arial"/>
                <w:b/>
                <w:bCs/>
                <w:color w:val="FFFFFF" w:themeColor="background1"/>
                <w:sz w:val="18"/>
                <w:szCs w:val="18"/>
              </w:rPr>
            </w:pPr>
            <w:r w:rsidRPr="006802FD">
              <w:rPr>
                <w:b/>
                <w:bCs/>
                <w:color w:val="FFFFFF" w:themeColor="background1"/>
                <w:sz w:val="18"/>
                <w:szCs w:val="18"/>
              </w:rPr>
              <w:t>INCOME OF THE TRUST ESTATE (ITEM 56)</w:t>
            </w:r>
          </w:p>
        </w:tc>
      </w:tr>
      <w:tr w:rsidR="00861707" w14:paraId="1E87AED2" w14:textId="77777777" w:rsidTr="00E54AE7">
        <w:tc>
          <w:tcPr>
            <w:tcW w:w="3900" w:type="pct"/>
            <w:hideMark/>
          </w:tcPr>
          <w:p w14:paraId="6A389B92" w14:textId="7F02A54A" w:rsidR="00207075" w:rsidRPr="006802FD" w:rsidRDefault="00207075" w:rsidP="00207075">
            <w:pPr>
              <w:spacing w:before="100" w:after="100"/>
              <w:rPr>
                <w:szCs w:val="18"/>
              </w:rPr>
            </w:pPr>
            <w:r w:rsidRPr="006802FD">
              <w:rPr>
                <w:szCs w:val="18"/>
              </w:rPr>
              <w:t>What is the trust’s ‘income’ for the 202</w:t>
            </w:r>
            <w:r>
              <w:rPr>
                <w:szCs w:val="18"/>
              </w:rPr>
              <w:t>3</w:t>
            </w:r>
            <w:r w:rsidRPr="006802FD">
              <w:rPr>
                <w:szCs w:val="18"/>
              </w:rPr>
              <w:t xml:space="preserve"> year? </w:t>
            </w:r>
          </w:p>
          <w:p w14:paraId="18B51BDD" w14:textId="77777777" w:rsidR="00207075" w:rsidRDefault="00207075" w:rsidP="00207075">
            <w:pPr>
              <w:spacing w:before="100" w:after="100"/>
              <w:rPr>
                <w:rFonts w:eastAsia="Times New Roman" w:cs="Arial"/>
                <w:szCs w:val="18"/>
                <w:lang w:eastAsia="en-AU"/>
              </w:rPr>
            </w:pPr>
            <w:r w:rsidRPr="006802FD">
              <w:rPr>
                <w:szCs w:val="18"/>
              </w:rPr>
              <w:t>The income</w:t>
            </w:r>
            <w:r w:rsidRPr="006802FD">
              <w:rPr>
                <w:rFonts w:eastAsia="Times New Roman" w:cs="Arial"/>
                <w:szCs w:val="18"/>
                <w:lang w:eastAsia="en-AU"/>
              </w:rPr>
              <w:t xml:space="preserve"> of the trust estate is the trust’s income according to trust law concepts. Following the High Court’s decision in </w:t>
            </w:r>
            <w:r w:rsidRPr="006802FD">
              <w:rPr>
                <w:rFonts w:eastAsia="Times New Roman" w:cs="Arial"/>
                <w:i/>
                <w:szCs w:val="18"/>
                <w:lang w:eastAsia="en-AU"/>
              </w:rPr>
              <w:t>FCT v Bamford</w:t>
            </w:r>
            <w:r w:rsidRPr="006802FD">
              <w:rPr>
                <w:rFonts w:eastAsia="Times New Roman" w:cs="Arial"/>
                <w:szCs w:val="18"/>
                <w:lang w:eastAsia="en-AU"/>
              </w:rPr>
              <w:t xml:space="preserve"> [2010] HCA 10 it is necessary to consider any definition of income contained in the trust deed to determine what the trust’s income will be. Such trust income may differ from the trust’s accounting income and/or the net income of the trust for tax purposes. In addition, it is also necessary to consider the Commissioner of Taxation’s view on the meaning of the income of the trust contained in Draft Taxation Ruling TR 2012/D1.  </w:t>
            </w:r>
          </w:p>
        </w:tc>
        <w:tc>
          <w:tcPr>
            <w:tcW w:w="424" w:type="pct"/>
          </w:tcPr>
          <w:p w14:paraId="76FAAF5E" w14:textId="77777777" w:rsidR="00207075" w:rsidRDefault="00207075" w:rsidP="00207075">
            <w:pPr>
              <w:pStyle w:val="Table"/>
              <w:spacing w:before="100" w:after="100"/>
              <w:rPr>
                <w:rFonts w:cs="Arial"/>
                <w:sz w:val="18"/>
                <w:szCs w:val="18"/>
              </w:rPr>
            </w:pPr>
          </w:p>
        </w:tc>
        <w:tc>
          <w:tcPr>
            <w:tcW w:w="342" w:type="pct"/>
          </w:tcPr>
          <w:p w14:paraId="0A26B14C" w14:textId="77777777" w:rsidR="00207075" w:rsidRDefault="00207075" w:rsidP="00207075">
            <w:pPr>
              <w:pStyle w:val="Table"/>
              <w:spacing w:before="100" w:after="100"/>
              <w:rPr>
                <w:rFonts w:cs="Arial"/>
                <w:sz w:val="18"/>
                <w:szCs w:val="18"/>
              </w:rPr>
            </w:pPr>
          </w:p>
        </w:tc>
        <w:tc>
          <w:tcPr>
            <w:tcW w:w="334" w:type="pct"/>
          </w:tcPr>
          <w:p w14:paraId="096C65BD" w14:textId="77777777" w:rsidR="00207075" w:rsidRDefault="00207075" w:rsidP="00207075">
            <w:pPr>
              <w:pStyle w:val="Table"/>
              <w:spacing w:before="100" w:after="100"/>
              <w:rPr>
                <w:rFonts w:cs="Arial"/>
                <w:sz w:val="18"/>
                <w:szCs w:val="18"/>
              </w:rPr>
            </w:pPr>
          </w:p>
        </w:tc>
      </w:tr>
      <w:tr w:rsidR="00E37A49" w14:paraId="7E4EB58B" w14:textId="77777777" w:rsidTr="00E37A49">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1930C051" w14:textId="67E4ADC7" w:rsidR="00E37A49" w:rsidRPr="00E37A49" w:rsidRDefault="00E37A49" w:rsidP="00E37A49">
            <w:pPr>
              <w:pStyle w:val="Tableheading"/>
              <w:spacing w:before="100" w:after="100"/>
              <w:rPr>
                <w:bCs/>
                <w:color w:val="090D46" w:themeColor="text1"/>
                <w:sz w:val="18"/>
                <w:szCs w:val="18"/>
              </w:rPr>
            </w:pPr>
            <w:r w:rsidRPr="006802FD">
              <w:rPr>
                <w:bCs/>
                <w:color w:val="090D46" w:themeColor="text1"/>
                <w:sz w:val="18"/>
                <w:szCs w:val="18"/>
              </w:rPr>
              <w:t>Comments:</w:t>
            </w:r>
          </w:p>
        </w:tc>
      </w:tr>
      <w:tr w:rsidR="00E37A49" w14:paraId="418DB2F1" w14:textId="77777777" w:rsidTr="00E37A49">
        <w:tc>
          <w:tcPr>
            <w:tcW w:w="5000" w:type="pct"/>
            <w:gridSpan w:val="4"/>
            <w:shd w:val="clear" w:color="auto" w:fill="0A5CC7" w:themeFill="accent3"/>
          </w:tcPr>
          <w:p w14:paraId="2DB2DB24" w14:textId="079A2F17" w:rsidR="00E37A49" w:rsidRDefault="00E37A49" w:rsidP="00E37A49">
            <w:pPr>
              <w:pStyle w:val="Table"/>
              <w:spacing w:before="100" w:after="100"/>
              <w:rPr>
                <w:rFonts w:cs="Arial"/>
                <w:sz w:val="18"/>
                <w:szCs w:val="18"/>
              </w:rPr>
            </w:pPr>
            <w:r w:rsidRPr="006802FD">
              <w:rPr>
                <w:b/>
                <w:bCs/>
                <w:color w:val="FFFFFF" w:themeColor="background1"/>
                <w:sz w:val="18"/>
                <w:szCs w:val="18"/>
              </w:rPr>
              <w:t>STATEMENT OF DISTRIBUTION (ITEMS 57 to 60)</w:t>
            </w:r>
          </w:p>
        </w:tc>
      </w:tr>
      <w:tr w:rsidR="00E37A49" w14:paraId="3143E02B"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tcPr>
          <w:p w14:paraId="34B43570" w14:textId="77777777" w:rsidR="00E37A49" w:rsidRPr="00E37A49" w:rsidRDefault="00E37A49" w:rsidP="00E37A49">
            <w:pPr>
              <w:spacing w:before="100" w:after="100"/>
              <w:rPr>
                <w:szCs w:val="18"/>
              </w:rPr>
            </w:pPr>
            <w:r w:rsidRPr="00E37A49">
              <w:rPr>
                <w:szCs w:val="18"/>
              </w:rPr>
              <w:t>What share of the income of the trust estate will be allocated to each beneficiary?</w:t>
            </w:r>
          </w:p>
          <w:p w14:paraId="0072EAF3" w14:textId="77777777" w:rsidR="00E37A49" w:rsidRPr="00E37A49" w:rsidRDefault="00E37A49" w:rsidP="00E37A49">
            <w:pPr>
              <w:spacing w:before="100" w:after="100"/>
              <w:rPr>
                <w:i/>
                <w:iCs/>
                <w:szCs w:val="18"/>
              </w:rPr>
            </w:pPr>
            <w:r w:rsidRPr="00E37A49">
              <w:rPr>
                <w:i/>
                <w:iCs/>
                <w:szCs w:val="18"/>
              </w:rPr>
              <w:t xml:space="preserve">Allocation of share of trust income (and share of net income)    </w:t>
            </w:r>
          </w:p>
          <w:p w14:paraId="53AC16E9" w14:textId="054BFA72" w:rsidR="00E37A49" w:rsidRDefault="00E37A49" w:rsidP="00E37A49">
            <w:pPr>
              <w:spacing w:before="100" w:after="100"/>
              <w:rPr>
                <w:szCs w:val="18"/>
              </w:rPr>
            </w:pPr>
            <w:r w:rsidRPr="00E37A49">
              <w:rPr>
                <w:szCs w:val="18"/>
              </w:rPr>
              <w:t xml:space="preserve">The ATO has withdrawn its administrative treatment that previously permitted trustees of non-fixed trusts to make resolutions after 30 June. If the trust deed requires the trustee to make a beneficiary presently entitled to trust income by way of a resolution, this resolution must now be made by the end of the income year (i.e. 30 June). This resolution will determine each beneficiary’s share of the trust income which in turn will establish who is to be assessed on share of the trust's net income (i.e. taxable income). If the trust deed requires a resolution to be made at a date before 30 June the trustee should comply with the requirements of the deed. For further information refer to CPA Australia’s </w:t>
            </w:r>
            <w:hyperlink r:id="rId22" w:history="1">
              <w:r w:rsidRPr="00671E0B">
                <w:rPr>
                  <w:rStyle w:val="Hyperlink"/>
                  <w:szCs w:val="18"/>
                </w:rPr>
                <w:t>Trustee Guidance Resolutions fact sheet</w:t>
              </w:r>
            </w:hyperlink>
            <w:r w:rsidRPr="00E37A49">
              <w:rPr>
                <w:szCs w:val="18"/>
              </w:rPr>
              <w:t>.</w:t>
            </w:r>
          </w:p>
          <w:p w14:paraId="50478FD0" w14:textId="77777777" w:rsidR="00E37A49" w:rsidRPr="00E37A49" w:rsidRDefault="00E37A49" w:rsidP="00E37A49">
            <w:pPr>
              <w:spacing w:before="100" w:after="100"/>
              <w:rPr>
                <w:szCs w:val="18"/>
              </w:rPr>
            </w:pPr>
          </w:p>
          <w:p w14:paraId="0BF7D00D" w14:textId="77777777" w:rsidR="00E37A49" w:rsidRPr="00E37A49" w:rsidRDefault="00E37A49" w:rsidP="00E37A49">
            <w:pPr>
              <w:spacing w:before="100" w:after="100"/>
              <w:rPr>
                <w:i/>
                <w:iCs/>
                <w:szCs w:val="18"/>
              </w:rPr>
            </w:pPr>
            <w:r w:rsidRPr="00E37A49">
              <w:rPr>
                <w:i/>
                <w:iCs/>
                <w:szCs w:val="18"/>
              </w:rPr>
              <w:t>Streaming of capital gains and franked distributions</w:t>
            </w:r>
          </w:p>
          <w:p w14:paraId="6F8CAE6E" w14:textId="77777777" w:rsidR="00684854" w:rsidRDefault="00E37A49" w:rsidP="00E37A49">
            <w:pPr>
              <w:spacing w:before="100" w:after="100"/>
              <w:rPr>
                <w:szCs w:val="18"/>
              </w:rPr>
            </w:pPr>
            <w:r w:rsidRPr="00E37A49">
              <w:rPr>
                <w:szCs w:val="18"/>
              </w:rPr>
              <w:t xml:space="preserve">Trustees are permitted to stream capital gains and franked distributions in certain circumstances. Trustees should be aware that the ability to stream such amounts is dependent on the terms of the trust deed, the trustee making a resolution making beneficiaries specifically entitled to such amounts by the required dates and satisfying various conditions relating to the streaming of franked dividends and capital gains under Subdivisions 207-B and 115-C of the ITAA 1997 respectively. </w:t>
            </w:r>
          </w:p>
          <w:p w14:paraId="1F3D7EF8" w14:textId="5083E8F4" w:rsidR="00E37A49" w:rsidRPr="006802FD" w:rsidRDefault="00E37A49" w:rsidP="00E37A49">
            <w:pPr>
              <w:spacing w:before="100" w:after="100"/>
              <w:rPr>
                <w:szCs w:val="18"/>
              </w:rPr>
            </w:pPr>
            <w:r w:rsidRPr="00E37A49">
              <w:rPr>
                <w:szCs w:val="18"/>
              </w:rPr>
              <w:t xml:space="preserve">For further information refer to CPA Australia’s </w:t>
            </w:r>
            <w:hyperlink r:id="rId23" w:history="1">
              <w:r w:rsidRPr="00671E0B">
                <w:rPr>
                  <w:rStyle w:val="Hyperlink"/>
                  <w:szCs w:val="18"/>
                </w:rPr>
                <w:t>Trust Streaming Manual</w:t>
              </w:r>
            </w:hyperlink>
            <w:r w:rsidRPr="00E37A49">
              <w:rPr>
                <w:szCs w:val="18"/>
              </w:rPr>
              <w:t>.</w:t>
            </w:r>
          </w:p>
        </w:tc>
        <w:tc>
          <w:tcPr>
            <w:tcW w:w="424" w:type="pct"/>
          </w:tcPr>
          <w:p w14:paraId="153CA539" w14:textId="77777777" w:rsidR="00E37A49" w:rsidRDefault="00E37A49" w:rsidP="00E37A49">
            <w:pPr>
              <w:pStyle w:val="Table"/>
              <w:spacing w:before="100" w:after="100"/>
              <w:rPr>
                <w:rFonts w:cs="Arial"/>
                <w:sz w:val="18"/>
                <w:szCs w:val="18"/>
              </w:rPr>
            </w:pPr>
          </w:p>
        </w:tc>
        <w:tc>
          <w:tcPr>
            <w:tcW w:w="342" w:type="pct"/>
          </w:tcPr>
          <w:p w14:paraId="529B325E" w14:textId="77777777" w:rsidR="00E37A49" w:rsidRDefault="00E37A49" w:rsidP="00E37A49">
            <w:pPr>
              <w:pStyle w:val="Table"/>
              <w:spacing w:before="100" w:after="100"/>
              <w:rPr>
                <w:rFonts w:cs="Arial"/>
                <w:sz w:val="18"/>
                <w:szCs w:val="18"/>
              </w:rPr>
            </w:pPr>
          </w:p>
        </w:tc>
        <w:tc>
          <w:tcPr>
            <w:tcW w:w="334" w:type="pct"/>
          </w:tcPr>
          <w:p w14:paraId="26E81A40" w14:textId="77777777" w:rsidR="00E37A49" w:rsidRDefault="00E37A49" w:rsidP="00E37A49">
            <w:pPr>
              <w:pStyle w:val="Table"/>
              <w:spacing w:before="100" w:after="100"/>
              <w:rPr>
                <w:rFonts w:cs="Arial"/>
                <w:sz w:val="18"/>
                <w:szCs w:val="18"/>
              </w:rPr>
            </w:pPr>
          </w:p>
        </w:tc>
      </w:tr>
      <w:tr w:rsidR="00E37A49" w14:paraId="357C2339" w14:textId="77777777" w:rsidTr="00E54AE7">
        <w:tc>
          <w:tcPr>
            <w:tcW w:w="3900" w:type="pct"/>
          </w:tcPr>
          <w:p w14:paraId="4DFFC710" w14:textId="60EA4646" w:rsidR="00E37A49" w:rsidRPr="006C25FC" w:rsidRDefault="00E37A49" w:rsidP="00E37A49">
            <w:pPr>
              <w:pStyle w:val="Table"/>
              <w:spacing w:before="100" w:after="100"/>
              <w:rPr>
                <w:rFonts w:asciiTheme="minorHAnsi" w:hAnsiTheme="minorHAnsi" w:cstheme="minorHAnsi"/>
                <w:color w:val="090D46" w:themeColor="text1"/>
                <w:sz w:val="18"/>
                <w:szCs w:val="18"/>
              </w:rPr>
            </w:pPr>
            <w:r w:rsidRPr="006C25FC">
              <w:rPr>
                <w:rFonts w:asciiTheme="minorHAnsi" w:hAnsiTheme="minorHAnsi" w:cstheme="minorHAnsi"/>
                <w:color w:val="090D46" w:themeColor="text1"/>
                <w:sz w:val="18"/>
                <w:szCs w:val="18"/>
              </w:rPr>
              <w:t xml:space="preserve">If the trust is a unit trust, have you considered the potential application of CGT Event E4 where a non-assessable amount is paid to unitholders, e.g. where TFE has been claimed? If applicable, this section will operate to reduce cost base of the units and may potentially give rise to a capital gain. Refer to sections 104-70 and 104-71 of the </w:t>
            </w:r>
            <w:r w:rsidRPr="006C25FC">
              <w:rPr>
                <w:rFonts w:asciiTheme="minorHAnsi" w:hAnsiTheme="minorHAnsi" w:cstheme="minorHAnsi"/>
                <w:i/>
                <w:color w:val="090D46" w:themeColor="text1"/>
                <w:sz w:val="18"/>
                <w:szCs w:val="18"/>
              </w:rPr>
              <w:t xml:space="preserve">ITAA 1997 </w:t>
            </w:r>
            <w:r w:rsidRPr="006C25FC">
              <w:rPr>
                <w:rFonts w:asciiTheme="minorHAnsi" w:hAnsiTheme="minorHAnsi" w:cstheme="minorHAnsi"/>
                <w:color w:val="090D46" w:themeColor="text1"/>
                <w:sz w:val="18"/>
                <w:szCs w:val="18"/>
              </w:rPr>
              <w:t xml:space="preserve">for further details as to how and when CGT event E4 may apply.     </w:t>
            </w:r>
          </w:p>
        </w:tc>
        <w:tc>
          <w:tcPr>
            <w:tcW w:w="424" w:type="pct"/>
          </w:tcPr>
          <w:p w14:paraId="68849464" w14:textId="77777777" w:rsidR="00E37A49" w:rsidRDefault="00E37A49" w:rsidP="00E37A49">
            <w:pPr>
              <w:pStyle w:val="Table"/>
              <w:spacing w:before="100" w:after="100"/>
              <w:rPr>
                <w:rFonts w:cs="Arial"/>
                <w:sz w:val="18"/>
                <w:szCs w:val="18"/>
              </w:rPr>
            </w:pPr>
          </w:p>
        </w:tc>
        <w:tc>
          <w:tcPr>
            <w:tcW w:w="342" w:type="pct"/>
          </w:tcPr>
          <w:p w14:paraId="413DA987" w14:textId="77777777" w:rsidR="00E37A49" w:rsidRDefault="00E37A49" w:rsidP="00E37A49">
            <w:pPr>
              <w:pStyle w:val="Table"/>
              <w:spacing w:before="100" w:after="100"/>
              <w:rPr>
                <w:rFonts w:cs="Arial"/>
                <w:sz w:val="18"/>
                <w:szCs w:val="18"/>
              </w:rPr>
            </w:pPr>
          </w:p>
        </w:tc>
        <w:tc>
          <w:tcPr>
            <w:tcW w:w="334" w:type="pct"/>
          </w:tcPr>
          <w:p w14:paraId="759D7AC7" w14:textId="77777777" w:rsidR="00E37A49" w:rsidRDefault="00E37A49" w:rsidP="00E37A49">
            <w:pPr>
              <w:pStyle w:val="Table"/>
              <w:spacing w:before="100" w:after="100"/>
              <w:rPr>
                <w:rFonts w:cs="Arial"/>
                <w:sz w:val="18"/>
                <w:szCs w:val="18"/>
              </w:rPr>
            </w:pPr>
          </w:p>
        </w:tc>
      </w:tr>
      <w:tr w:rsidR="00E37A49" w14:paraId="0378D1AA"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hideMark/>
          </w:tcPr>
          <w:p w14:paraId="7782BEA5" w14:textId="74407C4C" w:rsidR="00E37A49" w:rsidRPr="006C25FC" w:rsidRDefault="00E37A49" w:rsidP="00E37A49">
            <w:pPr>
              <w:pStyle w:val="Table"/>
              <w:spacing w:before="100" w:after="100"/>
              <w:rPr>
                <w:rFonts w:asciiTheme="minorHAnsi" w:hAnsiTheme="minorHAnsi" w:cstheme="minorHAnsi"/>
                <w:color w:val="090D46" w:themeColor="text1"/>
                <w:sz w:val="18"/>
                <w:szCs w:val="18"/>
              </w:rPr>
            </w:pPr>
            <w:r w:rsidRPr="006C25FC">
              <w:rPr>
                <w:rFonts w:asciiTheme="minorHAnsi" w:eastAsia="Times New Roman" w:hAnsiTheme="minorHAnsi" w:cstheme="minorHAnsi"/>
                <w:color w:val="090D46" w:themeColor="text1"/>
                <w:sz w:val="18"/>
                <w:szCs w:val="18"/>
                <w:lang w:val="en-US"/>
              </w:rPr>
              <w:t>Check whether an individual beneficiary may be entitled to the small business income tax offset for the year ended 30 June 202</w:t>
            </w:r>
            <w:r>
              <w:rPr>
                <w:rFonts w:asciiTheme="minorHAnsi" w:eastAsia="Times New Roman" w:hAnsiTheme="minorHAnsi" w:cstheme="minorHAnsi"/>
                <w:color w:val="090D46" w:themeColor="text1"/>
                <w:sz w:val="18"/>
                <w:szCs w:val="18"/>
                <w:lang w:val="en-US"/>
              </w:rPr>
              <w:t>3</w:t>
            </w:r>
            <w:r w:rsidRPr="006C25FC">
              <w:rPr>
                <w:rFonts w:asciiTheme="minorHAnsi" w:eastAsia="Times New Roman" w:hAnsiTheme="minorHAnsi" w:cstheme="minorHAnsi"/>
                <w:color w:val="090D46" w:themeColor="text1"/>
                <w:sz w:val="18"/>
                <w:szCs w:val="18"/>
                <w:lang w:val="en-US"/>
              </w:rPr>
              <w:t xml:space="preserve"> where that individual is assessed on a share of trust income earned by a trust which is a small business entity. The offset is available for 13 per cent of the income tax payable on the portion of an individual’s taxable income that is their share of the trust’s ‘total net small business income’ which is based on their proportional share of trust income. A trust is a small business entity if it carries on business and its aggregated turnover for the 202</w:t>
            </w:r>
            <w:r>
              <w:rPr>
                <w:rFonts w:asciiTheme="minorHAnsi" w:eastAsia="Times New Roman" w:hAnsiTheme="minorHAnsi" w:cstheme="minorHAnsi"/>
                <w:color w:val="090D46" w:themeColor="text1"/>
                <w:sz w:val="18"/>
                <w:szCs w:val="18"/>
                <w:lang w:val="en-US"/>
              </w:rPr>
              <w:t>3</w:t>
            </w:r>
            <w:r w:rsidRPr="006C25FC">
              <w:rPr>
                <w:rFonts w:asciiTheme="minorHAnsi" w:eastAsia="Times New Roman" w:hAnsiTheme="minorHAnsi" w:cstheme="minorHAnsi"/>
                <w:color w:val="090D46" w:themeColor="text1"/>
                <w:sz w:val="18"/>
                <w:szCs w:val="18"/>
                <w:lang w:val="en-US"/>
              </w:rPr>
              <w:t xml:space="preserve"> year for the purposes of the offset</w:t>
            </w:r>
            <w:r w:rsidRPr="006C25FC">
              <w:rPr>
                <w:rFonts w:asciiTheme="minorHAnsi" w:eastAsia="Times New Roman" w:hAnsiTheme="minorHAnsi" w:cstheme="minorHAnsi"/>
                <w:b/>
                <w:color w:val="090D46" w:themeColor="text1"/>
                <w:sz w:val="18"/>
                <w:szCs w:val="18"/>
                <w:lang w:val="en-US"/>
              </w:rPr>
              <w:t xml:space="preserve"> </w:t>
            </w:r>
            <w:r w:rsidRPr="006C25FC">
              <w:rPr>
                <w:rFonts w:asciiTheme="minorHAnsi" w:eastAsia="Times New Roman" w:hAnsiTheme="minorHAnsi" w:cstheme="minorHAnsi"/>
                <w:color w:val="090D46" w:themeColor="text1"/>
                <w:sz w:val="18"/>
                <w:szCs w:val="18"/>
                <w:lang w:val="en-US"/>
              </w:rPr>
              <w:t>is less than $5 million.</w:t>
            </w:r>
            <w:r w:rsidRPr="006C25FC">
              <w:rPr>
                <w:rFonts w:asciiTheme="minorHAnsi" w:hAnsiTheme="minorHAnsi" w:cstheme="minorHAnsi"/>
                <w:color w:val="090D46" w:themeColor="text1"/>
                <w:sz w:val="18"/>
                <w:szCs w:val="18"/>
              </w:rPr>
              <w:t xml:space="preserve"> Trustees and certain prescribed persons are not entitled to the offset.</w:t>
            </w:r>
          </w:p>
        </w:tc>
        <w:tc>
          <w:tcPr>
            <w:tcW w:w="424" w:type="pct"/>
          </w:tcPr>
          <w:p w14:paraId="6DD8A9D0" w14:textId="77777777" w:rsidR="00E37A49" w:rsidRDefault="00E37A49" w:rsidP="00E37A49">
            <w:pPr>
              <w:pStyle w:val="Table"/>
              <w:spacing w:before="100" w:after="100"/>
              <w:rPr>
                <w:rFonts w:cs="Arial"/>
                <w:sz w:val="18"/>
                <w:szCs w:val="18"/>
              </w:rPr>
            </w:pPr>
          </w:p>
        </w:tc>
        <w:tc>
          <w:tcPr>
            <w:tcW w:w="342" w:type="pct"/>
          </w:tcPr>
          <w:p w14:paraId="2BF783BB" w14:textId="77777777" w:rsidR="00E37A49" w:rsidRDefault="00E37A49" w:rsidP="00E37A49">
            <w:pPr>
              <w:pStyle w:val="Table"/>
              <w:spacing w:before="100" w:after="100"/>
              <w:rPr>
                <w:rFonts w:cs="Arial"/>
                <w:sz w:val="18"/>
                <w:szCs w:val="18"/>
              </w:rPr>
            </w:pPr>
          </w:p>
        </w:tc>
        <w:tc>
          <w:tcPr>
            <w:tcW w:w="334" w:type="pct"/>
          </w:tcPr>
          <w:p w14:paraId="51855774" w14:textId="77777777" w:rsidR="00E37A49" w:rsidRDefault="00E37A49" w:rsidP="00E37A49">
            <w:pPr>
              <w:pStyle w:val="Table"/>
              <w:spacing w:before="100" w:after="100"/>
              <w:rPr>
                <w:rFonts w:cs="Arial"/>
                <w:sz w:val="18"/>
                <w:szCs w:val="18"/>
              </w:rPr>
            </w:pPr>
          </w:p>
        </w:tc>
      </w:tr>
      <w:tr w:rsidR="00E37A49" w14:paraId="584AC60F" w14:textId="77777777" w:rsidTr="00E54AE7">
        <w:tc>
          <w:tcPr>
            <w:tcW w:w="3900" w:type="pct"/>
            <w:hideMark/>
          </w:tcPr>
          <w:p w14:paraId="056E1D24" w14:textId="77777777" w:rsidR="00E37A49" w:rsidRPr="006C25FC" w:rsidRDefault="00E37A49" w:rsidP="00E37A49">
            <w:pPr>
              <w:pStyle w:val="Table"/>
              <w:spacing w:before="100" w:after="100"/>
              <w:rPr>
                <w:color w:val="090D46" w:themeColor="text1"/>
                <w:sz w:val="18"/>
                <w:szCs w:val="18"/>
              </w:rPr>
            </w:pPr>
            <w:r w:rsidRPr="006C25FC">
              <w:rPr>
                <w:color w:val="090D46" w:themeColor="text1"/>
                <w:sz w:val="18"/>
                <w:szCs w:val="18"/>
              </w:rPr>
              <w:t xml:space="preserve">Check whether a beneficiary has been made presently entitled to trust income due to a reimbursement agreement with a third party. If so, section 100A of the </w:t>
            </w:r>
            <w:r w:rsidRPr="006C25FC">
              <w:rPr>
                <w:i/>
                <w:color w:val="090D46" w:themeColor="text1"/>
                <w:sz w:val="18"/>
                <w:szCs w:val="18"/>
              </w:rPr>
              <w:t>ITAA 1936</w:t>
            </w:r>
            <w:r w:rsidRPr="006C25FC">
              <w:rPr>
                <w:color w:val="090D46" w:themeColor="text1"/>
                <w:sz w:val="18"/>
                <w:szCs w:val="18"/>
              </w:rPr>
              <w:t xml:space="preserve"> may deem a beneficiary not to be presently entitled.</w:t>
            </w:r>
          </w:p>
          <w:p w14:paraId="6C60AF1D" w14:textId="68ED57E8" w:rsidR="00E37A49" w:rsidRPr="006C25FC" w:rsidRDefault="00E37A49" w:rsidP="00E37A49">
            <w:pPr>
              <w:pStyle w:val="Table"/>
              <w:spacing w:before="100" w:after="100"/>
              <w:rPr>
                <w:color w:val="090D46" w:themeColor="text1"/>
                <w:sz w:val="18"/>
                <w:szCs w:val="18"/>
              </w:rPr>
            </w:pPr>
            <w:r w:rsidRPr="006C25FC">
              <w:rPr>
                <w:color w:val="090D46" w:themeColor="text1"/>
                <w:sz w:val="18"/>
                <w:szCs w:val="18"/>
              </w:rPr>
              <w:t xml:space="preserve">The Commissioner has considered the application of s100A and issued the following tax rulings / compliance guidelines: </w:t>
            </w:r>
          </w:p>
          <w:p w14:paraId="542ADED9" w14:textId="163FF411" w:rsidR="00E37A49" w:rsidRPr="006C25FC" w:rsidRDefault="00E37A49" w:rsidP="00E37A49">
            <w:pPr>
              <w:pStyle w:val="ListBullet"/>
            </w:pPr>
            <w:r w:rsidRPr="006C25FC">
              <w:t>Taxation Ruling 2022/</w:t>
            </w:r>
            <w:r>
              <w:t>4</w:t>
            </w:r>
            <w:r w:rsidRPr="006C25FC">
              <w:t xml:space="preserve"> – Income tax: section 100A reimbursement agreements</w:t>
            </w:r>
          </w:p>
          <w:p w14:paraId="0BB419A8" w14:textId="77777777" w:rsidR="00E37A49" w:rsidRPr="006C25FC" w:rsidRDefault="00E37A49" w:rsidP="00E37A49">
            <w:pPr>
              <w:pStyle w:val="ListBullet"/>
            </w:pPr>
            <w:r w:rsidRPr="006C25FC">
              <w:t>Taxpayer Alert TA 2022/1 – Parents benefitting from the trust entitlements of their children over 18 years of age</w:t>
            </w:r>
          </w:p>
          <w:p w14:paraId="1748E7F3" w14:textId="71C2A88A" w:rsidR="00E37A49" w:rsidRPr="006C25FC" w:rsidRDefault="00E37A49" w:rsidP="00E37A49">
            <w:pPr>
              <w:pStyle w:val="ListBullet"/>
            </w:pPr>
            <w:r w:rsidRPr="006C25FC">
              <w:t>Practical Compliance Guideline 2022/</w:t>
            </w:r>
            <w:r>
              <w:t>2</w:t>
            </w:r>
            <w:r w:rsidRPr="006C25FC">
              <w:t xml:space="preserve"> – Section 100A reimbursement agreements – ATO compliance approach</w:t>
            </w:r>
          </w:p>
          <w:p w14:paraId="39936BBC" w14:textId="63D2A7C8" w:rsidR="00E37A49" w:rsidRDefault="00E37A49" w:rsidP="00E37A49">
            <w:pPr>
              <w:pStyle w:val="Table"/>
              <w:spacing w:before="100" w:after="100"/>
              <w:rPr>
                <w:sz w:val="18"/>
                <w:szCs w:val="18"/>
              </w:rPr>
            </w:pPr>
          </w:p>
        </w:tc>
        <w:tc>
          <w:tcPr>
            <w:tcW w:w="424" w:type="pct"/>
          </w:tcPr>
          <w:p w14:paraId="6798E270" w14:textId="77777777" w:rsidR="00E37A49" w:rsidRDefault="00E37A49" w:rsidP="00E37A49">
            <w:pPr>
              <w:pStyle w:val="Table"/>
              <w:spacing w:before="100" w:after="100"/>
              <w:rPr>
                <w:rFonts w:cs="Arial"/>
                <w:sz w:val="18"/>
                <w:szCs w:val="18"/>
              </w:rPr>
            </w:pPr>
          </w:p>
        </w:tc>
        <w:tc>
          <w:tcPr>
            <w:tcW w:w="342" w:type="pct"/>
          </w:tcPr>
          <w:p w14:paraId="6F33C60A" w14:textId="77777777" w:rsidR="00E37A49" w:rsidRDefault="00E37A49" w:rsidP="00E37A49">
            <w:pPr>
              <w:pStyle w:val="Table"/>
              <w:spacing w:before="100" w:after="100"/>
              <w:rPr>
                <w:rFonts w:cs="Arial"/>
                <w:sz w:val="18"/>
                <w:szCs w:val="18"/>
              </w:rPr>
            </w:pPr>
          </w:p>
        </w:tc>
        <w:tc>
          <w:tcPr>
            <w:tcW w:w="334" w:type="pct"/>
          </w:tcPr>
          <w:p w14:paraId="3041684B" w14:textId="77777777" w:rsidR="00E37A49" w:rsidRDefault="00E37A49" w:rsidP="00E37A49">
            <w:pPr>
              <w:pStyle w:val="Table"/>
              <w:spacing w:before="100" w:after="100"/>
              <w:rPr>
                <w:rFonts w:cs="Arial"/>
                <w:sz w:val="18"/>
                <w:szCs w:val="18"/>
              </w:rPr>
            </w:pPr>
          </w:p>
        </w:tc>
      </w:tr>
      <w:tr w:rsidR="00684854" w14:paraId="345E1743"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tcPr>
          <w:p w14:paraId="61A0A2AC" w14:textId="77777777" w:rsidR="00684854" w:rsidRPr="006C25FC" w:rsidRDefault="00684854" w:rsidP="00684854">
            <w:pPr>
              <w:pStyle w:val="Table"/>
              <w:spacing w:before="100" w:after="100"/>
              <w:rPr>
                <w:color w:val="090D46" w:themeColor="text1"/>
                <w:sz w:val="18"/>
                <w:szCs w:val="18"/>
              </w:rPr>
            </w:pPr>
            <w:r w:rsidRPr="006C25FC">
              <w:rPr>
                <w:color w:val="090D46" w:themeColor="text1"/>
                <w:sz w:val="18"/>
                <w:szCs w:val="18"/>
              </w:rPr>
              <w:t xml:space="preserve">If a tax-exempt entity is being made presently entitled to a proportion of trust income, the trustee should ensure that a similar proportion of the net income (i.e. taxable income) is attributed to the entitlement. If the tax-exempt entity has not received a payment in respect of their entitlement within two months of the end of the year, the trustee should ensure that the tax-exempt beneficiary is notified of this entitlement in writing. </w:t>
            </w:r>
          </w:p>
          <w:p w14:paraId="62D477F5" w14:textId="6A8D815D" w:rsidR="00684854" w:rsidRPr="006C25FC" w:rsidRDefault="00684854" w:rsidP="00684854">
            <w:pPr>
              <w:pStyle w:val="Table"/>
              <w:spacing w:before="100" w:after="100"/>
              <w:rPr>
                <w:color w:val="090D46" w:themeColor="text1"/>
                <w:sz w:val="18"/>
                <w:szCs w:val="18"/>
              </w:rPr>
            </w:pPr>
            <w:r w:rsidRPr="006C25FC">
              <w:rPr>
                <w:color w:val="090D46" w:themeColor="text1"/>
                <w:sz w:val="18"/>
                <w:szCs w:val="18"/>
              </w:rPr>
              <w:t xml:space="preserve">If there is a mismatch between the proportion of trust income compared to the proportion of net income, or if the trustee fails to notify the exempt entity of their entitlement, then sections 100AA and 100AB of the </w:t>
            </w:r>
            <w:r w:rsidRPr="006C25FC">
              <w:rPr>
                <w:i/>
                <w:color w:val="090D46" w:themeColor="text1"/>
                <w:sz w:val="18"/>
                <w:szCs w:val="18"/>
              </w:rPr>
              <w:t>ITAA 1936</w:t>
            </w:r>
            <w:r w:rsidRPr="006C25FC">
              <w:rPr>
                <w:color w:val="090D46" w:themeColor="text1"/>
                <w:sz w:val="18"/>
                <w:szCs w:val="18"/>
              </w:rPr>
              <w:t xml:space="preserve"> may deem the exempt entity to not be presently entitled to the income of the trust estate. The trustee will therefore pay tax on net income at the effective highest marginal rate being currently 47%.</w:t>
            </w:r>
          </w:p>
        </w:tc>
        <w:tc>
          <w:tcPr>
            <w:tcW w:w="424" w:type="pct"/>
          </w:tcPr>
          <w:p w14:paraId="0C0AD7D6" w14:textId="77777777" w:rsidR="00684854" w:rsidRDefault="00684854" w:rsidP="00E37A49">
            <w:pPr>
              <w:pStyle w:val="Table"/>
              <w:spacing w:before="100" w:after="100"/>
              <w:rPr>
                <w:rFonts w:cs="Arial"/>
                <w:sz w:val="18"/>
                <w:szCs w:val="18"/>
              </w:rPr>
            </w:pPr>
          </w:p>
        </w:tc>
        <w:tc>
          <w:tcPr>
            <w:tcW w:w="342" w:type="pct"/>
          </w:tcPr>
          <w:p w14:paraId="1706DA74" w14:textId="77777777" w:rsidR="00684854" w:rsidRDefault="00684854" w:rsidP="00E37A49">
            <w:pPr>
              <w:pStyle w:val="Table"/>
              <w:spacing w:before="100" w:after="100"/>
              <w:rPr>
                <w:rFonts w:cs="Arial"/>
                <w:sz w:val="18"/>
                <w:szCs w:val="18"/>
              </w:rPr>
            </w:pPr>
          </w:p>
        </w:tc>
        <w:tc>
          <w:tcPr>
            <w:tcW w:w="334" w:type="pct"/>
          </w:tcPr>
          <w:p w14:paraId="7CF73FF8" w14:textId="77777777" w:rsidR="00684854" w:rsidRDefault="00684854" w:rsidP="00E37A49">
            <w:pPr>
              <w:pStyle w:val="Table"/>
              <w:spacing w:before="100" w:after="100"/>
              <w:rPr>
                <w:rFonts w:cs="Arial"/>
                <w:sz w:val="18"/>
                <w:szCs w:val="18"/>
              </w:rPr>
            </w:pPr>
          </w:p>
        </w:tc>
      </w:tr>
      <w:tr w:rsidR="00684854" w14:paraId="580F195C" w14:textId="77777777" w:rsidTr="00E54AE7">
        <w:tc>
          <w:tcPr>
            <w:tcW w:w="3900" w:type="pct"/>
            <w:hideMark/>
          </w:tcPr>
          <w:p w14:paraId="4F2199E5" w14:textId="77777777" w:rsidR="00E37A49" w:rsidRDefault="00E37A49" w:rsidP="00E37A49">
            <w:pPr>
              <w:pStyle w:val="Table"/>
              <w:spacing w:before="100" w:after="100"/>
              <w:rPr>
                <w:color w:val="090D46" w:themeColor="text1"/>
                <w:sz w:val="18"/>
                <w:szCs w:val="18"/>
              </w:rPr>
            </w:pPr>
            <w:r w:rsidRPr="006C25FC">
              <w:rPr>
                <w:color w:val="090D46" w:themeColor="text1"/>
                <w:sz w:val="18"/>
                <w:szCs w:val="18"/>
              </w:rPr>
              <w:t xml:space="preserve">If the trust is a resident trust have you considered the applicability of section 115-230 of the </w:t>
            </w:r>
            <w:r w:rsidRPr="006C25FC">
              <w:rPr>
                <w:i/>
                <w:color w:val="090D46" w:themeColor="text1"/>
                <w:sz w:val="18"/>
                <w:szCs w:val="18"/>
              </w:rPr>
              <w:t xml:space="preserve">ITAA 1997 </w:t>
            </w:r>
            <w:r w:rsidRPr="006C25FC">
              <w:rPr>
                <w:color w:val="090D46" w:themeColor="text1"/>
                <w:sz w:val="18"/>
                <w:szCs w:val="18"/>
              </w:rPr>
              <w:t>which can allow the trustee to be assessed on a capital gain that would be otherwise assessed to an income beneficiary?</w:t>
            </w:r>
          </w:p>
          <w:p w14:paraId="3D442681" w14:textId="77777777" w:rsidR="00684854" w:rsidRDefault="00684854" w:rsidP="00E37A49">
            <w:pPr>
              <w:pStyle w:val="Table"/>
              <w:spacing w:before="100" w:after="100"/>
              <w:rPr>
                <w:sz w:val="18"/>
                <w:szCs w:val="18"/>
              </w:rPr>
            </w:pPr>
          </w:p>
          <w:p w14:paraId="479D0BDC" w14:textId="09B69A25" w:rsidR="00684854" w:rsidRDefault="00684854" w:rsidP="00E37A49">
            <w:pPr>
              <w:pStyle w:val="Table"/>
              <w:spacing w:before="100" w:after="100"/>
              <w:rPr>
                <w:sz w:val="18"/>
                <w:szCs w:val="18"/>
              </w:rPr>
            </w:pPr>
          </w:p>
        </w:tc>
        <w:tc>
          <w:tcPr>
            <w:tcW w:w="424" w:type="pct"/>
          </w:tcPr>
          <w:p w14:paraId="6EDCCBAA" w14:textId="77777777" w:rsidR="00E37A49" w:rsidRDefault="00E37A49" w:rsidP="00E37A49">
            <w:pPr>
              <w:pStyle w:val="Table"/>
              <w:spacing w:before="100" w:after="100"/>
              <w:rPr>
                <w:rFonts w:cs="Arial"/>
                <w:sz w:val="18"/>
                <w:szCs w:val="18"/>
              </w:rPr>
            </w:pPr>
          </w:p>
        </w:tc>
        <w:tc>
          <w:tcPr>
            <w:tcW w:w="342" w:type="pct"/>
          </w:tcPr>
          <w:p w14:paraId="277E234F" w14:textId="77777777" w:rsidR="00E37A49" w:rsidRDefault="00E37A49" w:rsidP="00E37A49">
            <w:pPr>
              <w:pStyle w:val="Table"/>
              <w:spacing w:before="100" w:after="100"/>
              <w:rPr>
                <w:rFonts w:cs="Arial"/>
                <w:sz w:val="18"/>
                <w:szCs w:val="18"/>
              </w:rPr>
            </w:pPr>
          </w:p>
        </w:tc>
        <w:tc>
          <w:tcPr>
            <w:tcW w:w="334" w:type="pct"/>
          </w:tcPr>
          <w:p w14:paraId="2D1D4C91" w14:textId="77777777" w:rsidR="00E37A49" w:rsidRDefault="00E37A49" w:rsidP="00E37A49">
            <w:pPr>
              <w:pStyle w:val="Table"/>
              <w:spacing w:before="100" w:after="100"/>
              <w:rPr>
                <w:rFonts w:cs="Arial"/>
                <w:sz w:val="18"/>
                <w:szCs w:val="18"/>
              </w:rPr>
            </w:pPr>
          </w:p>
        </w:tc>
      </w:tr>
      <w:tr w:rsidR="00684854" w14:paraId="32C2E2E1" w14:textId="77777777" w:rsidTr="00684854">
        <w:trPr>
          <w:cnfStyle w:val="000000100000" w:firstRow="0" w:lastRow="0" w:firstColumn="0" w:lastColumn="0" w:oddVBand="0" w:evenVBand="0" w:oddHBand="1" w:evenHBand="0" w:firstRowFirstColumn="0" w:firstRowLastColumn="0" w:lastRowFirstColumn="0" w:lastRowLastColumn="0"/>
          <w:trHeight w:val="412"/>
        </w:trPr>
        <w:tc>
          <w:tcPr>
            <w:tcW w:w="5000" w:type="pct"/>
            <w:gridSpan w:val="4"/>
            <w:shd w:val="clear" w:color="auto" w:fill="0A5CC7" w:themeFill="accent3"/>
          </w:tcPr>
          <w:p w14:paraId="3133FECE" w14:textId="520DAF34" w:rsidR="00684854" w:rsidRPr="00684854" w:rsidRDefault="00684854" w:rsidP="00684854">
            <w:pPr>
              <w:pStyle w:val="Table"/>
              <w:spacing w:before="100" w:after="100"/>
              <w:rPr>
                <w:b/>
                <w:bCs/>
                <w:color w:val="FFFFFF" w:themeColor="background1"/>
                <w:sz w:val="18"/>
                <w:szCs w:val="18"/>
              </w:rPr>
            </w:pPr>
            <w:r w:rsidRPr="006802FD">
              <w:rPr>
                <w:b/>
                <w:bCs/>
                <w:color w:val="FFFFFF" w:themeColor="background1"/>
                <w:sz w:val="18"/>
                <w:szCs w:val="18"/>
              </w:rPr>
              <w:t>STATEMENT OF DISTRIBUTION (ITEMS 57 to 60)</w:t>
            </w:r>
            <w:r>
              <w:rPr>
                <w:b/>
                <w:bCs/>
                <w:color w:val="FFFFFF" w:themeColor="background1"/>
                <w:sz w:val="18"/>
                <w:szCs w:val="18"/>
              </w:rPr>
              <w:t xml:space="preserve"> (CONTINUED)</w:t>
            </w:r>
          </w:p>
        </w:tc>
      </w:tr>
      <w:tr w:rsidR="00684854" w14:paraId="131EF6D5" w14:textId="77777777" w:rsidTr="00E54AE7">
        <w:trPr>
          <w:trHeight w:val="1263"/>
        </w:trPr>
        <w:tc>
          <w:tcPr>
            <w:tcW w:w="3900" w:type="pct"/>
          </w:tcPr>
          <w:p w14:paraId="30A21DB9" w14:textId="77777777" w:rsidR="00684854" w:rsidRPr="006C25FC" w:rsidRDefault="00684854" w:rsidP="00684854">
            <w:pPr>
              <w:pStyle w:val="Table"/>
              <w:spacing w:before="100" w:after="100"/>
              <w:rPr>
                <w:color w:val="090D46" w:themeColor="text1"/>
                <w:sz w:val="18"/>
                <w:szCs w:val="18"/>
              </w:rPr>
            </w:pPr>
            <w:r w:rsidRPr="006C25FC">
              <w:rPr>
                <w:color w:val="090D46" w:themeColor="text1"/>
                <w:sz w:val="18"/>
                <w:szCs w:val="18"/>
              </w:rPr>
              <w:t xml:space="preserve">Where an FTE has been made, is the trust distributing only to family group members or entities that have made the appropriate IEE? </w:t>
            </w:r>
          </w:p>
          <w:p w14:paraId="438F5ED8" w14:textId="7E5072EF" w:rsidR="00684854" w:rsidRPr="006C25FC" w:rsidRDefault="00684854" w:rsidP="00684854">
            <w:pPr>
              <w:pStyle w:val="Table"/>
              <w:spacing w:before="100" w:after="100"/>
              <w:rPr>
                <w:color w:val="090D46" w:themeColor="text1"/>
                <w:sz w:val="18"/>
                <w:szCs w:val="18"/>
              </w:rPr>
            </w:pPr>
            <w:r w:rsidRPr="006C25FC">
              <w:rPr>
                <w:color w:val="090D46" w:themeColor="text1"/>
                <w:sz w:val="18"/>
                <w:szCs w:val="18"/>
              </w:rPr>
              <w:t>Distributions by a trustee of a trust that has made an FTE, or by an entity that has made an IEE, to persons and entities outside the family group are potentially taxed under the FTDT which is levied at 47% for the year ended 30 June 202</w:t>
            </w:r>
            <w:r>
              <w:rPr>
                <w:color w:val="090D46" w:themeColor="text1"/>
                <w:sz w:val="18"/>
                <w:szCs w:val="18"/>
              </w:rPr>
              <w:t>3</w:t>
            </w:r>
            <w:r w:rsidRPr="006C25FC">
              <w:rPr>
                <w:color w:val="090D46" w:themeColor="text1"/>
                <w:sz w:val="18"/>
                <w:szCs w:val="18"/>
              </w:rPr>
              <w:t>.</w:t>
            </w:r>
          </w:p>
        </w:tc>
        <w:tc>
          <w:tcPr>
            <w:tcW w:w="424" w:type="pct"/>
          </w:tcPr>
          <w:p w14:paraId="6E364AF9" w14:textId="77777777" w:rsidR="00684854" w:rsidRDefault="00684854" w:rsidP="00684854">
            <w:pPr>
              <w:pStyle w:val="Table"/>
              <w:spacing w:before="100" w:after="100"/>
              <w:rPr>
                <w:rFonts w:cs="Arial"/>
                <w:sz w:val="18"/>
                <w:szCs w:val="18"/>
              </w:rPr>
            </w:pPr>
          </w:p>
        </w:tc>
        <w:tc>
          <w:tcPr>
            <w:tcW w:w="342" w:type="pct"/>
          </w:tcPr>
          <w:p w14:paraId="33E72FBD" w14:textId="77777777" w:rsidR="00684854" w:rsidRDefault="00684854" w:rsidP="00684854">
            <w:pPr>
              <w:pStyle w:val="Table"/>
              <w:spacing w:before="100" w:after="100"/>
              <w:rPr>
                <w:rFonts w:cs="Arial"/>
                <w:sz w:val="18"/>
                <w:szCs w:val="18"/>
              </w:rPr>
            </w:pPr>
          </w:p>
        </w:tc>
        <w:tc>
          <w:tcPr>
            <w:tcW w:w="334" w:type="pct"/>
          </w:tcPr>
          <w:p w14:paraId="471F341C" w14:textId="77777777" w:rsidR="00684854" w:rsidRDefault="00684854" w:rsidP="00684854">
            <w:pPr>
              <w:pStyle w:val="Table"/>
              <w:spacing w:before="100" w:after="100"/>
              <w:rPr>
                <w:rFonts w:cs="Arial"/>
                <w:sz w:val="18"/>
                <w:szCs w:val="18"/>
              </w:rPr>
            </w:pPr>
          </w:p>
        </w:tc>
      </w:tr>
      <w:tr w:rsidR="00684854" w14:paraId="0F3C2B00"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hideMark/>
          </w:tcPr>
          <w:p w14:paraId="1E0F7F87" w14:textId="693C6935" w:rsidR="00684854" w:rsidRPr="006C25FC" w:rsidRDefault="00684854" w:rsidP="00684854">
            <w:pPr>
              <w:pStyle w:val="Table"/>
              <w:spacing w:before="100" w:after="100"/>
              <w:rPr>
                <w:color w:val="090D46" w:themeColor="text1"/>
                <w:sz w:val="18"/>
                <w:szCs w:val="18"/>
              </w:rPr>
            </w:pPr>
            <w:r w:rsidRPr="006C25FC">
              <w:rPr>
                <w:rFonts w:cs="Arial"/>
                <w:color w:val="090D46" w:themeColor="text1"/>
                <w:sz w:val="18"/>
                <w:szCs w:val="18"/>
              </w:rPr>
              <w:t xml:space="preserve">Section 272-60 of Schedule 2F of the </w:t>
            </w:r>
            <w:r w:rsidRPr="006C25FC">
              <w:rPr>
                <w:rFonts w:cs="Arial"/>
                <w:i/>
                <w:color w:val="090D46" w:themeColor="text1"/>
                <w:sz w:val="18"/>
                <w:szCs w:val="18"/>
              </w:rPr>
              <w:t>ITAAA 1936</w:t>
            </w:r>
            <w:r w:rsidRPr="006C25FC">
              <w:rPr>
                <w:rFonts w:cs="Arial"/>
                <w:color w:val="090D46" w:themeColor="text1"/>
                <w:sz w:val="18"/>
                <w:szCs w:val="18"/>
              </w:rPr>
              <w:t xml:space="preserve"> provides that a trustee ‘distributes’ income or capital to a person outside the family group if it pays or credits income or capital to such a person; transfers property to that person, or allows the use of that property by the person; deals with money or property for or on behalf of a person or as the person directs; applies money or property for the benefit of the person; or extinguishes, forgives, releases or waives a debt or other liability owed by the person. Further guidance as to what constitutes a distribution to an entity outside the family group is set out in Taxation Determination TD 2017/20</w:t>
            </w:r>
            <w:r w:rsidRPr="006C25FC">
              <w:rPr>
                <w:rFonts w:cs="Arial"/>
                <w:i/>
                <w:color w:val="090D46" w:themeColor="text1"/>
                <w:sz w:val="18"/>
                <w:szCs w:val="18"/>
              </w:rPr>
              <w:t>.</w:t>
            </w:r>
          </w:p>
        </w:tc>
        <w:tc>
          <w:tcPr>
            <w:tcW w:w="424" w:type="pct"/>
          </w:tcPr>
          <w:p w14:paraId="539C1171" w14:textId="77777777" w:rsidR="00684854" w:rsidRDefault="00684854" w:rsidP="00684854">
            <w:pPr>
              <w:pStyle w:val="Table"/>
              <w:spacing w:before="100" w:after="100"/>
              <w:rPr>
                <w:rFonts w:cs="Arial"/>
                <w:sz w:val="18"/>
                <w:szCs w:val="18"/>
              </w:rPr>
            </w:pPr>
          </w:p>
        </w:tc>
        <w:tc>
          <w:tcPr>
            <w:tcW w:w="342" w:type="pct"/>
          </w:tcPr>
          <w:p w14:paraId="25560D1F" w14:textId="77777777" w:rsidR="00684854" w:rsidRDefault="00684854" w:rsidP="00684854">
            <w:pPr>
              <w:pStyle w:val="Table"/>
              <w:spacing w:before="100" w:after="100"/>
              <w:rPr>
                <w:rFonts w:cs="Arial"/>
                <w:sz w:val="18"/>
                <w:szCs w:val="18"/>
              </w:rPr>
            </w:pPr>
          </w:p>
        </w:tc>
        <w:tc>
          <w:tcPr>
            <w:tcW w:w="334" w:type="pct"/>
          </w:tcPr>
          <w:p w14:paraId="71421568" w14:textId="77777777" w:rsidR="00684854" w:rsidRDefault="00684854" w:rsidP="00684854">
            <w:pPr>
              <w:pStyle w:val="Table"/>
              <w:spacing w:before="100" w:after="100"/>
              <w:rPr>
                <w:rFonts w:cs="Arial"/>
                <w:sz w:val="18"/>
                <w:szCs w:val="18"/>
              </w:rPr>
            </w:pPr>
          </w:p>
        </w:tc>
      </w:tr>
      <w:tr w:rsidR="00684854" w14:paraId="51BB510C" w14:textId="77777777" w:rsidTr="00E54AE7">
        <w:tc>
          <w:tcPr>
            <w:tcW w:w="3900" w:type="pct"/>
            <w:hideMark/>
          </w:tcPr>
          <w:p w14:paraId="124A47FD" w14:textId="77777777" w:rsidR="00684854" w:rsidRPr="006C25FC" w:rsidRDefault="00684854" w:rsidP="00684854">
            <w:pPr>
              <w:pStyle w:val="Table"/>
              <w:spacing w:before="100" w:after="100"/>
              <w:rPr>
                <w:color w:val="090D46" w:themeColor="text1"/>
                <w:sz w:val="18"/>
                <w:szCs w:val="18"/>
              </w:rPr>
            </w:pPr>
            <w:r w:rsidRPr="006C25FC">
              <w:rPr>
                <w:color w:val="090D46" w:themeColor="text1"/>
                <w:sz w:val="18"/>
                <w:szCs w:val="18"/>
              </w:rPr>
              <w:t xml:space="preserve">Have TFNs or addresses been obtained for all beneficiaries? </w:t>
            </w:r>
          </w:p>
          <w:p w14:paraId="46B87619" w14:textId="77777777" w:rsidR="00684854" w:rsidRPr="006C25FC" w:rsidRDefault="00684854" w:rsidP="00684854">
            <w:pPr>
              <w:pStyle w:val="Table"/>
              <w:spacing w:before="100" w:after="100"/>
              <w:rPr>
                <w:color w:val="090D46" w:themeColor="text1"/>
                <w:sz w:val="18"/>
                <w:szCs w:val="18"/>
              </w:rPr>
            </w:pPr>
            <w:r w:rsidRPr="006C25FC">
              <w:rPr>
                <w:color w:val="090D46" w:themeColor="text1"/>
                <w:sz w:val="18"/>
                <w:szCs w:val="18"/>
              </w:rPr>
              <w:t xml:space="preserve">Has the ATO been previously notified of the TFNs of such beneficiaries? </w:t>
            </w:r>
          </w:p>
        </w:tc>
        <w:tc>
          <w:tcPr>
            <w:tcW w:w="424" w:type="pct"/>
          </w:tcPr>
          <w:p w14:paraId="2D9777F9" w14:textId="77777777" w:rsidR="00684854" w:rsidRDefault="00684854" w:rsidP="00684854">
            <w:pPr>
              <w:pStyle w:val="Table"/>
              <w:spacing w:before="100" w:after="100"/>
              <w:rPr>
                <w:rFonts w:cs="Arial"/>
                <w:sz w:val="18"/>
                <w:szCs w:val="18"/>
              </w:rPr>
            </w:pPr>
          </w:p>
        </w:tc>
        <w:tc>
          <w:tcPr>
            <w:tcW w:w="342" w:type="pct"/>
          </w:tcPr>
          <w:p w14:paraId="26E24B99" w14:textId="77777777" w:rsidR="00684854" w:rsidRDefault="00684854" w:rsidP="00684854">
            <w:pPr>
              <w:pStyle w:val="Table"/>
              <w:spacing w:before="100" w:after="100"/>
              <w:rPr>
                <w:rFonts w:cs="Arial"/>
                <w:sz w:val="18"/>
                <w:szCs w:val="18"/>
              </w:rPr>
            </w:pPr>
          </w:p>
        </w:tc>
        <w:tc>
          <w:tcPr>
            <w:tcW w:w="334" w:type="pct"/>
          </w:tcPr>
          <w:p w14:paraId="527AF2A4" w14:textId="77777777" w:rsidR="00684854" w:rsidRDefault="00684854" w:rsidP="00684854">
            <w:pPr>
              <w:pStyle w:val="Table"/>
              <w:spacing w:before="100" w:after="100"/>
              <w:rPr>
                <w:rFonts w:cs="Arial"/>
                <w:sz w:val="18"/>
                <w:szCs w:val="18"/>
              </w:rPr>
            </w:pPr>
          </w:p>
        </w:tc>
      </w:tr>
      <w:tr w:rsidR="00684854" w14:paraId="27C44004" w14:textId="77777777" w:rsidTr="00E54AE7">
        <w:trPr>
          <w:cnfStyle w:val="000000100000" w:firstRow="0" w:lastRow="0" w:firstColumn="0" w:lastColumn="0" w:oddVBand="0" w:evenVBand="0" w:oddHBand="1" w:evenHBand="0" w:firstRowFirstColumn="0" w:firstRowLastColumn="0" w:lastRowFirstColumn="0" w:lastRowLastColumn="0"/>
        </w:trPr>
        <w:tc>
          <w:tcPr>
            <w:tcW w:w="3900" w:type="pct"/>
            <w:hideMark/>
          </w:tcPr>
          <w:p w14:paraId="1A21208A" w14:textId="77777777" w:rsidR="00684854" w:rsidRPr="006C25FC" w:rsidRDefault="00684854" w:rsidP="00684854">
            <w:pPr>
              <w:pStyle w:val="Table"/>
              <w:spacing w:before="100" w:after="100"/>
              <w:rPr>
                <w:color w:val="090D46" w:themeColor="text1"/>
                <w:sz w:val="18"/>
                <w:szCs w:val="18"/>
              </w:rPr>
            </w:pPr>
            <w:r w:rsidRPr="006C25FC">
              <w:rPr>
                <w:color w:val="090D46" w:themeColor="text1"/>
                <w:sz w:val="18"/>
                <w:szCs w:val="18"/>
              </w:rPr>
              <w:t>Is a trustee beneficiary statement required, i.e. where a closely held trust that distributes certain untaxed or tax-preferred amounts to trustee beneficiaries?</w:t>
            </w:r>
          </w:p>
        </w:tc>
        <w:tc>
          <w:tcPr>
            <w:tcW w:w="424" w:type="pct"/>
          </w:tcPr>
          <w:p w14:paraId="03EA062F" w14:textId="77777777" w:rsidR="00684854" w:rsidRDefault="00684854" w:rsidP="00684854">
            <w:pPr>
              <w:pStyle w:val="Table"/>
              <w:spacing w:before="100" w:after="100"/>
              <w:rPr>
                <w:rFonts w:cs="Arial"/>
                <w:sz w:val="18"/>
                <w:szCs w:val="18"/>
              </w:rPr>
            </w:pPr>
          </w:p>
        </w:tc>
        <w:tc>
          <w:tcPr>
            <w:tcW w:w="342" w:type="pct"/>
          </w:tcPr>
          <w:p w14:paraId="43FBE774" w14:textId="77777777" w:rsidR="00684854" w:rsidRDefault="00684854" w:rsidP="00684854">
            <w:pPr>
              <w:pStyle w:val="Table"/>
              <w:spacing w:before="100" w:after="100"/>
              <w:rPr>
                <w:rFonts w:cs="Arial"/>
                <w:sz w:val="18"/>
                <w:szCs w:val="18"/>
              </w:rPr>
            </w:pPr>
          </w:p>
        </w:tc>
        <w:tc>
          <w:tcPr>
            <w:tcW w:w="334" w:type="pct"/>
          </w:tcPr>
          <w:p w14:paraId="31EB37B1" w14:textId="77777777" w:rsidR="00684854" w:rsidRDefault="00684854" w:rsidP="00684854">
            <w:pPr>
              <w:pStyle w:val="Table"/>
              <w:spacing w:before="100" w:after="100"/>
              <w:rPr>
                <w:rFonts w:cs="Arial"/>
                <w:sz w:val="18"/>
                <w:szCs w:val="18"/>
              </w:rPr>
            </w:pPr>
          </w:p>
        </w:tc>
      </w:tr>
      <w:tr w:rsidR="00684854" w14:paraId="16F02934" w14:textId="77777777" w:rsidTr="00E54AE7">
        <w:tc>
          <w:tcPr>
            <w:tcW w:w="3900" w:type="pct"/>
            <w:hideMark/>
          </w:tcPr>
          <w:p w14:paraId="2ED8B491" w14:textId="77777777" w:rsidR="00684854" w:rsidRPr="006C25FC" w:rsidRDefault="00684854" w:rsidP="00684854">
            <w:pPr>
              <w:pStyle w:val="Table"/>
              <w:spacing w:before="100" w:after="100"/>
              <w:rPr>
                <w:color w:val="090D46" w:themeColor="text1"/>
                <w:sz w:val="18"/>
                <w:szCs w:val="18"/>
              </w:rPr>
            </w:pPr>
            <w:r w:rsidRPr="006C25FC">
              <w:rPr>
                <w:color w:val="090D46" w:themeColor="text1"/>
                <w:sz w:val="18"/>
                <w:szCs w:val="18"/>
              </w:rPr>
              <w:t xml:space="preserve">For closely held trusts that are not excluded, will the trust be required to lodge an Annual </w:t>
            </w:r>
            <w:r w:rsidRPr="006C25FC">
              <w:rPr>
                <w:rFonts w:eastAsia="Times New Roman"/>
                <w:color w:val="090D46" w:themeColor="text1"/>
                <w:sz w:val="18"/>
                <w:szCs w:val="18"/>
                <w:lang w:eastAsia="en-AU"/>
              </w:rPr>
              <w:t>TFN Withholding Report in respect of any tax withheld under the TFN withholding rules</w:t>
            </w:r>
            <w:r w:rsidRPr="006C25FC">
              <w:rPr>
                <w:color w:val="090D46" w:themeColor="text1"/>
                <w:sz w:val="18"/>
                <w:szCs w:val="18"/>
              </w:rPr>
              <w:t>?</w:t>
            </w:r>
          </w:p>
        </w:tc>
        <w:tc>
          <w:tcPr>
            <w:tcW w:w="424" w:type="pct"/>
          </w:tcPr>
          <w:p w14:paraId="4A93F3B8" w14:textId="77777777" w:rsidR="00684854" w:rsidRDefault="00684854" w:rsidP="00684854">
            <w:pPr>
              <w:pStyle w:val="Table"/>
              <w:spacing w:before="100" w:after="100"/>
              <w:rPr>
                <w:rFonts w:cs="Arial"/>
                <w:sz w:val="18"/>
                <w:szCs w:val="18"/>
              </w:rPr>
            </w:pPr>
          </w:p>
        </w:tc>
        <w:tc>
          <w:tcPr>
            <w:tcW w:w="342" w:type="pct"/>
          </w:tcPr>
          <w:p w14:paraId="28F9B9E7" w14:textId="77777777" w:rsidR="00684854" w:rsidRDefault="00684854" w:rsidP="00684854">
            <w:pPr>
              <w:pStyle w:val="Table"/>
              <w:spacing w:before="100" w:after="100"/>
              <w:rPr>
                <w:rFonts w:cs="Arial"/>
                <w:sz w:val="18"/>
                <w:szCs w:val="18"/>
              </w:rPr>
            </w:pPr>
          </w:p>
        </w:tc>
        <w:tc>
          <w:tcPr>
            <w:tcW w:w="334" w:type="pct"/>
          </w:tcPr>
          <w:p w14:paraId="0F5DA784" w14:textId="77777777" w:rsidR="00684854" w:rsidRDefault="00684854" w:rsidP="00684854">
            <w:pPr>
              <w:pStyle w:val="Table"/>
              <w:spacing w:before="100" w:after="100"/>
              <w:rPr>
                <w:rFonts w:cs="Arial"/>
                <w:sz w:val="18"/>
                <w:szCs w:val="18"/>
              </w:rPr>
            </w:pPr>
          </w:p>
        </w:tc>
      </w:tr>
      <w:tr w:rsidR="00684854" w14:paraId="67013D32" w14:textId="77777777" w:rsidTr="00FF64A0">
        <w:trPr>
          <w:cnfStyle w:val="010000000000" w:firstRow="0" w:lastRow="1" w:firstColumn="0" w:lastColumn="0" w:oddVBand="0" w:evenVBand="0" w:oddHBand="0" w:evenHBand="0" w:firstRowFirstColumn="0" w:firstRowLastColumn="0" w:lastRowFirstColumn="0" w:lastRowLastColumn="0"/>
          <w:trHeight w:val="685"/>
        </w:trPr>
        <w:tc>
          <w:tcPr>
            <w:tcW w:w="5000" w:type="pct"/>
            <w:gridSpan w:val="4"/>
            <w:vAlign w:val="top"/>
            <w:hideMark/>
          </w:tcPr>
          <w:p w14:paraId="166976DA" w14:textId="77777777" w:rsidR="00684854" w:rsidRDefault="00684854" w:rsidP="00684854">
            <w:pPr>
              <w:pStyle w:val="Table"/>
              <w:spacing w:before="100" w:after="100"/>
              <w:rPr>
                <w:b/>
                <w:bCs/>
                <w:sz w:val="18"/>
                <w:szCs w:val="18"/>
              </w:rPr>
            </w:pPr>
            <w:r>
              <w:rPr>
                <w:b/>
                <w:bCs/>
                <w:sz w:val="18"/>
                <w:szCs w:val="18"/>
              </w:rPr>
              <w:t>Comments:</w:t>
            </w:r>
          </w:p>
        </w:tc>
      </w:tr>
    </w:tbl>
    <w:p w14:paraId="275EE7F1" w14:textId="1450EC7C" w:rsidR="003F0524" w:rsidRPr="000A13D6" w:rsidRDefault="003F0524">
      <w:pPr>
        <w:rPr>
          <w:rFonts w:ascii="Arial" w:hAnsi="Arial"/>
          <w:sz w:val="24"/>
          <w:szCs w:val="24"/>
        </w:rPr>
      </w:pPr>
    </w:p>
    <w:tbl>
      <w:tblPr>
        <w:tblStyle w:val="RACVTable"/>
        <w:tblW w:w="5100" w:type="pct"/>
        <w:tblLook w:val="01E0" w:firstRow="1" w:lastRow="1" w:firstColumn="1" w:lastColumn="1" w:noHBand="0" w:noVBand="0"/>
      </w:tblPr>
      <w:tblGrid>
        <w:gridCol w:w="8293"/>
        <w:gridCol w:w="682"/>
        <w:gridCol w:w="552"/>
        <w:gridCol w:w="651"/>
      </w:tblGrid>
      <w:tr w:rsidR="003F0524" w14:paraId="207E8B12" w14:textId="77777777" w:rsidTr="000B21B5">
        <w:trPr>
          <w:cnfStyle w:val="100000000000" w:firstRow="1" w:lastRow="0" w:firstColumn="0" w:lastColumn="0" w:oddVBand="0" w:evenVBand="0" w:oddHBand="0" w:evenHBand="0" w:firstRowFirstColumn="0" w:firstRowLastColumn="0" w:lastRowFirstColumn="0" w:lastRowLastColumn="0"/>
        </w:trPr>
        <w:tc>
          <w:tcPr>
            <w:tcW w:w="4074" w:type="pct"/>
            <w:hideMark/>
          </w:tcPr>
          <w:p w14:paraId="297D3C68" w14:textId="77777777" w:rsidR="003F0524" w:rsidRPr="000B21B5" w:rsidRDefault="003F0524">
            <w:pPr>
              <w:pStyle w:val="Table"/>
              <w:keepNext/>
              <w:spacing w:before="100" w:after="100"/>
              <w:rPr>
                <w:rFonts w:asciiTheme="minorHAnsi" w:eastAsiaTheme="minorHAnsi" w:hAnsiTheme="minorHAnsi"/>
                <w:color w:val="090D46" w:themeColor="text1"/>
                <w:sz w:val="18"/>
                <w:szCs w:val="18"/>
              </w:rPr>
            </w:pPr>
            <w:r w:rsidRPr="000B21B5">
              <w:rPr>
                <w:rFonts w:asciiTheme="minorHAnsi" w:eastAsiaTheme="minorHAnsi" w:hAnsiTheme="minorHAnsi"/>
                <w:color w:val="090D46" w:themeColor="text1"/>
                <w:sz w:val="18"/>
                <w:szCs w:val="18"/>
              </w:rPr>
              <w:br w:type="page"/>
              <w:t>OTHER ATO FORMS / ELECTIONS</w:t>
            </w:r>
          </w:p>
        </w:tc>
        <w:tc>
          <w:tcPr>
            <w:tcW w:w="335" w:type="pct"/>
            <w:hideMark/>
          </w:tcPr>
          <w:p w14:paraId="44833AA5" w14:textId="77777777" w:rsidR="003F0524" w:rsidRPr="000B21B5" w:rsidRDefault="003F0524">
            <w:pPr>
              <w:pStyle w:val="Table"/>
              <w:spacing w:before="100" w:after="100"/>
              <w:jc w:val="center"/>
              <w:rPr>
                <w:rFonts w:asciiTheme="minorHAnsi" w:eastAsiaTheme="minorHAnsi" w:hAnsiTheme="minorHAnsi"/>
                <w:color w:val="090D46" w:themeColor="text1"/>
                <w:sz w:val="18"/>
                <w:szCs w:val="18"/>
              </w:rPr>
            </w:pPr>
            <w:r w:rsidRPr="000B21B5">
              <w:rPr>
                <w:rFonts w:asciiTheme="minorHAnsi" w:eastAsiaTheme="minorHAnsi" w:hAnsiTheme="minorHAnsi"/>
                <w:color w:val="090D46" w:themeColor="text1"/>
                <w:sz w:val="18"/>
                <w:szCs w:val="18"/>
              </w:rPr>
              <w:t>YES</w:t>
            </w:r>
          </w:p>
        </w:tc>
        <w:tc>
          <w:tcPr>
            <w:tcW w:w="271" w:type="pct"/>
            <w:hideMark/>
          </w:tcPr>
          <w:p w14:paraId="796DB61D" w14:textId="77777777" w:rsidR="003F0524" w:rsidRPr="000B21B5" w:rsidRDefault="003F0524">
            <w:pPr>
              <w:pStyle w:val="Table"/>
              <w:spacing w:before="100" w:after="100"/>
              <w:jc w:val="center"/>
              <w:rPr>
                <w:rFonts w:asciiTheme="minorHAnsi" w:eastAsiaTheme="minorHAnsi" w:hAnsiTheme="minorHAnsi"/>
                <w:color w:val="090D46" w:themeColor="text1"/>
                <w:sz w:val="18"/>
                <w:szCs w:val="18"/>
              </w:rPr>
            </w:pPr>
            <w:r w:rsidRPr="000B21B5">
              <w:rPr>
                <w:rFonts w:asciiTheme="minorHAnsi" w:eastAsiaTheme="minorHAnsi" w:hAnsiTheme="minorHAnsi"/>
                <w:color w:val="090D46" w:themeColor="text1"/>
                <w:sz w:val="18"/>
                <w:szCs w:val="18"/>
              </w:rPr>
              <w:t>NO</w:t>
            </w:r>
          </w:p>
        </w:tc>
        <w:tc>
          <w:tcPr>
            <w:tcW w:w="320" w:type="pct"/>
            <w:hideMark/>
          </w:tcPr>
          <w:p w14:paraId="00F05F24" w14:textId="77777777" w:rsidR="003F0524" w:rsidRPr="000B21B5" w:rsidRDefault="003F0524">
            <w:pPr>
              <w:pStyle w:val="Table"/>
              <w:spacing w:before="100" w:after="100"/>
              <w:jc w:val="center"/>
              <w:rPr>
                <w:rFonts w:asciiTheme="minorHAnsi" w:eastAsiaTheme="minorHAnsi" w:hAnsiTheme="minorHAnsi"/>
                <w:color w:val="090D46" w:themeColor="text1"/>
                <w:sz w:val="18"/>
                <w:szCs w:val="18"/>
              </w:rPr>
            </w:pPr>
            <w:r w:rsidRPr="000B21B5">
              <w:rPr>
                <w:rFonts w:asciiTheme="minorHAnsi" w:eastAsiaTheme="minorHAnsi" w:hAnsiTheme="minorHAnsi"/>
                <w:color w:val="090D46" w:themeColor="text1"/>
                <w:sz w:val="18"/>
                <w:szCs w:val="18"/>
              </w:rPr>
              <w:t>N/A</w:t>
            </w:r>
          </w:p>
        </w:tc>
      </w:tr>
      <w:tr w:rsidR="003F0524" w14:paraId="628390EB" w14:textId="77777777" w:rsidTr="000B21B5">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31AA04B6" w14:textId="77777777" w:rsidR="003F0524" w:rsidRPr="000B21B5" w:rsidRDefault="003F0524">
            <w:pPr>
              <w:pStyle w:val="Table"/>
              <w:spacing w:before="100" w:after="100"/>
              <w:rPr>
                <w:b/>
                <w:bCs/>
                <w:color w:val="FFFFFF" w:themeColor="background1"/>
                <w:sz w:val="18"/>
                <w:szCs w:val="18"/>
              </w:rPr>
            </w:pPr>
            <w:r w:rsidRPr="000B21B5">
              <w:rPr>
                <w:b/>
                <w:bCs/>
                <w:color w:val="FFFFFF" w:themeColor="background1"/>
                <w:sz w:val="18"/>
                <w:szCs w:val="18"/>
              </w:rPr>
              <w:t>NOTICES AND ELECTIONS</w:t>
            </w:r>
          </w:p>
        </w:tc>
      </w:tr>
      <w:tr w:rsidR="003F0524" w14:paraId="41861D02" w14:textId="77777777" w:rsidTr="000B21B5">
        <w:tc>
          <w:tcPr>
            <w:tcW w:w="4074" w:type="pct"/>
            <w:hideMark/>
          </w:tcPr>
          <w:p w14:paraId="6C5B84E9" w14:textId="77777777" w:rsidR="003F0524" w:rsidRPr="000B21B5" w:rsidRDefault="003F0524">
            <w:pPr>
              <w:pStyle w:val="Table"/>
              <w:keepNext/>
              <w:spacing w:before="100" w:after="100"/>
              <w:rPr>
                <w:rFonts w:asciiTheme="minorHAnsi" w:hAnsiTheme="minorHAnsi" w:cstheme="minorHAnsi"/>
                <w:color w:val="090D46" w:themeColor="text1"/>
                <w:sz w:val="18"/>
                <w:szCs w:val="18"/>
              </w:rPr>
            </w:pPr>
            <w:r w:rsidRPr="000B21B5">
              <w:rPr>
                <w:rFonts w:asciiTheme="minorHAnsi" w:hAnsiTheme="minorHAnsi" w:cstheme="minorHAnsi"/>
                <w:color w:val="090D46" w:themeColor="text1"/>
                <w:sz w:val="18"/>
                <w:szCs w:val="18"/>
              </w:rPr>
              <w:t>Have all the relevant notices and/or elections relied on by the entity been properly prepared?</w:t>
            </w:r>
          </w:p>
        </w:tc>
        <w:tc>
          <w:tcPr>
            <w:tcW w:w="335" w:type="pct"/>
          </w:tcPr>
          <w:p w14:paraId="0E06D8A2" w14:textId="77777777" w:rsidR="003F0524" w:rsidRDefault="003F0524">
            <w:pPr>
              <w:pStyle w:val="Table"/>
              <w:spacing w:before="100" w:after="100"/>
              <w:rPr>
                <w:sz w:val="18"/>
                <w:szCs w:val="18"/>
              </w:rPr>
            </w:pPr>
          </w:p>
        </w:tc>
        <w:tc>
          <w:tcPr>
            <w:tcW w:w="271" w:type="pct"/>
          </w:tcPr>
          <w:p w14:paraId="37B1673D" w14:textId="77777777" w:rsidR="003F0524" w:rsidRDefault="003F0524">
            <w:pPr>
              <w:pStyle w:val="Table"/>
              <w:spacing w:before="100" w:after="100"/>
              <w:rPr>
                <w:sz w:val="18"/>
                <w:szCs w:val="18"/>
              </w:rPr>
            </w:pPr>
          </w:p>
        </w:tc>
        <w:tc>
          <w:tcPr>
            <w:tcW w:w="320" w:type="pct"/>
          </w:tcPr>
          <w:p w14:paraId="2BD26554" w14:textId="77777777" w:rsidR="003F0524" w:rsidRDefault="003F0524">
            <w:pPr>
              <w:pStyle w:val="Table"/>
              <w:spacing w:before="100" w:after="100"/>
              <w:rPr>
                <w:sz w:val="18"/>
                <w:szCs w:val="18"/>
              </w:rPr>
            </w:pPr>
          </w:p>
        </w:tc>
      </w:tr>
      <w:tr w:rsidR="000A13D6" w14:paraId="436E8741" w14:textId="77777777" w:rsidTr="000B21B5">
        <w:trPr>
          <w:cnfStyle w:val="000000100000" w:firstRow="0" w:lastRow="0" w:firstColumn="0" w:lastColumn="0" w:oddVBand="0" w:evenVBand="0" w:oddHBand="1" w:evenHBand="0" w:firstRowFirstColumn="0" w:firstRowLastColumn="0" w:lastRowFirstColumn="0" w:lastRowLastColumn="0"/>
        </w:trPr>
        <w:tc>
          <w:tcPr>
            <w:tcW w:w="4074" w:type="pct"/>
            <w:hideMark/>
          </w:tcPr>
          <w:p w14:paraId="77AF64DF" w14:textId="77777777" w:rsidR="000A13D6" w:rsidRPr="000B21B5" w:rsidRDefault="000A13D6" w:rsidP="009E6C2F">
            <w:pPr>
              <w:pStyle w:val="Table"/>
              <w:spacing w:before="100" w:after="100"/>
              <w:rPr>
                <w:rFonts w:asciiTheme="minorHAnsi" w:hAnsiTheme="minorHAnsi" w:cstheme="minorHAnsi"/>
                <w:color w:val="090D46" w:themeColor="text1"/>
                <w:sz w:val="18"/>
                <w:szCs w:val="18"/>
              </w:rPr>
            </w:pPr>
            <w:r w:rsidRPr="000B21B5">
              <w:rPr>
                <w:rFonts w:asciiTheme="minorHAnsi" w:hAnsiTheme="minorHAnsi" w:cstheme="minorHAnsi"/>
                <w:color w:val="090D46" w:themeColor="text1"/>
                <w:sz w:val="18"/>
                <w:szCs w:val="18"/>
              </w:rPr>
              <w:t>Where applicable, have you completed the following schedules:</w:t>
            </w:r>
          </w:p>
        </w:tc>
        <w:tc>
          <w:tcPr>
            <w:tcW w:w="335" w:type="pct"/>
          </w:tcPr>
          <w:p w14:paraId="1EBDAA50" w14:textId="77777777" w:rsidR="000A13D6" w:rsidRDefault="000A13D6" w:rsidP="009E6C2F">
            <w:pPr>
              <w:pStyle w:val="Table"/>
              <w:spacing w:before="100" w:after="100"/>
              <w:rPr>
                <w:sz w:val="18"/>
                <w:szCs w:val="18"/>
              </w:rPr>
            </w:pPr>
          </w:p>
        </w:tc>
        <w:tc>
          <w:tcPr>
            <w:tcW w:w="271" w:type="pct"/>
          </w:tcPr>
          <w:p w14:paraId="6D3B76BB" w14:textId="77777777" w:rsidR="000A13D6" w:rsidRDefault="000A13D6" w:rsidP="009E6C2F">
            <w:pPr>
              <w:pStyle w:val="Table"/>
              <w:spacing w:before="100" w:after="100"/>
              <w:rPr>
                <w:sz w:val="18"/>
                <w:szCs w:val="18"/>
              </w:rPr>
            </w:pPr>
          </w:p>
        </w:tc>
        <w:tc>
          <w:tcPr>
            <w:tcW w:w="320" w:type="pct"/>
          </w:tcPr>
          <w:p w14:paraId="1D46E291" w14:textId="77777777" w:rsidR="000A13D6" w:rsidRDefault="000A13D6" w:rsidP="009E6C2F">
            <w:pPr>
              <w:pStyle w:val="Table"/>
              <w:spacing w:before="100" w:after="100"/>
              <w:rPr>
                <w:sz w:val="18"/>
                <w:szCs w:val="18"/>
              </w:rPr>
            </w:pPr>
          </w:p>
        </w:tc>
      </w:tr>
      <w:tr w:rsidR="000A13D6" w14:paraId="06D5FA89" w14:textId="77777777" w:rsidTr="000B21B5">
        <w:tc>
          <w:tcPr>
            <w:tcW w:w="4074" w:type="pct"/>
            <w:hideMark/>
          </w:tcPr>
          <w:p w14:paraId="02479365" w14:textId="77777777" w:rsidR="000A13D6" w:rsidRPr="000B21B5" w:rsidRDefault="000A13D6" w:rsidP="000B21B5">
            <w:pPr>
              <w:pStyle w:val="ListBullet"/>
            </w:pPr>
            <w:r w:rsidRPr="000B21B5">
              <w:t>CGT schedule</w:t>
            </w:r>
          </w:p>
        </w:tc>
        <w:tc>
          <w:tcPr>
            <w:tcW w:w="335" w:type="pct"/>
          </w:tcPr>
          <w:p w14:paraId="0EEE47CF" w14:textId="77777777" w:rsidR="000A13D6" w:rsidRDefault="000A13D6" w:rsidP="009E6C2F">
            <w:pPr>
              <w:pStyle w:val="Table"/>
              <w:spacing w:before="100" w:after="100"/>
              <w:rPr>
                <w:sz w:val="18"/>
                <w:szCs w:val="18"/>
              </w:rPr>
            </w:pPr>
          </w:p>
        </w:tc>
        <w:tc>
          <w:tcPr>
            <w:tcW w:w="271" w:type="pct"/>
          </w:tcPr>
          <w:p w14:paraId="664599EE" w14:textId="77777777" w:rsidR="000A13D6" w:rsidRDefault="000A13D6" w:rsidP="009E6C2F">
            <w:pPr>
              <w:pStyle w:val="Table"/>
              <w:spacing w:before="100" w:after="100"/>
              <w:rPr>
                <w:sz w:val="18"/>
                <w:szCs w:val="18"/>
              </w:rPr>
            </w:pPr>
          </w:p>
        </w:tc>
        <w:tc>
          <w:tcPr>
            <w:tcW w:w="320" w:type="pct"/>
          </w:tcPr>
          <w:p w14:paraId="172F261E" w14:textId="77777777" w:rsidR="000A13D6" w:rsidRDefault="000A13D6" w:rsidP="009E6C2F">
            <w:pPr>
              <w:pStyle w:val="Table"/>
              <w:spacing w:before="100" w:after="100"/>
              <w:rPr>
                <w:sz w:val="18"/>
                <w:szCs w:val="18"/>
              </w:rPr>
            </w:pPr>
          </w:p>
        </w:tc>
      </w:tr>
      <w:tr w:rsidR="000A13D6" w14:paraId="6BD86B40" w14:textId="77777777" w:rsidTr="000B21B5">
        <w:trPr>
          <w:cnfStyle w:val="000000100000" w:firstRow="0" w:lastRow="0" w:firstColumn="0" w:lastColumn="0" w:oddVBand="0" w:evenVBand="0" w:oddHBand="1" w:evenHBand="0" w:firstRowFirstColumn="0" w:firstRowLastColumn="0" w:lastRowFirstColumn="0" w:lastRowLastColumn="0"/>
        </w:trPr>
        <w:tc>
          <w:tcPr>
            <w:tcW w:w="4074" w:type="pct"/>
            <w:hideMark/>
          </w:tcPr>
          <w:p w14:paraId="59F8FEA2" w14:textId="77777777" w:rsidR="000A13D6" w:rsidRPr="000B21B5" w:rsidRDefault="000A13D6" w:rsidP="000B21B5">
            <w:pPr>
              <w:pStyle w:val="ListBullet"/>
            </w:pPr>
            <w:r w:rsidRPr="000B21B5">
              <w:t>Family trust election, revocation or variation?</w:t>
            </w:r>
          </w:p>
        </w:tc>
        <w:tc>
          <w:tcPr>
            <w:tcW w:w="335" w:type="pct"/>
          </w:tcPr>
          <w:p w14:paraId="404D74C7" w14:textId="77777777" w:rsidR="000A13D6" w:rsidRDefault="000A13D6" w:rsidP="009E6C2F">
            <w:pPr>
              <w:pStyle w:val="Table"/>
              <w:spacing w:before="100" w:after="100"/>
              <w:rPr>
                <w:sz w:val="18"/>
                <w:szCs w:val="18"/>
              </w:rPr>
            </w:pPr>
          </w:p>
        </w:tc>
        <w:tc>
          <w:tcPr>
            <w:tcW w:w="271" w:type="pct"/>
          </w:tcPr>
          <w:p w14:paraId="7685CDA8" w14:textId="77777777" w:rsidR="000A13D6" w:rsidRDefault="000A13D6" w:rsidP="009E6C2F">
            <w:pPr>
              <w:pStyle w:val="Table"/>
              <w:spacing w:before="100" w:after="100"/>
              <w:rPr>
                <w:sz w:val="18"/>
                <w:szCs w:val="18"/>
              </w:rPr>
            </w:pPr>
          </w:p>
        </w:tc>
        <w:tc>
          <w:tcPr>
            <w:tcW w:w="320" w:type="pct"/>
          </w:tcPr>
          <w:p w14:paraId="062F9E4C" w14:textId="77777777" w:rsidR="000A13D6" w:rsidRDefault="000A13D6" w:rsidP="009E6C2F">
            <w:pPr>
              <w:pStyle w:val="Table"/>
              <w:spacing w:before="100" w:after="100"/>
              <w:rPr>
                <w:sz w:val="18"/>
                <w:szCs w:val="18"/>
              </w:rPr>
            </w:pPr>
          </w:p>
        </w:tc>
      </w:tr>
      <w:tr w:rsidR="000A13D6" w14:paraId="7C85B6A3" w14:textId="77777777" w:rsidTr="000B21B5">
        <w:tc>
          <w:tcPr>
            <w:tcW w:w="4074" w:type="pct"/>
            <w:hideMark/>
          </w:tcPr>
          <w:p w14:paraId="68976571" w14:textId="77777777" w:rsidR="000A13D6" w:rsidRPr="000B21B5" w:rsidRDefault="000A13D6" w:rsidP="000B21B5">
            <w:pPr>
              <w:pStyle w:val="ListBullet"/>
            </w:pPr>
            <w:r w:rsidRPr="000B21B5">
              <w:t>Interposed entity election or revocation?</w:t>
            </w:r>
          </w:p>
        </w:tc>
        <w:tc>
          <w:tcPr>
            <w:tcW w:w="335" w:type="pct"/>
          </w:tcPr>
          <w:p w14:paraId="131B8F2C" w14:textId="77777777" w:rsidR="000A13D6" w:rsidRDefault="000A13D6" w:rsidP="009E6C2F">
            <w:pPr>
              <w:pStyle w:val="Table"/>
              <w:spacing w:before="100" w:after="100"/>
              <w:rPr>
                <w:sz w:val="18"/>
                <w:szCs w:val="18"/>
              </w:rPr>
            </w:pPr>
          </w:p>
        </w:tc>
        <w:tc>
          <w:tcPr>
            <w:tcW w:w="271" w:type="pct"/>
          </w:tcPr>
          <w:p w14:paraId="23504CC6" w14:textId="77777777" w:rsidR="000A13D6" w:rsidRDefault="000A13D6" w:rsidP="009E6C2F">
            <w:pPr>
              <w:pStyle w:val="Table"/>
              <w:spacing w:before="100" w:after="100"/>
              <w:rPr>
                <w:sz w:val="18"/>
                <w:szCs w:val="18"/>
              </w:rPr>
            </w:pPr>
          </w:p>
        </w:tc>
        <w:tc>
          <w:tcPr>
            <w:tcW w:w="320" w:type="pct"/>
          </w:tcPr>
          <w:p w14:paraId="5A9E0DD6" w14:textId="77777777" w:rsidR="000A13D6" w:rsidRDefault="000A13D6" w:rsidP="009E6C2F">
            <w:pPr>
              <w:pStyle w:val="Table"/>
              <w:spacing w:before="100" w:after="100"/>
              <w:rPr>
                <w:sz w:val="18"/>
                <w:szCs w:val="18"/>
              </w:rPr>
            </w:pPr>
          </w:p>
        </w:tc>
      </w:tr>
      <w:tr w:rsidR="000A13D6" w14:paraId="27CA0BAE" w14:textId="77777777" w:rsidTr="000B21B5">
        <w:trPr>
          <w:cnfStyle w:val="000000100000" w:firstRow="0" w:lastRow="0" w:firstColumn="0" w:lastColumn="0" w:oddVBand="0" w:evenVBand="0" w:oddHBand="1" w:evenHBand="0" w:firstRowFirstColumn="0" w:firstRowLastColumn="0" w:lastRowFirstColumn="0" w:lastRowLastColumn="0"/>
        </w:trPr>
        <w:tc>
          <w:tcPr>
            <w:tcW w:w="4074" w:type="pct"/>
            <w:hideMark/>
          </w:tcPr>
          <w:p w14:paraId="30BC7AA2" w14:textId="77777777" w:rsidR="000A13D6" w:rsidRPr="000B21B5" w:rsidRDefault="000A13D6" w:rsidP="000B21B5">
            <w:pPr>
              <w:pStyle w:val="ListBullet"/>
            </w:pPr>
            <w:r w:rsidRPr="000B21B5">
              <w:t>Losses schedule?</w:t>
            </w:r>
          </w:p>
        </w:tc>
        <w:tc>
          <w:tcPr>
            <w:tcW w:w="335" w:type="pct"/>
          </w:tcPr>
          <w:p w14:paraId="49B97696" w14:textId="77777777" w:rsidR="000A13D6" w:rsidRDefault="000A13D6" w:rsidP="009E6C2F">
            <w:pPr>
              <w:pStyle w:val="Table"/>
              <w:spacing w:before="100" w:after="100"/>
              <w:rPr>
                <w:sz w:val="18"/>
                <w:szCs w:val="18"/>
              </w:rPr>
            </w:pPr>
          </w:p>
        </w:tc>
        <w:tc>
          <w:tcPr>
            <w:tcW w:w="271" w:type="pct"/>
          </w:tcPr>
          <w:p w14:paraId="6B073B3F" w14:textId="77777777" w:rsidR="000A13D6" w:rsidRDefault="000A13D6" w:rsidP="009E6C2F">
            <w:pPr>
              <w:pStyle w:val="Table"/>
              <w:spacing w:before="100" w:after="100"/>
              <w:rPr>
                <w:sz w:val="18"/>
                <w:szCs w:val="18"/>
              </w:rPr>
            </w:pPr>
          </w:p>
        </w:tc>
        <w:tc>
          <w:tcPr>
            <w:tcW w:w="320" w:type="pct"/>
          </w:tcPr>
          <w:p w14:paraId="0F78C92A" w14:textId="77777777" w:rsidR="000A13D6" w:rsidRDefault="000A13D6" w:rsidP="009E6C2F">
            <w:pPr>
              <w:pStyle w:val="Table"/>
              <w:spacing w:before="100" w:after="100"/>
              <w:rPr>
                <w:sz w:val="18"/>
                <w:szCs w:val="18"/>
              </w:rPr>
            </w:pPr>
          </w:p>
        </w:tc>
      </w:tr>
      <w:tr w:rsidR="00684854" w14:paraId="4E3F2E22" w14:textId="77777777" w:rsidTr="000B21B5">
        <w:tc>
          <w:tcPr>
            <w:tcW w:w="4074" w:type="pct"/>
            <w:hideMark/>
          </w:tcPr>
          <w:p w14:paraId="0D2EC743" w14:textId="77777777" w:rsidR="00684854" w:rsidRPr="000B21B5" w:rsidRDefault="00684854" w:rsidP="00684854">
            <w:pPr>
              <w:pStyle w:val="ListBullet"/>
            </w:pPr>
            <w:r w:rsidRPr="000B21B5">
              <w:t>Non-individual PAYG payment summary schedule?</w:t>
            </w:r>
          </w:p>
        </w:tc>
        <w:tc>
          <w:tcPr>
            <w:tcW w:w="335" w:type="pct"/>
          </w:tcPr>
          <w:p w14:paraId="569F1FE4" w14:textId="77777777" w:rsidR="00684854" w:rsidRDefault="00684854" w:rsidP="00684854">
            <w:pPr>
              <w:pStyle w:val="Table"/>
              <w:spacing w:before="100" w:after="100"/>
              <w:rPr>
                <w:sz w:val="18"/>
                <w:szCs w:val="18"/>
              </w:rPr>
            </w:pPr>
          </w:p>
        </w:tc>
        <w:tc>
          <w:tcPr>
            <w:tcW w:w="271" w:type="pct"/>
          </w:tcPr>
          <w:p w14:paraId="319763C4" w14:textId="77777777" w:rsidR="00684854" w:rsidRDefault="00684854" w:rsidP="00684854">
            <w:pPr>
              <w:pStyle w:val="Table"/>
              <w:spacing w:before="100" w:after="100"/>
              <w:rPr>
                <w:sz w:val="18"/>
                <w:szCs w:val="18"/>
              </w:rPr>
            </w:pPr>
          </w:p>
        </w:tc>
        <w:tc>
          <w:tcPr>
            <w:tcW w:w="320" w:type="pct"/>
          </w:tcPr>
          <w:p w14:paraId="17DB2C4C" w14:textId="77777777" w:rsidR="00684854" w:rsidRDefault="00684854" w:rsidP="00684854">
            <w:pPr>
              <w:pStyle w:val="Table"/>
              <w:spacing w:before="100" w:after="100"/>
              <w:rPr>
                <w:sz w:val="18"/>
                <w:szCs w:val="18"/>
              </w:rPr>
            </w:pPr>
          </w:p>
        </w:tc>
      </w:tr>
      <w:tr w:rsidR="00840A0C" w14:paraId="46ED389A" w14:textId="77777777" w:rsidTr="000B21B5">
        <w:trPr>
          <w:cnfStyle w:val="000000100000" w:firstRow="0" w:lastRow="0" w:firstColumn="0" w:lastColumn="0" w:oddVBand="0" w:evenVBand="0" w:oddHBand="1" w:evenHBand="0" w:firstRowFirstColumn="0" w:firstRowLastColumn="0" w:lastRowFirstColumn="0" w:lastRowLastColumn="0"/>
        </w:trPr>
        <w:tc>
          <w:tcPr>
            <w:tcW w:w="4074" w:type="pct"/>
            <w:hideMark/>
          </w:tcPr>
          <w:p w14:paraId="68D9B5FA" w14:textId="77777777" w:rsidR="00840A0C" w:rsidRPr="000B21B5" w:rsidRDefault="00840A0C" w:rsidP="00840A0C">
            <w:pPr>
              <w:pStyle w:val="ListBullet"/>
            </w:pPr>
            <w:r w:rsidRPr="000B21B5">
              <w:t>Rental property schedule?</w:t>
            </w:r>
          </w:p>
        </w:tc>
        <w:tc>
          <w:tcPr>
            <w:tcW w:w="335" w:type="pct"/>
          </w:tcPr>
          <w:p w14:paraId="032719AE" w14:textId="77777777" w:rsidR="00840A0C" w:rsidRDefault="00840A0C" w:rsidP="00840A0C">
            <w:pPr>
              <w:pStyle w:val="Table"/>
              <w:spacing w:before="100" w:after="100"/>
              <w:rPr>
                <w:sz w:val="18"/>
                <w:szCs w:val="18"/>
              </w:rPr>
            </w:pPr>
          </w:p>
        </w:tc>
        <w:tc>
          <w:tcPr>
            <w:tcW w:w="271" w:type="pct"/>
          </w:tcPr>
          <w:p w14:paraId="0E10E43B" w14:textId="77777777" w:rsidR="00840A0C" w:rsidRDefault="00840A0C" w:rsidP="00840A0C">
            <w:pPr>
              <w:pStyle w:val="Table"/>
              <w:spacing w:before="100" w:after="100"/>
              <w:rPr>
                <w:sz w:val="18"/>
                <w:szCs w:val="18"/>
              </w:rPr>
            </w:pPr>
          </w:p>
        </w:tc>
        <w:tc>
          <w:tcPr>
            <w:tcW w:w="320" w:type="pct"/>
          </w:tcPr>
          <w:p w14:paraId="391071DF" w14:textId="77777777" w:rsidR="00840A0C" w:rsidRDefault="00840A0C" w:rsidP="00840A0C">
            <w:pPr>
              <w:pStyle w:val="Table"/>
              <w:spacing w:before="100" w:after="100"/>
              <w:rPr>
                <w:sz w:val="18"/>
                <w:szCs w:val="18"/>
              </w:rPr>
            </w:pPr>
          </w:p>
        </w:tc>
      </w:tr>
      <w:tr w:rsidR="00840A0C" w14:paraId="7CBAC080" w14:textId="77777777" w:rsidTr="000B21B5">
        <w:tc>
          <w:tcPr>
            <w:tcW w:w="4074" w:type="pct"/>
            <w:hideMark/>
          </w:tcPr>
          <w:p w14:paraId="15A13574" w14:textId="77777777" w:rsidR="00840A0C" w:rsidRPr="000B21B5" w:rsidRDefault="00840A0C" w:rsidP="00840A0C">
            <w:pPr>
              <w:pStyle w:val="Table"/>
              <w:numPr>
                <w:ilvl w:val="0"/>
                <w:numId w:val="8"/>
              </w:numPr>
              <w:spacing w:before="100" w:after="100"/>
              <w:rPr>
                <w:color w:val="090D46" w:themeColor="text1"/>
                <w:sz w:val="18"/>
                <w:szCs w:val="18"/>
              </w:rPr>
            </w:pPr>
            <w:r w:rsidRPr="000B21B5">
              <w:rPr>
                <w:color w:val="090D46" w:themeColor="text1"/>
                <w:sz w:val="18"/>
                <w:szCs w:val="18"/>
              </w:rPr>
              <w:t>International Dealings Schedule?</w:t>
            </w:r>
          </w:p>
        </w:tc>
        <w:tc>
          <w:tcPr>
            <w:tcW w:w="335" w:type="pct"/>
          </w:tcPr>
          <w:p w14:paraId="648C5DE2" w14:textId="77777777" w:rsidR="00840A0C" w:rsidRDefault="00840A0C" w:rsidP="00840A0C">
            <w:pPr>
              <w:pStyle w:val="Table"/>
              <w:spacing w:before="100" w:after="100"/>
              <w:rPr>
                <w:sz w:val="18"/>
                <w:szCs w:val="18"/>
              </w:rPr>
            </w:pPr>
          </w:p>
        </w:tc>
        <w:tc>
          <w:tcPr>
            <w:tcW w:w="271" w:type="pct"/>
          </w:tcPr>
          <w:p w14:paraId="77FA9086" w14:textId="77777777" w:rsidR="00840A0C" w:rsidRDefault="00840A0C" w:rsidP="00840A0C">
            <w:pPr>
              <w:pStyle w:val="Table"/>
              <w:spacing w:before="100" w:after="100"/>
              <w:rPr>
                <w:sz w:val="18"/>
                <w:szCs w:val="18"/>
              </w:rPr>
            </w:pPr>
          </w:p>
        </w:tc>
        <w:tc>
          <w:tcPr>
            <w:tcW w:w="320" w:type="pct"/>
          </w:tcPr>
          <w:p w14:paraId="62875452" w14:textId="77777777" w:rsidR="00840A0C" w:rsidRDefault="00840A0C" w:rsidP="00840A0C">
            <w:pPr>
              <w:pStyle w:val="Table"/>
              <w:spacing w:before="100" w:after="100"/>
              <w:rPr>
                <w:sz w:val="18"/>
                <w:szCs w:val="18"/>
              </w:rPr>
            </w:pPr>
          </w:p>
        </w:tc>
      </w:tr>
      <w:tr w:rsidR="00840A0C" w14:paraId="24E8C667" w14:textId="77777777" w:rsidTr="000B21B5">
        <w:trPr>
          <w:cnfStyle w:val="000000100000" w:firstRow="0" w:lastRow="0" w:firstColumn="0" w:lastColumn="0" w:oddVBand="0" w:evenVBand="0" w:oddHBand="1" w:evenHBand="0" w:firstRowFirstColumn="0" w:firstRowLastColumn="0" w:lastRowFirstColumn="0" w:lastRowLastColumn="0"/>
        </w:trPr>
        <w:tc>
          <w:tcPr>
            <w:tcW w:w="4074" w:type="pct"/>
            <w:hideMark/>
          </w:tcPr>
          <w:p w14:paraId="2377F23A" w14:textId="77777777" w:rsidR="00840A0C" w:rsidRPr="000B21B5" w:rsidRDefault="00840A0C" w:rsidP="00840A0C">
            <w:pPr>
              <w:pStyle w:val="Table"/>
              <w:numPr>
                <w:ilvl w:val="0"/>
                <w:numId w:val="8"/>
              </w:numPr>
              <w:spacing w:before="100" w:after="100"/>
              <w:rPr>
                <w:color w:val="090D46" w:themeColor="text1"/>
                <w:sz w:val="18"/>
                <w:szCs w:val="18"/>
              </w:rPr>
            </w:pPr>
            <w:r w:rsidRPr="000B21B5">
              <w:rPr>
                <w:color w:val="090D46" w:themeColor="text1"/>
                <w:sz w:val="18"/>
                <w:szCs w:val="18"/>
              </w:rPr>
              <w:t>TFN Report – for trustees of closely held trusts?</w:t>
            </w:r>
          </w:p>
        </w:tc>
        <w:tc>
          <w:tcPr>
            <w:tcW w:w="335" w:type="pct"/>
          </w:tcPr>
          <w:p w14:paraId="4B945B22" w14:textId="77777777" w:rsidR="00840A0C" w:rsidRDefault="00840A0C" w:rsidP="00840A0C">
            <w:pPr>
              <w:pStyle w:val="Table"/>
              <w:spacing w:before="100" w:after="100"/>
              <w:rPr>
                <w:sz w:val="18"/>
                <w:szCs w:val="18"/>
              </w:rPr>
            </w:pPr>
          </w:p>
        </w:tc>
        <w:tc>
          <w:tcPr>
            <w:tcW w:w="271" w:type="pct"/>
          </w:tcPr>
          <w:p w14:paraId="15790CCF" w14:textId="77777777" w:rsidR="00840A0C" w:rsidRDefault="00840A0C" w:rsidP="00840A0C">
            <w:pPr>
              <w:pStyle w:val="Table"/>
              <w:spacing w:before="100" w:after="100"/>
              <w:rPr>
                <w:sz w:val="18"/>
                <w:szCs w:val="18"/>
              </w:rPr>
            </w:pPr>
          </w:p>
        </w:tc>
        <w:tc>
          <w:tcPr>
            <w:tcW w:w="320" w:type="pct"/>
          </w:tcPr>
          <w:p w14:paraId="5FED126D" w14:textId="77777777" w:rsidR="00840A0C" w:rsidRDefault="00840A0C" w:rsidP="00840A0C">
            <w:pPr>
              <w:pStyle w:val="Table"/>
              <w:spacing w:before="100" w:after="100"/>
              <w:rPr>
                <w:sz w:val="18"/>
                <w:szCs w:val="18"/>
              </w:rPr>
            </w:pPr>
          </w:p>
        </w:tc>
      </w:tr>
      <w:tr w:rsidR="00840A0C" w14:paraId="58391881" w14:textId="77777777" w:rsidTr="000B21B5">
        <w:tc>
          <w:tcPr>
            <w:tcW w:w="4074" w:type="pct"/>
            <w:hideMark/>
          </w:tcPr>
          <w:p w14:paraId="111018FD" w14:textId="77777777" w:rsidR="00840A0C" w:rsidRPr="000B21B5" w:rsidRDefault="00840A0C" w:rsidP="00840A0C">
            <w:pPr>
              <w:pStyle w:val="Table"/>
              <w:spacing w:before="100" w:after="100"/>
              <w:rPr>
                <w:color w:val="090D46" w:themeColor="text1"/>
                <w:sz w:val="18"/>
                <w:szCs w:val="18"/>
              </w:rPr>
            </w:pPr>
            <w:r w:rsidRPr="000B21B5">
              <w:rPr>
                <w:color w:val="090D46" w:themeColor="text1"/>
                <w:sz w:val="18"/>
                <w:szCs w:val="18"/>
              </w:rPr>
              <w:t>Have all notices and / or elections, where lodgment is not required, been appropriately sighted and retained on record?</w:t>
            </w:r>
          </w:p>
        </w:tc>
        <w:tc>
          <w:tcPr>
            <w:tcW w:w="335" w:type="pct"/>
          </w:tcPr>
          <w:p w14:paraId="319B64E6" w14:textId="77777777" w:rsidR="00840A0C" w:rsidRDefault="00840A0C" w:rsidP="00840A0C">
            <w:pPr>
              <w:pStyle w:val="Table"/>
              <w:spacing w:before="100" w:after="100"/>
              <w:rPr>
                <w:sz w:val="18"/>
                <w:szCs w:val="18"/>
              </w:rPr>
            </w:pPr>
          </w:p>
        </w:tc>
        <w:tc>
          <w:tcPr>
            <w:tcW w:w="271" w:type="pct"/>
          </w:tcPr>
          <w:p w14:paraId="317A8DDE" w14:textId="77777777" w:rsidR="00840A0C" w:rsidRDefault="00840A0C" w:rsidP="00840A0C">
            <w:pPr>
              <w:pStyle w:val="Table"/>
              <w:spacing w:before="100" w:after="100"/>
              <w:rPr>
                <w:sz w:val="18"/>
                <w:szCs w:val="18"/>
              </w:rPr>
            </w:pPr>
          </w:p>
        </w:tc>
        <w:tc>
          <w:tcPr>
            <w:tcW w:w="320" w:type="pct"/>
          </w:tcPr>
          <w:p w14:paraId="45A14DF9" w14:textId="77777777" w:rsidR="00840A0C" w:rsidRDefault="00840A0C" w:rsidP="00840A0C">
            <w:pPr>
              <w:pStyle w:val="Table"/>
              <w:spacing w:before="100" w:after="100"/>
              <w:rPr>
                <w:sz w:val="18"/>
                <w:szCs w:val="18"/>
              </w:rPr>
            </w:pPr>
          </w:p>
        </w:tc>
      </w:tr>
      <w:tr w:rsidR="00840A0C" w14:paraId="13D8CF4B" w14:textId="77777777" w:rsidTr="000B21B5">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216DFEE8" w14:textId="77777777" w:rsidR="00840A0C" w:rsidRPr="000B21B5" w:rsidRDefault="00840A0C" w:rsidP="00840A0C">
            <w:pPr>
              <w:pStyle w:val="Table"/>
              <w:spacing w:before="100" w:after="100"/>
              <w:rPr>
                <w:b/>
                <w:bCs/>
                <w:color w:val="FFFFFF" w:themeColor="background1"/>
                <w:sz w:val="18"/>
                <w:szCs w:val="18"/>
              </w:rPr>
            </w:pPr>
            <w:r w:rsidRPr="000B21B5">
              <w:rPr>
                <w:b/>
                <w:bCs/>
                <w:color w:val="FFFFFF" w:themeColor="background1"/>
                <w:sz w:val="18"/>
                <w:szCs w:val="18"/>
              </w:rPr>
              <w:t>INTERNATIONAL DEALINGS</w:t>
            </w:r>
          </w:p>
        </w:tc>
      </w:tr>
      <w:tr w:rsidR="00840A0C" w14:paraId="68392489" w14:textId="77777777" w:rsidTr="000B21B5">
        <w:tc>
          <w:tcPr>
            <w:tcW w:w="4074" w:type="pct"/>
            <w:hideMark/>
          </w:tcPr>
          <w:p w14:paraId="7F952EE2" w14:textId="77777777" w:rsidR="00840A0C" w:rsidRPr="000B21B5" w:rsidRDefault="00840A0C" w:rsidP="00840A0C">
            <w:pPr>
              <w:spacing w:before="100" w:after="100"/>
              <w:rPr>
                <w:szCs w:val="18"/>
              </w:rPr>
            </w:pPr>
            <w:r w:rsidRPr="000B21B5">
              <w:rPr>
                <w:szCs w:val="18"/>
              </w:rPr>
              <w:t xml:space="preserve">Will the foreign resident beneficiaries of the trust be presently entitled to any unfranked dividends, interest or fund payment amounts? </w:t>
            </w:r>
          </w:p>
          <w:p w14:paraId="19348E9D" w14:textId="77777777" w:rsidR="00840A0C" w:rsidRPr="000B21B5" w:rsidRDefault="00840A0C" w:rsidP="00840A0C">
            <w:pPr>
              <w:pStyle w:val="Table"/>
              <w:spacing w:before="100" w:after="100"/>
              <w:rPr>
                <w:color w:val="090D46" w:themeColor="text1"/>
                <w:sz w:val="18"/>
                <w:szCs w:val="18"/>
              </w:rPr>
            </w:pPr>
            <w:r w:rsidRPr="000B21B5">
              <w:rPr>
                <w:color w:val="090D46" w:themeColor="text1"/>
                <w:sz w:val="18"/>
                <w:szCs w:val="18"/>
              </w:rPr>
              <w:t>If so, has the appropriate amount of tax been withheld and remitted to the ATO in relation to each foreign resident beneficiary?</w:t>
            </w:r>
          </w:p>
        </w:tc>
        <w:tc>
          <w:tcPr>
            <w:tcW w:w="335" w:type="pct"/>
          </w:tcPr>
          <w:p w14:paraId="104FCFEA" w14:textId="77777777" w:rsidR="00840A0C" w:rsidRDefault="00840A0C" w:rsidP="00840A0C">
            <w:pPr>
              <w:pStyle w:val="Table"/>
              <w:spacing w:before="100" w:after="100"/>
              <w:rPr>
                <w:sz w:val="18"/>
                <w:szCs w:val="18"/>
              </w:rPr>
            </w:pPr>
          </w:p>
        </w:tc>
        <w:tc>
          <w:tcPr>
            <w:tcW w:w="271" w:type="pct"/>
          </w:tcPr>
          <w:p w14:paraId="60E8044B" w14:textId="77777777" w:rsidR="00840A0C" w:rsidRDefault="00840A0C" w:rsidP="00840A0C">
            <w:pPr>
              <w:pStyle w:val="Table"/>
              <w:spacing w:before="100" w:after="100"/>
              <w:rPr>
                <w:sz w:val="18"/>
                <w:szCs w:val="18"/>
              </w:rPr>
            </w:pPr>
          </w:p>
        </w:tc>
        <w:tc>
          <w:tcPr>
            <w:tcW w:w="320" w:type="pct"/>
          </w:tcPr>
          <w:p w14:paraId="3FF9AB9B" w14:textId="77777777" w:rsidR="00840A0C" w:rsidRDefault="00840A0C" w:rsidP="00840A0C">
            <w:pPr>
              <w:pStyle w:val="Table"/>
              <w:spacing w:before="100" w:after="100"/>
              <w:rPr>
                <w:sz w:val="18"/>
                <w:szCs w:val="18"/>
              </w:rPr>
            </w:pPr>
          </w:p>
        </w:tc>
      </w:tr>
      <w:tr w:rsidR="00840A0C" w14:paraId="7385E8FB" w14:textId="77777777" w:rsidTr="000B21B5">
        <w:trPr>
          <w:cnfStyle w:val="000000100000" w:firstRow="0" w:lastRow="0" w:firstColumn="0" w:lastColumn="0" w:oddVBand="0" w:evenVBand="0" w:oddHBand="1" w:evenHBand="0" w:firstRowFirstColumn="0" w:firstRowLastColumn="0" w:lastRowFirstColumn="0" w:lastRowLastColumn="0"/>
        </w:trPr>
        <w:tc>
          <w:tcPr>
            <w:tcW w:w="4074" w:type="pct"/>
            <w:hideMark/>
          </w:tcPr>
          <w:p w14:paraId="733B83B1" w14:textId="77777777" w:rsidR="00840A0C" w:rsidRPr="000B21B5" w:rsidRDefault="00840A0C" w:rsidP="00840A0C">
            <w:pPr>
              <w:spacing w:before="100" w:after="100"/>
              <w:rPr>
                <w:szCs w:val="18"/>
              </w:rPr>
            </w:pPr>
            <w:r w:rsidRPr="000B21B5">
              <w:rPr>
                <w:szCs w:val="18"/>
              </w:rPr>
              <w:t xml:space="preserve">Has all foreign sourced income been identified and returned as assessable income? </w:t>
            </w:r>
          </w:p>
          <w:p w14:paraId="4D381B08" w14:textId="1CBDBA18" w:rsidR="00840A0C" w:rsidRPr="000B21B5" w:rsidRDefault="00840A0C" w:rsidP="00840A0C">
            <w:pPr>
              <w:pStyle w:val="Table"/>
              <w:spacing w:before="100" w:after="100"/>
              <w:rPr>
                <w:color w:val="090D46" w:themeColor="text1"/>
                <w:sz w:val="18"/>
                <w:szCs w:val="18"/>
              </w:rPr>
            </w:pPr>
            <w:r w:rsidRPr="000B21B5">
              <w:rPr>
                <w:color w:val="090D46" w:themeColor="text1"/>
                <w:sz w:val="18"/>
                <w:szCs w:val="18"/>
              </w:rPr>
              <w:t>If so, has foreign income been grossed up for the appropriate taxes?</w:t>
            </w:r>
          </w:p>
        </w:tc>
        <w:tc>
          <w:tcPr>
            <w:tcW w:w="335" w:type="pct"/>
          </w:tcPr>
          <w:p w14:paraId="7C71D3F3" w14:textId="77777777" w:rsidR="00840A0C" w:rsidRDefault="00840A0C" w:rsidP="00840A0C">
            <w:pPr>
              <w:pStyle w:val="Table"/>
              <w:spacing w:before="100" w:after="100"/>
              <w:rPr>
                <w:sz w:val="18"/>
                <w:szCs w:val="18"/>
              </w:rPr>
            </w:pPr>
          </w:p>
        </w:tc>
        <w:tc>
          <w:tcPr>
            <w:tcW w:w="271" w:type="pct"/>
          </w:tcPr>
          <w:p w14:paraId="35DD0D82" w14:textId="77777777" w:rsidR="00840A0C" w:rsidRDefault="00840A0C" w:rsidP="00840A0C">
            <w:pPr>
              <w:pStyle w:val="Table"/>
              <w:spacing w:before="100" w:after="100"/>
              <w:rPr>
                <w:sz w:val="18"/>
                <w:szCs w:val="18"/>
              </w:rPr>
            </w:pPr>
          </w:p>
        </w:tc>
        <w:tc>
          <w:tcPr>
            <w:tcW w:w="320" w:type="pct"/>
          </w:tcPr>
          <w:p w14:paraId="7C5C145B" w14:textId="77777777" w:rsidR="00840A0C" w:rsidRDefault="00840A0C" w:rsidP="00840A0C">
            <w:pPr>
              <w:pStyle w:val="Table"/>
              <w:spacing w:before="100" w:after="100"/>
              <w:rPr>
                <w:sz w:val="18"/>
                <w:szCs w:val="18"/>
              </w:rPr>
            </w:pPr>
          </w:p>
        </w:tc>
      </w:tr>
      <w:tr w:rsidR="00840A0C" w14:paraId="58B6ADB6" w14:textId="77777777" w:rsidTr="000B21B5">
        <w:tc>
          <w:tcPr>
            <w:tcW w:w="4074" w:type="pct"/>
            <w:hideMark/>
          </w:tcPr>
          <w:p w14:paraId="7347E42F" w14:textId="77777777" w:rsidR="00840A0C" w:rsidRPr="000B21B5" w:rsidRDefault="00840A0C" w:rsidP="00840A0C">
            <w:pPr>
              <w:pStyle w:val="Table"/>
              <w:spacing w:before="100" w:after="100"/>
              <w:rPr>
                <w:color w:val="090D46" w:themeColor="text1"/>
                <w:sz w:val="18"/>
                <w:szCs w:val="18"/>
              </w:rPr>
            </w:pPr>
            <w:r w:rsidRPr="000B21B5">
              <w:rPr>
                <w:color w:val="090D46" w:themeColor="text1"/>
                <w:sz w:val="18"/>
                <w:szCs w:val="18"/>
              </w:rPr>
              <w:t>Has withholding tax been deducted from interest, royalties and unfranked dividends paid to non-residents or offshore / foreign ‘branches’ of resident trusts during the year?</w:t>
            </w:r>
          </w:p>
        </w:tc>
        <w:tc>
          <w:tcPr>
            <w:tcW w:w="335" w:type="pct"/>
          </w:tcPr>
          <w:p w14:paraId="2809DAC8" w14:textId="77777777" w:rsidR="00840A0C" w:rsidRDefault="00840A0C" w:rsidP="00840A0C">
            <w:pPr>
              <w:pStyle w:val="Table"/>
              <w:spacing w:before="100" w:after="100"/>
              <w:rPr>
                <w:sz w:val="18"/>
                <w:szCs w:val="18"/>
              </w:rPr>
            </w:pPr>
          </w:p>
        </w:tc>
        <w:tc>
          <w:tcPr>
            <w:tcW w:w="271" w:type="pct"/>
          </w:tcPr>
          <w:p w14:paraId="1D1B004D" w14:textId="77777777" w:rsidR="00840A0C" w:rsidRDefault="00840A0C" w:rsidP="00840A0C">
            <w:pPr>
              <w:pStyle w:val="Table"/>
              <w:spacing w:before="100" w:after="100"/>
              <w:rPr>
                <w:sz w:val="18"/>
                <w:szCs w:val="18"/>
              </w:rPr>
            </w:pPr>
          </w:p>
        </w:tc>
        <w:tc>
          <w:tcPr>
            <w:tcW w:w="320" w:type="pct"/>
          </w:tcPr>
          <w:p w14:paraId="2FE7550D" w14:textId="77777777" w:rsidR="00840A0C" w:rsidRDefault="00840A0C" w:rsidP="00840A0C">
            <w:pPr>
              <w:pStyle w:val="Table"/>
              <w:spacing w:before="100" w:after="100"/>
              <w:rPr>
                <w:sz w:val="18"/>
                <w:szCs w:val="18"/>
              </w:rPr>
            </w:pPr>
          </w:p>
        </w:tc>
      </w:tr>
      <w:tr w:rsidR="00840A0C" w14:paraId="2CE35306" w14:textId="77777777" w:rsidTr="000B21B5">
        <w:trPr>
          <w:cnfStyle w:val="000000100000" w:firstRow="0" w:lastRow="0" w:firstColumn="0" w:lastColumn="0" w:oddVBand="0" w:evenVBand="0" w:oddHBand="1" w:evenHBand="0" w:firstRowFirstColumn="0" w:firstRowLastColumn="0" w:lastRowFirstColumn="0" w:lastRowLastColumn="0"/>
        </w:trPr>
        <w:tc>
          <w:tcPr>
            <w:tcW w:w="4074" w:type="pct"/>
            <w:hideMark/>
          </w:tcPr>
          <w:p w14:paraId="7332FEB9" w14:textId="77777777" w:rsidR="00840A0C" w:rsidRPr="000B21B5" w:rsidRDefault="00840A0C" w:rsidP="00840A0C">
            <w:pPr>
              <w:pStyle w:val="Table"/>
              <w:spacing w:before="100" w:after="100"/>
              <w:rPr>
                <w:color w:val="090D46" w:themeColor="text1"/>
                <w:sz w:val="18"/>
                <w:szCs w:val="18"/>
              </w:rPr>
            </w:pPr>
            <w:r w:rsidRPr="000B21B5">
              <w:rPr>
                <w:color w:val="090D46" w:themeColor="text1"/>
                <w:sz w:val="18"/>
                <w:szCs w:val="18"/>
              </w:rPr>
              <w:t>Have management fees, software licence fees etc. paid to overseas entities been examined to determine whether they are within the definition of royalties?</w:t>
            </w:r>
          </w:p>
        </w:tc>
        <w:tc>
          <w:tcPr>
            <w:tcW w:w="335" w:type="pct"/>
          </w:tcPr>
          <w:p w14:paraId="0662F6B9" w14:textId="77777777" w:rsidR="00840A0C" w:rsidRDefault="00840A0C" w:rsidP="00840A0C">
            <w:pPr>
              <w:pStyle w:val="Table"/>
              <w:spacing w:before="100" w:after="100"/>
              <w:rPr>
                <w:sz w:val="18"/>
                <w:szCs w:val="18"/>
              </w:rPr>
            </w:pPr>
          </w:p>
        </w:tc>
        <w:tc>
          <w:tcPr>
            <w:tcW w:w="271" w:type="pct"/>
          </w:tcPr>
          <w:p w14:paraId="1D9FBFE5" w14:textId="77777777" w:rsidR="00840A0C" w:rsidRDefault="00840A0C" w:rsidP="00840A0C">
            <w:pPr>
              <w:pStyle w:val="Table"/>
              <w:spacing w:before="100" w:after="100"/>
              <w:rPr>
                <w:sz w:val="18"/>
                <w:szCs w:val="18"/>
              </w:rPr>
            </w:pPr>
          </w:p>
        </w:tc>
        <w:tc>
          <w:tcPr>
            <w:tcW w:w="320" w:type="pct"/>
          </w:tcPr>
          <w:p w14:paraId="14917FDF" w14:textId="77777777" w:rsidR="00840A0C" w:rsidRDefault="00840A0C" w:rsidP="00840A0C">
            <w:pPr>
              <w:pStyle w:val="Table"/>
              <w:spacing w:before="100" w:after="100"/>
              <w:rPr>
                <w:sz w:val="18"/>
                <w:szCs w:val="18"/>
              </w:rPr>
            </w:pPr>
          </w:p>
        </w:tc>
      </w:tr>
      <w:tr w:rsidR="00840A0C" w14:paraId="32AF7561" w14:textId="77777777" w:rsidTr="000B21B5">
        <w:tc>
          <w:tcPr>
            <w:tcW w:w="4074" w:type="pct"/>
            <w:hideMark/>
          </w:tcPr>
          <w:p w14:paraId="27F4CBD2" w14:textId="77777777" w:rsidR="00840A0C" w:rsidRPr="000B21B5" w:rsidRDefault="00840A0C" w:rsidP="00840A0C">
            <w:pPr>
              <w:pStyle w:val="Table"/>
              <w:keepNext/>
              <w:spacing w:before="100" w:after="100"/>
              <w:rPr>
                <w:color w:val="090D46" w:themeColor="text1"/>
                <w:sz w:val="18"/>
                <w:szCs w:val="18"/>
              </w:rPr>
            </w:pPr>
            <w:r w:rsidRPr="000B21B5">
              <w:rPr>
                <w:color w:val="090D46" w:themeColor="text1"/>
                <w:sz w:val="18"/>
                <w:szCs w:val="18"/>
              </w:rPr>
              <w:t xml:space="preserve">Have insurance premiums been paid by the entity to non-resident insurers? </w:t>
            </w:r>
          </w:p>
          <w:p w14:paraId="753C0B6E" w14:textId="77777777" w:rsidR="00840A0C" w:rsidRPr="000B21B5" w:rsidRDefault="00840A0C" w:rsidP="00840A0C">
            <w:pPr>
              <w:pStyle w:val="Table"/>
              <w:spacing w:before="100" w:after="100"/>
              <w:rPr>
                <w:color w:val="090D46" w:themeColor="text1"/>
                <w:sz w:val="18"/>
                <w:szCs w:val="18"/>
              </w:rPr>
            </w:pPr>
            <w:r w:rsidRPr="000B21B5">
              <w:rPr>
                <w:color w:val="090D46" w:themeColor="text1"/>
                <w:sz w:val="18"/>
                <w:szCs w:val="18"/>
              </w:rPr>
              <w:t xml:space="preserve">If so, has the appropriate amount been deducted and a return been furnished in respect of the foreign premiums as required under Division 15 of the </w:t>
            </w:r>
            <w:r w:rsidRPr="000B21B5">
              <w:rPr>
                <w:i/>
                <w:color w:val="090D46" w:themeColor="text1"/>
                <w:sz w:val="18"/>
                <w:szCs w:val="18"/>
              </w:rPr>
              <w:t>ITAA 1936</w:t>
            </w:r>
            <w:r w:rsidRPr="000B21B5">
              <w:rPr>
                <w:color w:val="090D46" w:themeColor="text1"/>
                <w:sz w:val="18"/>
                <w:szCs w:val="18"/>
              </w:rPr>
              <w:t>?</w:t>
            </w:r>
          </w:p>
        </w:tc>
        <w:tc>
          <w:tcPr>
            <w:tcW w:w="335" w:type="pct"/>
          </w:tcPr>
          <w:p w14:paraId="1B8F7A7E" w14:textId="77777777" w:rsidR="00840A0C" w:rsidRDefault="00840A0C" w:rsidP="00840A0C">
            <w:pPr>
              <w:pStyle w:val="Table"/>
              <w:spacing w:before="100" w:after="100"/>
              <w:rPr>
                <w:sz w:val="18"/>
                <w:szCs w:val="18"/>
              </w:rPr>
            </w:pPr>
          </w:p>
        </w:tc>
        <w:tc>
          <w:tcPr>
            <w:tcW w:w="271" w:type="pct"/>
          </w:tcPr>
          <w:p w14:paraId="6A5AED3E" w14:textId="77777777" w:rsidR="00840A0C" w:rsidRDefault="00840A0C" w:rsidP="00840A0C">
            <w:pPr>
              <w:pStyle w:val="Table"/>
              <w:spacing w:before="100" w:after="100"/>
              <w:rPr>
                <w:sz w:val="18"/>
                <w:szCs w:val="18"/>
              </w:rPr>
            </w:pPr>
          </w:p>
        </w:tc>
        <w:tc>
          <w:tcPr>
            <w:tcW w:w="320" w:type="pct"/>
          </w:tcPr>
          <w:p w14:paraId="3D4C4994" w14:textId="77777777" w:rsidR="00840A0C" w:rsidRDefault="00840A0C" w:rsidP="00840A0C">
            <w:pPr>
              <w:pStyle w:val="Table"/>
              <w:spacing w:before="100" w:after="100"/>
              <w:rPr>
                <w:sz w:val="18"/>
                <w:szCs w:val="18"/>
              </w:rPr>
            </w:pPr>
          </w:p>
        </w:tc>
      </w:tr>
      <w:tr w:rsidR="00840A0C" w14:paraId="75A7EF80" w14:textId="77777777" w:rsidTr="000B21B5">
        <w:trPr>
          <w:cnfStyle w:val="000000100000" w:firstRow="0" w:lastRow="0" w:firstColumn="0" w:lastColumn="0" w:oddVBand="0" w:evenVBand="0" w:oddHBand="1" w:evenHBand="0" w:firstRowFirstColumn="0" w:firstRowLastColumn="0" w:lastRowFirstColumn="0" w:lastRowLastColumn="0"/>
        </w:trPr>
        <w:tc>
          <w:tcPr>
            <w:tcW w:w="4074" w:type="pct"/>
            <w:hideMark/>
          </w:tcPr>
          <w:p w14:paraId="1036D013" w14:textId="77777777" w:rsidR="00840A0C" w:rsidRPr="000B21B5" w:rsidRDefault="00840A0C" w:rsidP="00840A0C">
            <w:pPr>
              <w:pStyle w:val="Table"/>
              <w:spacing w:before="100" w:after="100"/>
              <w:rPr>
                <w:color w:val="090D46" w:themeColor="text1"/>
                <w:sz w:val="18"/>
                <w:szCs w:val="18"/>
              </w:rPr>
            </w:pPr>
            <w:r w:rsidRPr="000B21B5">
              <w:rPr>
                <w:color w:val="090D46" w:themeColor="text1"/>
                <w:sz w:val="18"/>
                <w:szCs w:val="18"/>
              </w:rPr>
              <w:t>Have you considered the CFC rules in relation to the attribution of income?</w:t>
            </w:r>
          </w:p>
        </w:tc>
        <w:tc>
          <w:tcPr>
            <w:tcW w:w="335" w:type="pct"/>
          </w:tcPr>
          <w:p w14:paraId="21D92778" w14:textId="77777777" w:rsidR="00840A0C" w:rsidRDefault="00840A0C" w:rsidP="00840A0C">
            <w:pPr>
              <w:pStyle w:val="Table"/>
              <w:spacing w:before="100" w:after="100"/>
              <w:rPr>
                <w:sz w:val="18"/>
                <w:szCs w:val="18"/>
              </w:rPr>
            </w:pPr>
          </w:p>
        </w:tc>
        <w:tc>
          <w:tcPr>
            <w:tcW w:w="271" w:type="pct"/>
          </w:tcPr>
          <w:p w14:paraId="22CBF3C6" w14:textId="77777777" w:rsidR="00840A0C" w:rsidRDefault="00840A0C" w:rsidP="00840A0C">
            <w:pPr>
              <w:pStyle w:val="Table"/>
              <w:spacing w:before="100" w:after="100"/>
              <w:rPr>
                <w:sz w:val="18"/>
                <w:szCs w:val="18"/>
              </w:rPr>
            </w:pPr>
          </w:p>
        </w:tc>
        <w:tc>
          <w:tcPr>
            <w:tcW w:w="320" w:type="pct"/>
          </w:tcPr>
          <w:p w14:paraId="0553A9DB" w14:textId="77777777" w:rsidR="00840A0C" w:rsidRDefault="00840A0C" w:rsidP="00840A0C">
            <w:pPr>
              <w:pStyle w:val="Table"/>
              <w:spacing w:before="100" w:after="100"/>
              <w:rPr>
                <w:sz w:val="18"/>
                <w:szCs w:val="18"/>
              </w:rPr>
            </w:pPr>
          </w:p>
        </w:tc>
      </w:tr>
      <w:tr w:rsidR="00840A0C" w14:paraId="1D419FB6" w14:textId="77777777" w:rsidTr="000B21B5">
        <w:tc>
          <w:tcPr>
            <w:tcW w:w="4074" w:type="pct"/>
            <w:hideMark/>
          </w:tcPr>
          <w:p w14:paraId="469C0380" w14:textId="77777777" w:rsidR="00840A0C" w:rsidRPr="000B21B5" w:rsidRDefault="00840A0C" w:rsidP="00840A0C">
            <w:pPr>
              <w:pStyle w:val="Table"/>
              <w:spacing w:before="100" w:after="100"/>
              <w:rPr>
                <w:color w:val="090D46" w:themeColor="text1"/>
                <w:sz w:val="18"/>
                <w:szCs w:val="18"/>
              </w:rPr>
            </w:pPr>
            <w:r w:rsidRPr="000B21B5">
              <w:rPr>
                <w:color w:val="090D46" w:themeColor="text1"/>
                <w:sz w:val="18"/>
                <w:szCs w:val="18"/>
              </w:rPr>
              <w:t>Have you considered the ‘transferor trust’ rules in relation to the attribution of income?</w:t>
            </w:r>
          </w:p>
        </w:tc>
        <w:tc>
          <w:tcPr>
            <w:tcW w:w="335" w:type="pct"/>
          </w:tcPr>
          <w:p w14:paraId="6A3F2508" w14:textId="77777777" w:rsidR="00840A0C" w:rsidRDefault="00840A0C" w:rsidP="00840A0C">
            <w:pPr>
              <w:pStyle w:val="Table"/>
              <w:spacing w:before="100" w:after="100"/>
              <w:rPr>
                <w:sz w:val="18"/>
                <w:szCs w:val="18"/>
              </w:rPr>
            </w:pPr>
          </w:p>
        </w:tc>
        <w:tc>
          <w:tcPr>
            <w:tcW w:w="271" w:type="pct"/>
          </w:tcPr>
          <w:p w14:paraId="137C9474" w14:textId="77777777" w:rsidR="00840A0C" w:rsidRDefault="00840A0C" w:rsidP="00840A0C">
            <w:pPr>
              <w:pStyle w:val="Table"/>
              <w:spacing w:before="100" w:after="100"/>
              <w:rPr>
                <w:sz w:val="18"/>
                <w:szCs w:val="18"/>
              </w:rPr>
            </w:pPr>
          </w:p>
        </w:tc>
        <w:tc>
          <w:tcPr>
            <w:tcW w:w="320" w:type="pct"/>
          </w:tcPr>
          <w:p w14:paraId="2D57D2E0" w14:textId="77777777" w:rsidR="00840A0C" w:rsidRDefault="00840A0C" w:rsidP="00840A0C">
            <w:pPr>
              <w:pStyle w:val="Table"/>
              <w:spacing w:before="100" w:after="100"/>
              <w:rPr>
                <w:sz w:val="18"/>
                <w:szCs w:val="18"/>
              </w:rPr>
            </w:pPr>
          </w:p>
        </w:tc>
      </w:tr>
      <w:tr w:rsidR="00840A0C" w14:paraId="774DB96F" w14:textId="77777777" w:rsidTr="000B21B5">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7998D5C4" w14:textId="77777777" w:rsidR="00840A0C" w:rsidRPr="000B21B5" w:rsidRDefault="00840A0C" w:rsidP="00840A0C">
            <w:pPr>
              <w:pStyle w:val="Tableheading"/>
              <w:spacing w:before="100" w:after="100"/>
              <w:rPr>
                <w:bCs/>
                <w:color w:val="FFFFFF" w:themeColor="background1"/>
                <w:sz w:val="18"/>
                <w:szCs w:val="18"/>
              </w:rPr>
            </w:pPr>
            <w:r w:rsidRPr="000B21B5">
              <w:rPr>
                <w:rFonts w:cs="Times New Roman"/>
                <w:bCs/>
                <w:color w:val="FFFFFF" w:themeColor="background1"/>
                <w:sz w:val="18"/>
                <w:szCs w:val="18"/>
              </w:rPr>
              <w:t>TAXATION OF FINANCIAL ARRANGEMENTS (TOFA)</w:t>
            </w:r>
          </w:p>
        </w:tc>
      </w:tr>
      <w:tr w:rsidR="00840A0C" w14:paraId="4A046FB0" w14:textId="77777777" w:rsidTr="000B21B5">
        <w:tc>
          <w:tcPr>
            <w:tcW w:w="4074" w:type="pct"/>
            <w:hideMark/>
          </w:tcPr>
          <w:p w14:paraId="7BCFD3A0" w14:textId="7F8D56B1" w:rsidR="00840A0C" w:rsidRDefault="00840A0C" w:rsidP="00840A0C">
            <w:pPr>
              <w:pStyle w:val="Table"/>
              <w:spacing w:before="100" w:after="100"/>
              <w:rPr>
                <w:sz w:val="18"/>
                <w:szCs w:val="18"/>
              </w:rPr>
            </w:pPr>
            <w:r>
              <w:rPr>
                <w:sz w:val="18"/>
                <w:szCs w:val="18"/>
              </w:rPr>
              <w:t>If the trust is subject to the TOFA rules in the 2023 income year, has it prepared elections for this year, including elections to apply the elective tax-timing methods to its financial arrangements?</w:t>
            </w:r>
          </w:p>
        </w:tc>
        <w:tc>
          <w:tcPr>
            <w:tcW w:w="335" w:type="pct"/>
          </w:tcPr>
          <w:p w14:paraId="6EF6AE83" w14:textId="77777777" w:rsidR="00840A0C" w:rsidRDefault="00840A0C" w:rsidP="00840A0C">
            <w:pPr>
              <w:pStyle w:val="Table"/>
              <w:spacing w:before="100" w:after="100"/>
              <w:rPr>
                <w:sz w:val="18"/>
                <w:szCs w:val="18"/>
              </w:rPr>
            </w:pPr>
          </w:p>
        </w:tc>
        <w:tc>
          <w:tcPr>
            <w:tcW w:w="271" w:type="pct"/>
          </w:tcPr>
          <w:p w14:paraId="0891CE81" w14:textId="77777777" w:rsidR="00840A0C" w:rsidRDefault="00840A0C" w:rsidP="00840A0C">
            <w:pPr>
              <w:pStyle w:val="Table"/>
              <w:spacing w:before="100" w:after="100"/>
              <w:rPr>
                <w:sz w:val="18"/>
                <w:szCs w:val="18"/>
              </w:rPr>
            </w:pPr>
          </w:p>
        </w:tc>
        <w:tc>
          <w:tcPr>
            <w:tcW w:w="320" w:type="pct"/>
          </w:tcPr>
          <w:p w14:paraId="5CABE887" w14:textId="77777777" w:rsidR="00840A0C" w:rsidRDefault="00840A0C" w:rsidP="00840A0C">
            <w:pPr>
              <w:pStyle w:val="Table"/>
              <w:spacing w:before="100" w:after="100"/>
              <w:rPr>
                <w:sz w:val="18"/>
                <w:szCs w:val="18"/>
              </w:rPr>
            </w:pPr>
          </w:p>
        </w:tc>
      </w:tr>
      <w:tr w:rsidR="00840A0C" w14:paraId="017C26E1" w14:textId="77777777" w:rsidTr="000B21B5">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273D9B50" w14:textId="12A791EA" w:rsidR="00840A0C" w:rsidRPr="000B21B5" w:rsidRDefault="00840A0C" w:rsidP="00840A0C">
            <w:pPr>
              <w:pStyle w:val="Tableheading"/>
              <w:spacing w:before="100" w:after="100"/>
              <w:rPr>
                <w:bCs/>
                <w:color w:val="FFFFFF" w:themeColor="background1"/>
                <w:sz w:val="18"/>
                <w:szCs w:val="18"/>
              </w:rPr>
            </w:pPr>
            <w:r w:rsidRPr="000B21B5">
              <w:rPr>
                <w:rFonts w:cs="Times New Roman"/>
                <w:bCs/>
                <w:color w:val="FFFFFF" w:themeColor="background1"/>
                <w:sz w:val="18"/>
                <w:szCs w:val="18"/>
              </w:rPr>
              <w:t xml:space="preserve">GENERAL VALUE SHIFTING REGIME </w:t>
            </w:r>
          </w:p>
        </w:tc>
      </w:tr>
      <w:tr w:rsidR="00840A0C" w14:paraId="2CD3D1D5" w14:textId="77777777" w:rsidTr="000B21B5">
        <w:tc>
          <w:tcPr>
            <w:tcW w:w="5000" w:type="pct"/>
            <w:gridSpan w:val="4"/>
          </w:tcPr>
          <w:p w14:paraId="49D9B325" w14:textId="77777777" w:rsidR="00840A0C" w:rsidRPr="000B21B5" w:rsidRDefault="00840A0C" w:rsidP="00840A0C">
            <w:pPr>
              <w:pStyle w:val="Tableheading"/>
              <w:spacing w:before="100" w:after="100"/>
              <w:rPr>
                <w:rFonts w:cs="Times New Roman"/>
                <w:b w:val="0"/>
                <w:color w:val="090D46" w:themeColor="text1"/>
                <w:sz w:val="18"/>
                <w:szCs w:val="18"/>
              </w:rPr>
            </w:pPr>
            <w:r w:rsidRPr="000B21B5">
              <w:rPr>
                <w:rFonts w:cs="Times New Roman"/>
                <w:b w:val="0"/>
                <w:color w:val="090D46" w:themeColor="text1"/>
                <w:sz w:val="18"/>
                <w:szCs w:val="18"/>
              </w:rPr>
              <w:t>Have the value shifting rules been considered in respect of:</w:t>
            </w:r>
          </w:p>
          <w:p w14:paraId="3FBA6829" w14:textId="75A407A2" w:rsidR="00840A0C" w:rsidRPr="000B21B5" w:rsidRDefault="00840A0C" w:rsidP="00840A0C">
            <w:pPr>
              <w:pStyle w:val="ListBullet"/>
            </w:pPr>
            <w:r w:rsidRPr="000B21B5">
              <w:t>any acquisitions or disposals of equity or debt interests in the trust (or the trust’s subsidiaries, if appropriate)</w:t>
            </w:r>
          </w:p>
          <w:p w14:paraId="6D3ABEF0" w14:textId="58A82927" w:rsidR="00840A0C" w:rsidRPr="000B21B5" w:rsidRDefault="00840A0C" w:rsidP="00840A0C">
            <w:pPr>
              <w:pStyle w:val="ListBullet"/>
            </w:pPr>
            <w:r w:rsidRPr="000B21B5">
              <w:t>creation of rights in non-depreciating assets</w:t>
            </w:r>
          </w:p>
          <w:p w14:paraId="63C58D8A" w14:textId="17D7E47F" w:rsidR="00840A0C" w:rsidRDefault="00840A0C" w:rsidP="00840A0C">
            <w:pPr>
              <w:pStyle w:val="ListBullet"/>
              <w:rPr>
                <w:b/>
              </w:rPr>
            </w:pPr>
            <w:r w:rsidRPr="000B21B5">
              <w:t>non-arm’s length dealings with related parties?</w:t>
            </w:r>
          </w:p>
        </w:tc>
      </w:tr>
      <w:tr w:rsidR="00840A0C" w14:paraId="12AE14F7" w14:textId="77777777" w:rsidTr="000B21B5">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4CB33967" w14:textId="77777777" w:rsidR="00840A0C" w:rsidRPr="000B21B5" w:rsidRDefault="00840A0C" w:rsidP="00840A0C">
            <w:pPr>
              <w:pStyle w:val="Tableheading"/>
              <w:spacing w:before="100" w:after="100"/>
              <w:rPr>
                <w:bCs/>
                <w:color w:val="FFFFFF" w:themeColor="background1"/>
                <w:sz w:val="18"/>
                <w:szCs w:val="18"/>
              </w:rPr>
            </w:pPr>
            <w:r w:rsidRPr="000B21B5">
              <w:rPr>
                <w:rFonts w:cs="Times New Roman"/>
                <w:bCs/>
                <w:color w:val="FFFFFF" w:themeColor="background1"/>
                <w:sz w:val="18"/>
                <w:szCs w:val="18"/>
              </w:rPr>
              <w:t xml:space="preserve">OTHER TAX ISSUES </w:t>
            </w:r>
          </w:p>
        </w:tc>
      </w:tr>
      <w:tr w:rsidR="00840A0C" w14:paraId="3310E0A1" w14:textId="77777777" w:rsidTr="000B21B5">
        <w:tc>
          <w:tcPr>
            <w:tcW w:w="4074" w:type="pct"/>
            <w:hideMark/>
          </w:tcPr>
          <w:p w14:paraId="3B66F477" w14:textId="77777777" w:rsidR="00840A0C" w:rsidRPr="00056B72" w:rsidRDefault="00840A0C" w:rsidP="00840A0C">
            <w:pPr>
              <w:pStyle w:val="Table"/>
              <w:keepNext/>
              <w:spacing w:before="100" w:after="100"/>
              <w:rPr>
                <w:color w:val="090D46" w:themeColor="text1"/>
                <w:sz w:val="18"/>
                <w:szCs w:val="18"/>
              </w:rPr>
            </w:pPr>
            <w:r w:rsidRPr="00056B72">
              <w:rPr>
                <w:color w:val="090D46" w:themeColor="text1"/>
                <w:sz w:val="18"/>
                <w:szCs w:val="18"/>
              </w:rPr>
              <w:t>Do the amounts disclosed in the Labels on the Business Activity Statements of the trust reconcile to the relevant accounts of the trust?</w:t>
            </w:r>
          </w:p>
        </w:tc>
        <w:tc>
          <w:tcPr>
            <w:tcW w:w="335" w:type="pct"/>
          </w:tcPr>
          <w:p w14:paraId="77BD3D90" w14:textId="77777777" w:rsidR="00840A0C" w:rsidRDefault="00840A0C" w:rsidP="00840A0C">
            <w:pPr>
              <w:pStyle w:val="Table"/>
              <w:keepNext/>
              <w:spacing w:before="100" w:after="100"/>
              <w:rPr>
                <w:sz w:val="18"/>
                <w:szCs w:val="18"/>
              </w:rPr>
            </w:pPr>
          </w:p>
        </w:tc>
        <w:tc>
          <w:tcPr>
            <w:tcW w:w="271" w:type="pct"/>
          </w:tcPr>
          <w:p w14:paraId="31EFB054" w14:textId="77777777" w:rsidR="00840A0C" w:rsidRDefault="00840A0C" w:rsidP="00840A0C">
            <w:pPr>
              <w:pStyle w:val="Table"/>
              <w:keepNext/>
              <w:spacing w:before="100" w:after="100"/>
              <w:rPr>
                <w:sz w:val="18"/>
                <w:szCs w:val="18"/>
              </w:rPr>
            </w:pPr>
          </w:p>
        </w:tc>
        <w:tc>
          <w:tcPr>
            <w:tcW w:w="320" w:type="pct"/>
          </w:tcPr>
          <w:p w14:paraId="534C5976" w14:textId="77777777" w:rsidR="00840A0C" w:rsidRDefault="00840A0C" w:rsidP="00840A0C">
            <w:pPr>
              <w:pStyle w:val="Table"/>
              <w:keepNext/>
              <w:spacing w:before="100" w:after="100"/>
              <w:rPr>
                <w:sz w:val="18"/>
                <w:szCs w:val="18"/>
              </w:rPr>
            </w:pPr>
          </w:p>
        </w:tc>
      </w:tr>
      <w:tr w:rsidR="00840A0C" w14:paraId="346452EC" w14:textId="77777777" w:rsidTr="000B21B5">
        <w:trPr>
          <w:cnfStyle w:val="000000100000" w:firstRow="0" w:lastRow="0" w:firstColumn="0" w:lastColumn="0" w:oddVBand="0" w:evenVBand="0" w:oddHBand="1" w:evenHBand="0" w:firstRowFirstColumn="0" w:firstRowLastColumn="0" w:lastRowFirstColumn="0" w:lastRowLastColumn="0"/>
        </w:trPr>
        <w:tc>
          <w:tcPr>
            <w:tcW w:w="4074" w:type="pct"/>
            <w:hideMark/>
          </w:tcPr>
          <w:p w14:paraId="29865562" w14:textId="77777777" w:rsidR="00840A0C" w:rsidRPr="00056B72" w:rsidRDefault="00840A0C" w:rsidP="00840A0C">
            <w:pPr>
              <w:pStyle w:val="Table"/>
              <w:keepNext/>
              <w:spacing w:before="100" w:after="100"/>
              <w:rPr>
                <w:color w:val="090D46" w:themeColor="text1"/>
                <w:sz w:val="18"/>
                <w:szCs w:val="18"/>
              </w:rPr>
            </w:pPr>
            <w:r w:rsidRPr="00056B72">
              <w:rPr>
                <w:color w:val="090D46" w:themeColor="text1"/>
                <w:sz w:val="18"/>
                <w:szCs w:val="18"/>
              </w:rPr>
              <w:t>Has the carry forward action sheet (attached to this checklist) been completed?</w:t>
            </w:r>
          </w:p>
        </w:tc>
        <w:tc>
          <w:tcPr>
            <w:tcW w:w="335" w:type="pct"/>
          </w:tcPr>
          <w:p w14:paraId="218662BA" w14:textId="77777777" w:rsidR="00840A0C" w:rsidRDefault="00840A0C" w:rsidP="00840A0C">
            <w:pPr>
              <w:pStyle w:val="Table"/>
              <w:keepNext/>
              <w:spacing w:before="100" w:after="100"/>
              <w:rPr>
                <w:sz w:val="18"/>
                <w:szCs w:val="18"/>
              </w:rPr>
            </w:pPr>
          </w:p>
        </w:tc>
        <w:tc>
          <w:tcPr>
            <w:tcW w:w="271" w:type="pct"/>
          </w:tcPr>
          <w:p w14:paraId="3B86300B" w14:textId="77777777" w:rsidR="00840A0C" w:rsidRDefault="00840A0C" w:rsidP="00840A0C">
            <w:pPr>
              <w:pStyle w:val="Table"/>
              <w:keepNext/>
              <w:spacing w:before="100" w:after="100"/>
              <w:rPr>
                <w:sz w:val="18"/>
                <w:szCs w:val="18"/>
              </w:rPr>
            </w:pPr>
          </w:p>
        </w:tc>
        <w:tc>
          <w:tcPr>
            <w:tcW w:w="320" w:type="pct"/>
          </w:tcPr>
          <w:p w14:paraId="25EDF1DC" w14:textId="77777777" w:rsidR="00840A0C" w:rsidRDefault="00840A0C" w:rsidP="00840A0C">
            <w:pPr>
              <w:pStyle w:val="Table"/>
              <w:keepNext/>
              <w:spacing w:before="100" w:after="100"/>
              <w:rPr>
                <w:sz w:val="18"/>
                <w:szCs w:val="18"/>
              </w:rPr>
            </w:pPr>
          </w:p>
        </w:tc>
      </w:tr>
      <w:tr w:rsidR="00840A0C" w14:paraId="7F2200C0" w14:textId="77777777" w:rsidTr="000B21B5">
        <w:trPr>
          <w:cnfStyle w:val="010000000000" w:firstRow="0" w:lastRow="1" w:firstColumn="0" w:lastColumn="0" w:oddVBand="0" w:evenVBand="0" w:oddHBand="0" w:evenHBand="0" w:firstRowFirstColumn="0" w:firstRowLastColumn="0" w:lastRowFirstColumn="0" w:lastRowLastColumn="0"/>
        </w:trPr>
        <w:tc>
          <w:tcPr>
            <w:tcW w:w="5000" w:type="pct"/>
            <w:gridSpan w:val="4"/>
          </w:tcPr>
          <w:p w14:paraId="07CE04F3" w14:textId="77777777" w:rsidR="00840A0C" w:rsidRPr="00056B72" w:rsidRDefault="00840A0C" w:rsidP="00840A0C">
            <w:pPr>
              <w:pStyle w:val="Table"/>
              <w:spacing w:before="100" w:after="100"/>
              <w:rPr>
                <w:b/>
                <w:bCs/>
                <w:color w:val="090D46" w:themeColor="text1"/>
                <w:sz w:val="18"/>
                <w:szCs w:val="18"/>
              </w:rPr>
            </w:pPr>
            <w:r w:rsidRPr="00056B72">
              <w:rPr>
                <w:b/>
                <w:bCs/>
                <w:color w:val="090D46" w:themeColor="text1"/>
                <w:sz w:val="18"/>
                <w:szCs w:val="18"/>
              </w:rPr>
              <w:t>Comments:</w:t>
            </w:r>
          </w:p>
          <w:p w14:paraId="05A09042" w14:textId="77777777" w:rsidR="00840A0C" w:rsidRPr="00056B72" w:rsidRDefault="00840A0C" w:rsidP="00840A0C">
            <w:pPr>
              <w:pStyle w:val="Table"/>
              <w:spacing w:before="100" w:after="100"/>
              <w:rPr>
                <w:color w:val="090D46" w:themeColor="text1"/>
                <w:sz w:val="18"/>
                <w:szCs w:val="18"/>
              </w:rPr>
            </w:pPr>
          </w:p>
          <w:p w14:paraId="7BCAED5E" w14:textId="77777777" w:rsidR="00840A0C" w:rsidRPr="00056B72" w:rsidRDefault="00840A0C" w:rsidP="00840A0C">
            <w:pPr>
              <w:pStyle w:val="Table"/>
              <w:spacing w:before="100" w:after="100"/>
              <w:rPr>
                <w:color w:val="090D46" w:themeColor="text1"/>
                <w:sz w:val="18"/>
                <w:szCs w:val="18"/>
              </w:rPr>
            </w:pPr>
          </w:p>
          <w:p w14:paraId="504B9863" w14:textId="77777777" w:rsidR="00840A0C" w:rsidRPr="00056B72" w:rsidRDefault="00840A0C" w:rsidP="00840A0C">
            <w:pPr>
              <w:pStyle w:val="Table"/>
              <w:spacing w:before="100" w:after="100"/>
              <w:rPr>
                <w:color w:val="090D46" w:themeColor="text1"/>
                <w:sz w:val="18"/>
                <w:szCs w:val="18"/>
              </w:rPr>
            </w:pPr>
          </w:p>
        </w:tc>
      </w:tr>
    </w:tbl>
    <w:p w14:paraId="5CB65D0F" w14:textId="1D795032" w:rsidR="000A13D6" w:rsidRPr="000A13D6" w:rsidRDefault="000A13D6">
      <w:pPr>
        <w:rPr>
          <w:rFonts w:ascii="Arial" w:hAnsi="Arial"/>
          <w:sz w:val="24"/>
          <w:szCs w:val="24"/>
        </w:rPr>
      </w:pPr>
    </w:p>
    <w:tbl>
      <w:tblPr>
        <w:tblStyle w:val="RACVTable"/>
        <w:tblW w:w="5100" w:type="pct"/>
        <w:tblLook w:val="01E0" w:firstRow="1" w:lastRow="1" w:firstColumn="1" w:lastColumn="1" w:noHBand="0" w:noVBand="0"/>
      </w:tblPr>
      <w:tblGrid>
        <w:gridCol w:w="1920"/>
        <w:gridCol w:w="5014"/>
        <w:gridCol w:w="1561"/>
        <w:gridCol w:w="1683"/>
      </w:tblGrid>
      <w:tr w:rsidR="003F0524" w:rsidRPr="00056B72" w14:paraId="02A85DB5" w14:textId="77777777" w:rsidTr="00056B72">
        <w:trPr>
          <w:cnfStyle w:val="100000000000" w:firstRow="1" w:lastRow="0" w:firstColumn="0" w:lastColumn="0" w:oddVBand="0" w:evenVBand="0" w:oddHBand="0" w:evenHBand="0" w:firstRowFirstColumn="0" w:firstRowLastColumn="0" w:lastRowFirstColumn="0" w:lastRowLastColumn="0"/>
        </w:trPr>
        <w:tc>
          <w:tcPr>
            <w:tcW w:w="943" w:type="pct"/>
            <w:hideMark/>
          </w:tcPr>
          <w:p w14:paraId="6C0AA908" w14:textId="77777777" w:rsidR="003F0524" w:rsidRPr="00056B72" w:rsidRDefault="003F0524">
            <w:pPr>
              <w:pStyle w:val="Tableheading"/>
              <w:pageBreakBefore/>
              <w:spacing w:before="100" w:after="100"/>
              <w:rPr>
                <w:rFonts w:asciiTheme="minorHAnsi" w:eastAsiaTheme="minorHAnsi" w:hAnsiTheme="minorHAnsi" w:cs="Times New Roman"/>
                <w:b/>
                <w:color w:val="090D46" w:themeColor="text1"/>
                <w:sz w:val="18"/>
                <w:szCs w:val="18"/>
              </w:rPr>
            </w:pPr>
            <w:r w:rsidRPr="00056B72">
              <w:rPr>
                <w:rFonts w:asciiTheme="minorHAnsi" w:eastAsiaTheme="minorHAnsi" w:hAnsiTheme="minorHAnsi" w:cs="Times New Roman"/>
                <w:b/>
                <w:color w:val="090D46" w:themeColor="text1"/>
                <w:sz w:val="18"/>
                <w:szCs w:val="18"/>
              </w:rPr>
              <w:t>ENTITY’S NAME</w:t>
            </w:r>
          </w:p>
        </w:tc>
        <w:tc>
          <w:tcPr>
            <w:tcW w:w="2463" w:type="pct"/>
          </w:tcPr>
          <w:p w14:paraId="70037B99" w14:textId="77777777" w:rsidR="003F0524" w:rsidRPr="00056B72" w:rsidRDefault="003F0524">
            <w:pPr>
              <w:pStyle w:val="Tableheading"/>
              <w:pageBreakBefore/>
              <w:spacing w:before="100" w:after="100"/>
              <w:rPr>
                <w:rFonts w:asciiTheme="minorHAnsi" w:eastAsiaTheme="minorHAnsi" w:hAnsiTheme="minorHAnsi" w:cs="Times New Roman"/>
                <w:b/>
                <w:color w:val="090D46" w:themeColor="text1"/>
                <w:sz w:val="18"/>
                <w:szCs w:val="18"/>
              </w:rPr>
            </w:pPr>
          </w:p>
        </w:tc>
        <w:tc>
          <w:tcPr>
            <w:tcW w:w="767" w:type="pct"/>
            <w:hideMark/>
          </w:tcPr>
          <w:p w14:paraId="50A97D2A" w14:textId="77777777" w:rsidR="003F0524" w:rsidRPr="00056B72" w:rsidRDefault="003F0524">
            <w:pPr>
              <w:pStyle w:val="Tableheading"/>
              <w:pageBreakBefore/>
              <w:spacing w:before="100" w:after="100"/>
              <w:jc w:val="center"/>
              <w:rPr>
                <w:rFonts w:asciiTheme="minorHAnsi" w:eastAsiaTheme="minorHAnsi" w:hAnsiTheme="minorHAnsi" w:cs="Times New Roman"/>
                <w:b/>
                <w:color w:val="090D46" w:themeColor="text1"/>
                <w:sz w:val="18"/>
                <w:szCs w:val="18"/>
              </w:rPr>
            </w:pPr>
            <w:r w:rsidRPr="00056B72">
              <w:rPr>
                <w:rFonts w:asciiTheme="minorHAnsi" w:eastAsiaTheme="minorHAnsi" w:hAnsiTheme="minorHAnsi" w:cs="Times New Roman"/>
                <w:b/>
                <w:color w:val="090D46" w:themeColor="text1"/>
                <w:sz w:val="18"/>
                <w:szCs w:val="18"/>
              </w:rPr>
              <w:t>INITIAL</w:t>
            </w:r>
          </w:p>
        </w:tc>
        <w:tc>
          <w:tcPr>
            <w:tcW w:w="827" w:type="pct"/>
            <w:hideMark/>
          </w:tcPr>
          <w:p w14:paraId="11339358" w14:textId="77777777" w:rsidR="003F0524" w:rsidRPr="00056B72" w:rsidRDefault="003F0524">
            <w:pPr>
              <w:pStyle w:val="Tableheading"/>
              <w:pageBreakBefore/>
              <w:spacing w:before="100" w:after="100"/>
              <w:jc w:val="center"/>
              <w:rPr>
                <w:rFonts w:asciiTheme="minorHAnsi" w:eastAsiaTheme="minorHAnsi" w:hAnsiTheme="minorHAnsi" w:cs="Times New Roman"/>
                <w:b/>
                <w:color w:val="090D46" w:themeColor="text1"/>
                <w:sz w:val="18"/>
                <w:szCs w:val="18"/>
              </w:rPr>
            </w:pPr>
            <w:r w:rsidRPr="00056B72">
              <w:rPr>
                <w:rFonts w:asciiTheme="minorHAnsi" w:eastAsiaTheme="minorHAnsi" w:hAnsiTheme="minorHAnsi" w:cs="Times New Roman"/>
                <w:b/>
                <w:color w:val="090D46" w:themeColor="text1"/>
                <w:sz w:val="18"/>
                <w:szCs w:val="18"/>
              </w:rPr>
              <w:t>DATE</w:t>
            </w:r>
          </w:p>
        </w:tc>
      </w:tr>
      <w:tr w:rsidR="003F0524" w14:paraId="63D7A1E5" w14:textId="77777777" w:rsidTr="00056B72">
        <w:trPr>
          <w:cnfStyle w:val="000000100000" w:firstRow="0" w:lastRow="0" w:firstColumn="0" w:lastColumn="0" w:oddVBand="0" w:evenVBand="0" w:oddHBand="1" w:evenHBand="0" w:firstRowFirstColumn="0" w:firstRowLastColumn="0" w:lastRowFirstColumn="0" w:lastRowLastColumn="0"/>
        </w:trPr>
        <w:tc>
          <w:tcPr>
            <w:tcW w:w="3406" w:type="pct"/>
            <w:gridSpan w:val="2"/>
            <w:hideMark/>
          </w:tcPr>
          <w:p w14:paraId="101F87DA" w14:textId="77777777" w:rsidR="003F0524" w:rsidRPr="00056B72" w:rsidRDefault="003F0524">
            <w:pPr>
              <w:pStyle w:val="Tableheading"/>
              <w:spacing w:before="100" w:after="100"/>
              <w:rPr>
                <w:rFonts w:cs="Times New Roman"/>
                <w:b w:val="0"/>
                <w:color w:val="090D46" w:themeColor="text1"/>
                <w:sz w:val="18"/>
                <w:szCs w:val="18"/>
              </w:rPr>
            </w:pPr>
            <w:r w:rsidRPr="00056B72">
              <w:rPr>
                <w:rFonts w:cs="Times New Roman"/>
                <w:b w:val="0"/>
                <w:color w:val="090D46" w:themeColor="text1"/>
                <w:sz w:val="18"/>
                <w:szCs w:val="18"/>
              </w:rPr>
              <w:t>Preparer</w:t>
            </w:r>
          </w:p>
        </w:tc>
        <w:tc>
          <w:tcPr>
            <w:tcW w:w="767" w:type="pct"/>
          </w:tcPr>
          <w:p w14:paraId="24AB7849" w14:textId="77777777" w:rsidR="003F0524" w:rsidRDefault="003F0524">
            <w:pPr>
              <w:pStyle w:val="Table"/>
              <w:spacing w:before="100" w:after="100"/>
            </w:pPr>
          </w:p>
        </w:tc>
        <w:tc>
          <w:tcPr>
            <w:tcW w:w="827" w:type="pct"/>
          </w:tcPr>
          <w:p w14:paraId="61325AF0" w14:textId="77777777" w:rsidR="003F0524" w:rsidRDefault="003F0524">
            <w:pPr>
              <w:pStyle w:val="Table"/>
              <w:spacing w:before="100" w:after="100"/>
            </w:pPr>
          </w:p>
        </w:tc>
      </w:tr>
      <w:tr w:rsidR="003F0524" w14:paraId="1038B471" w14:textId="77777777" w:rsidTr="00056B72">
        <w:tc>
          <w:tcPr>
            <w:tcW w:w="3406" w:type="pct"/>
            <w:gridSpan w:val="2"/>
            <w:hideMark/>
          </w:tcPr>
          <w:p w14:paraId="626ABFEE" w14:textId="77777777" w:rsidR="003F0524" w:rsidRPr="00056B72" w:rsidRDefault="003F0524">
            <w:pPr>
              <w:pStyle w:val="Tableheading"/>
              <w:spacing w:before="100" w:after="100"/>
              <w:rPr>
                <w:rFonts w:cs="Times New Roman"/>
                <w:b w:val="0"/>
                <w:color w:val="090D46" w:themeColor="text1"/>
                <w:sz w:val="18"/>
                <w:szCs w:val="18"/>
              </w:rPr>
            </w:pPr>
            <w:r w:rsidRPr="00056B72">
              <w:rPr>
                <w:rFonts w:cs="Times New Roman"/>
                <w:b w:val="0"/>
                <w:color w:val="090D46" w:themeColor="text1"/>
                <w:sz w:val="18"/>
                <w:szCs w:val="18"/>
              </w:rPr>
              <w:t>Reviewer</w:t>
            </w:r>
          </w:p>
        </w:tc>
        <w:tc>
          <w:tcPr>
            <w:tcW w:w="767" w:type="pct"/>
          </w:tcPr>
          <w:p w14:paraId="34520353" w14:textId="77777777" w:rsidR="003F0524" w:rsidRDefault="003F0524">
            <w:pPr>
              <w:pStyle w:val="Table"/>
              <w:spacing w:before="100" w:after="100"/>
            </w:pPr>
          </w:p>
        </w:tc>
        <w:tc>
          <w:tcPr>
            <w:tcW w:w="827" w:type="pct"/>
          </w:tcPr>
          <w:p w14:paraId="49565647" w14:textId="77777777" w:rsidR="003F0524" w:rsidRDefault="003F0524">
            <w:pPr>
              <w:pStyle w:val="Table"/>
              <w:spacing w:before="100" w:after="100"/>
            </w:pPr>
          </w:p>
        </w:tc>
      </w:tr>
      <w:tr w:rsidR="00A969EB" w14:paraId="73B68646" w14:textId="77777777" w:rsidTr="00056B72">
        <w:trPr>
          <w:cnfStyle w:val="000000100000" w:firstRow="0" w:lastRow="0" w:firstColumn="0" w:lastColumn="0" w:oddVBand="0" w:evenVBand="0" w:oddHBand="1" w:evenHBand="0" w:firstRowFirstColumn="0" w:firstRowLastColumn="0" w:lastRowFirstColumn="0" w:lastRowLastColumn="0"/>
        </w:trPr>
        <w:tc>
          <w:tcPr>
            <w:tcW w:w="3406" w:type="pct"/>
            <w:gridSpan w:val="2"/>
          </w:tcPr>
          <w:p w14:paraId="1B56EC9E" w14:textId="4570C73F" w:rsidR="00A969EB" w:rsidRPr="00056B72" w:rsidRDefault="00A969EB">
            <w:pPr>
              <w:pStyle w:val="Tableheading"/>
              <w:spacing w:before="100" w:after="100"/>
              <w:rPr>
                <w:rFonts w:cs="Times New Roman"/>
                <w:b w:val="0"/>
                <w:color w:val="090D46" w:themeColor="text1"/>
                <w:sz w:val="18"/>
                <w:szCs w:val="18"/>
              </w:rPr>
            </w:pPr>
            <w:r w:rsidRPr="00056B72">
              <w:rPr>
                <w:rFonts w:cs="Times New Roman"/>
                <w:b w:val="0"/>
                <w:color w:val="090D46" w:themeColor="text1"/>
                <w:sz w:val="18"/>
                <w:szCs w:val="18"/>
              </w:rPr>
              <w:t>Partner</w:t>
            </w:r>
          </w:p>
        </w:tc>
        <w:tc>
          <w:tcPr>
            <w:tcW w:w="767" w:type="pct"/>
          </w:tcPr>
          <w:p w14:paraId="70C01EAB" w14:textId="77777777" w:rsidR="00A969EB" w:rsidRDefault="00A969EB">
            <w:pPr>
              <w:pStyle w:val="Table"/>
              <w:spacing w:before="100" w:after="100"/>
            </w:pPr>
          </w:p>
        </w:tc>
        <w:tc>
          <w:tcPr>
            <w:tcW w:w="827" w:type="pct"/>
          </w:tcPr>
          <w:p w14:paraId="15658BF2" w14:textId="77777777" w:rsidR="00A969EB" w:rsidRDefault="00A969EB">
            <w:pPr>
              <w:pStyle w:val="Table"/>
              <w:spacing w:before="100" w:after="100"/>
            </w:pPr>
          </w:p>
        </w:tc>
      </w:tr>
      <w:tr w:rsidR="003F0524" w14:paraId="2B12E889" w14:textId="77777777" w:rsidTr="00056B72">
        <w:trPr>
          <w:cnfStyle w:val="010000000000" w:firstRow="0" w:lastRow="1" w:firstColumn="0" w:lastColumn="0" w:oddVBand="0" w:evenVBand="0" w:oddHBand="0" w:evenHBand="0" w:firstRowFirstColumn="0" w:firstRowLastColumn="0" w:lastRowFirstColumn="0" w:lastRowLastColumn="0"/>
        </w:trPr>
        <w:tc>
          <w:tcPr>
            <w:tcW w:w="3406" w:type="pct"/>
            <w:gridSpan w:val="2"/>
            <w:hideMark/>
          </w:tcPr>
          <w:p w14:paraId="6A6F13F0" w14:textId="15A01AA2" w:rsidR="003F0524" w:rsidRPr="00056B72" w:rsidRDefault="003F0524">
            <w:pPr>
              <w:pStyle w:val="Tableheading"/>
              <w:spacing w:before="100" w:after="100"/>
              <w:rPr>
                <w:rFonts w:cs="Times New Roman"/>
                <w:b w:val="0"/>
                <w:color w:val="090D46" w:themeColor="text1"/>
                <w:sz w:val="18"/>
                <w:szCs w:val="18"/>
              </w:rPr>
            </w:pPr>
          </w:p>
        </w:tc>
        <w:tc>
          <w:tcPr>
            <w:tcW w:w="767" w:type="pct"/>
          </w:tcPr>
          <w:p w14:paraId="425CC391" w14:textId="77777777" w:rsidR="003F0524" w:rsidRDefault="003F0524">
            <w:pPr>
              <w:pStyle w:val="Table"/>
              <w:spacing w:before="100" w:after="100"/>
            </w:pPr>
          </w:p>
        </w:tc>
        <w:tc>
          <w:tcPr>
            <w:tcW w:w="827" w:type="pct"/>
          </w:tcPr>
          <w:p w14:paraId="7BC7624C" w14:textId="77777777" w:rsidR="003F0524" w:rsidRDefault="003F0524">
            <w:pPr>
              <w:pStyle w:val="Table"/>
              <w:spacing w:before="100" w:after="100"/>
            </w:pPr>
          </w:p>
        </w:tc>
      </w:tr>
    </w:tbl>
    <w:p w14:paraId="0F6F8B0B" w14:textId="77777777" w:rsidR="003F0524" w:rsidRDefault="003F0524" w:rsidP="003F0524">
      <w:pPr>
        <w:pStyle w:val="Body"/>
      </w:pPr>
    </w:p>
    <w:p w14:paraId="4535CC1C" w14:textId="6C43B657" w:rsidR="003F0524" w:rsidRPr="00056B72" w:rsidRDefault="003F0524" w:rsidP="003F0524">
      <w:pPr>
        <w:pStyle w:val="Body"/>
        <w:spacing w:after="360"/>
        <w:ind w:left="-125" w:right="-119"/>
        <w:rPr>
          <w:b/>
          <w:i w:val="0"/>
          <w:color w:val="090D46" w:themeColor="text1"/>
          <w:sz w:val="18"/>
          <w:szCs w:val="18"/>
        </w:rPr>
      </w:pPr>
      <w:r w:rsidRPr="00056B72">
        <w:rPr>
          <w:b/>
          <w:i w:val="0"/>
          <w:color w:val="090D46" w:themeColor="text1"/>
          <w:sz w:val="18"/>
          <w:szCs w:val="18"/>
        </w:rPr>
        <w:t>Year ended 30 June 202</w:t>
      </w:r>
      <w:r w:rsidR="00CB1754">
        <w:rPr>
          <w:b/>
          <w:i w:val="0"/>
          <w:color w:val="090D46" w:themeColor="text1"/>
          <w:sz w:val="18"/>
          <w:szCs w:val="18"/>
        </w:rPr>
        <w:t>3</w:t>
      </w:r>
    </w:p>
    <w:tbl>
      <w:tblPr>
        <w:tblStyle w:val="RACVTable"/>
        <w:tblW w:w="10305" w:type="dxa"/>
        <w:tblLayout w:type="fixed"/>
        <w:tblLook w:val="01E0" w:firstRow="1" w:lastRow="1" w:firstColumn="1" w:lastColumn="1" w:noHBand="0" w:noVBand="0"/>
      </w:tblPr>
      <w:tblGrid>
        <w:gridCol w:w="958"/>
        <w:gridCol w:w="4113"/>
        <w:gridCol w:w="1447"/>
        <w:gridCol w:w="2240"/>
        <w:gridCol w:w="1547"/>
      </w:tblGrid>
      <w:tr w:rsidR="003F0524" w14:paraId="39D198EB" w14:textId="77777777" w:rsidTr="00056B72">
        <w:trPr>
          <w:cnfStyle w:val="100000000000" w:firstRow="1" w:lastRow="0" w:firstColumn="0" w:lastColumn="0" w:oddVBand="0" w:evenVBand="0" w:oddHBand="0" w:evenHBand="0" w:firstRowFirstColumn="0" w:firstRowLastColumn="0" w:lastRowFirstColumn="0" w:lastRowLastColumn="0"/>
        </w:trPr>
        <w:tc>
          <w:tcPr>
            <w:tcW w:w="10301" w:type="dxa"/>
            <w:gridSpan w:val="5"/>
            <w:hideMark/>
          </w:tcPr>
          <w:p w14:paraId="3BE420F8" w14:textId="77777777" w:rsidR="003F0524" w:rsidRDefault="003F0524">
            <w:pPr>
              <w:pStyle w:val="Tableheading"/>
              <w:spacing w:before="100" w:after="100"/>
              <w:rPr>
                <w:sz w:val="20"/>
                <w:szCs w:val="20"/>
              </w:rPr>
            </w:pPr>
            <w:r w:rsidRPr="00056B72">
              <w:rPr>
                <w:rFonts w:asciiTheme="minorHAnsi" w:eastAsiaTheme="minorHAnsi" w:hAnsiTheme="minorHAnsi" w:cs="Times New Roman"/>
                <w:b/>
                <w:color w:val="090D46" w:themeColor="text1"/>
                <w:sz w:val="18"/>
                <w:szCs w:val="18"/>
              </w:rPr>
              <w:t>CARRY FORWARD ACTION SHEET</w:t>
            </w:r>
          </w:p>
        </w:tc>
      </w:tr>
      <w:tr w:rsidR="003F0524" w14:paraId="18BEE3E2" w14:textId="77777777" w:rsidTr="00056B72">
        <w:trPr>
          <w:cnfStyle w:val="000000100000" w:firstRow="0" w:lastRow="0" w:firstColumn="0" w:lastColumn="0" w:oddVBand="0" w:evenVBand="0" w:oddHBand="1" w:evenHBand="0" w:firstRowFirstColumn="0" w:firstRowLastColumn="0" w:lastRowFirstColumn="0" w:lastRowLastColumn="0"/>
        </w:trPr>
        <w:tc>
          <w:tcPr>
            <w:tcW w:w="959" w:type="dxa"/>
            <w:hideMark/>
          </w:tcPr>
          <w:p w14:paraId="38E44C82" w14:textId="77777777" w:rsidR="003F0524" w:rsidRDefault="003F0524">
            <w:pPr>
              <w:pStyle w:val="Tableheading"/>
              <w:spacing w:before="100" w:after="100"/>
              <w:rPr>
                <w:sz w:val="18"/>
                <w:szCs w:val="18"/>
              </w:rPr>
            </w:pPr>
            <w:r>
              <w:rPr>
                <w:sz w:val="18"/>
                <w:szCs w:val="18"/>
              </w:rPr>
              <w:t>DATE</w:t>
            </w:r>
          </w:p>
        </w:tc>
        <w:tc>
          <w:tcPr>
            <w:tcW w:w="4111" w:type="dxa"/>
            <w:hideMark/>
          </w:tcPr>
          <w:p w14:paraId="2957E89A" w14:textId="77777777" w:rsidR="003F0524" w:rsidRDefault="003F0524">
            <w:pPr>
              <w:pStyle w:val="Tableheading"/>
              <w:spacing w:before="100" w:after="100"/>
              <w:rPr>
                <w:sz w:val="18"/>
                <w:szCs w:val="18"/>
              </w:rPr>
            </w:pPr>
            <w:r>
              <w:rPr>
                <w:sz w:val="18"/>
                <w:szCs w:val="18"/>
              </w:rPr>
              <w:t>ITEM CARRIED FORWARD</w:t>
            </w:r>
          </w:p>
        </w:tc>
        <w:tc>
          <w:tcPr>
            <w:tcW w:w="1446" w:type="dxa"/>
            <w:hideMark/>
          </w:tcPr>
          <w:p w14:paraId="2C831977" w14:textId="77777777" w:rsidR="003F0524" w:rsidRDefault="003F0524">
            <w:pPr>
              <w:pStyle w:val="Tableheading"/>
              <w:spacing w:before="100" w:after="100"/>
              <w:rPr>
                <w:sz w:val="18"/>
                <w:szCs w:val="18"/>
              </w:rPr>
            </w:pPr>
            <w:r>
              <w:rPr>
                <w:sz w:val="18"/>
                <w:szCs w:val="18"/>
              </w:rPr>
              <w:t>$</w:t>
            </w:r>
          </w:p>
        </w:tc>
        <w:tc>
          <w:tcPr>
            <w:tcW w:w="2239" w:type="dxa"/>
            <w:hideMark/>
          </w:tcPr>
          <w:p w14:paraId="3C74A294" w14:textId="77777777" w:rsidR="003F0524" w:rsidRDefault="003F0524">
            <w:pPr>
              <w:pStyle w:val="Tableheading"/>
              <w:spacing w:before="100" w:after="100"/>
              <w:rPr>
                <w:sz w:val="18"/>
                <w:szCs w:val="18"/>
              </w:rPr>
            </w:pPr>
            <w:r>
              <w:rPr>
                <w:sz w:val="18"/>
                <w:szCs w:val="18"/>
              </w:rPr>
              <w:t>WORKING PAPER REF</w:t>
            </w:r>
          </w:p>
        </w:tc>
        <w:tc>
          <w:tcPr>
            <w:tcW w:w="1546" w:type="dxa"/>
            <w:hideMark/>
          </w:tcPr>
          <w:p w14:paraId="618DD205" w14:textId="77777777" w:rsidR="003F0524" w:rsidRDefault="003F0524">
            <w:pPr>
              <w:pStyle w:val="Tableheading"/>
              <w:spacing w:before="100" w:after="100"/>
              <w:rPr>
                <w:sz w:val="18"/>
                <w:szCs w:val="18"/>
              </w:rPr>
            </w:pPr>
            <w:r>
              <w:rPr>
                <w:sz w:val="18"/>
                <w:szCs w:val="18"/>
              </w:rPr>
              <w:t>CHECKED BY</w:t>
            </w:r>
          </w:p>
        </w:tc>
      </w:tr>
      <w:tr w:rsidR="003F0524" w14:paraId="46F60F94" w14:textId="77777777" w:rsidTr="00056B72">
        <w:tc>
          <w:tcPr>
            <w:tcW w:w="959" w:type="dxa"/>
          </w:tcPr>
          <w:p w14:paraId="6E391550" w14:textId="77777777" w:rsidR="003F0524" w:rsidRDefault="003F0524">
            <w:pPr>
              <w:pStyle w:val="Table"/>
              <w:spacing w:before="100" w:after="100"/>
              <w:rPr>
                <w:sz w:val="18"/>
                <w:szCs w:val="18"/>
              </w:rPr>
            </w:pPr>
          </w:p>
        </w:tc>
        <w:tc>
          <w:tcPr>
            <w:tcW w:w="4111" w:type="dxa"/>
            <w:hideMark/>
          </w:tcPr>
          <w:p w14:paraId="1EF39174" w14:textId="77777777" w:rsidR="003F0524" w:rsidRDefault="003F0524">
            <w:pPr>
              <w:pStyle w:val="Table"/>
              <w:spacing w:before="100" w:after="100"/>
              <w:rPr>
                <w:sz w:val="18"/>
                <w:szCs w:val="18"/>
              </w:rPr>
            </w:pPr>
            <w:r>
              <w:rPr>
                <w:sz w:val="18"/>
                <w:szCs w:val="18"/>
              </w:rPr>
              <w:t>Net revenue losses carried forward</w:t>
            </w:r>
          </w:p>
        </w:tc>
        <w:tc>
          <w:tcPr>
            <w:tcW w:w="1446" w:type="dxa"/>
          </w:tcPr>
          <w:p w14:paraId="011FDE7E" w14:textId="77777777" w:rsidR="003F0524" w:rsidRDefault="003F0524">
            <w:pPr>
              <w:pStyle w:val="Table"/>
              <w:spacing w:before="100" w:after="100"/>
              <w:jc w:val="center"/>
              <w:rPr>
                <w:sz w:val="18"/>
                <w:szCs w:val="18"/>
              </w:rPr>
            </w:pPr>
          </w:p>
        </w:tc>
        <w:tc>
          <w:tcPr>
            <w:tcW w:w="2239" w:type="dxa"/>
          </w:tcPr>
          <w:p w14:paraId="3EA748F6" w14:textId="77777777" w:rsidR="003F0524" w:rsidRDefault="003F0524">
            <w:pPr>
              <w:pStyle w:val="Table"/>
              <w:spacing w:before="100" w:after="100"/>
              <w:rPr>
                <w:sz w:val="18"/>
                <w:szCs w:val="18"/>
              </w:rPr>
            </w:pPr>
          </w:p>
        </w:tc>
        <w:tc>
          <w:tcPr>
            <w:tcW w:w="1546" w:type="dxa"/>
          </w:tcPr>
          <w:p w14:paraId="32A6E042" w14:textId="77777777" w:rsidR="003F0524" w:rsidRDefault="003F0524">
            <w:pPr>
              <w:pStyle w:val="Table"/>
              <w:spacing w:before="100" w:after="100"/>
              <w:rPr>
                <w:sz w:val="18"/>
                <w:szCs w:val="18"/>
              </w:rPr>
            </w:pPr>
          </w:p>
        </w:tc>
      </w:tr>
      <w:tr w:rsidR="003F0524" w14:paraId="4247042E" w14:textId="77777777" w:rsidTr="00056B72">
        <w:trPr>
          <w:cnfStyle w:val="000000100000" w:firstRow="0" w:lastRow="0" w:firstColumn="0" w:lastColumn="0" w:oddVBand="0" w:evenVBand="0" w:oddHBand="1" w:evenHBand="0" w:firstRowFirstColumn="0" w:firstRowLastColumn="0" w:lastRowFirstColumn="0" w:lastRowLastColumn="0"/>
        </w:trPr>
        <w:tc>
          <w:tcPr>
            <w:tcW w:w="959" w:type="dxa"/>
          </w:tcPr>
          <w:p w14:paraId="68C0852B" w14:textId="77777777" w:rsidR="003F0524" w:rsidRDefault="003F0524">
            <w:pPr>
              <w:pStyle w:val="Table"/>
              <w:spacing w:before="100" w:after="100"/>
              <w:rPr>
                <w:sz w:val="18"/>
                <w:szCs w:val="18"/>
              </w:rPr>
            </w:pPr>
          </w:p>
        </w:tc>
        <w:tc>
          <w:tcPr>
            <w:tcW w:w="4111" w:type="dxa"/>
            <w:hideMark/>
          </w:tcPr>
          <w:p w14:paraId="3CC1ABBF" w14:textId="77777777" w:rsidR="003F0524" w:rsidRDefault="003F0524">
            <w:pPr>
              <w:pStyle w:val="Table"/>
              <w:spacing w:before="100" w:after="100"/>
              <w:rPr>
                <w:sz w:val="18"/>
                <w:szCs w:val="18"/>
              </w:rPr>
            </w:pPr>
            <w:r>
              <w:rPr>
                <w:sz w:val="18"/>
                <w:szCs w:val="18"/>
              </w:rPr>
              <w:t>Net capital losses carried forward</w:t>
            </w:r>
          </w:p>
        </w:tc>
        <w:tc>
          <w:tcPr>
            <w:tcW w:w="1446" w:type="dxa"/>
          </w:tcPr>
          <w:p w14:paraId="6CE69227" w14:textId="77777777" w:rsidR="003F0524" w:rsidRDefault="003F0524">
            <w:pPr>
              <w:pStyle w:val="Table"/>
              <w:spacing w:before="100" w:after="100"/>
              <w:jc w:val="center"/>
              <w:rPr>
                <w:sz w:val="18"/>
                <w:szCs w:val="18"/>
              </w:rPr>
            </w:pPr>
          </w:p>
        </w:tc>
        <w:tc>
          <w:tcPr>
            <w:tcW w:w="2239" w:type="dxa"/>
          </w:tcPr>
          <w:p w14:paraId="6481E537" w14:textId="77777777" w:rsidR="003F0524" w:rsidRDefault="003F0524">
            <w:pPr>
              <w:pStyle w:val="Table"/>
              <w:spacing w:before="100" w:after="100"/>
              <w:rPr>
                <w:sz w:val="18"/>
                <w:szCs w:val="18"/>
              </w:rPr>
            </w:pPr>
          </w:p>
        </w:tc>
        <w:tc>
          <w:tcPr>
            <w:tcW w:w="1546" w:type="dxa"/>
          </w:tcPr>
          <w:p w14:paraId="66436358" w14:textId="77777777" w:rsidR="003F0524" w:rsidRDefault="003F0524">
            <w:pPr>
              <w:pStyle w:val="Table"/>
              <w:spacing w:before="100" w:after="100"/>
              <w:rPr>
                <w:sz w:val="18"/>
                <w:szCs w:val="18"/>
              </w:rPr>
            </w:pPr>
          </w:p>
        </w:tc>
      </w:tr>
      <w:tr w:rsidR="003F0524" w14:paraId="579B1369" w14:textId="77777777" w:rsidTr="00056B72">
        <w:tc>
          <w:tcPr>
            <w:tcW w:w="959" w:type="dxa"/>
          </w:tcPr>
          <w:p w14:paraId="3978310D" w14:textId="77777777" w:rsidR="003F0524" w:rsidRDefault="003F0524">
            <w:pPr>
              <w:pStyle w:val="Table"/>
              <w:spacing w:before="100" w:after="100"/>
              <w:rPr>
                <w:sz w:val="18"/>
                <w:szCs w:val="18"/>
              </w:rPr>
            </w:pPr>
          </w:p>
        </w:tc>
        <w:tc>
          <w:tcPr>
            <w:tcW w:w="4111" w:type="dxa"/>
            <w:hideMark/>
          </w:tcPr>
          <w:p w14:paraId="52FE9F7B" w14:textId="77777777" w:rsidR="003F0524" w:rsidRDefault="003F0524">
            <w:pPr>
              <w:pStyle w:val="Table"/>
              <w:spacing w:before="100" w:after="100"/>
              <w:rPr>
                <w:sz w:val="18"/>
                <w:szCs w:val="18"/>
              </w:rPr>
            </w:pPr>
            <w:r>
              <w:rPr>
                <w:sz w:val="18"/>
                <w:szCs w:val="18"/>
              </w:rPr>
              <w:t>CGT small business rollover amount</w:t>
            </w:r>
          </w:p>
        </w:tc>
        <w:tc>
          <w:tcPr>
            <w:tcW w:w="1446" w:type="dxa"/>
          </w:tcPr>
          <w:p w14:paraId="0D3910C5" w14:textId="77777777" w:rsidR="003F0524" w:rsidRDefault="003F0524">
            <w:pPr>
              <w:pStyle w:val="Table"/>
              <w:spacing w:before="100" w:after="100"/>
              <w:jc w:val="center"/>
              <w:rPr>
                <w:sz w:val="18"/>
                <w:szCs w:val="18"/>
              </w:rPr>
            </w:pPr>
          </w:p>
        </w:tc>
        <w:tc>
          <w:tcPr>
            <w:tcW w:w="2239" w:type="dxa"/>
          </w:tcPr>
          <w:p w14:paraId="61451C4C" w14:textId="77777777" w:rsidR="003F0524" w:rsidRDefault="003F0524">
            <w:pPr>
              <w:pStyle w:val="Table"/>
              <w:spacing w:before="100" w:after="100"/>
              <w:rPr>
                <w:sz w:val="18"/>
                <w:szCs w:val="18"/>
              </w:rPr>
            </w:pPr>
          </w:p>
        </w:tc>
        <w:tc>
          <w:tcPr>
            <w:tcW w:w="1546" w:type="dxa"/>
          </w:tcPr>
          <w:p w14:paraId="335B7B6F" w14:textId="77777777" w:rsidR="003F0524" w:rsidRDefault="003F0524">
            <w:pPr>
              <w:pStyle w:val="Table"/>
              <w:spacing w:before="100" w:after="100"/>
              <w:rPr>
                <w:sz w:val="18"/>
                <w:szCs w:val="18"/>
              </w:rPr>
            </w:pPr>
          </w:p>
        </w:tc>
      </w:tr>
      <w:tr w:rsidR="003F0524" w14:paraId="492C6E62" w14:textId="77777777" w:rsidTr="00056B72">
        <w:trPr>
          <w:cnfStyle w:val="000000100000" w:firstRow="0" w:lastRow="0" w:firstColumn="0" w:lastColumn="0" w:oddVBand="0" w:evenVBand="0" w:oddHBand="1" w:evenHBand="0" w:firstRowFirstColumn="0" w:firstRowLastColumn="0" w:lastRowFirstColumn="0" w:lastRowLastColumn="0"/>
        </w:trPr>
        <w:tc>
          <w:tcPr>
            <w:tcW w:w="959" w:type="dxa"/>
          </w:tcPr>
          <w:p w14:paraId="734484EC" w14:textId="77777777" w:rsidR="003F0524" w:rsidRDefault="003F0524">
            <w:pPr>
              <w:pStyle w:val="Table"/>
              <w:spacing w:before="100" w:after="100"/>
              <w:rPr>
                <w:sz w:val="18"/>
                <w:szCs w:val="18"/>
              </w:rPr>
            </w:pPr>
          </w:p>
        </w:tc>
        <w:tc>
          <w:tcPr>
            <w:tcW w:w="4111" w:type="dxa"/>
            <w:hideMark/>
          </w:tcPr>
          <w:p w14:paraId="26AC5383" w14:textId="77777777" w:rsidR="003F0524" w:rsidRDefault="003F0524">
            <w:pPr>
              <w:pStyle w:val="Table"/>
              <w:spacing w:before="100" w:after="100"/>
              <w:rPr>
                <w:sz w:val="18"/>
                <w:szCs w:val="18"/>
              </w:rPr>
            </w:pPr>
            <w:r>
              <w:rPr>
                <w:sz w:val="18"/>
                <w:szCs w:val="18"/>
              </w:rPr>
              <w:t>Other CGT rollover</w:t>
            </w:r>
          </w:p>
        </w:tc>
        <w:tc>
          <w:tcPr>
            <w:tcW w:w="1446" w:type="dxa"/>
          </w:tcPr>
          <w:p w14:paraId="3C0C9325" w14:textId="77777777" w:rsidR="003F0524" w:rsidRDefault="003F0524">
            <w:pPr>
              <w:pStyle w:val="Table"/>
              <w:spacing w:before="100" w:after="100"/>
              <w:jc w:val="center"/>
              <w:rPr>
                <w:sz w:val="18"/>
                <w:szCs w:val="18"/>
              </w:rPr>
            </w:pPr>
          </w:p>
        </w:tc>
        <w:tc>
          <w:tcPr>
            <w:tcW w:w="2239" w:type="dxa"/>
          </w:tcPr>
          <w:p w14:paraId="4975C204" w14:textId="77777777" w:rsidR="003F0524" w:rsidRDefault="003F0524">
            <w:pPr>
              <w:pStyle w:val="Table"/>
              <w:spacing w:before="100" w:after="100"/>
              <w:rPr>
                <w:sz w:val="18"/>
                <w:szCs w:val="18"/>
              </w:rPr>
            </w:pPr>
          </w:p>
        </w:tc>
        <w:tc>
          <w:tcPr>
            <w:tcW w:w="1546" w:type="dxa"/>
          </w:tcPr>
          <w:p w14:paraId="45A0E98C" w14:textId="77777777" w:rsidR="003F0524" w:rsidRDefault="003F0524">
            <w:pPr>
              <w:pStyle w:val="Table"/>
              <w:spacing w:before="100" w:after="100"/>
              <w:rPr>
                <w:sz w:val="18"/>
                <w:szCs w:val="18"/>
              </w:rPr>
            </w:pPr>
          </w:p>
        </w:tc>
      </w:tr>
      <w:tr w:rsidR="003F0524" w14:paraId="38CE0367" w14:textId="77777777" w:rsidTr="00056B72">
        <w:tc>
          <w:tcPr>
            <w:tcW w:w="959" w:type="dxa"/>
          </w:tcPr>
          <w:p w14:paraId="48938D3A" w14:textId="77777777" w:rsidR="003F0524" w:rsidRDefault="003F0524">
            <w:pPr>
              <w:pStyle w:val="Table"/>
              <w:spacing w:before="100" w:after="100"/>
              <w:rPr>
                <w:sz w:val="18"/>
                <w:szCs w:val="18"/>
              </w:rPr>
            </w:pPr>
          </w:p>
        </w:tc>
        <w:tc>
          <w:tcPr>
            <w:tcW w:w="4111" w:type="dxa"/>
            <w:hideMark/>
          </w:tcPr>
          <w:p w14:paraId="5F9DCBED" w14:textId="77777777" w:rsidR="003F0524" w:rsidRDefault="003F0524">
            <w:pPr>
              <w:pStyle w:val="Table"/>
              <w:spacing w:before="100" w:after="100"/>
              <w:rPr>
                <w:sz w:val="18"/>
                <w:szCs w:val="18"/>
              </w:rPr>
            </w:pPr>
            <w:r>
              <w:rPr>
                <w:sz w:val="18"/>
                <w:szCs w:val="18"/>
              </w:rPr>
              <w:t>Other assessable income amount</w:t>
            </w:r>
          </w:p>
        </w:tc>
        <w:tc>
          <w:tcPr>
            <w:tcW w:w="1446" w:type="dxa"/>
          </w:tcPr>
          <w:p w14:paraId="43A5257B" w14:textId="77777777" w:rsidR="003F0524" w:rsidRDefault="003F0524">
            <w:pPr>
              <w:pStyle w:val="Table"/>
              <w:spacing w:before="100" w:after="100"/>
              <w:jc w:val="center"/>
              <w:rPr>
                <w:sz w:val="18"/>
                <w:szCs w:val="18"/>
              </w:rPr>
            </w:pPr>
          </w:p>
        </w:tc>
        <w:tc>
          <w:tcPr>
            <w:tcW w:w="2239" w:type="dxa"/>
          </w:tcPr>
          <w:p w14:paraId="319BA61E" w14:textId="77777777" w:rsidR="003F0524" w:rsidRDefault="003F0524">
            <w:pPr>
              <w:pStyle w:val="Table"/>
              <w:spacing w:before="100" w:after="100"/>
              <w:rPr>
                <w:sz w:val="18"/>
                <w:szCs w:val="18"/>
              </w:rPr>
            </w:pPr>
          </w:p>
        </w:tc>
        <w:tc>
          <w:tcPr>
            <w:tcW w:w="1546" w:type="dxa"/>
          </w:tcPr>
          <w:p w14:paraId="3B409CD9" w14:textId="77777777" w:rsidR="003F0524" w:rsidRDefault="003F0524">
            <w:pPr>
              <w:pStyle w:val="Table"/>
              <w:spacing w:before="100" w:after="100"/>
              <w:rPr>
                <w:sz w:val="18"/>
                <w:szCs w:val="18"/>
              </w:rPr>
            </w:pPr>
          </w:p>
        </w:tc>
      </w:tr>
      <w:tr w:rsidR="003F0524" w14:paraId="191D0410" w14:textId="77777777" w:rsidTr="00056B72">
        <w:trPr>
          <w:cnfStyle w:val="000000100000" w:firstRow="0" w:lastRow="0" w:firstColumn="0" w:lastColumn="0" w:oddVBand="0" w:evenVBand="0" w:oddHBand="1" w:evenHBand="0" w:firstRowFirstColumn="0" w:firstRowLastColumn="0" w:lastRowFirstColumn="0" w:lastRowLastColumn="0"/>
        </w:trPr>
        <w:tc>
          <w:tcPr>
            <w:tcW w:w="959" w:type="dxa"/>
          </w:tcPr>
          <w:p w14:paraId="526566B3" w14:textId="77777777" w:rsidR="003F0524" w:rsidRDefault="003F0524">
            <w:pPr>
              <w:pStyle w:val="Table"/>
              <w:spacing w:before="100" w:after="100"/>
              <w:rPr>
                <w:sz w:val="18"/>
                <w:szCs w:val="18"/>
              </w:rPr>
            </w:pPr>
          </w:p>
        </w:tc>
        <w:tc>
          <w:tcPr>
            <w:tcW w:w="4111" w:type="dxa"/>
            <w:hideMark/>
          </w:tcPr>
          <w:p w14:paraId="1721CA87" w14:textId="77777777" w:rsidR="003F0524" w:rsidRDefault="003F0524">
            <w:pPr>
              <w:pStyle w:val="Table"/>
              <w:spacing w:before="100" w:after="100"/>
              <w:rPr>
                <w:sz w:val="18"/>
                <w:szCs w:val="18"/>
              </w:rPr>
            </w:pPr>
            <w:r>
              <w:rPr>
                <w:sz w:val="18"/>
                <w:szCs w:val="18"/>
              </w:rPr>
              <w:t>Other deductible expenses (i.e. prepayments)</w:t>
            </w:r>
          </w:p>
        </w:tc>
        <w:tc>
          <w:tcPr>
            <w:tcW w:w="1446" w:type="dxa"/>
          </w:tcPr>
          <w:p w14:paraId="06636D4C" w14:textId="77777777" w:rsidR="003F0524" w:rsidRDefault="003F0524">
            <w:pPr>
              <w:pStyle w:val="Table"/>
              <w:spacing w:before="100" w:after="100"/>
              <w:jc w:val="center"/>
              <w:rPr>
                <w:sz w:val="18"/>
                <w:szCs w:val="18"/>
              </w:rPr>
            </w:pPr>
          </w:p>
        </w:tc>
        <w:tc>
          <w:tcPr>
            <w:tcW w:w="2239" w:type="dxa"/>
          </w:tcPr>
          <w:p w14:paraId="2F649E54" w14:textId="77777777" w:rsidR="003F0524" w:rsidRDefault="003F0524">
            <w:pPr>
              <w:pStyle w:val="Table"/>
              <w:spacing w:before="100" w:after="100"/>
              <w:rPr>
                <w:sz w:val="18"/>
                <w:szCs w:val="18"/>
              </w:rPr>
            </w:pPr>
          </w:p>
        </w:tc>
        <w:tc>
          <w:tcPr>
            <w:tcW w:w="1546" w:type="dxa"/>
          </w:tcPr>
          <w:p w14:paraId="421ACC51" w14:textId="77777777" w:rsidR="003F0524" w:rsidRDefault="003F0524">
            <w:pPr>
              <w:pStyle w:val="Table"/>
              <w:spacing w:before="100" w:after="100"/>
              <w:rPr>
                <w:sz w:val="18"/>
                <w:szCs w:val="18"/>
              </w:rPr>
            </w:pPr>
          </w:p>
        </w:tc>
      </w:tr>
      <w:tr w:rsidR="003F0524" w14:paraId="0495542E" w14:textId="77777777" w:rsidTr="00056B72">
        <w:tc>
          <w:tcPr>
            <w:tcW w:w="959" w:type="dxa"/>
          </w:tcPr>
          <w:p w14:paraId="09319BFA" w14:textId="77777777" w:rsidR="003F0524" w:rsidRDefault="003F0524">
            <w:pPr>
              <w:pStyle w:val="Table"/>
              <w:spacing w:before="100" w:after="100"/>
              <w:rPr>
                <w:sz w:val="18"/>
                <w:szCs w:val="18"/>
              </w:rPr>
            </w:pPr>
          </w:p>
        </w:tc>
        <w:tc>
          <w:tcPr>
            <w:tcW w:w="4111" w:type="dxa"/>
          </w:tcPr>
          <w:p w14:paraId="4F398835" w14:textId="77777777" w:rsidR="003F0524" w:rsidRDefault="003F0524">
            <w:pPr>
              <w:pStyle w:val="Table"/>
              <w:spacing w:before="100" w:after="100"/>
              <w:rPr>
                <w:sz w:val="18"/>
                <w:szCs w:val="18"/>
              </w:rPr>
            </w:pPr>
          </w:p>
        </w:tc>
        <w:tc>
          <w:tcPr>
            <w:tcW w:w="1446" w:type="dxa"/>
          </w:tcPr>
          <w:p w14:paraId="6D2B308B" w14:textId="77777777" w:rsidR="003F0524" w:rsidRDefault="003F0524">
            <w:pPr>
              <w:pStyle w:val="Table"/>
              <w:spacing w:before="100" w:after="100"/>
              <w:jc w:val="center"/>
              <w:rPr>
                <w:sz w:val="18"/>
                <w:szCs w:val="18"/>
              </w:rPr>
            </w:pPr>
          </w:p>
        </w:tc>
        <w:tc>
          <w:tcPr>
            <w:tcW w:w="2239" w:type="dxa"/>
          </w:tcPr>
          <w:p w14:paraId="2CF235CA" w14:textId="77777777" w:rsidR="003F0524" w:rsidRDefault="003F0524">
            <w:pPr>
              <w:pStyle w:val="Table"/>
              <w:spacing w:before="100" w:after="100"/>
              <w:rPr>
                <w:sz w:val="18"/>
                <w:szCs w:val="18"/>
              </w:rPr>
            </w:pPr>
          </w:p>
        </w:tc>
        <w:tc>
          <w:tcPr>
            <w:tcW w:w="1546" w:type="dxa"/>
          </w:tcPr>
          <w:p w14:paraId="6306526F" w14:textId="77777777" w:rsidR="003F0524" w:rsidRDefault="003F0524">
            <w:pPr>
              <w:pStyle w:val="Table"/>
              <w:spacing w:before="100" w:after="100"/>
              <w:rPr>
                <w:sz w:val="18"/>
                <w:szCs w:val="18"/>
              </w:rPr>
            </w:pPr>
          </w:p>
        </w:tc>
      </w:tr>
      <w:tr w:rsidR="003F0524" w14:paraId="3B635F3B" w14:textId="77777777" w:rsidTr="00056B72">
        <w:trPr>
          <w:cnfStyle w:val="000000100000" w:firstRow="0" w:lastRow="0" w:firstColumn="0" w:lastColumn="0" w:oddVBand="0" w:evenVBand="0" w:oddHBand="1" w:evenHBand="0" w:firstRowFirstColumn="0" w:firstRowLastColumn="0" w:lastRowFirstColumn="0" w:lastRowLastColumn="0"/>
        </w:trPr>
        <w:tc>
          <w:tcPr>
            <w:tcW w:w="959" w:type="dxa"/>
          </w:tcPr>
          <w:p w14:paraId="6FCB12BE" w14:textId="77777777" w:rsidR="003F0524" w:rsidRDefault="003F0524">
            <w:pPr>
              <w:pStyle w:val="Table"/>
              <w:spacing w:before="100" w:after="100"/>
              <w:rPr>
                <w:sz w:val="18"/>
                <w:szCs w:val="18"/>
              </w:rPr>
            </w:pPr>
          </w:p>
        </w:tc>
        <w:tc>
          <w:tcPr>
            <w:tcW w:w="4111" w:type="dxa"/>
          </w:tcPr>
          <w:p w14:paraId="5C9AFF67" w14:textId="77777777" w:rsidR="003F0524" w:rsidRDefault="003F0524">
            <w:pPr>
              <w:pStyle w:val="Table"/>
              <w:spacing w:before="100" w:after="100"/>
              <w:rPr>
                <w:sz w:val="18"/>
                <w:szCs w:val="18"/>
              </w:rPr>
            </w:pPr>
          </w:p>
        </w:tc>
        <w:tc>
          <w:tcPr>
            <w:tcW w:w="1446" w:type="dxa"/>
          </w:tcPr>
          <w:p w14:paraId="41450057" w14:textId="77777777" w:rsidR="003F0524" w:rsidRDefault="003F0524">
            <w:pPr>
              <w:pStyle w:val="Table"/>
              <w:spacing w:before="100" w:after="100"/>
              <w:jc w:val="center"/>
              <w:rPr>
                <w:sz w:val="18"/>
                <w:szCs w:val="18"/>
              </w:rPr>
            </w:pPr>
          </w:p>
        </w:tc>
        <w:tc>
          <w:tcPr>
            <w:tcW w:w="2239" w:type="dxa"/>
          </w:tcPr>
          <w:p w14:paraId="0F2ACEFE" w14:textId="77777777" w:rsidR="003F0524" w:rsidRDefault="003F0524">
            <w:pPr>
              <w:pStyle w:val="Table"/>
              <w:spacing w:before="100" w:after="100"/>
              <w:rPr>
                <w:sz w:val="18"/>
                <w:szCs w:val="18"/>
              </w:rPr>
            </w:pPr>
          </w:p>
        </w:tc>
        <w:tc>
          <w:tcPr>
            <w:tcW w:w="1546" w:type="dxa"/>
          </w:tcPr>
          <w:p w14:paraId="7853A164" w14:textId="77777777" w:rsidR="003F0524" w:rsidRDefault="003F0524">
            <w:pPr>
              <w:pStyle w:val="Table"/>
              <w:spacing w:before="100" w:after="100"/>
              <w:rPr>
                <w:sz w:val="18"/>
                <w:szCs w:val="18"/>
              </w:rPr>
            </w:pPr>
          </w:p>
        </w:tc>
      </w:tr>
      <w:tr w:rsidR="003F0524" w14:paraId="141590B9" w14:textId="77777777" w:rsidTr="00056B72">
        <w:tc>
          <w:tcPr>
            <w:tcW w:w="959" w:type="dxa"/>
          </w:tcPr>
          <w:p w14:paraId="6E493578" w14:textId="77777777" w:rsidR="003F0524" w:rsidRDefault="003F0524">
            <w:pPr>
              <w:pStyle w:val="Table"/>
              <w:spacing w:before="100" w:after="100"/>
              <w:rPr>
                <w:sz w:val="18"/>
                <w:szCs w:val="18"/>
              </w:rPr>
            </w:pPr>
          </w:p>
        </w:tc>
        <w:tc>
          <w:tcPr>
            <w:tcW w:w="4111" w:type="dxa"/>
          </w:tcPr>
          <w:p w14:paraId="09953109" w14:textId="77777777" w:rsidR="003F0524" w:rsidRDefault="003F0524">
            <w:pPr>
              <w:pStyle w:val="Table"/>
              <w:spacing w:before="100" w:after="100"/>
              <w:rPr>
                <w:sz w:val="18"/>
                <w:szCs w:val="18"/>
              </w:rPr>
            </w:pPr>
          </w:p>
        </w:tc>
        <w:tc>
          <w:tcPr>
            <w:tcW w:w="1446" w:type="dxa"/>
          </w:tcPr>
          <w:p w14:paraId="3B86E43C" w14:textId="77777777" w:rsidR="003F0524" w:rsidRDefault="003F0524">
            <w:pPr>
              <w:pStyle w:val="Table"/>
              <w:spacing w:before="100" w:after="100"/>
              <w:jc w:val="center"/>
              <w:rPr>
                <w:sz w:val="18"/>
                <w:szCs w:val="18"/>
              </w:rPr>
            </w:pPr>
          </w:p>
        </w:tc>
        <w:tc>
          <w:tcPr>
            <w:tcW w:w="2239" w:type="dxa"/>
          </w:tcPr>
          <w:p w14:paraId="40EEB3F4" w14:textId="77777777" w:rsidR="003F0524" w:rsidRDefault="003F0524">
            <w:pPr>
              <w:pStyle w:val="Table"/>
              <w:spacing w:before="100" w:after="100"/>
              <w:rPr>
                <w:sz w:val="18"/>
                <w:szCs w:val="18"/>
              </w:rPr>
            </w:pPr>
          </w:p>
        </w:tc>
        <w:tc>
          <w:tcPr>
            <w:tcW w:w="1546" w:type="dxa"/>
          </w:tcPr>
          <w:p w14:paraId="207A6F89" w14:textId="77777777" w:rsidR="003F0524" w:rsidRDefault="003F0524">
            <w:pPr>
              <w:pStyle w:val="Table"/>
              <w:spacing w:before="100" w:after="100"/>
              <w:rPr>
                <w:sz w:val="18"/>
                <w:szCs w:val="18"/>
              </w:rPr>
            </w:pPr>
          </w:p>
        </w:tc>
      </w:tr>
      <w:tr w:rsidR="003F0524" w14:paraId="1DE8E17F" w14:textId="77777777" w:rsidTr="00056B72">
        <w:trPr>
          <w:cnfStyle w:val="000000100000" w:firstRow="0" w:lastRow="0" w:firstColumn="0" w:lastColumn="0" w:oddVBand="0" w:evenVBand="0" w:oddHBand="1" w:evenHBand="0" w:firstRowFirstColumn="0" w:firstRowLastColumn="0" w:lastRowFirstColumn="0" w:lastRowLastColumn="0"/>
        </w:trPr>
        <w:tc>
          <w:tcPr>
            <w:tcW w:w="959" w:type="dxa"/>
          </w:tcPr>
          <w:p w14:paraId="1A5DB44B" w14:textId="77777777" w:rsidR="003F0524" w:rsidRDefault="003F0524">
            <w:pPr>
              <w:pStyle w:val="Table"/>
              <w:spacing w:before="100" w:after="100"/>
              <w:rPr>
                <w:sz w:val="18"/>
                <w:szCs w:val="18"/>
              </w:rPr>
            </w:pPr>
          </w:p>
        </w:tc>
        <w:tc>
          <w:tcPr>
            <w:tcW w:w="4111" w:type="dxa"/>
          </w:tcPr>
          <w:p w14:paraId="17DA65BC" w14:textId="77777777" w:rsidR="003F0524" w:rsidRDefault="003F0524">
            <w:pPr>
              <w:pStyle w:val="Table"/>
              <w:spacing w:before="100" w:after="100"/>
              <w:rPr>
                <w:sz w:val="18"/>
                <w:szCs w:val="18"/>
              </w:rPr>
            </w:pPr>
          </w:p>
        </w:tc>
        <w:tc>
          <w:tcPr>
            <w:tcW w:w="1446" w:type="dxa"/>
          </w:tcPr>
          <w:p w14:paraId="307D9186" w14:textId="77777777" w:rsidR="003F0524" w:rsidRDefault="003F0524">
            <w:pPr>
              <w:pStyle w:val="Table"/>
              <w:spacing w:before="100" w:after="100"/>
              <w:jc w:val="center"/>
              <w:rPr>
                <w:sz w:val="18"/>
                <w:szCs w:val="18"/>
              </w:rPr>
            </w:pPr>
          </w:p>
        </w:tc>
        <w:tc>
          <w:tcPr>
            <w:tcW w:w="2239" w:type="dxa"/>
          </w:tcPr>
          <w:p w14:paraId="5C448C4F" w14:textId="77777777" w:rsidR="003F0524" w:rsidRDefault="003F0524">
            <w:pPr>
              <w:pStyle w:val="Table"/>
              <w:spacing w:before="100" w:after="100"/>
              <w:rPr>
                <w:sz w:val="18"/>
                <w:szCs w:val="18"/>
              </w:rPr>
            </w:pPr>
          </w:p>
        </w:tc>
        <w:tc>
          <w:tcPr>
            <w:tcW w:w="1546" w:type="dxa"/>
          </w:tcPr>
          <w:p w14:paraId="4CC7893E" w14:textId="77777777" w:rsidR="003F0524" w:rsidRDefault="003F0524">
            <w:pPr>
              <w:pStyle w:val="Table"/>
              <w:spacing w:before="100" w:after="100"/>
              <w:rPr>
                <w:sz w:val="18"/>
                <w:szCs w:val="18"/>
              </w:rPr>
            </w:pPr>
          </w:p>
        </w:tc>
      </w:tr>
      <w:tr w:rsidR="003F0524" w14:paraId="2141FC01" w14:textId="77777777" w:rsidTr="00056B72">
        <w:trPr>
          <w:cnfStyle w:val="010000000000" w:firstRow="0" w:lastRow="1" w:firstColumn="0" w:lastColumn="0" w:oddVBand="0" w:evenVBand="0" w:oddHBand="0" w:evenHBand="0" w:firstRowFirstColumn="0" w:firstRowLastColumn="0" w:lastRowFirstColumn="0" w:lastRowLastColumn="0"/>
        </w:trPr>
        <w:tc>
          <w:tcPr>
            <w:tcW w:w="959" w:type="dxa"/>
          </w:tcPr>
          <w:p w14:paraId="0A1F940A" w14:textId="77777777" w:rsidR="003F0524" w:rsidRDefault="003F0524">
            <w:pPr>
              <w:pStyle w:val="Table"/>
              <w:spacing w:before="100" w:after="100"/>
              <w:rPr>
                <w:sz w:val="18"/>
                <w:szCs w:val="18"/>
              </w:rPr>
            </w:pPr>
          </w:p>
        </w:tc>
        <w:tc>
          <w:tcPr>
            <w:tcW w:w="4111" w:type="dxa"/>
          </w:tcPr>
          <w:p w14:paraId="787F015F" w14:textId="77777777" w:rsidR="003F0524" w:rsidRDefault="003F0524">
            <w:pPr>
              <w:pStyle w:val="Table"/>
              <w:spacing w:before="100" w:after="100"/>
              <w:rPr>
                <w:sz w:val="18"/>
                <w:szCs w:val="18"/>
              </w:rPr>
            </w:pPr>
          </w:p>
        </w:tc>
        <w:tc>
          <w:tcPr>
            <w:tcW w:w="1446" w:type="dxa"/>
          </w:tcPr>
          <w:p w14:paraId="3B648D20" w14:textId="77777777" w:rsidR="003F0524" w:rsidRDefault="003F0524">
            <w:pPr>
              <w:pStyle w:val="Table"/>
              <w:spacing w:before="100" w:after="100"/>
              <w:jc w:val="center"/>
              <w:rPr>
                <w:sz w:val="18"/>
                <w:szCs w:val="18"/>
              </w:rPr>
            </w:pPr>
          </w:p>
        </w:tc>
        <w:tc>
          <w:tcPr>
            <w:tcW w:w="2239" w:type="dxa"/>
          </w:tcPr>
          <w:p w14:paraId="1B86E8F5" w14:textId="77777777" w:rsidR="003F0524" w:rsidRDefault="003F0524">
            <w:pPr>
              <w:pStyle w:val="Table"/>
              <w:spacing w:before="100" w:after="100"/>
              <w:rPr>
                <w:sz w:val="18"/>
                <w:szCs w:val="18"/>
              </w:rPr>
            </w:pPr>
          </w:p>
        </w:tc>
        <w:tc>
          <w:tcPr>
            <w:tcW w:w="1546" w:type="dxa"/>
          </w:tcPr>
          <w:p w14:paraId="21A3BACD" w14:textId="77777777" w:rsidR="003F0524" w:rsidRDefault="003F0524">
            <w:pPr>
              <w:pStyle w:val="Table"/>
              <w:spacing w:before="100" w:after="100"/>
              <w:rPr>
                <w:sz w:val="18"/>
                <w:szCs w:val="18"/>
              </w:rPr>
            </w:pPr>
          </w:p>
        </w:tc>
      </w:tr>
    </w:tbl>
    <w:p w14:paraId="7B6D684F" w14:textId="7236A026" w:rsidR="003F0524" w:rsidRDefault="003F0524" w:rsidP="003F0524">
      <w:pPr>
        <w:pStyle w:val="Body"/>
        <w:rPr>
          <w:sz w:val="23"/>
        </w:rPr>
      </w:pPr>
    </w:p>
    <w:p w14:paraId="34AAB8AF" w14:textId="545D3FAB" w:rsidR="00056B72" w:rsidRDefault="00056B72" w:rsidP="003F0524">
      <w:pPr>
        <w:pStyle w:val="Body"/>
        <w:rPr>
          <w:sz w:val="23"/>
        </w:rPr>
      </w:pPr>
    </w:p>
    <w:p w14:paraId="18605C37" w14:textId="4302D1A7" w:rsidR="00056B72" w:rsidRDefault="00056B72" w:rsidP="003F0524">
      <w:pPr>
        <w:pStyle w:val="Body"/>
        <w:rPr>
          <w:sz w:val="23"/>
        </w:rPr>
      </w:pPr>
    </w:p>
    <w:p w14:paraId="5E31DBF7" w14:textId="768BCEE4" w:rsidR="00056B72" w:rsidRDefault="00056B72" w:rsidP="003F0524">
      <w:pPr>
        <w:pStyle w:val="Body"/>
        <w:rPr>
          <w:sz w:val="23"/>
        </w:rPr>
      </w:pPr>
    </w:p>
    <w:p w14:paraId="6C8D0945" w14:textId="77777777" w:rsidR="00056B72" w:rsidRDefault="00056B72" w:rsidP="003F0524">
      <w:pPr>
        <w:pStyle w:val="Body"/>
        <w:rPr>
          <w:sz w:val="23"/>
        </w:rPr>
      </w:pPr>
    </w:p>
    <w:tbl>
      <w:tblPr>
        <w:tblStyle w:val="RACVTable"/>
        <w:tblW w:w="0" w:type="auto"/>
        <w:tblLayout w:type="fixed"/>
        <w:tblLook w:val="01E0" w:firstRow="1" w:lastRow="1" w:firstColumn="1" w:lastColumn="1" w:noHBand="0" w:noVBand="0"/>
      </w:tblPr>
      <w:tblGrid>
        <w:gridCol w:w="1101"/>
        <w:gridCol w:w="7457"/>
        <w:gridCol w:w="1743"/>
      </w:tblGrid>
      <w:tr w:rsidR="003F0524" w14:paraId="6865E426" w14:textId="77777777" w:rsidTr="00056B72">
        <w:trPr>
          <w:cnfStyle w:val="100000000000" w:firstRow="1" w:lastRow="0" w:firstColumn="0" w:lastColumn="0" w:oddVBand="0" w:evenVBand="0" w:oddHBand="0" w:evenHBand="0" w:firstRowFirstColumn="0" w:firstRowLastColumn="0" w:lastRowFirstColumn="0" w:lastRowLastColumn="0"/>
        </w:trPr>
        <w:tc>
          <w:tcPr>
            <w:tcW w:w="10301" w:type="dxa"/>
            <w:gridSpan w:val="3"/>
            <w:hideMark/>
          </w:tcPr>
          <w:p w14:paraId="2F479683" w14:textId="77777777" w:rsidR="003F0524" w:rsidRDefault="003F0524">
            <w:pPr>
              <w:pStyle w:val="Tableheading"/>
              <w:spacing w:before="100" w:after="100"/>
              <w:rPr>
                <w:sz w:val="20"/>
                <w:szCs w:val="20"/>
              </w:rPr>
            </w:pPr>
            <w:r w:rsidRPr="00056B72">
              <w:rPr>
                <w:rFonts w:asciiTheme="minorHAnsi" w:eastAsiaTheme="minorHAnsi" w:hAnsiTheme="minorHAnsi" w:cs="Times New Roman"/>
                <w:b/>
                <w:color w:val="090D46" w:themeColor="text1"/>
                <w:sz w:val="18"/>
                <w:szCs w:val="18"/>
              </w:rPr>
              <w:t>POINTS FOR PARTNER REVIEW</w:t>
            </w:r>
          </w:p>
        </w:tc>
      </w:tr>
      <w:tr w:rsidR="003F0524" w14:paraId="3D4146B6" w14:textId="77777777" w:rsidTr="00056B72">
        <w:trPr>
          <w:cnfStyle w:val="000000100000" w:firstRow="0" w:lastRow="0" w:firstColumn="0" w:lastColumn="0" w:oddVBand="0" w:evenVBand="0" w:oddHBand="1" w:evenHBand="0" w:firstRowFirstColumn="0" w:firstRowLastColumn="0" w:lastRowFirstColumn="0" w:lastRowLastColumn="0"/>
        </w:trPr>
        <w:tc>
          <w:tcPr>
            <w:tcW w:w="1101" w:type="dxa"/>
            <w:hideMark/>
          </w:tcPr>
          <w:p w14:paraId="27EE675D" w14:textId="77777777" w:rsidR="003F0524" w:rsidRDefault="003F0524">
            <w:pPr>
              <w:pStyle w:val="Tableheading"/>
              <w:spacing w:before="100" w:after="100"/>
              <w:rPr>
                <w:sz w:val="18"/>
                <w:szCs w:val="18"/>
              </w:rPr>
            </w:pPr>
            <w:r>
              <w:rPr>
                <w:sz w:val="18"/>
                <w:szCs w:val="18"/>
              </w:rPr>
              <w:t>DATE</w:t>
            </w:r>
          </w:p>
        </w:tc>
        <w:tc>
          <w:tcPr>
            <w:tcW w:w="7457" w:type="dxa"/>
            <w:hideMark/>
          </w:tcPr>
          <w:p w14:paraId="0000214C" w14:textId="77777777" w:rsidR="003F0524" w:rsidRDefault="003F0524">
            <w:pPr>
              <w:pStyle w:val="Tableheading"/>
              <w:spacing w:before="100" w:after="100"/>
              <w:rPr>
                <w:sz w:val="18"/>
                <w:szCs w:val="18"/>
              </w:rPr>
            </w:pPr>
            <w:r>
              <w:rPr>
                <w:sz w:val="18"/>
                <w:szCs w:val="18"/>
              </w:rPr>
              <w:t>REVIEW POINT</w:t>
            </w:r>
          </w:p>
        </w:tc>
        <w:tc>
          <w:tcPr>
            <w:tcW w:w="1743" w:type="dxa"/>
            <w:hideMark/>
          </w:tcPr>
          <w:p w14:paraId="200A112A" w14:textId="77777777" w:rsidR="003F0524" w:rsidRDefault="003F0524">
            <w:pPr>
              <w:pStyle w:val="Tableheading"/>
              <w:spacing w:before="100" w:after="100"/>
              <w:rPr>
                <w:sz w:val="18"/>
                <w:szCs w:val="18"/>
              </w:rPr>
            </w:pPr>
            <w:r>
              <w:rPr>
                <w:sz w:val="18"/>
                <w:szCs w:val="18"/>
              </w:rPr>
              <w:t>CHECKED BY</w:t>
            </w:r>
          </w:p>
        </w:tc>
      </w:tr>
      <w:tr w:rsidR="003F0524" w14:paraId="01AA2955" w14:textId="77777777" w:rsidTr="00056B72">
        <w:tc>
          <w:tcPr>
            <w:tcW w:w="1101" w:type="dxa"/>
          </w:tcPr>
          <w:p w14:paraId="0C427C34" w14:textId="77777777" w:rsidR="003F0524" w:rsidRDefault="003F0524">
            <w:pPr>
              <w:pStyle w:val="Table"/>
              <w:spacing w:before="100" w:after="100"/>
              <w:rPr>
                <w:sz w:val="18"/>
                <w:szCs w:val="18"/>
              </w:rPr>
            </w:pPr>
          </w:p>
        </w:tc>
        <w:tc>
          <w:tcPr>
            <w:tcW w:w="7457" w:type="dxa"/>
          </w:tcPr>
          <w:p w14:paraId="6DA38053" w14:textId="77777777" w:rsidR="003F0524" w:rsidRDefault="003F0524">
            <w:pPr>
              <w:pStyle w:val="Table"/>
              <w:spacing w:before="100" w:after="100"/>
              <w:rPr>
                <w:sz w:val="18"/>
                <w:szCs w:val="18"/>
              </w:rPr>
            </w:pPr>
          </w:p>
        </w:tc>
        <w:tc>
          <w:tcPr>
            <w:tcW w:w="1743" w:type="dxa"/>
          </w:tcPr>
          <w:p w14:paraId="347EDB27" w14:textId="77777777" w:rsidR="003F0524" w:rsidRDefault="003F0524">
            <w:pPr>
              <w:pStyle w:val="Table"/>
              <w:spacing w:before="100" w:after="100"/>
              <w:rPr>
                <w:sz w:val="18"/>
                <w:szCs w:val="18"/>
              </w:rPr>
            </w:pPr>
          </w:p>
        </w:tc>
      </w:tr>
      <w:tr w:rsidR="003F0524" w14:paraId="20EEE2AF" w14:textId="77777777" w:rsidTr="00056B72">
        <w:trPr>
          <w:cnfStyle w:val="000000100000" w:firstRow="0" w:lastRow="0" w:firstColumn="0" w:lastColumn="0" w:oddVBand="0" w:evenVBand="0" w:oddHBand="1" w:evenHBand="0" w:firstRowFirstColumn="0" w:firstRowLastColumn="0" w:lastRowFirstColumn="0" w:lastRowLastColumn="0"/>
        </w:trPr>
        <w:tc>
          <w:tcPr>
            <w:tcW w:w="1101" w:type="dxa"/>
          </w:tcPr>
          <w:p w14:paraId="78006443" w14:textId="77777777" w:rsidR="003F0524" w:rsidRDefault="003F0524">
            <w:pPr>
              <w:pStyle w:val="Table"/>
              <w:spacing w:before="100" w:after="100"/>
              <w:rPr>
                <w:sz w:val="18"/>
                <w:szCs w:val="18"/>
              </w:rPr>
            </w:pPr>
          </w:p>
        </w:tc>
        <w:tc>
          <w:tcPr>
            <w:tcW w:w="7457" w:type="dxa"/>
          </w:tcPr>
          <w:p w14:paraId="42135BFF" w14:textId="77777777" w:rsidR="003F0524" w:rsidRDefault="003F0524">
            <w:pPr>
              <w:pStyle w:val="Table"/>
              <w:spacing w:before="100" w:after="100"/>
              <w:rPr>
                <w:sz w:val="18"/>
                <w:szCs w:val="18"/>
              </w:rPr>
            </w:pPr>
          </w:p>
        </w:tc>
        <w:tc>
          <w:tcPr>
            <w:tcW w:w="1743" w:type="dxa"/>
          </w:tcPr>
          <w:p w14:paraId="7BBD1C2D" w14:textId="77777777" w:rsidR="003F0524" w:rsidRDefault="003F0524">
            <w:pPr>
              <w:pStyle w:val="Table"/>
              <w:spacing w:before="100" w:after="100"/>
              <w:rPr>
                <w:sz w:val="18"/>
                <w:szCs w:val="18"/>
              </w:rPr>
            </w:pPr>
          </w:p>
        </w:tc>
      </w:tr>
      <w:tr w:rsidR="003F0524" w14:paraId="4280D179" w14:textId="77777777" w:rsidTr="00056B72">
        <w:tc>
          <w:tcPr>
            <w:tcW w:w="1101" w:type="dxa"/>
          </w:tcPr>
          <w:p w14:paraId="077B22A1" w14:textId="77777777" w:rsidR="003F0524" w:rsidRDefault="003F0524">
            <w:pPr>
              <w:pStyle w:val="Table"/>
              <w:spacing w:before="100" w:after="100"/>
              <w:rPr>
                <w:sz w:val="18"/>
                <w:szCs w:val="18"/>
              </w:rPr>
            </w:pPr>
          </w:p>
        </w:tc>
        <w:tc>
          <w:tcPr>
            <w:tcW w:w="7457" w:type="dxa"/>
          </w:tcPr>
          <w:p w14:paraId="19EC1FCE" w14:textId="77777777" w:rsidR="003F0524" w:rsidRDefault="003F0524">
            <w:pPr>
              <w:pStyle w:val="Table"/>
              <w:spacing w:before="100" w:after="100"/>
              <w:rPr>
                <w:sz w:val="18"/>
                <w:szCs w:val="18"/>
              </w:rPr>
            </w:pPr>
          </w:p>
        </w:tc>
        <w:tc>
          <w:tcPr>
            <w:tcW w:w="1743" w:type="dxa"/>
          </w:tcPr>
          <w:p w14:paraId="128CE6D9" w14:textId="77777777" w:rsidR="003F0524" w:rsidRDefault="003F0524">
            <w:pPr>
              <w:pStyle w:val="Table"/>
              <w:spacing w:before="100" w:after="100"/>
              <w:rPr>
                <w:sz w:val="18"/>
                <w:szCs w:val="18"/>
              </w:rPr>
            </w:pPr>
          </w:p>
        </w:tc>
      </w:tr>
      <w:tr w:rsidR="003F0524" w14:paraId="703D582C" w14:textId="77777777" w:rsidTr="00056B72">
        <w:trPr>
          <w:cnfStyle w:val="000000100000" w:firstRow="0" w:lastRow="0" w:firstColumn="0" w:lastColumn="0" w:oddVBand="0" w:evenVBand="0" w:oddHBand="1" w:evenHBand="0" w:firstRowFirstColumn="0" w:firstRowLastColumn="0" w:lastRowFirstColumn="0" w:lastRowLastColumn="0"/>
        </w:trPr>
        <w:tc>
          <w:tcPr>
            <w:tcW w:w="1101" w:type="dxa"/>
          </w:tcPr>
          <w:p w14:paraId="62F0E31A" w14:textId="77777777" w:rsidR="003F0524" w:rsidRDefault="003F0524">
            <w:pPr>
              <w:pStyle w:val="Table"/>
              <w:spacing w:before="100" w:after="100"/>
              <w:rPr>
                <w:sz w:val="18"/>
                <w:szCs w:val="18"/>
              </w:rPr>
            </w:pPr>
          </w:p>
        </w:tc>
        <w:tc>
          <w:tcPr>
            <w:tcW w:w="7457" w:type="dxa"/>
          </w:tcPr>
          <w:p w14:paraId="4E45359C" w14:textId="77777777" w:rsidR="003F0524" w:rsidRDefault="003F0524">
            <w:pPr>
              <w:pStyle w:val="Table"/>
              <w:spacing w:before="100" w:after="100"/>
              <w:rPr>
                <w:sz w:val="18"/>
                <w:szCs w:val="18"/>
              </w:rPr>
            </w:pPr>
          </w:p>
        </w:tc>
        <w:tc>
          <w:tcPr>
            <w:tcW w:w="1743" w:type="dxa"/>
          </w:tcPr>
          <w:p w14:paraId="5026815B" w14:textId="77777777" w:rsidR="003F0524" w:rsidRDefault="003F0524">
            <w:pPr>
              <w:pStyle w:val="Table"/>
              <w:spacing w:before="100" w:after="100"/>
              <w:rPr>
                <w:sz w:val="18"/>
                <w:szCs w:val="18"/>
              </w:rPr>
            </w:pPr>
          </w:p>
        </w:tc>
      </w:tr>
      <w:tr w:rsidR="003F0524" w14:paraId="072C2DC0" w14:textId="77777777" w:rsidTr="00056B72">
        <w:tc>
          <w:tcPr>
            <w:tcW w:w="1101" w:type="dxa"/>
          </w:tcPr>
          <w:p w14:paraId="7C6C8133" w14:textId="77777777" w:rsidR="003F0524" w:rsidRDefault="003F0524">
            <w:pPr>
              <w:pStyle w:val="Table"/>
              <w:spacing w:before="100" w:after="100"/>
              <w:rPr>
                <w:sz w:val="18"/>
                <w:szCs w:val="18"/>
              </w:rPr>
            </w:pPr>
          </w:p>
        </w:tc>
        <w:tc>
          <w:tcPr>
            <w:tcW w:w="7457" w:type="dxa"/>
          </w:tcPr>
          <w:p w14:paraId="69A56D0C" w14:textId="77777777" w:rsidR="003F0524" w:rsidRDefault="003F0524">
            <w:pPr>
              <w:pStyle w:val="Table"/>
              <w:spacing w:before="100" w:after="100"/>
              <w:rPr>
                <w:sz w:val="18"/>
                <w:szCs w:val="18"/>
              </w:rPr>
            </w:pPr>
          </w:p>
        </w:tc>
        <w:tc>
          <w:tcPr>
            <w:tcW w:w="1743" w:type="dxa"/>
          </w:tcPr>
          <w:p w14:paraId="0A555861" w14:textId="77777777" w:rsidR="003F0524" w:rsidRDefault="003F0524">
            <w:pPr>
              <w:pStyle w:val="Table"/>
              <w:spacing w:before="100" w:after="100"/>
              <w:rPr>
                <w:sz w:val="18"/>
                <w:szCs w:val="18"/>
              </w:rPr>
            </w:pPr>
          </w:p>
        </w:tc>
      </w:tr>
      <w:tr w:rsidR="003F0524" w14:paraId="7692BBDB" w14:textId="77777777" w:rsidTr="00056B72">
        <w:trPr>
          <w:cnfStyle w:val="010000000000" w:firstRow="0" w:lastRow="1" w:firstColumn="0" w:lastColumn="0" w:oddVBand="0" w:evenVBand="0" w:oddHBand="0" w:evenHBand="0" w:firstRowFirstColumn="0" w:firstRowLastColumn="0" w:lastRowFirstColumn="0" w:lastRowLastColumn="0"/>
        </w:trPr>
        <w:tc>
          <w:tcPr>
            <w:tcW w:w="1101" w:type="dxa"/>
          </w:tcPr>
          <w:p w14:paraId="44E3CE2E" w14:textId="77777777" w:rsidR="003F0524" w:rsidRDefault="003F0524">
            <w:pPr>
              <w:pStyle w:val="Table"/>
              <w:spacing w:before="100" w:after="100"/>
              <w:rPr>
                <w:sz w:val="18"/>
                <w:szCs w:val="18"/>
              </w:rPr>
            </w:pPr>
          </w:p>
        </w:tc>
        <w:tc>
          <w:tcPr>
            <w:tcW w:w="7457" w:type="dxa"/>
          </w:tcPr>
          <w:p w14:paraId="726993B9" w14:textId="77777777" w:rsidR="003F0524" w:rsidRDefault="003F0524">
            <w:pPr>
              <w:pStyle w:val="Table"/>
              <w:spacing w:before="100" w:after="100"/>
              <w:rPr>
                <w:sz w:val="18"/>
                <w:szCs w:val="18"/>
              </w:rPr>
            </w:pPr>
          </w:p>
        </w:tc>
        <w:tc>
          <w:tcPr>
            <w:tcW w:w="1743" w:type="dxa"/>
          </w:tcPr>
          <w:p w14:paraId="57551851" w14:textId="77777777" w:rsidR="003F0524" w:rsidRDefault="003F0524">
            <w:pPr>
              <w:pStyle w:val="Table"/>
              <w:spacing w:before="100" w:after="100"/>
              <w:rPr>
                <w:sz w:val="18"/>
                <w:szCs w:val="18"/>
              </w:rPr>
            </w:pPr>
          </w:p>
        </w:tc>
      </w:tr>
    </w:tbl>
    <w:p w14:paraId="763DB7FE" w14:textId="77777777" w:rsidR="003F0524" w:rsidRDefault="003F0524" w:rsidP="003F0524">
      <w:pPr>
        <w:pStyle w:val="Body"/>
        <w:rPr>
          <w:sz w:val="23"/>
        </w:rPr>
      </w:pPr>
    </w:p>
    <w:p w14:paraId="487A6CAB" w14:textId="77777777" w:rsidR="003F0524" w:rsidRDefault="003F0524" w:rsidP="003F0524"/>
    <w:p w14:paraId="55A3B011" w14:textId="77777777" w:rsidR="003F0524" w:rsidRDefault="003F0524" w:rsidP="003F0524"/>
    <w:sectPr w:rsidR="003F0524" w:rsidSect="00A16FBB">
      <w:headerReference w:type="default" r:id="rId24"/>
      <w:footerReference w:type="default" r:id="rId25"/>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5139A" w14:textId="77777777" w:rsidR="00E57456" w:rsidRDefault="00E57456" w:rsidP="001D0AFC">
      <w:r>
        <w:separator/>
      </w:r>
    </w:p>
    <w:p w14:paraId="25DDD4B6" w14:textId="77777777" w:rsidR="00E57456" w:rsidRDefault="00E57456"/>
    <w:p w14:paraId="4A3614D2" w14:textId="77777777" w:rsidR="00E57456" w:rsidRDefault="00E57456"/>
  </w:endnote>
  <w:endnote w:type="continuationSeparator" w:id="0">
    <w:p w14:paraId="2C1E1B53" w14:textId="77777777" w:rsidR="00E57456" w:rsidRDefault="00E57456" w:rsidP="001D0AFC">
      <w:r>
        <w:continuationSeparator/>
      </w:r>
    </w:p>
    <w:p w14:paraId="1A0B0E6E" w14:textId="77777777" w:rsidR="00E57456" w:rsidRDefault="00E57456"/>
    <w:p w14:paraId="35354C2E" w14:textId="77777777" w:rsidR="00E57456" w:rsidRDefault="00E57456"/>
  </w:endnote>
  <w:endnote w:type="continuationNotice" w:id="1">
    <w:p w14:paraId="343CFBF9" w14:textId="77777777" w:rsidR="00E57456" w:rsidRDefault="00E5745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Pro 45 Lt">
    <w:charset w:val="00"/>
    <w:family w:val="auto"/>
    <w:pitch w:val="variable"/>
    <w:sig w:usb0="800000AF" w:usb1="5000204A" w:usb2="00000000" w:usb3="00000000" w:csb0="0000009B" w:csb1="00000000"/>
  </w:font>
  <w:font w:name="HelveticaNeueLT Com 65 Md">
    <w:altName w:val="HelveticaNeueLT Com 65 M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159D" w14:textId="77777777" w:rsidR="008A0FD7" w:rsidRDefault="008A0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4C00" w14:textId="77777777" w:rsidR="008A0FD7" w:rsidRDefault="008A0F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0415" w14:textId="77777777" w:rsidR="008A0FD7" w:rsidRDefault="008A0F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58241"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2A3D" w14:textId="77777777" w:rsidR="00E57456" w:rsidRDefault="00E57456" w:rsidP="001D0AFC"/>
  </w:footnote>
  <w:footnote w:type="continuationSeparator" w:id="0">
    <w:p w14:paraId="6996D781" w14:textId="77777777" w:rsidR="00E57456" w:rsidRDefault="00E57456" w:rsidP="001D0AFC"/>
  </w:footnote>
  <w:footnote w:type="continuationNotice" w:id="1">
    <w:p w14:paraId="6F904E1B" w14:textId="77777777" w:rsidR="00E57456" w:rsidRDefault="00E5745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2A82" w14:textId="77777777" w:rsidR="008A0FD7" w:rsidRDefault="008A0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B447" w14:textId="77777777" w:rsidR="008A0FD7" w:rsidRDefault="008A0F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58BC413D" w:rsidR="003B7348" w:rsidRPr="00693244" w:rsidRDefault="00591702" w:rsidP="00693244">
    <w:pPr>
      <w:pStyle w:val="Header"/>
    </w:pPr>
    <w:fldSimple w:instr=" STYLEREF  Title  \* MERGEFORMAT ">
      <w:r w:rsidR="00FF037F">
        <w:rPr>
          <w:noProof/>
        </w:rPr>
        <w:t>Trust Tax Return Preparation Checklist 2023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D66D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AC8E5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1B078B"/>
    <w:multiLevelType w:val="hybridMultilevel"/>
    <w:tmpl w:val="FAAAD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51110D"/>
    <w:multiLevelType w:val="hybridMultilevel"/>
    <w:tmpl w:val="855A5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5"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6" w15:restartNumberingAfterBreak="0">
    <w:nsid w:val="4159474A"/>
    <w:multiLevelType w:val="hybridMultilevel"/>
    <w:tmpl w:val="AF4EE4FC"/>
    <w:lvl w:ilvl="0" w:tplc="17DE23C0">
      <w:start w:val="1"/>
      <w:numFmt w:val="lowerLetter"/>
      <w:pStyle w:val="Tablealphabullet"/>
      <w:lvlText w:val="%1."/>
      <w:lvlJc w:val="left"/>
      <w:pPr>
        <w:ind w:left="360" w:hanging="360"/>
      </w:pPr>
      <w:rPr>
        <w:strike w:val="0"/>
        <w:dstrike w:val="0"/>
        <w:color w:val="000000"/>
        <w:sz w:val="17"/>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8E1FA2"/>
    <w:multiLevelType w:val="hybridMultilevel"/>
    <w:tmpl w:val="F8A6AC08"/>
    <w:lvl w:ilvl="0" w:tplc="E9448A1E">
      <w:start w:val="1"/>
      <w:numFmt w:val="bullet"/>
      <w:pStyle w:val="TableBullet"/>
      <w:lvlText w:val=""/>
      <w:lvlJc w:val="left"/>
      <w:pPr>
        <w:ind w:left="360" w:hanging="360"/>
      </w:pPr>
      <w:rPr>
        <w:rFonts w:ascii="Symbol" w:hAnsi="Symbol" w:hint="default"/>
        <w:sz w:val="1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2D1633"/>
    <w:multiLevelType w:val="hybridMultilevel"/>
    <w:tmpl w:val="88884CBA"/>
    <w:lvl w:ilvl="0" w:tplc="36BE7AAC">
      <w:start w:val="1"/>
      <w:numFmt w:val="bullet"/>
      <w:lvlText w:val=""/>
      <w:lvlJc w:val="left"/>
      <w:pPr>
        <w:ind w:left="357" w:hanging="24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A05100D"/>
    <w:multiLevelType w:val="hybridMultilevel"/>
    <w:tmpl w:val="D1A4220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2008558021">
    <w:abstractNumId w:val="10"/>
  </w:num>
  <w:num w:numId="2" w16cid:durableId="1226455221">
    <w:abstractNumId w:val="5"/>
  </w:num>
  <w:num w:numId="3" w16cid:durableId="1984432472">
    <w:abstractNumId w:val="12"/>
  </w:num>
  <w:num w:numId="4" w16cid:durableId="930551987">
    <w:abstractNumId w:val="4"/>
  </w:num>
  <w:num w:numId="5" w16cid:durableId="1912961880">
    <w:abstractNumId w:val="8"/>
  </w:num>
  <w:num w:numId="6" w16cid:durableId="2049915830">
    <w:abstractNumId w:val="7"/>
  </w:num>
  <w:num w:numId="7" w16cid:durableId="433746230">
    <w:abstractNumId w:val="6"/>
    <w:lvlOverride w:ilvl="0">
      <w:startOverride w:val="1"/>
    </w:lvlOverride>
    <w:lvlOverride w:ilvl="1"/>
    <w:lvlOverride w:ilvl="2"/>
    <w:lvlOverride w:ilvl="3"/>
    <w:lvlOverride w:ilvl="4"/>
    <w:lvlOverride w:ilvl="5"/>
    <w:lvlOverride w:ilvl="6"/>
    <w:lvlOverride w:ilvl="7"/>
    <w:lvlOverride w:ilvl="8"/>
  </w:num>
  <w:num w:numId="8" w16cid:durableId="1914200162">
    <w:abstractNumId w:val="9"/>
  </w:num>
  <w:num w:numId="9" w16cid:durableId="701636284">
    <w:abstractNumId w:val="1"/>
  </w:num>
  <w:num w:numId="10" w16cid:durableId="287124394">
    <w:abstractNumId w:val="1"/>
  </w:num>
  <w:num w:numId="11" w16cid:durableId="553003417">
    <w:abstractNumId w:val="1"/>
  </w:num>
  <w:num w:numId="12" w16cid:durableId="911544057">
    <w:abstractNumId w:val="1"/>
  </w:num>
  <w:num w:numId="13" w16cid:durableId="1114128236">
    <w:abstractNumId w:val="1"/>
  </w:num>
  <w:num w:numId="14" w16cid:durableId="1695888438">
    <w:abstractNumId w:val="0"/>
  </w:num>
  <w:num w:numId="15" w16cid:durableId="1063722302">
    <w:abstractNumId w:val="1"/>
  </w:num>
  <w:num w:numId="16" w16cid:durableId="1684739806">
    <w:abstractNumId w:val="0"/>
  </w:num>
  <w:num w:numId="17" w16cid:durableId="1028023774">
    <w:abstractNumId w:val="1"/>
  </w:num>
  <w:num w:numId="18" w16cid:durableId="1671986449">
    <w:abstractNumId w:val="0"/>
  </w:num>
  <w:num w:numId="19" w16cid:durableId="1386873119">
    <w:abstractNumId w:val="11"/>
  </w:num>
  <w:num w:numId="20" w16cid:durableId="904880416">
    <w:abstractNumId w:val="2"/>
  </w:num>
  <w:num w:numId="21" w16cid:durableId="394012351">
    <w:abstractNumId w:val="1"/>
  </w:num>
  <w:num w:numId="22" w16cid:durableId="1790515260">
    <w:abstractNumId w:val="0"/>
  </w:num>
  <w:num w:numId="23" w16cid:durableId="6981723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2243"/>
    <w:rsid w:val="000136A5"/>
    <w:rsid w:val="00013E33"/>
    <w:rsid w:val="00015555"/>
    <w:rsid w:val="000203CE"/>
    <w:rsid w:val="0002234B"/>
    <w:rsid w:val="00024813"/>
    <w:rsid w:val="000369EA"/>
    <w:rsid w:val="00036FE5"/>
    <w:rsid w:val="00037DE5"/>
    <w:rsid w:val="00041055"/>
    <w:rsid w:val="000415B4"/>
    <w:rsid w:val="00042DA2"/>
    <w:rsid w:val="00042E30"/>
    <w:rsid w:val="00045AB6"/>
    <w:rsid w:val="00046B12"/>
    <w:rsid w:val="00053EBC"/>
    <w:rsid w:val="00054781"/>
    <w:rsid w:val="00056B72"/>
    <w:rsid w:val="00056BC0"/>
    <w:rsid w:val="00057877"/>
    <w:rsid w:val="00060D92"/>
    <w:rsid w:val="00061B61"/>
    <w:rsid w:val="00061E5E"/>
    <w:rsid w:val="000635BC"/>
    <w:rsid w:val="00063D90"/>
    <w:rsid w:val="000664C9"/>
    <w:rsid w:val="00066D75"/>
    <w:rsid w:val="000671C4"/>
    <w:rsid w:val="00070AEB"/>
    <w:rsid w:val="00071DDF"/>
    <w:rsid w:val="00074231"/>
    <w:rsid w:val="00075C47"/>
    <w:rsid w:val="000760F4"/>
    <w:rsid w:val="000848E1"/>
    <w:rsid w:val="000861C4"/>
    <w:rsid w:val="00086BC4"/>
    <w:rsid w:val="00091423"/>
    <w:rsid w:val="000949C8"/>
    <w:rsid w:val="000A13D6"/>
    <w:rsid w:val="000A1EF9"/>
    <w:rsid w:val="000A2A29"/>
    <w:rsid w:val="000A2E7B"/>
    <w:rsid w:val="000A72A7"/>
    <w:rsid w:val="000B21B5"/>
    <w:rsid w:val="000B5598"/>
    <w:rsid w:val="000B5729"/>
    <w:rsid w:val="000C088B"/>
    <w:rsid w:val="000C4779"/>
    <w:rsid w:val="000C7AB0"/>
    <w:rsid w:val="000D0624"/>
    <w:rsid w:val="000D35C6"/>
    <w:rsid w:val="000D37F9"/>
    <w:rsid w:val="000D43A9"/>
    <w:rsid w:val="000D5770"/>
    <w:rsid w:val="000D71C3"/>
    <w:rsid w:val="000D7CE3"/>
    <w:rsid w:val="000D7D92"/>
    <w:rsid w:val="000E4E04"/>
    <w:rsid w:val="000F0A9F"/>
    <w:rsid w:val="000F2EDC"/>
    <w:rsid w:val="000F6579"/>
    <w:rsid w:val="000F6589"/>
    <w:rsid w:val="00100A2F"/>
    <w:rsid w:val="001017D4"/>
    <w:rsid w:val="001021BB"/>
    <w:rsid w:val="001049F6"/>
    <w:rsid w:val="00106F60"/>
    <w:rsid w:val="001074D7"/>
    <w:rsid w:val="00107585"/>
    <w:rsid w:val="001141D0"/>
    <w:rsid w:val="00117894"/>
    <w:rsid w:val="0012062F"/>
    <w:rsid w:val="001247E5"/>
    <w:rsid w:val="0012558D"/>
    <w:rsid w:val="00132167"/>
    <w:rsid w:val="00136B50"/>
    <w:rsid w:val="00136E63"/>
    <w:rsid w:val="00137A3F"/>
    <w:rsid w:val="00137FBB"/>
    <w:rsid w:val="00141033"/>
    <w:rsid w:val="001425A7"/>
    <w:rsid w:val="00143D18"/>
    <w:rsid w:val="00143DC7"/>
    <w:rsid w:val="001454BA"/>
    <w:rsid w:val="00147784"/>
    <w:rsid w:val="00152AC1"/>
    <w:rsid w:val="00153AEF"/>
    <w:rsid w:val="00154C1A"/>
    <w:rsid w:val="00156042"/>
    <w:rsid w:val="00157CE7"/>
    <w:rsid w:val="00167D25"/>
    <w:rsid w:val="00176A5E"/>
    <w:rsid w:val="001777B9"/>
    <w:rsid w:val="00190CE9"/>
    <w:rsid w:val="00191178"/>
    <w:rsid w:val="00192329"/>
    <w:rsid w:val="00193699"/>
    <w:rsid w:val="00197E66"/>
    <w:rsid w:val="001A03FE"/>
    <w:rsid w:val="001A1669"/>
    <w:rsid w:val="001A7EBC"/>
    <w:rsid w:val="001B026B"/>
    <w:rsid w:val="001B0A17"/>
    <w:rsid w:val="001B29AF"/>
    <w:rsid w:val="001B2C64"/>
    <w:rsid w:val="001B3928"/>
    <w:rsid w:val="001B5872"/>
    <w:rsid w:val="001B7FA1"/>
    <w:rsid w:val="001C1B29"/>
    <w:rsid w:val="001C48D8"/>
    <w:rsid w:val="001C5149"/>
    <w:rsid w:val="001C52C2"/>
    <w:rsid w:val="001D0AFC"/>
    <w:rsid w:val="001D0E2C"/>
    <w:rsid w:val="001D6F21"/>
    <w:rsid w:val="001E0ADE"/>
    <w:rsid w:val="001E3A54"/>
    <w:rsid w:val="001E49C9"/>
    <w:rsid w:val="001E4E84"/>
    <w:rsid w:val="001E563E"/>
    <w:rsid w:val="001E5F8E"/>
    <w:rsid w:val="001F2FC0"/>
    <w:rsid w:val="00200F2D"/>
    <w:rsid w:val="002010E9"/>
    <w:rsid w:val="00202C71"/>
    <w:rsid w:val="00205AD4"/>
    <w:rsid w:val="002069AE"/>
    <w:rsid w:val="00207075"/>
    <w:rsid w:val="002072F4"/>
    <w:rsid w:val="00210409"/>
    <w:rsid w:val="002111A1"/>
    <w:rsid w:val="002119F7"/>
    <w:rsid w:val="0022078E"/>
    <w:rsid w:val="0022351C"/>
    <w:rsid w:val="0022500D"/>
    <w:rsid w:val="00225672"/>
    <w:rsid w:val="00226249"/>
    <w:rsid w:val="00226D63"/>
    <w:rsid w:val="002320CE"/>
    <w:rsid w:val="00232D13"/>
    <w:rsid w:val="00233385"/>
    <w:rsid w:val="00237A56"/>
    <w:rsid w:val="00242034"/>
    <w:rsid w:val="00244750"/>
    <w:rsid w:val="00251210"/>
    <w:rsid w:val="0025134E"/>
    <w:rsid w:val="0025639D"/>
    <w:rsid w:val="0025657A"/>
    <w:rsid w:val="0025660A"/>
    <w:rsid w:val="002579F3"/>
    <w:rsid w:val="00262484"/>
    <w:rsid w:val="00262769"/>
    <w:rsid w:val="002632B7"/>
    <w:rsid w:val="00272AAC"/>
    <w:rsid w:val="002750B0"/>
    <w:rsid w:val="00275EE0"/>
    <w:rsid w:val="0027662E"/>
    <w:rsid w:val="002834C2"/>
    <w:rsid w:val="00286939"/>
    <w:rsid w:val="00286C3E"/>
    <w:rsid w:val="00291082"/>
    <w:rsid w:val="002958CD"/>
    <w:rsid w:val="00296ADC"/>
    <w:rsid w:val="00297CB5"/>
    <w:rsid w:val="002A1211"/>
    <w:rsid w:val="002A12DA"/>
    <w:rsid w:val="002A1929"/>
    <w:rsid w:val="002A4903"/>
    <w:rsid w:val="002A4C97"/>
    <w:rsid w:val="002A4CC9"/>
    <w:rsid w:val="002B16A7"/>
    <w:rsid w:val="002B297C"/>
    <w:rsid w:val="002C16CB"/>
    <w:rsid w:val="002C2485"/>
    <w:rsid w:val="002C2769"/>
    <w:rsid w:val="002C2E1B"/>
    <w:rsid w:val="002C67A0"/>
    <w:rsid w:val="002D17A7"/>
    <w:rsid w:val="002D3EC6"/>
    <w:rsid w:val="002D62CE"/>
    <w:rsid w:val="002D7462"/>
    <w:rsid w:val="002E038B"/>
    <w:rsid w:val="002E1998"/>
    <w:rsid w:val="002E2959"/>
    <w:rsid w:val="002E41A9"/>
    <w:rsid w:val="002E4997"/>
    <w:rsid w:val="002E76B8"/>
    <w:rsid w:val="002E7DDC"/>
    <w:rsid w:val="002F2993"/>
    <w:rsid w:val="002F3404"/>
    <w:rsid w:val="002F4FBC"/>
    <w:rsid w:val="002F6357"/>
    <w:rsid w:val="002F6977"/>
    <w:rsid w:val="002F6F32"/>
    <w:rsid w:val="003004FA"/>
    <w:rsid w:val="00304061"/>
    <w:rsid w:val="00313DB4"/>
    <w:rsid w:val="003204EC"/>
    <w:rsid w:val="003233EA"/>
    <w:rsid w:val="00327D69"/>
    <w:rsid w:val="003300BD"/>
    <w:rsid w:val="00337255"/>
    <w:rsid w:val="00337769"/>
    <w:rsid w:val="003450AC"/>
    <w:rsid w:val="003454FB"/>
    <w:rsid w:val="0034692E"/>
    <w:rsid w:val="00350D15"/>
    <w:rsid w:val="00350E23"/>
    <w:rsid w:val="003577C5"/>
    <w:rsid w:val="0036434E"/>
    <w:rsid w:val="0036475A"/>
    <w:rsid w:val="00371F4C"/>
    <w:rsid w:val="00377647"/>
    <w:rsid w:val="00380050"/>
    <w:rsid w:val="003845D6"/>
    <w:rsid w:val="00387DEF"/>
    <w:rsid w:val="00393613"/>
    <w:rsid w:val="00393930"/>
    <w:rsid w:val="003A0ACF"/>
    <w:rsid w:val="003A1AB5"/>
    <w:rsid w:val="003A68CB"/>
    <w:rsid w:val="003B075A"/>
    <w:rsid w:val="003B3492"/>
    <w:rsid w:val="003B4211"/>
    <w:rsid w:val="003B551F"/>
    <w:rsid w:val="003B5FE6"/>
    <w:rsid w:val="003B7348"/>
    <w:rsid w:val="003D5D9E"/>
    <w:rsid w:val="003E08CD"/>
    <w:rsid w:val="003E1AC6"/>
    <w:rsid w:val="003E4D00"/>
    <w:rsid w:val="003F0524"/>
    <w:rsid w:val="003F4678"/>
    <w:rsid w:val="003F4A7B"/>
    <w:rsid w:val="003F6533"/>
    <w:rsid w:val="004003DB"/>
    <w:rsid w:val="00400429"/>
    <w:rsid w:val="00401788"/>
    <w:rsid w:val="00411375"/>
    <w:rsid w:val="00411636"/>
    <w:rsid w:val="00416267"/>
    <w:rsid w:val="00417D09"/>
    <w:rsid w:val="00420AB3"/>
    <w:rsid w:val="00424589"/>
    <w:rsid w:val="004265BE"/>
    <w:rsid w:val="004274C2"/>
    <w:rsid w:val="004310B2"/>
    <w:rsid w:val="00431975"/>
    <w:rsid w:val="004332DC"/>
    <w:rsid w:val="0043463A"/>
    <w:rsid w:val="0044217F"/>
    <w:rsid w:val="00442A73"/>
    <w:rsid w:val="004624F7"/>
    <w:rsid w:val="004642D9"/>
    <w:rsid w:val="00466FF8"/>
    <w:rsid w:val="00467CE7"/>
    <w:rsid w:val="0048080D"/>
    <w:rsid w:val="0048135A"/>
    <w:rsid w:val="00483F6B"/>
    <w:rsid w:val="00484FB1"/>
    <w:rsid w:val="00491D34"/>
    <w:rsid w:val="00493C7F"/>
    <w:rsid w:val="00494893"/>
    <w:rsid w:val="00496B34"/>
    <w:rsid w:val="00497848"/>
    <w:rsid w:val="00497959"/>
    <w:rsid w:val="004A0ED4"/>
    <w:rsid w:val="004A4721"/>
    <w:rsid w:val="004A58E5"/>
    <w:rsid w:val="004A6A7C"/>
    <w:rsid w:val="004C6084"/>
    <w:rsid w:val="004C768A"/>
    <w:rsid w:val="004D0688"/>
    <w:rsid w:val="004D6592"/>
    <w:rsid w:val="004D70B6"/>
    <w:rsid w:val="004E1DA0"/>
    <w:rsid w:val="004E615D"/>
    <w:rsid w:val="004E691F"/>
    <w:rsid w:val="004F0C02"/>
    <w:rsid w:val="004F16FA"/>
    <w:rsid w:val="004F5BDA"/>
    <w:rsid w:val="00500A1E"/>
    <w:rsid w:val="00505FBE"/>
    <w:rsid w:val="005060FF"/>
    <w:rsid w:val="00507112"/>
    <w:rsid w:val="00507DED"/>
    <w:rsid w:val="00512BE7"/>
    <w:rsid w:val="005138A5"/>
    <w:rsid w:val="00516AA3"/>
    <w:rsid w:val="00524572"/>
    <w:rsid w:val="00530AB2"/>
    <w:rsid w:val="00530B9F"/>
    <w:rsid w:val="005316C5"/>
    <w:rsid w:val="00531DB6"/>
    <w:rsid w:val="00532BCB"/>
    <w:rsid w:val="00532F9A"/>
    <w:rsid w:val="00540EBD"/>
    <w:rsid w:val="005410C1"/>
    <w:rsid w:val="005427F9"/>
    <w:rsid w:val="005446A8"/>
    <w:rsid w:val="005447DF"/>
    <w:rsid w:val="005458EC"/>
    <w:rsid w:val="00546C82"/>
    <w:rsid w:val="005504AA"/>
    <w:rsid w:val="005510DD"/>
    <w:rsid w:val="005530E3"/>
    <w:rsid w:val="005559C1"/>
    <w:rsid w:val="00556941"/>
    <w:rsid w:val="0056463F"/>
    <w:rsid w:val="005646CD"/>
    <w:rsid w:val="0056489B"/>
    <w:rsid w:val="00574287"/>
    <w:rsid w:val="00582037"/>
    <w:rsid w:val="00584EA0"/>
    <w:rsid w:val="0058513B"/>
    <w:rsid w:val="00585F4C"/>
    <w:rsid w:val="00586756"/>
    <w:rsid w:val="00591702"/>
    <w:rsid w:val="0059257F"/>
    <w:rsid w:val="00593C4E"/>
    <w:rsid w:val="00594996"/>
    <w:rsid w:val="00595909"/>
    <w:rsid w:val="00596E3F"/>
    <w:rsid w:val="005A22A5"/>
    <w:rsid w:val="005A40C2"/>
    <w:rsid w:val="005A647D"/>
    <w:rsid w:val="005A7FC6"/>
    <w:rsid w:val="005B158F"/>
    <w:rsid w:val="005B19FE"/>
    <w:rsid w:val="005B1BD1"/>
    <w:rsid w:val="005B1EAF"/>
    <w:rsid w:val="005B3A1A"/>
    <w:rsid w:val="005B3A42"/>
    <w:rsid w:val="005B4BFC"/>
    <w:rsid w:val="005B5231"/>
    <w:rsid w:val="005C317B"/>
    <w:rsid w:val="005C3C53"/>
    <w:rsid w:val="005C3D26"/>
    <w:rsid w:val="005C76E3"/>
    <w:rsid w:val="005D02BC"/>
    <w:rsid w:val="005E1127"/>
    <w:rsid w:val="005E29A4"/>
    <w:rsid w:val="005F4740"/>
    <w:rsid w:val="005F59AA"/>
    <w:rsid w:val="005F60F0"/>
    <w:rsid w:val="005F7C0C"/>
    <w:rsid w:val="00600AD2"/>
    <w:rsid w:val="0060327D"/>
    <w:rsid w:val="0060453C"/>
    <w:rsid w:val="00605A91"/>
    <w:rsid w:val="00606169"/>
    <w:rsid w:val="0060777F"/>
    <w:rsid w:val="00607D8E"/>
    <w:rsid w:val="00610149"/>
    <w:rsid w:val="00614AC0"/>
    <w:rsid w:val="00620DD3"/>
    <w:rsid w:val="0062348C"/>
    <w:rsid w:val="006318C9"/>
    <w:rsid w:val="00632601"/>
    <w:rsid w:val="006344FA"/>
    <w:rsid w:val="006367D6"/>
    <w:rsid w:val="00640006"/>
    <w:rsid w:val="0064041E"/>
    <w:rsid w:val="00640B02"/>
    <w:rsid w:val="0064638E"/>
    <w:rsid w:val="00650E64"/>
    <w:rsid w:val="006553BA"/>
    <w:rsid w:val="0065754D"/>
    <w:rsid w:val="00657E24"/>
    <w:rsid w:val="00664625"/>
    <w:rsid w:val="0066559D"/>
    <w:rsid w:val="00671E0B"/>
    <w:rsid w:val="0067422A"/>
    <w:rsid w:val="006802FD"/>
    <w:rsid w:val="006818CB"/>
    <w:rsid w:val="00684854"/>
    <w:rsid w:val="0068570A"/>
    <w:rsid w:val="00687FC3"/>
    <w:rsid w:val="006909B3"/>
    <w:rsid w:val="00691B1E"/>
    <w:rsid w:val="00693244"/>
    <w:rsid w:val="00693793"/>
    <w:rsid w:val="00693A71"/>
    <w:rsid w:val="00697210"/>
    <w:rsid w:val="006A377B"/>
    <w:rsid w:val="006A3CDA"/>
    <w:rsid w:val="006A6EF7"/>
    <w:rsid w:val="006B0C33"/>
    <w:rsid w:val="006B22CF"/>
    <w:rsid w:val="006B35BB"/>
    <w:rsid w:val="006C25FC"/>
    <w:rsid w:val="006C2EEC"/>
    <w:rsid w:val="006C3EE5"/>
    <w:rsid w:val="006C43F3"/>
    <w:rsid w:val="006C4497"/>
    <w:rsid w:val="006C5BC4"/>
    <w:rsid w:val="006C643E"/>
    <w:rsid w:val="006D118B"/>
    <w:rsid w:val="006D2526"/>
    <w:rsid w:val="006D6392"/>
    <w:rsid w:val="006D7957"/>
    <w:rsid w:val="006E47E0"/>
    <w:rsid w:val="006E4968"/>
    <w:rsid w:val="006E546F"/>
    <w:rsid w:val="006E5981"/>
    <w:rsid w:val="006F0D69"/>
    <w:rsid w:val="006F39AB"/>
    <w:rsid w:val="006F7CB3"/>
    <w:rsid w:val="007006E2"/>
    <w:rsid w:val="00702229"/>
    <w:rsid w:val="007023B2"/>
    <w:rsid w:val="007039A8"/>
    <w:rsid w:val="0070784B"/>
    <w:rsid w:val="00710947"/>
    <w:rsid w:val="00711370"/>
    <w:rsid w:val="00713A3A"/>
    <w:rsid w:val="007169BC"/>
    <w:rsid w:val="0071744F"/>
    <w:rsid w:val="00732F33"/>
    <w:rsid w:val="00733215"/>
    <w:rsid w:val="007348CC"/>
    <w:rsid w:val="00734B65"/>
    <w:rsid w:val="00735B82"/>
    <w:rsid w:val="007531C4"/>
    <w:rsid w:val="00754945"/>
    <w:rsid w:val="00756198"/>
    <w:rsid w:val="007577DB"/>
    <w:rsid w:val="00760E66"/>
    <w:rsid w:val="00762656"/>
    <w:rsid w:val="00764D05"/>
    <w:rsid w:val="00766841"/>
    <w:rsid w:val="00773AE8"/>
    <w:rsid w:val="00775D44"/>
    <w:rsid w:val="0077668B"/>
    <w:rsid w:val="007776CE"/>
    <w:rsid w:val="00780046"/>
    <w:rsid w:val="00780354"/>
    <w:rsid w:val="007819DD"/>
    <w:rsid w:val="00783B88"/>
    <w:rsid w:val="0078767B"/>
    <w:rsid w:val="0079128D"/>
    <w:rsid w:val="0079323F"/>
    <w:rsid w:val="007A4AB4"/>
    <w:rsid w:val="007A63DD"/>
    <w:rsid w:val="007B0558"/>
    <w:rsid w:val="007B5704"/>
    <w:rsid w:val="007B5FB6"/>
    <w:rsid w:val="007B730B"/>
    <w:rsid w:val="007C68A4"/>
    <w:rsid w:val="007C7F0B"/>
    <w:rsid w:val="007D0908"/>
    <w:rsid w:val="007D1CC1"/>
    <w:rsid w:val="007D2303"/>
    <w:rsid w:val="007D287B"/>
    <w:rsid w:val="007D4414"/>
    <w:rsid w:val="007D4CA7"/>
    <w:rsid w:val="007D7746"/>
    <w:rsid w:val="007E1DE6"/>
    <w:rsid w:val="007E5E09"/>
    <w:rsid w:val="007E6790"/>
    <w:rsid w:val="007E7C8B"/>
    <w:rsid w:val="007F11CC"/>
    <w:rsid w:val="007F1387"/>
    <w:rsid w:val="00803042"/>
    <w:rsid w:val="008038AA"/>
    <w:rsid w:val="00803D30"/>
    <w:rsid w:val="00805838"/>
    <w:rsid w:val="008067CF"/>
    <w:rsid w:val="00806A1D"/>
    <w:rsid w:val="008105B0"/>
    <w:rsid w:val="00813D71"/>
    <w:rsid w:val="00814869"/>
    <w:rsid w:val="00814EB6"/>
    <w:rsid w:val="00814EEE"/>
    <w:rsid w:val="0082073E"/>
    <w:rsid w:val="008223EF"/>
    <w:rsid w:val="00822E32"/>
    <w:rsid w:val="00823B41"/>
    <w:rsid w:val="00826D89"/>
    <w:rsid w:val="008318F4"/>
    <w:rsid w:val="0083418F"/>
    <w:rsid w:val="00834459"/>
    <w:rsid w:val="00834B0C"/>
    <w:rsid w:val="00835736"/>
    <w:rsid w:val="00835D56"/>
    <w:rsid w:val="00840A0C"/>
    <w:rsid w:val="008442F6"/>
    <w:rsid w:val="00847979"/>
    <w:rsid w:val="00850FF3"/>
    <w:rsid w:val="008520E2"/>
    <w:rsid w:val="00852A46"/>
    <w:rsid w:val="00853537"/>
    <w:rsid w:val="008603FF"/>
    <w:rsid w:val="008609BF"/>
    <w:rsid w:val="00861707"/>
    <w:rsid w:val="00862D9B"/>
    <w:rsid w:val="0087195E"/>
    <w:rsid w:val="008767CE"/>
    <w:rsid w:val="008806CE"/>
    <w:rsid w:val="00880984"/>
    <w:rsid w:val="0088797B"/>
    <w:rsid w:val="00896BFF"/>
    <w:rsid w:val="00896DBB"/>
    <w:rsid w:val="0089772F"/>
    <w:rsid w:val="008A0FD7"/>
    <w:rsid w:val="008A1F47"/>
    <w:rsid w:val="008A7CC6"/>
    <w:rsid w:val="008C20AC"/>
    <w:rsid w:val="008C21A4"/>
    <w:rsid w:val="008C3EF5"/>
    <w:rsid w:val="008D1C45"/>
    <w:rsid w:val="008D225C"/>
    <w:rsid w:val="008D7966"/>
    <w:rsid w:val="008E0BDC"/>
    <w:rsid w:val="008E2748"/>
    <w:rsid w:val="008E2A88"/>
    <w:rsid w:val="008E3EDD"/>
    <w:rsid w:val="008F10FD"/>
    <w:rsid w:val="008F3FDD"/>
    <w:rsid w:val="009042B2"/>
    <w:rsid w:val="0091393F"/>
    <w:rsid w:val="009173AC"/>
    <w:rsid w:val="009322DD"/>
    <w:rsid w:val="00932857"/>
    <w:rsid w:val="0093592B"/>
    <w:rsid w:val="009359F4"/>
    <w:rsid w:val="0093688A"/>
    <w:rsid w:val="00946DB4"/>
    <w:rsid w:val="00950E8B"/>
    <w:rsid w:val="00952A0F"/>
    <w:rsid w:val="0095480D"/>
    <w:rsid w:val="0096415D"/>
    <w:rsid w:val="009653E1"/>
    <w:rsid w:val="00965FC0"/>
    <w:rsid w:val="009711C5"/>
    <w:rsid w:val="00971499"/>
    <w:rsid w:val="00982861"/>
    <w:rsid w:val="00987F2B"/>
    <w:rsid w:val="009939C2"/>
    <w:rsid w:val="009A0A7A"/>
    <w:rsid w:val="009A511D"/>
    <w:rsid w:val="009A570A"/>
    <w:rsid w:val="009A7E7C"/>
    <w:rsid w:val="009B08C9"/>
    <w:rsid w:val="009B1256"/>
    <w:rsid w:val="009B4023"/>
    <w:rsid w:val="009B5902"/>
    <w:rsid w:val="009C1276"/>
    <w:rsid w:val="009C7048"/>
    <w:rsid w:val="009C79B4"/>
    <w:rsid w:val="009D18FC"/>
    <w:rsid w:val="009D27F9"/>
    <w:rsid w:val="009D6654"/>
    <w:rsid w:val="009D6BAB"/>
    <w:rsid w:val="009D73DA"/>
    <w:rsid w:val="009E0D5D"/>
    <w:rsid w:val="009E3ABE"/>
    <w:rsid w:val="009E54FF"/>
    <w:rsid w:val="009E6C2F"/>
    <w:rsid w:val="009E7197"/>
    <w:rsid w:val="009F1238"/>
    <w:rsid w:val="009F4403"/>
    <w:rsid w:val="009F5375"/>
    <w:rsid w:val="00A002B2"/>
    <w:rsid w:val="00A01089"/>
    <w:rsid w:val="00A01F0E"/>
    <w:rsid w:val="00A05877"/>
    <w:rsid w:val="00A11010"/>
    <w:rsid w:val="00A11263"/>
    <w:rsid w:val="00A124BD"/>
    <w:rsid w:val="00A12FB3"/>
    <w:rsid w:val="00A14445"/>
    <w:rsid w:val="00A148AF"/>
    <w:rsid w:val="00A16FBB"/>
    <w:rsid w:val="00A237CC"/>
    <w:rsid w:val="00A23B4C"/>
    <w:rsid w:val="00A274A3"/>
    <w:rsid w:val="00A30CA2"/>
    <w:rsid w:val="00A32106"/>
    <w:rsid w:val="00A3230D"/>
    <w:rsid w:val="00A379D0"/>
    <w:rsid w:val="00A40702"/>
    <w:rsid w:val="00A41D2C"/>
    <w:rsid w:val="00A438DA"/>
    <w:rsid w:val="00A45388"/>
    <w:rsid w:val="00A45483"/>
    <w:rsid w:val="00A45CA9"/>
    <w:rsid w:val="00A474EB"/>
    <w:rsid w:val="00A543C2"/>
    <w:rsid w:val="00A554CC"/>
    <w:rsid w:val="00A60798"/>
    <w:rsid w:val="00A61353"/>
    <w:rsid w:val="00A637AD"/>
    <w:rsid w:val="00A640ED"/>
    <w:rsid w:val="00A72917"/>
    <w:rsid w:val="00A738DB"/>
    <w:rsid w:val="00A76331"/>
    <w:rsid w:val="00A76A0C"/>
    <w:rsid w:val="00A770C4"/>
    <w:rsid w:val="00A778D9"/>
    <w:rsid w:val="00A80C22"/>
    <w:rsid w:val="00A83619"/>
    <w:rsid w:val="00A852B5"/>
    <w:rsid w:val="00A856E6"/>
    <w:rsid w:val="00A91389"/>
    <w:rsid w:val="00A94076"/>
    <w:rsid w:val="00A969EB"/>
    <w:rsid w:val="00A96F4F"/>
    <w:rsid w:val="00A97EE7"/>
    <w:rsid w:val="00AA0F33"/>
    <w:rsid w:val="00AB0D0F"/>
    <w:rsid w:val="00AB0E53"/>
    <w:rsid w:val="00AB3114"/>
    <w:rsid w:val="00AB3E03"/>
    <w:rsid w:val="00AC1517"/>
    <w:rsid w:val="00AC2041"/>
    <w:rsid w:val="00AC601F"/>
    <w:rsid w:val="00AD16EE"/>
    <w:rsid w:val="00AD31D9"/>
    <w:rsid w:val="00AD374F"/>
    <w:rsid w:val="00AE1BC5"/>
    <w:rsid w:val="00AE5EDF"/>
    <w:rsid w:val="00AE6670"/>
    <w:rsid w:val="00AF06BD"/>
    <w:rsid w:val="00AF74B0"/>
    <w:rsid w:val="00B00222"/>
    <w:rsid w:val="00B00B62"/>
    <w:rsid w:val="00B0201E"/>
    <w:rsid w:val="00B021C9"/>
    <w:rsid w:val="00B0751F"/>
    <w:rsid w:val="00B10261"/>
    <w:rsid w:val="00B1063C"/>
    <w:rsid w:val="00B113B2"/>
    <w:rsid w:val="00B16D00"/>
    <w:rsid w:val="00B17487"/>
    <w:rsid w:val="00B17726"/>
    <w:rsid w:val="00B23442"/>
    <w:rsid w:val="00B36484"/>
    <w:rsid w:val="00B45640"/>
    <w:rsid w:val="00B5260E"/>
    <w:rsid w:val="00B53E65"/>
    <w:rsid w:val="00B55B9B"/>
    <w:rsid w:val="00B561B6"/>
    <w:rsid w:val="00B6681E"/>
    <w:rsid w:val="00B6707F"/>
    <w:rsid w:val="00B67DE1"/>
    <w:rsid w:val="00B7021B"/>
    <w:rsid w:val="00B74B45"/>
    <w:rsid w:val="00B770FE"/>
    <w:rsid w:val="00B8156D"/>
    <w:rsid w:val="00B81FB3"/>
    <w:rsid w:val="00B86C42"/>
    <w:rsid w:val="00B912A2"/>
    <w:rsid w:val="00B93D2E"/>
    <w:rsid w:val="00B94717"/>
    <w:rsid w:val="00B94DEE"/>
    <w:rsid w:val="00BA1D0B"/>
    <w:rsid w:val="00BA21AD"/>
    <w:rsid w:val="00BA2410"/>
    <w:rsid w:val="00BA45AF"/>
    <w:rsid w:val="00BB1DCF"/>
    <w:rsid w:val="00BB3E60"/>
    <w:rsid w:val="00BB4210"/>
    <w:rsid w:val="00BB6F90"/>
    <w:rsid w:val="00BB7373"/>
    <w:rsid w:val="00BC3D65"/>
    <w:rsid w:val="00BC488E"/>
    <w:rsid w:val="00BC6F42"/>
    <w:rsid w:val="00BC7E80"/>
    <w:rsid w:val="00BD1B41"/>
    <w:rsid w:val="00BD2E58"/>
    <w:rsid w:val="00BD3CBD"/>
    <w:rsid w:val="00BD5D57"/>
    <w:rsid w:val="00BE2776"/>
    <w:rsid w:val="00BE29D9"/>
    <w:rsid w:val="00BE2DF2"/>
    <w:rsid w:val="00BE6AD3"/>
    <w:rsid w:val="00BF2A1B"/>
    <w:rsid w:val="00BF34A4"/>
    <w:rsid w:val="00BF3777"/>
    <w:rsid w:val="00BF4A9C"/>
    <w:rsid w:val="00C042AF"/>
    <w:rsid w:val="00C06D12"/>
    <w:rsid w:val="00C10D9D"/>
    <w:rsid w:val="00C1119B"/>
    <w:rsid w:val="00C115C2"/>
    <w:rsid w:val="00C1257C"/>
    <w:rsid w:val="00C1392D"/>
    <w:rsid w:val="00C14EAA"/>
    <w:rsid w:val="00C213C2"/>
    <w:rsid w:val="00C23907"/>
    <w:rsid w:val="00C24FE9"/>
    <w:rsid w:val="00C31008"/>
    <w:rsid w:val="00C328CC"/>
    <w:rsid w:val="00C33F20"/>
    <w:rsid w:val="00C37D40"/>
    <w:rsid w:val="00C37EF1"/>
    <w:rsid w:val="00C409A5"/>
    <w:rsid w:val="00C41C9C"/>
    <w:rsid w:val="00C45B5E"/>
    <w:rsid w:val="00C46294"/>
    <w:rsid w:val="00C46F97"/>
    <w:rsid w:val="00C52D32"/>
    <w:rsid w:val="00C52F89"/>
    <w:rsid w:val="00C53054"/>
    <w:rsid w:val="00C549F8"/>
    <w:rsid w:val="00C563B6"/>
    <w:rsid w:val="00C5647F"/>
    <w:rsid w:val="00C56A46"/>
    <w:rsid w:val="00C571CA"/>
    <w:rsid w:val="00C5791C"/>
    <w:rsid w:val="00C57E87"/>
    <w:rsid w:val="00C646A8"/>
    <w:rsid w:val="00C6547C"/>
    <w:rsid w:val="00C65E76"/>
    <w:rsid w:val="00C73C0F"/>
    <w:rsid w:val="00C76B8E"/>
    <w:rsid w:val="00C808D9"/>
    <w:rsid w:val="00C84E10"/>
    <w:rsid w:val="00C84F8D"/>
    <w:rsid w:val="00C92E87"/>
    <w:rsid w:val="00C95306"/>
    <w:rsid w:val="00C96C49"/>
    <w:rsid w:val="00C97CA4"/>
    <w:rsid w:val="00CA4C94"/>
    <w:rsid w:val="00CA7572"/>
    <w:rsid w:val="00CA7F74"/>
    <w:rsid w:val="00CB1754"/>
    <w:rsid w:val="00CB6246"/>
    <w:rsid w:val="00CB6457"/>
    <w:rsid w:val="00CC3160"/>
    <w:rsid w:val="00CD00AA"/>
    <w:rsid w:val="00CD1B1B"/>
    <w:rsid w:val="00CD29C2"/>
    <w:rsid w:val="00CD3E10"/>
    <w:rsid w:val="00CD6207"/>
    <w:rsid w:val="00CE0219"/>
    <w:rsid w:val="00CE3355"/>
    <w:rsid w:val="00CE3588"/>
    <w:rsid w:val="00CE39B8"/>
    <w:rsid w:val="00CE5885"/>
    <w:rsid w:val="00CF13A5"/>
    <w:rsid w:val="00CF20DC"/>
    <w:rsid w:val="00CF297B"/>
    <w:rsid w:val="00CF4344"/>
    <w:rsid w:val="00CF588E"/>
    <w:rsid w:val="00CF72D7"/>
    <w:rsid w:val="00D0012A"/>
    <w:rsid w:val="00D015A4"/>
    <w:rsid w:val="00D02F59"/>
    <w:rsid w:val="00D05EA7"/>
    <w:rsid w:val="00D1092B"/>
    <w:rsid w:val="00D10AC9"/>
    <w:rsid w:val="00D12870"/>
    <w:rsid w:val="00D1423F"/>
    <w:rsid w:val="00D1652B"/>
    <w:rsid w:val="00D177A0"/>
    <w:rsid w:val="00D20092"/>
    <w:rsid w:val="00D22E65"/>
    <w:rsid w:val="00D22EAF"/>
    <w:rsid w:val="00D24D0C"/>
    <w:rsid w:val="00D3078B"/>
    <w:rsid w:val="00D3118E"/>
    <w:rsid w:val="00D31438"/>
    <w:rsid w:val="00D314C6"/>
    <w:rsid w:val="00D32927"/>
    <w:rsid w:val="00D332B6"/>
    <w:rsid w:val="00D34BC5"/>
    <w:rsid w:val="00D36BA1"/>
    <w:rsid w:val="00D37F07"/>
    <w:rsid w:val="00D40925"/>
    <w:rsid w:val="00D41BB8"/>
    <w:rsid w:val="00D4619D"/>
    <w:rsid w:val="00D56DE4"/>
    <w:rsid w:val="00D61BAB"/>
    <w:rsid w:val="00D629BD"/>
    <w:rsid w:val="00D63855"/>
    <w:rsid w:val="00D651E4"/>
    <w:rsid w:val="00D65C34"/>
    <w:rsid w:val="00D67892"/>
    <w:rsid w:val="00D7119E"/>
    <w:rsid w:val="00D76340"/>
    <w:rsid w:val="00D8272D"/>
    <w:rsid w:val="00D848AF"/>
    <w:rsid w:val="00D85656"/>
    <w:rsid w:val="00D87225"/>
    <w:rsid w:val="00D92FE1"/>
    <w:rsid w:val="00D97F78"/>
    <w:rsid w:val="00DA0378"/>
    <w:rsid w:val="00DA33AC"/>
    <w:rsid w:val="00DA4D73"/>
    <w:rsid w:val="00DA5285"/>
    <w:rsid w:val="00DA74BB"/>
    <w:rsid w:val="00DB07A5"/>
    <w:rsid w:val="00DB62E8"/>
    <w:rsid w:val="00DB65A3"/>
    <w:rsid w:val="00DB78FC"/>
    <w:rsid w:val="00DC473D"/>
    <w:rsid w:val="00DC48F1"/>
    <w:rsid w:val="00DC58F4"/>
    <w:rsid w:val="00DC5BFB"/>
    <w:rsid w:val="00DC7B0C"/>
    <w:rsid w:val="00DD3EA6"/>
    <w:rsid w:val="00DE11FD"/>
    <w:rsid w:val="00DE1D8B"/>
    <w:rsid w:val="00DE2ECF"/>
    <w:rsid w:val="00DE49E1"/>
    <w:rsid w:val="00DF172C"/>
    <w:rsid w:val="00DF5286"/>
    <w:rsid w:val="00E01D1F"/>
    <w:rsid w:val="00E02A75"/>
    <w:rsid w:val="00E06A9D"/>
    <w:rsid w:val="00E07146"/>
    <w:rsid w:val="00E0783E"/>
    <w:rsid w:val="00E12971"/>
    <w:rsid w:val="00E13662"/>
    <w:rsid w:val="00E13809"/>
    <w:rsid w:val="00E14A77"/>
    <w:rsid w:val="00E150C3"/>
    <w:rsid w:val="00E154CE"/>
    <w:rsid w:val="00E15F80"/>
    <w:rsid w:val="00E2067D"/>
    <w:rsid w:val="00E20A41"/>
    <w:rsid w:val="00E2231D"/>
    <w:rsid w:val="00E315FC"/>
    <w:rsid w:val="00E32DDC"/>
    <w:rsid w:val="00E352A5"/>
    <w:rsid w:val="00E36B78"/>
    <w:rsid w:val="00E37A49"/>
    <w:rsid w:val="00E410F8"/>
    <w:rsid w:val="00E4522F"/>
    <w:rsid w:val="00E45C0C"/>
    <w:rsid w:val="00E54AE7"/>
    <w:rsid w:val="00E551F9"/>
    <w:rsid w:val="00E55CEB"/>
    <w:rsid w:val="00E57456"/>
    <w:rsid w:val="00E62A4B"/>
    <w:rsid w:val="00E62E7F"/>
    <w:rsid w:val="00E62EE9"/>
    <w:rsid w:val="00E63092"/>
    <w:rsid w:val="00E63BD8"/>
    <w:rsid w:val="00E65AC2"/>
    <w:rsid w:val="00E67E8A"/>
    <w:rsid w:val="00E7037F"/>
    <w:rsid w:val="00E72913"/>
    <w:rsid w:val="00E753E2"/>
    <w:rsid w:val="00E75C04"/>
    <w:rsid w:val="00E768ED"/>
    <w:rsid w:val="00E773FF"/>
    <w:rsid w:val="00E80627"/>
    <w:rsid w:val="00E818E0"/>
    <w:rsid w:val="00E81A69"/>
    <w:rsid w:val="00E83991"/>
    <w:rsid w:val="00E913E8"/>
    <w:rsid w:val="00EA0ABC"/>
    <w:rsid w:val="00EB00DB"/>
    <w:rsid w:val="00EB62F3"/>
    <w:rsid w:val="00EC16FE"/>
    <w:rsid w:val="00EC21BE"/>
    <w:rsid w:val="00EC3938"/>
    <w:rsid w:val="00EC4F17"/>
    <w:rsid w:val="00EC643A"/>
    <w:rsid w:val="00EC6917"/>
    <w:rsid w:val="00ED1A5A"/>
    <w:rsid w:val="00ED1D2C"/>
    <w:rsid w:val="00ED2DE2"/>
    <w:rsid w:val="00ED3441"/>
    <w:rsid w:val="00ED4643"/>
    <w:rsid w:val="00ED5203"/>
    <w:rsid w:val="00EE36E8"/>
    <w:rsid w:val="00EE49E7"/>
    <w:rsid w:val="00EE54B9"/>
    <w:rsid w:val="00EE7DE6"/>
    <w:rsid w:val="00EF7B8F"/>
    <w:rsid w:val="00F016C4"/>
    <w:rsid w:val="00F07E01"/>
    <w:rsid w:val="00F12B0C"/>
    <w:rsid w:val="00F135E4"/>
    <w:rsid w:val="00F13806"/>
    <w:rsid w:val="00F15375"/>
    <w:rsid w:val="00F15CD5"/>
    <w:rsid w:val="00F16393"/>
    <w:rsid w:val="00F20C42"/>
    <w:rsid w:val="00F21764"/>
    <w:rsid w:val="00F22B8B"/>
    <w:rsid w:val="00F22C19"/>
    <w:rsid w:val="00F23DFB"/>
    <w:rsid w:val="00F31777"/>
    <w:rsid w:val="00F36D7A"/>
    <w:rsid w:val="00F41EF2"/>
    <w:rsid w:val="00F45ABD"/>
    <w:rsid w:val="00F4760B"/>
    <w:rsid w:val="00F47F82"/>
    <w:rsid w:val="00F51473"/>
    <w:rsid w:val="00F52BFF"/>
    <w:rsid w:val="00F53E64"/>
    <w:rsid w:val="00F56218"/>
    <w:rsid w:val="00F56615"/>
    <w:rsid w:val="00F57DF1"/>
    <w:rsid w:val="00F60180"/>
    <w:rsid w:val="00F61C60"/>
    <w:rsid w:val="00F642AA"/>
    <w:rsid w:val="00F701CE"/>
    <w:rsid w:val="00F72FB0"/>
    <w:rsid w:val="00F73511"/>
    <w:rsid w:val="00F76366"/>
    <w:rsid w:val="00F77E7A"/>
    <w:rsid w:val="00F82439"/>
    <w:rsid w:val="00F8335E"/>
    <w:rsid w:val="00F91932"/>
    <w:rsid w:val="00F92048"/>
    <w:rsid w:val="00F92E72"/>
    <w:rsid w:val="00F951AC"/>
    <w:rsid w:val="00FA0F34"/>
    <w:rsid w:val="00FA1B6F"/>
    <w:rsid w:val="00FA1ED8"/>
    <w:rsid w:val="00FA6E66"/>
    <w:rsid w:val="00FA773F"/>
    <w:rsid w:val="00FB67B6"/>
    <w:rsid w:val="00FB77DF"/>
    <w:rsid w:val="00FB7CF6"/>
    <w:rsid w:val="00FC3409"/>
    <w:rsid w:val="00FC3883"/>
    <w:rsid w:val="00FC6061"/>
    <w:rsid w:val="00FD1286"/>
    <w:rsid w:val="00FE0D43"/>
    <w:rsid w:val="00FE1E79"/>
    <w:rsid w:val="00FE4493"/>
    <w:rsid w:val="00FE5BFC"/>
    <w:rsid w:val="00FE6365"/>
    <w:rsid w:val="00FE690E"/>
    <w:rsid w:val="00FF037F"/>
    <w:rsid w:val="00FF4A25"/>
    <w:rsid w:val="00FF4D6B"/>
    <w:rsid w:val="00FF64A0"/>
    <w:rsid w:val="00FF67A0"/>
    <w:rsid w:val="00FF6EE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CB2B517B-B500-48EA-B817-33EC331A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paragraph" w:styleId="Heading5">
    <w:name w:val="heading 5"/>
    <w:basedOn w:val="Normal"/>
    <w:next w:val="Normal"/>
    <w:link w:val="Heading5Char"/>
    <w:uiPriority w:val="9"/>
    <w:semiHidden/>
    <w:unhideWhenUsed/>
    <w:qFormat/>
    <w:rsid w:val="003F0524"/>
    <w:pPr>
      <w:spacing w:before="240" w:after="60"/>
      <w:ind w:left="1008" w:hanging="1008"/>
      <w:outlineLvl w:val="4"/>
    </w:pPr>
    <w:rPr>
      <w:rFonts w:ascii="Calibri" w:eastAsia="MS Mincho" w:hAnsi="Calibri"/>
      <w:b/>
      <w:bCs/>
      <w:i/>
      <w:iCs/>
      <w:color w:val="auto"/>
      <w:sz w:val="26"/>
      <w:szCs w:val="26"/>
      <w:lang w:val="x-none"/>
    </w:rPr>
  </w:style>
  <w:style w:type="paragraph" w:styleId="Heading6">
    <w:name w:val="heading 6"/>
    <w:basedOn w:val="Normal"/>
    <w:next w:val="Normal"/>
    <w:link w:val="Heading6Char"/>
    <w:uiPriority w:val="9"/>
    <w:semiHidden/>
    <w:unhideWhenUsed/>
    <w:qFormat/>
    <w:rsid w:val="003F0524"/>
    <w:pPr>
      <w:spacing w:before="240" w:after="60"/>
      <w:ind w:left="1152" w:hanging="1152"/>
      <w:outlineLvl w:val="5"/>
    </w:pPr>
    <w:rPr>
      <w:rFonts w:ascii="Calibri" w:eastAsia="MS Mincho" w:hAnsi="Calibri"/>
      <w:b/>
      <w:bCs/>
      <w:color w:val="auto"/>
      <w:lang w:val="x-none"/>
    </w:rPr>
  </w:style>
  <w:style w:type="paragraph" w:styleId="Heading7">
    <w:name w:val="heading 7"/>
    <w:basedOn w:val="Normal"/>
    <w:next w:val="Normal"/>
    <w:link w:val="Heading7Char"/>
    <w:uiPriority w:val="9"/>
    <w:semiHidden/>
    <w:unhideWhenUsed/>
    <w:qFormat/>
    <w:rsid w:val="003F0524"/>
    <w:pPr>
      <w:spacing w:before="240" w:after="60"/>
      <w:ind w:left="1296" w:hanging="1296"/>
      <w:outlineLvl w:val="6"/>
    </w:pPr>
    <w:rPr>
      <w:rFonts w:ascii="Calibri" w:eastAsia="MS Mincho" w:hAnsi="Calibri"/>
      <w:color w:val="auto"/>
      <w:sz w:val="24"/>
      <w:szCs w:val="24"/>
      <w:lang w:val="x-none"/>
    </w:rPr>
  </w:style>
  <w:style w:type="paragraph" w:styleId="Heading8">
    <w:name w:val="heading 8"/>
    <w:basedOn w:val="Normal"/>
    <w:next w:val="Normal"/>
    <w:link w:val="Heading8Char"/>
    <w:uiPriority w:val="9"/>
    <w:semiHidden/>
    <w:unhideWhenUsed/>
    <w:qFormat/>
    <w:rsid w:val="003F0524"/>
    <w:pPr>
      <w:spacing w:before="240" w:after="60"/>
      <w:ind w:left="1440" w:hanging="1440"/>
      <w:outlineLvl w:val="7"/>
    </w:pPr>
    <w:rPr>
      <w:rFonts w:ascii="Calibri" w:eastAsia="MS Mincho" w:hAnsi="Calibri"/>
      <w:i/>
      <w:iCs/>
      <w:color w:val="auto"/>
      <w:sz w:val="24"/>
      <w:szCs w:val="24"/>
      <w:lang w:val="x-none"/>
    </w:rPr>
  </w:style>
  <w:style w:type="paragraph" w:styleId="Heading9">
    <w:name w:val="heading 9"/>
    <w:basedOn w:val="Normal"/>
    <w:next w:val="Normal"/>
    <w:link w:val="Heading9Char"/>
    <w:uiPriority w:val="9"/>
    <w:semiHidden/>
    <w:unhideWhenUsed/>
    <w:qFormat/>
    <w:rsid w:val="003F0524"/>
    <w:pPr>
      <w:spacing w:before="240" w:after="60"/>
      <w:ind w:left="1584" w:hanging="1584"/>
      <w:outlineLvl w:val="8"/>
    </w:pPr>
    <w:rPr>
      <w:rFonts w:ascii="Cambria" w:eastAsia="MS Gothic" w:hAnsi="Cambria"/>
      <w:color w:val="auto"/>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semiHidden/>
    <w:unhideWhenUsed/>
    <w:rsid w:val="00C5647F"/>
    <w:rPr>
      <w:rFonts w:ascii="Tahoma" w:hAnsi="Tahoma" w:cs="Tahoma"/>
      <w:sz w:val="16"/>
      <w:szCs w:val="16"/>
    </w:rPr>
  </w:style>
  <w:style w:type="character" w:customStyle="1" w:styleId="BalloonTextChar">
    <w:name w:val="Balloon Text Char"/>
    <w:basedOn w:val="DefaultParagraphFont"/>
    <w:link w:val="BalloonText"/>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aliases w:val="_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aliases w:val="_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qFormat/>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99"/>
    <w:qFormat/>
    <w:rsid w:val="0022078E"/>
    <w:pPr>
      <w:numPr>
        <w:numId w:val="3"/>
      </w:numPr>
    </w:pPr>
    <w:rPr>
      <w:rFonts w:eastAsia="Times New Roman"/>
      <w:lang w:eastAsia="en-AU"/>
    </w:rPr>
  </w:style>
  <w:style w:type="paragraph" w:styleId="ListNumber">
    <w:name w:val="List Number"/>
    <w:basedOn w:val="Normal"/>
    <w:uiPriority w:val="2"/>
    <w:qFormat/>
    <w:rsid w:val="0022078E"/>
    <w:pPr>
      <w:numPr>
        <w:numId w:val="1"/>
      </w:numPr>
      <w:ind w:left="357" w:hanging="357"/>
    </w:pPr>
    <w:rPr>
      <w:rFonts w:eastAsia="Times New Roman"/>
      <w:lang w:eastAsia="en-AU"/>
    </w:rPr>
  </w:style>
  <w:style w:type="paragraph" w:styleId="TOC1">
    <w:name w:val="toc 1"/>
    <w:basedOn w:val="Normal"/>
    <w:next w:val="Normal"/>
    <w:autoRedefine/>
    <w:uiPriority w:val="39"/>
    <w:semiHidden/>
    <w:qFormat/>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qFormat/>
    <w:rsid w:val="00693793"/>
    <w:pPr>
      <w:spacing w:after="100"/>
      <w:ind w:left="220"/>
    </w:pPr>
  </w:style>
  <w:style w:type="paragraph" w:styleId="ListBullet2">
    <w:name w:val="List Bullet 2"/>
    <w:basedOn w:val="Normal"/>
    <w:uiPriority w:val="2"/>
    <w:semiHidden/>
    <w:qFormat/>
    <w:rsid w:val="00BE6AD3"/>
    <w:pPr>
      <w:numPr>
        <w:ilvl w:val="1"/>
        <w:numId w:val="3"/>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1"/>
      </w:numPr>
      <w:spacing w:after="0"/>
    </w:pPr>
    <w:rPr>
      <w:rFonts w:eastAsia="Times New Roman"/>
      <w:lang w:eastAsia="en-AU"/>
    </w:rPr>
  </w:style>
  <w:style w:type="paragraph" w:styleId="ListNumber3">
    <w:name w:val="List Number 3"/>
    <w:basedOn w:val="Normal"/>
    <w:uiPriority w:val="2"/>
    <w:semiHidden/>
    <w:rsid w:val="005316C5"/>
    <w:pPr>
      <w:numPr>
        <w:ilvl w:val="2"/>
        <w:numId w:val="1"/>
      </w:numPr>
      <w:spacing w:after="0"/>
    </w:pPr>
    <w:rPr>
      <w:rFonts w:eastAsia="Times New Roman"/>
      <w:lang w:eastAsia="en-AU"/>
    </w:rPr>
  </w:style>
  <w:style w:type="paragraph" w:styleId="ListNumber4">
    <w:name w:val="List Number 4"/>
    <w:basedOn w:val="Normal"/>
    <w:uiPriority w:val="2"/>
    <w:semiHidden/>
    <w:rsid w:val="005316C5"/>
    <w:pPr>
      <w:numPr>
        <w:ilvl w:val="3"/>
        <w:numId w:val="1"/>
      </w:numPr>
      <w:spacing w:after="0"/>
    </w:pPr>
    <w:rPr>
      <w:rFonts w:eastAsia="Times New Roman"/>
      <w:lang w:eastAsia="en-AU"/>
    </w:rPr>
  </w:style>
  <w:style w:type="paragraph" w:styleId="ListNumber5">
    <w:name w:val="List Number 5"/>
    <w:basedOn w:val="Normal"/>
    <w:uiPriority w:val="2"/>
    <w:semiHidden/>
    <w:rsid w:val="005316C5"/>
    <w:pPr>
      <w:numPr>
        <w:ilvl w:val="4"/>
        <w:numId w:val="1"/>
      </w:numPr>
      <w:spacing w:after="0"/>
    </w:pPr>
    <w:rPr>
      <w:rFonts w:eastAsia="Times New Roman"/>
      <w:lang w:eastAsia="en-AU"/>
    </w:rPr>
  </w:style>
  <w:style w:type="paragraph" w:styleId="List">
    <w:name w:val="List"/>
    <w:aliases w:val="List Letter"/>
    <w:basedOn w:val="Normal"/>
    <w:uiPriority w:val="2"/>
    <w:qFormat/>
    <w:rsid w:val="0022078E"/>
    <w:pPr>
      <w:numPr>
        <w:numId w:val="2"/>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qFormat/>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customStyle="1" w:styleId="Body">
    <w:name w:val="_Body"/>
    <w:basedOn w:val="Normal"/>
    <w:qFormat/>
    <w:rsid w:val="003F0524"/>
    <w:pPr>
      <w:spacing w:before="80" w:after="40"/>
      <w:ind w:left="-126" w:right="-120"/>
    </w:pPr>
    <w:rPr>
      <w:rFonts w:ascii="Arial" w:eastAsia="MS Gothic" w:hAnsi="Arial"/>
      <w:i/>
      <w:color w:val="000000"/>
      <w:sz w:val="17"/>
      <w:szCs w:val="17"/>
    </w:rPr>
  </w:style>
  <w:style w:type="character" w:customStyle="1" w:styleId="Heading5Char">
    <w:name w:val="Heading 5 Char"/>
    <w:basedOn w:val="DefaultParagraphFont"/>
    <w:link w:val="Heading5"/>
    <w:uiPriority w:val="9"/>
    <w:semiHidden/>
    <w:rsid w:val="003F0524"/>
    <w:rPr>
      <w:rFonts w:ascii="Calibri" w:eastAsia="MS Mincho" w:hAnsi="Calibri"/>
      <w:b/>
      <w:bCs/>
      <w:i/>
      <w:iCs/>
      <w:color w:val="auto"/>
      <w:sz w:val="26"/>
      <w:szCs w:val="26"/>
      <w:lang w:val="x-none"/>
    </w:rPr>
  </w:style>
  <w:style w:type="character" w:customStyle="1" w:styleId="Heading6Char">
    <w:name w:val="Heading 6 Char"/>
    <w:basedOn w:val="DefaultParagraphFont"/>
    <w:link w:val="Heading6"/>
    <w:uiPriority w:val="9"/>
    <w:semiHidden/>
    <w:rsid w:val="003F0524"/>
    <w:rPr>
      <w:rFonts w:ascii="Calibri" w:eastAsia="MS Mincho" w:hAnsi="Calibri"/>
      <w:b/>
      <w:bCs/>
      <w:color w:val="auto"/>
      <w:lang w:val="x-none"/>
    </w:rPr>
  </w:style>
  <w:style w:type="character" w:customStyle="1" w:styleId="Heading7Char">
    <w:name w:val="Heading 7 Char"/>
    <w:basedOn w:val="DefaultParagraphFont"/>
    <w:link w:val="Heading7"/>
    <w:uiPriority w:val="9"/>
    <w:semiHidden/>
    <w:rsid w:val="003F0524"/>
    <w:rPr>
      <w:rFonts w:ascii="Calibri" w:eastAsia="MS Mincho" w:hAnsi="Calibri"/>
      <w:color w:val="auto"/>
      <w:sz w:val="24"/>
      <w:szCs w:val="24"/>
      <w:lang w:val="x-none"/>
    </w:rPr>
  </w:style>
  <w:style w:type="character" w:customStyle="1" w:styleId="Heading8Char">
    <w:name w:val="Heading 8 Char"/>
    <w:basedOn w:val="DefaultParagraphFont"/>
    <w:link w:val="Heading8"/>
    <w:uiPriority w:val="9"/>
    <w:semiHidden/>
    <w:rsid w:val="003F0524"/>
    <w:rPr>
      <w:rFonts w:ascii="Calibri" w:eastAsia="MS Mincho" w:hAnsi="Calibri"/>
      <w:i/>
      <w:iCs/>
      <w:color w:val="auto"/>
      <w:sz w:val="24"/>
      <w:szCs w:val="24"/>
      <w:lang w:val="x-none"/>
    </w:rPr>
  </w:style>
  <w:style w:type="character" w:customStyle="1" w:styleId="Heading9Char">
    <w:name w:val="Heading 9 Char"/>
    <w:basedOn w:val="DefaultParagraphFont"/>
    <w:link w:val="Heading9"/>
    <w:uiPriority w:val="9"/>
    <w:semiHidden/>
    <w:rsid w:val="003F0524"/>
    <w:rPr>
      <w:rFonts w:ascii="Cambria" w:eastAsia="MS Gothic" w:hAnsi="Cambria"/>
      <w:color w:val="auto"/>
      <w:lang w:val="x-none"/>
    </w:rPr>
  </w:style>
  <w:style w:type="character" w:styleId="FollowedHyperlink">
    <w:name w:val="FollowedHyperlink"/>
    <w:uiPriority w:val="99"/>
    <w:semiHidden/>
    <w:unhideWhenUsed/>
    <w:rsid w:val="003F0524"/>
    <w:rPr>
      <w:color w:val="800080"/>
      <w:u w:val="single"/>
    </w:rPr>
  </w:style>
  <w:style w:type="paragraph" w:customStyle="1" w:styleId="msonormal0">
    <w:name w:val="msonormal"/>
    <w:basedOn w:val="Normal"/>
    <w:rsid w:val="003F0524"/>
    <w:pPr>
      <w:spacing w:before="100" w:beforeAutospacing="1" w:after="100" w:afterAutospacing="1"/>
    </w:pPr>
    <w:rPr>
      <w:rFonts w:ascii="Times New Roman" w:eastAsia="Times New Roman" w:hAnsi="Times New Roman"/>
      <w:color w:val="auto"/>
      <w:sz w:val="24"/>
      <w:szCs w:val="24"/>
      <w:lang w:eastAsia="en-AU"/>
    </w:rPr>
  </w:style>
  <w:style w:type="paragraph" w:styleId="CommentText">
    <w:name w:val="annotation text"/>
    <w:basedOn w:val="Normal"/>
    <w:link w:val="CommentTextChar"/>
    <w:unhideWhenUsed/>
    <w:rsid w:val="003F0524"/>
    <w:pPr>
      <w:spacing w:before="0" w:after="0"/>
    </w:pPr>
    <w:rPr>
      <w:rFonts w:ascii="Arial" w:eastAsia="MS Gothic" w:hAnsi="Arial"/>
      <w:color w:val="auto"/>
      <w:sz w:val="20"/>
      <w:szCs w:val="20"/>
      <w:lang w:val="x-none"/>
    </w:rPr>
  </w:style>
  <w:style w:type="character" w:customStyle="1" w:styleId="CommentTextChar">
    <w:name w:val="Comment Text Char"/>
    <w:basedOn w:val="DefaultParagraphFont"/>
    <w:link w:val="CommentText"/>
    <w:rsid w:val="003F0524"/>
    <w:rPr>
      <w:rFonts w:ascii="Arial" w:eastAsia="MS Gothic" w:hAnsi="Arial"/>
      <w:color w:val="auto"/>
      <w:sz w:val="20"/>
      <w:szCs w:val="20"/>
      <w:lang w:val="x-none"/>
    </w:rPr>
  </w:style>
  <w:style w:type="character" w:customStyle="1" w:styleId="FooterChar1">
    <w:name w:val="Footer Char1"/>
    <w:aliases w:val="_Footer Char1"/>
    <w:basedOn w:val="DefaultParagraphFont"/>
    <w:uiPriority w:val="99"/>
    <w:semiHidden/>
    <w:rsid w:val="003F0524"/>
    <w:rPr>
      <w:rFonts w:ascii="Arial" w:eastAsia="MS Gothic" w:hAnsi="Arial"/>
      <w:color w:val="auto"/>
      <w:sz w:val="24"/>
      <w:szCs w:val="24"/>
    </w:rPr>
  </w:style>
  <w:style w:type="paragraph" w:styleId="CommentSubject">
    <w:name w:val="annotation subject"/>
    <w:basedOn w:val="CommentText"/>
    <w:next w:val="CommentText"/>
    <w:link w:val="CommentSubjectChar"/>
    <w:uiPriority w:val="99"/>
    <w:semiHidden/>
    <w:unhideWhenUsed/>
    <w:rsid w:val="003F0524"/>
    <w:rPr>
      <w:b/>
      <w:bCs/>
    </w:rPr>
  </w:style>
  <w:style w:type="character" w:customStyle="1" w:styleId="CommentSubjectChar">
    <w:name w:val="Comment Subject Char"/>
    <w:basedOn w:val="CommentTextChar"/>
    <w:link w:val="CommentSubject"/>
    <w:uiPriority w:val="99"/>
    <w:semiHidden/>
    <w:rsid w:val="003F0524"/>
    <w:rPr>
      <w:rFonts w:ascii="Arial" w:eastAsia="MS Gothic" w:hAnsi="Arial"/>
      <w:b/>
      <w:bCs/>
      <w:color w:val="auto"/>
      <w:sz w:val="20"/>
      <w:szCs w:val="20"/>
      <w:lang w:val="x-none"/>
    </w:rPr>
  </w:style>
  <w:style w:type="paragraph" w:styleId="Revision">
    <w:name w:val="Revision"/>
    <w:uiPriority w:val="99"/>
    <w:semiHidden/>
    <w:rsid w:val="003F0524"/>
    <w:pPr>
      <w:spacing w:before="0" w:after="0"/>
    </w:pPr>
    <w:rPr>
      <w:rFonts w:ascii="Arial" w:eastAsia="MS Gothic" w:hAnsi="Arial"/>
      <w:color w:val="auto"/>
      <w:sz w:val="24"/>
      <w:szCs w:val="24"/>
    </w:rPr>
  </w:style>
  <w:style w:type="paragraph" w:customStyle="1" w:styleId="TitleHeading">
    <w:name w:val="_TitleHeading"/>
    <w:basedOn w:val="Normal"/>
    <w:qFormat/>
    <w:rsid w:val="003F0524"/>
    <w:pPr>
      <w:spacing w:before="600" w:after="0"/>
      <w:ind w:left="425" w:right="5236"/>
    </w:pPr>
    <w:rPr>
      <w:rFonts w:ascii="Arial" w:eastAsia="MS Gothic" w:hAnsi="Arial"/>
      <w:b/>
      <w:color w:val="FFFFFF"/>
      <w:sz w:val="68"/>
      <w:szCs w:val="24"/>
    </w:rPr>
  </w:style>
  <w:style w:type="paragraph" w:customStyle="1" w:styleId="BasicParagraph">
    <w:name w:val="[Basic Paragraph]"/>
    <w:basedOn w:val="Normal"/>
    <w:semiHidden/>
    <w:rsid w:val="003F0524"/>
    <w:pPr>
      <w:widowControl w:val="0"/>
      <w:autoSpaceDE w:val="0"/>
      <w:autoSpaceDN w:val="0"/>
      <w:adjustRightInd w:val="0"/>
      <w:spacing w:before="0" w:after="0" w:line="288" w:lineRule="auto"/>
    </w:pPr>
    <w:rPr>
      <w:rFonts w:ascii="Times-Roman" w:eastAsia="MS Gothic" w:hAnsi="Times-Roman"/>
      <w:color w:val="000000"/>
      <w:sz w:val="24"/>
      <w:szCs w:val="24"/>
      <w:lang w:val="en-US"/>
    </w:rPr>
  </w:style>
  <w:style w:type="paragraph" w:customStyle="1" w:styleId="BodyBold">
    <w:name w:val="Body Bold"/>
    <w:basedOn w:val="Normal"/>
    <w:semiHidden/>
    <w:rsid w:val="003F0524"/>
    <w:pPr>
      <w:widowControl w:val="0"/>
      <w:autoSpaceDE w:val="0"/>
      <w:autoSpaceDN w:val="0"/>
      <w:adjustRightInd w:val="0"/>
      <w:spacing w:before="0" w:after="240"/>
      <w:ind w:left="-70"/>
    </w:pPr>
    <w:rPr>
      <w:rFonts w:ascii="Arial" w:eastAsia="MS Gothic" w:hAnsi="Arial"/>
      <w:b/>
      <w:color w:val="000000"/>
      <w:sz w:val="20"/>
      <w:szCs w:val="9"/>
      <w:lang w:val="en-US"/>
    </w:rPr>
  </w:style>
  <w:style w:type="paragraph" w:customStyle="1" w:styleId="TitleSubHeading">
    <w:name w:val="_Title SubHeading"/>
    <w:basedOn w:val="TitleHeading"/>
    <w:qFormat/>
    <w:rsid w:val="003F0524"/>
    <w:pPr>
      <w:spacing w:before="0"/>
      <w:ind w:right="0"/>
    </w:pPr>
    <w:rPr>
      <w:b w:val="0"/>
      <w:sz w:val="21"/>
    </w:rPr>
  </w:style>
  <w:style w:type="paragraph" w:customStyle="1" w:styleId="BodyHeading">
    <w:name w:val="_BodyHeading"/>
    <w:basedOn w:val="Normal"/>
    <w:next w:val="Body"/>
    <w:qFormat/>
    <w:rsid w:val="003F0524"/>
    <w:pPr>
      <w:pageBreakBefore/>
      <w:spacing w:before="480" w:after="600"/>
      <w:ind w:left="34"/>
    </w:pPr>
    <w:rPr>
      <w:rFonts w:ascii="Arial" w:eastAsia="MS Gothic" w:hAnsi="Arial"/>
      <w:color w:val="003591"/>
      <w:sz w:val="44"/>
      <w:szCs w:val="24"/>
    </w:rPr>
  </w:style>
  <w:style w:type="paragraph" w:customStyle="1" w:styleId="Clear">
    <w:name w:val="Clear`"/>
    <w:basedOn w:val="Body"/>
    <w:semiHidden/>
    <w:rsid w:val="003F0524"/>
  </w:style>
  <w:style w:type="paragraph" w:customStyle="1" w:styleId="BodyHeading1">
    <w:name w:val="_BodyHeading1"/>
    <w:basedOn w:val="Body"/>
    <w:next w:val="Body"/>
    <w:qFormat/>
    <w:rsid w:val="003F0524"/>
    <w:pPr>
      <w:pageBreakBefore/>
      <w:spacing w:after="600"/>
    </w:pPr>
    <w:rPr>
      <w:b/>
      <w:color w:val="003591"/>
      <w:sz w:val="60"/>
    </w:rPr>
  </w:style>
  <w:style w:type="paragraph" w:customStyle="1" w:styleId="Bullet1">
    <w:name w:val="_Bullet 1"/>
    <w:basedOn w:val="Body"/>
    <w:qFormat/>
    <w:rsid w:val="003F0524"/>
    <w:pPr>
      <w:numPr>
        <w:numId w:val="4"/>
      </w:numPr>
      <w:tabs>
        <w:tab w:val="left" w:pos="204"/>
      </w:tabs>
      <w:ind w:left="204" w:hanging="204"/>
    </w:pPr>
  </w:style>
  <w:style w:type="paragraph" w:customStyle="1" w:styleId="Table">
    <w:name w:val="_Table"/>
    <w:basedOn w:val="Normal"/>
    <w:qFormat/>
    <w:rsid w:val="003F0524"/>
    <w:pPr>
      <w:spacing w:before="60" w:after="60"/>
    </w:pPr>
    <w:rPr>
      <w:rFonts w:ascii="Arial" w:eastAsia="MS Gothic" w:hAnsi="Arial"/>
      <w:color w:val="auto"/>
      <w:sz w:val="17"/>
      <w:szCs w:val="17"/>
    </w:rPr>
  </w:style>
  <w:style w:type="paragraph" w:customStyle="1" w:styleId="MediumGrid21">
    <w:name w:val="Medium Grid 21"/>
    <w:uiPriority w:val="1"/>
    <w:qFormat/>
    <w:rsid w:val="003F0524"/>
    <w:pPr>
      <w:spacing w:before="0" w:after="0"/>
    </w:pPr>
    <w:rPr>
      <w:rFonts w:ascii="Arial" w:eastAsia="MS Gothic" w:hAnsi="Arial"/>
      <w:color w:val="auto"/>
      <w:sz w:val="2"/>
      <w:szCs w:val="24"/>
    </w:rPr>
  </w:style>
  <w:style w:type="paragraph" w:customStyle="1" w:styleId="BodySmall">
    <w:name w:val="_BodySmall"/>
    <w:basedOn w:val="Body"/>
    <w:qFormat/>
    <w:rsid w:val="003F0524"/>
    <w:pPr>
      <w:spacing w:before="60" w:after="120"/>
    </w:pPr>
    <w:rPr>
      <w:sz w:val="14"/>
    </w:rPr>
  </w:style>
  <w:style w:type="paragraph" w:customStyle="1" w:styleId="Source">
    <w:name w:val="_Source"/>
    <w:basedOn w:val="Body"/>
    <w:qFormat/>
    <w:rsid w:val="003F0524"/>
    <w:pPr>
      <w:spacing w:before="60" w:after="120"/>
      <w:ind w:left="0"/>
    </w:pPr>
    <w:rPr>
      <w:b/>
      <w:i w:val="0"/>
      <w:sz w:val="12"/>
    </w:rPr>
  </w:style>
  <w:style w:type="paragraph" w:customStyle="1" w:styleId="Titleheading2">
    <w:name w:val="_Title heading2"/>
    <w:basedOn w:val="TitleHeading"/>
    <w:qFormat/>
    <w:rsid w:val="003F0524"/>
    <w:pPr>
      <w:spacing w:before="360"/>
      <w:ind w:right="170"/>
      <w:jc w:val="right"/>
    </w:pPr>
    <w:rPr>
      <w:color w:val="A8B9D1"/>
      <w:sz w:val="40"/>
    </w:rPr>
  </w:style>
  <w:style w:type="paragraph" w:customStyle="1" w:styleId="TableBullet">
    <w:name w:val="_Table Bullet"/>
    <w:basedOn w:val="Table"/>
    <w:rsid w:val="003F0524"/>
    <w:pPr>
      <w:numPr>
        <w:numId w:val="5"/>
      </w:numPr>
      <w:tabs>
        <w:tab w:val="left" w:pos="284"/>
      </w:tabs>
    </w:pPr>
  </w:style>
  <w:style w:type="paragraph" w:customStyle="1" w:styleId="Tableheading">
    <w:name w:val="_Table heading"/>
    <w:basedOn w:val="Table"/>
    <w:rsid w:val="003F0524"/>
    <w:pPr>
      <w:spacing w:before="80" w:after="80"/>
    </w:pPr>
    <w:rPr>
      <w:rFonts w:cs="Arial"/>
      <w:b/>
    </w:rPr>
  </w:style>
  <w:style w:type="paragraph" w:customStyle="1" w:styleId="TableBullet1">
    <w:name w:val="_Table Bullet 1"/>
    <w:basedOn w:val="TableBullet"/>
    <w:rsid w:val="003F0524"/>
    <w:pPr>
      <w:numPr>
        <w:numId w:val="6"/>
      </w:numPr>
      <w:tabs>
        <w:tab w:val="left" w:pos="356"/>
      </w:tabs>
      <w:ind w:left="370" w:hanging="195"/>
    </w:pPr>
  </w:style>
  <w:style w:type="paragraph" w:customStyle="1" w:styleId="BodyHeading2">
    <w:name w:val="_BodyHeading2"/>
    <w:basedOn w:val="BodyHeading1"/>
    <w:rsid w:val="003F0524"/>
    <w:pPr>
      <w:pageBreakBefore w:val="0"/>
      <w:spacing w:before="200" w:after="60"/>
      <w:ind w:left="431" w:hanging="431"/>
    </w:pPr>
    <w:rPr>
      <w:color w:val="000000"/>
      <w:sz w:val="22"/>
    </w:rPr>
  </w:style>
  <w:style w:type="paragraph" w:customStyle="1" w:styleId="BodyHeading3">
    <w:name w:val="_BodyHeading3"/>
    <w:basedOn w:val="BodyHeading2"/>
    <w:next w:val="Body"/>
    <w:rsid w:val="003F0524"/>
    <w:pPr>
      <w:ind w:left="578" w:hanging="578"/>
    </w:pPr>
    <w:rPr>
      <w:color w:val="003591"/>
      <w:sz w:val="18"/>
    </w:rPr>
  </w:style>
  <w:style w:type="paragraph" w:customStyle="1" w:styleId="BodyHeading4">
    <w:name w:val="_BodyHeading4"/>
    <w:basedOn w:val="BodyHeading3"/>
    <w:rsid w:val="003F0524"/>
    <w:pPr>
      <w:ind w:left="0" w:firstLine="0"/>
    </w:pPr>
    <w:rPr>
      <w:lang w:val="en-GB" w:eastAsia="ja-JP"/>
    </w:rPr>
  </w:style>
  <w:style w:type="paragraph" w:customStyle="1" w:styleId="BodyHeading5">
    <w:name w:val="_BodyHeading5"/>
    <w:basedOn w:val="BodyHeading2"/>
    <w:rsid w:val="003F0524"/>
    <w:rPr>
      <w:lang w:val="en-GB" w:eastAsia="ja-JP"/>
    </w:rPr>
  </w:style>
  <w:style w:type="paragraph" w:customStyle="1" w:styleId="Appendix">
    <w:name w:val="_Appendix"/>
    <w:basedOn w:val="BodyHeading1"/>
    <w:rsid w:val="003F0524"/>
  </w:style>
  <w:style w:type="paragraph" w:customStyle="1" w:styleId="BodyHeadingA">
    <w:name w:val="_BodyHeadingA"/>
    <w:basedOn w:val="BodyHeading"/>
    <w:rsid w:val="003F0524"/>
  </w:style>
  <w:style w:type="paragraph" w:customStyle="1" w:styleId="Bet">
    <w:name w:val="_Bet"/>
    <w:basedOn w:val="Body"/>
    <w:rsid w:val="003F0524"/>
    <w:rPr>
      <w:sz w:val="5"/>
    </w:rPr>
  </w:style>
  <w:style w:type="paragraph" w:customStyle="1" w:styleId="Tablealphabullet">
    <w:name w:val="_Table alpha bullet"/>
    <w:basedOn w:val="TableBullet"/>
    <w:qFormat/>
    <w:rsid w:val="003F0524"/>
    <w:pPr>
      <w:numPr>
        <w:numId w:val="7"/>
      </w:numPr>
      <w:tabs>
        <w:tab w:val="clear" w:pos="284"/>
        <w:tab w:val="left" w:pos="336"/>
      </w:tabs>
    </w:pPr>
  </w:style>
  <w:style w:type="paragraph" w:customStyle="1" w:styleId="Pa3">
    <w:name w:val="Pa3"/>
    <w:basedOn w:val="Normal"/>
    <w:next w:val="Normal"/>
    <w:uiPriority w:val="99"/>
    <w:rsid w:val="003F0524"/>
    <w:pPr>
      <w:autoSpaceDE w:val="0"/>
      <w:autoSpaceDN w:val="0"/>
      <w:adjustRightInd w:val="0"/>
      <w:spacing w:before="0" w:after="0" w:line="181" w:lineRule="atLeast"/>
    </w:pPr>
    <w:rPr>
      <w:rFonts w:ascii="HelveticaNeueLT Pro 45 Lt" w:eastAsia="MS Gothic" w:hAnsi="HelveticaNeueLT Pro 45 Lt"/>
      <w:color w:val="auto"/>
      <w:sz w:val="24"/>
      <w:szCs w:val="24"/>
      <w:lang w:eastAsia="ja-JP"/>
    </w:rPr>
  </w:style>
  <w:style w:type="paragraph" w:customStyle="1" w:styleId="ColorfulList-Accent11">
    <w:name w:val="Colorful List - Accent 11"/>
    <w:basedOn w:val="Normal"/>
    <w:qFormat/>
    <w:rsid w:val="003F0524"/>
    <w:pPr>
      <w:spacing w:before="0" w:after="200" w:line="276" w:lineRule="auto"/>
      <w:ind w:left="720"/>
      <w:contextualSpacing/>
    </w:pPr>
    <w:rPr>
      <w:rFonts w:ascii="Calibri" w:eastAsia="Times New Roman" w:hAnsi="Calibri"/>
      <w:color w:val="auto"/>
    </w:rPr>
  </w:style>
  <w:style w:type="character" w:styleId="CommentReference">
    <w:name w:val="annotation reference"/>
    <w:semiHidden/>
    <w:unhideWhenUsed/>
    <w:rsid w:val="003F0524"/>
    <w:rPr>
      <w:sz w:val="16"/>
      <w:szCs w:val="16"/>
    </w:rPr>
  </w:style>
  <w:style w:type="character" w:customStyle="1" w:styleId="A16">
    <w:name w:val="A16"/>
    <w:uiPriority w:val="99"/>
    <w:rsid w:val="003F0524"/>
    <w:rPr>
      <w:rFonts w:ascii="HelveticaNeueLT Com 65 Md" w:hAnsi="HelveticaNeueLT Com 65 Md" w:cs="HelveticaNeueLT Com 65 Md" w:hint="default"/>
      <w:color w:val="000000"/>
      <w:sz w:val="20"/>
      <w:szCs w:val="20"/>
    </w:rPr>
  </w:style>
  <w:style w:type="character" w:customStyle="1" w:styleId="UnresolvedMention1">
    <w:name w:val="Unresolved Mention1"/>
    <w:uiPriority w:val="99"/>
    <w:semiHidden/>
    <w:rsid w:val="003F0524"/>
    <w:rPr>
      <w:color w:val="808080"/>
      <w:shd w:val="clear" w:color="auto" w:fill="E6E6E6"/>
    </w:rPr>
  </w:style>
  <w:style w:type="table" w:customStyle="1" w:styleId="TableGrid1">
    <w:name w:val="Table Grid1"/>
    <w:basedOn w:val="TableNormal"/>
    <w:rsid w:val="003F0524"/>
    <w:pPr>
      <w:spacing w:before="0" w:after="0"/>
    </w:pPr>
    <w:rPr>
      <w:rFonts w:ascii="Arial" w:eastAsia="MS Gothic" w:hAnsi="Arial"/>
      <w:color w:val="auto"/>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TitleHeading"/>
    <w:semiHidden/>
    <w:rsid w:val="003F0524"/>
    <w:pPr>
      <w:spacing w:after="240"/>
      <w:ind w:left="-68"/>
    </w:pPr>
    <w:rPr>
      <w:sz w:val="38"/>
    </w:rPr>
  </w:style>
  <w:style w:type="table" w:styleId="GridTable1Light-Accent3">
    <w:name w:val="Grid Table 1 Light Accent 3"/>
    <w:basedOn w:val="TableNormal"/>
    <w:uiPriority w:val="46"/>
    <w:rsid w:val="001B5872"/>
    <w:pPr>
      <w:spacing w:after="0"/>
    </w:pPr>
    <w:tblPr>
      <w:tblStyleRowBandSize w:val="1"/>
      <w:tblStyleColBandSize w:val="1"/>
      <w:tblBorders>
        <w:top w:val="single" w:sz="4" w:space="0" w:color="8CBBF9" w:themeColor="accent3" w:themeTint="66"/>
        <w:left w:val="single" w:sz="4" w:space="0" w:color="8CBBF9" w:themeColor="accent3" w:themeTint="66"/>
        <w:bottom w:val="single" w:sz="4" w:space="0" w:color="8CBBF9" w:themeColor="accent3" w:themeTint="66"/>
        <w:right w:val="single" w:sz="4" w:space="0" w:color="8CBBF9" w:themeColor="accent3" w:themeTint="66"/>
        <w:insideH w:val="single" w:sz="4" w:space="0" w:color="8CBBF9" w:themeColor="accent3" w:themeTint="66"/>
        <w:insideV w:val="single" w:sz="4" w:space="0" w:color="8CBBF9" w:themeColor="accent3" w:themeTint="66"/>
      </w:tblBorders>
    </w:tblPr>
    <w:tblStylePr w:type="firstRow">
      <w:rPr>
        <w:b/>
        <w:bCs/>
      </w:rPr>
      <w:tblPr/>
      <w:tcPr>
        <w:tcBorders>
          <w:bottom w:val="single" w:sz="12" w:space="0" w:color="5399F6" w:themeColor="accent3" w:themeTint="99"/>
        </w:tcBorders>
      </w:tcPr>
    </w:tblStylePr>
    <w:tblStylePr w:type="lastRow">
      <w:rPr>
        <w:b/>
        <w:bCs/>
      </w:rPr>
      <w:tblPr/>
      <w:tcPr>
        <w:tcBorders>
          <w:top w:val="double" w:sz="2" w:space="0" w:color="5399F6"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1B5872"/>
    <w:pPr>
      <w:spacing w:after="0"/>
    </w:pPr>
    <w:tblPr>
      <w:tblStyleRowBandSize w:val="1"/>
      <w:tblStyleColBandSize w:val="1"/>
      <w:tblBorders>
        <w:top w:val="single" w:sz="4" w:space="0" w:color="666EEB" w:themeColor="text1" w:themeTint="66"/>
        <w:left w:val="single" w:sz="4" w:space="0" w:color="666EEB" w:themeColor="text1" w:themeTint="66"/>
        <w:bottom w:val="single" w:sz="4" w:space="0" w:color="666EEB" w:themeColor="text1" w:themeTint="66"/>
        <w:right w:val="single" w:sz="4" w:space="0" w:color="666EEB" w:themeColor="text1" w:themeTint="66"/>
        <w:insideH w:val="single" w:sz="4" w:space="0" w:color="666EEB" w:themeColor="text1" w:themeTint="66"/>
        <w:insideV w:val="single" w:sz="4" w:space="0" w:color="666EEB" w:themeColor="text1" w:themeTint="66"/>
      </w:tblBorders>
    </w:tblPr>
    <w:tblStylePr w:type="firstRow">
      <w:rPr>
        <w:b/>
        <w:bCs/>
      </w:rPr>
      <w:tblPr/>
      <w:tcPr>
        <w:tcBorders>
          <w:bottom w:val="single" w:sz="12" w:space="0" w:color="1C28DE" w:themeColor="text1" w:themeTint="99"/>
        </w:tcBorders>
      </w:tcPr>
    </w:tblStylePr>
    <w:tblStylePr w:type="lastRow">
      <w:rPr>
        <w:b/>
        <w:bCs/>
      </w:rPr>
      <w:tblPr/>
      <w:tcPr>
        <w:tcBorders>
          <w:top w:val="double" w:sz="2" w:space="0" w:color="1C28DE"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45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4524">
      <w:bodyDiv w:val="1"/>
      <w:marLeft w:val="0"/>
      <w:marRight w:val="0"/>
      <w:marTop w:val="0"/>
      <w:marBottom w:val="0"/>
      <w:divBdr>
        <w:top w:val="none" w:sz="0" w:space="0" w:color="auto"/>
        <w:left w:val="none" w:sz="0" w:space="0" w:color="auto"/>
        <w:bottom w:val="none" w:sz="0" w:space="0" w:color="auto"/>
        <w:right w:val="none" w:sz="0" w:space="0" w:color="auto"/>
      </w:divBdr>
    </w:div>
    <w:div w:id="17919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paaustralia.com.au/tools-and-resources/taxation/tax-time-year-end-updates-and-resources/checklis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paaustralia.com.au/tools-and-resources/taxation/tax-time-year-end-updates-and-resources/checklist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paaustralia.com.au/tools-and-resources/taxation/tax-time-year-end-updates-and-resources/checklists"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ato.gov.au/Business/Income-and-deductions-for-business/In-detail/Service-entities/Your-service-entity-arrang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paaustralia.com.au/professional-resources/taxation/trusts" TargetMode="External"/><Relationship Id="rId10" Type="http://schemas.openxmlformats.org/officeDocument/2006/relationships/endnotes" Target="endnotes.xml"/><Relationship Id="rId19" Type="http://schemas.openxmlformats.org/officeDocument/2006/relationships/hyperlink" Target="https://www.cpaaustralia.com.au/tools-and-resources/taxation/tax-time-year-end-updates-and-resources/checkli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paaustralia.com.au/professional-resources/taxation/trusts" TargetMode="Externa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nt xmlns="149a938d-5178-4880-bee6-c99a533f2b62">false</Sent>
    <TaxCatchAll xmlns="70302223-c54b-4550-8ee9-092c6b9c08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A91BA-D8AE-4AB0-9C01-3E30EFD61D9C}">
  <ds:schemaRefs>
    <ds:schemaRef ds:uri="http://schemas.microsoft.com/sharepoint/v3/contenttype/forms"/>
  </ds:schemaRefs>
</ds:datastoreItem>
</file>

<file path=customXml/itemProps2.xml><?xml version="1.0" encoding="utf-8"?>
<ds:datastoreItem xmlns:ds="http://schemas.openxmlformats.org/officeDocument/2006/customXml" ds:itemID="{17CBBDE3-B0AD-4D30-9E8F-23C7783D6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05224-51F4-4378-853D-12895D138BD3}">
  <ds:schemaRefs>
    <ds:schemaRef ds:uri="http://purl.org/dc/elements/1.1/"/>
    <ds:schemaRef ds:uri="http://schemas.openxmlformats.org/package/2006/metadata/core-properties"/>
    <ds:schemaRef ds:uri="http://schemas.microsoft.com/office/2006/documentManagement/types"/>
    <ds:schemaRef ds:uri="149a938d-5178-4880-bee6-c99a533f2b62"/>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70302223-c54b-4550-8ee9-092c6b9c08d4"/>
  </ds:schemaRefs>
</ds:datastoreItem>
</file>

<file path=customXml/itemProps4.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61</TotalTime>
  <Pages>26</Pages>
  <Words>8650</Words>
  <Characters>49306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Strachan</dc:creator>
  <cp:keywords/>
  <cp:lastModifiedBy>Eenu Monga</cp:lastModifiedBy>
  <cp:revision>20</cp:revision>
  <dcterms:created xsi:type="dcterms:W3CDTF">2023-07-06T00:27:00Z</dcterms:created>
  <dcterms:modified xsi:type="dcterms:W3CDTF">2023-07-06T01:30:00Z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