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1A07" w14:textId="77777777" w:rsidR="00B33EEC" w:rsidRDefault="00B33EEC" w:rsidP="00745247">
      <w:pPr>
        <w:adjustRightInd w:val="0"/>
        <w:snapToGrid w:val="0"/>
        <w:spacing w:after="0"/>
        <w:rPr>
          <w:rFonts w:ascii="Arial" w:hAnsi="Arial" w:cs="Arial"/>
          <w:sz w:val="20"/>
          <w:szCs w:val="20"/>
        </w:rPr>
      </w:pPr>
    </w:p>
    <w:p w14:paraId="5B6DA5B4" w14:textId="77777777" w:rsidR="00B33EEC" w:rsidRDefault="00B33EEC" w:rsidP="00745247">
      <w:pPr>
        <w:adjustRightInd w:val="0"/>
        <w:snapToGrid w:val="0"/>
        <w:spacing w:after="0"/>
        <w:rPr>
          <w:rFonts w:ascii="Arial" w:hAnsi="Arial" w:cs="Arial"/>
          <w:sz w:val="20"/>
          <w:szCs w:val="20"/>
        </w:rPr>
      </w:pPr>
    </w:p>
    <w:p w14:paraId="22B42B98" w14:textId="5A892C19"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w:t>
      </w:r>
      <w:r w:rsidRPr="0096160D">
        <w:rPr>
          <w:rFonts w:ascii="Arial" w:hAnsi="Arial" w:cs="Arial"/>
          <w:sz w:val="20"/>
          <w:szCs w:val="20"/>
          <w:highlight w:val="lightGray"/>
        </w:rPr>
        <w:t>Insert DD Month YYYY</w:t>
      </w:r>
      <w:r w:rsidRPr="0096160D">
        <w:rPr>
          <w:rFonts w:ascii="Arial" w:hAnsi="Arial" w:cs="Arial"/>
          <w:sz w:val="20"/>
          <w:szCs w:val="20"/>
        </w:rPr>
        <w:t>]</w:t>
      </w:r>
    </w:p>
    <w:p w14:paraId="74F9368A" w14:textId="77777777" w:rsidR="0087746B" w:rsidRPr="0096160D" w:rsidRDefault="0087746B" w:rsidP="00745247">
      <w:pPr>
        <w:adjustRightInd w:val="0"/>
        <w:snapToGri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7746B" w:rsidRPr="0096160D" w14:paraId="1315639D" w14:textId="77777777" w:rsidTr="00D94FBD">
        <w:tc>
          <w:tcPr>
            <w:tcW w:w="9289" w:type="dxa"/>
            <w:tcBorders>
              <w:top w:val="nil"/>
              <w:left w:val="nil"/>
              <w:bottom w:val="nil"/>
              <w:right w:val="nil"/>
            </w:tcBorders>
          </w:tcPr>
          <w:p w14:paraId="17AE418C" w14:textId="77777777" w:rsidR="0087746B" w:rsidRPr="0096160D" w:rsidRDefault="0087746B" w:rsidP="00745247">
            <w:pPr>
              <w:adjustRightInd w:val="0"/>
              <w:snapToGrid w:val="0"/>
              <w:spacing w:after="0"/>
              <w:rPr>
                <w:rFonts w:ascii="Arial" w:hAnsi="Arial" w:cs="Arial"/>
                <w:b/>
                <w:bCs/>
                <w:sz w:val="20"/>
                <w:szCs w:val="20"/>
              </w:rPr>
            </w:pPr>
            <w:bookmarkStart w:id="0" w:name="Confidential"/>
            <w:bookmarkEnd w:id="0"/>
          </w:p>
        </w:tc>
      </w:tr>
    </w:tbl>
    <w:p w14:paraId="369B4A03" w14:textId="77777777" w:rsidR="0087746B" w:rsidRPr="0096160D" w:rsidRDefault="0087746B" w:rsidP="00745247">
      <w:pPr>
        <w:adjustRightInd w:val="0"/>
        <w:snapToGrid w:val="0"/>
        <w:spacing w:after="0"/>
        <w:rPr>
          <w:rFonts w:ascii="Arial" w:hAnsi="Arial" w:cs="Arial"/>
          <w:sz w:val="20"/>
          <w:szCs w:val="20"/>
        </w:rPr>
      </w:pPr>
      <w:bookmarkStart w:id="1" w:name="Name1"/>
      <w:bookmarkEnd w:id="1"/>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7E7335F8" w14:textId="77777777" w:rsidR="0087746B" w:rsidRPr="0096160D" w:rsidRDefault="0087746B" w:rsidP="00745247">
      <w:pPr>
        <w:adjustRightInd w:val="0"/>
        <w:snapToGrid w:val="0"/>
        <w:spacing w:after="0"/>
        <w:rPr>
          <w:rFonts w:ascii="Arial" w:hAnsi="Arial" w:cs="Arial"/>
          <w:sz w:val="20"/>
          <w:szCs w:val="20"/>
        </w:rPr>
      </w:pPr>
      <w:bookmarkStart w:id="2" w:name="Position"/>
      <w:bookmarkEnd w:id="2"/>
      <w:r w:rsidRPr="0096160D">
        <w:rPr>
          <w:rFonts w:ascii="Arial" w:hAnsi="Arial" w:cs="Arial"/>
          <w:sz w:val="20"/>
          <w:szCs w:val="20"/>
        </w:rPr>
        <w:t>[</w:t>
      </w:r>
      <w:r w:rsidRPr="0096160D">
        <w:rPr>
          <w:rFonts w:ascii="Arial" w:hAnsi="Arial" w:cs="Arial"/>
          <w:sz w:val="20"/>
          <w:szCs w:val="20"/>
          <w:highlight w:val="lightGray"/>
        </w:rPr>
        <w:t>Insert Client Position</w:t>
      </w:r>
      <w:r w:rsidRPr="0096160D">
        <w:rPr>
          <w:rFonts w:ascii="Arial" w:hAnsi="Arial" w:cs="Arial"/>
          <w:sz w:val="20"/>
          <w:szCs w:val="20"/>
        </w:rPr>
        <w:t>]</w:t>
      </w:r>
    </w:p>
    <w:p w14:paraId="24EA65FA" w14:textId="77777777" w:rsidR="0087746B" w:rsidRPr="0096160D" w:rsidRDefault="0087746B" w:rsidP="00745247">
      <w:pPr>
        <w:adjustRightInd w:val="0"/>
        <w:snapToGrid w:val="0"/>
        <w:spacing w:after="0"/>
        <w:rPr>
          <w:rFonts w:ascii="Arial" w:hAnsi="Arial" w:cs="Arial"/>
          <w:sz w:val="20"/>
          <w:szCs w:val="20"/>
        </w:rPr>
      </w:pPr>
      <w:bookmarkStart w:id="3" w:name="Company1"/>
      <w:bookmarkEnd w:id="3"/>
      <w:r w:rsidRPr="0096160D">
        <w:rPr>
          <w:rFonts w:ascii="Arial" w:hAnsi="Arial" w:cs="Arial"/>
          <w:sz w:val="20"/>
          <w:szCs w:val="20"/>
        </w:rPr>
        <w:t>[</w:t>
      </w:r>
      <w:r w:rsidRPr="0096160D">
        <w:rPr>
          <w:rFonts w:ascii="Arial" w:hAnsi="Arial" w:cs="Arial"/>
          <w:sz w:val="20"/>
          <w:szCs w:val="20"/>
          <w:highlight w:val="lightGray"/>
        </w:rPr>
        <w:t>Insert Company Name</w:t>
      </w:r>
      <w:r w:rsidRPr="0096160D">
        <w:rPr>
          <w:rFonts w:ascii="Arial" w:hAnsi="Arial" w:cs="Arial"/>
          <w:sz w:val="20"/>
          <w:szCs w:val="20"/>
        </w:rPr>
        <w:t>]</w:t>
      </w:r>
    </w:p>
    <w:p w14:paraId="4F56FD76" w14:textId="77777777" w:rsidR="0087746B" w:rsidRPr="0096160D" w:rsidRDefault="0087746B" w:rsidP="00745247">
      <w:pPr>
        <w:adjustRightInd w:val="0"/>
        <w:snapToGrid w:val="0"/>
        <w:spacing w:after="0"/>
        <w:rPr>
          <w:rFonts w:ascii="Arial" w:hAnsi="Arial" w:cs="Arial"/>
          <w:sz w:val="20"/>
          <w:szCs w:val="20"/>
        </w:rPr>
      </w:pPr>
      <w:bookmarkStart w:id="4" w:name="Address1"/>
      <w:bookmarkEnd w:id="4"/>
      <w:r w:rsidRPr="0096160D">
        <w:rPr>
          <w:rFonts w:ascii="Arial" w:hAnsi="Arial" w:cs="Arial"/>
          <w:sz w:val="20"/>
          <w:szCs w:val="20"/>
        </w:rPr>
        <w:t>[</w:t>
      </w:r>
      <w:r w:rsidRPr="0096160D">
        <w:rPr>
          <w:rFonts w:ascii="Arial" w:hAnsi="Arial" w:cs="Arial"/>
          <w:sz w:val="20"/>
          <w:szCs w:val="20"/>
          <w:highlight w:val="lightGray"/>
        </w:rPr>
        <w:t>Insert Company Address</w:t>
      </w:r>
      <w:r w:rsidRPr="0096160D">
        <w:rPr>
          <w:rFonts w:ascii="Arial" w:hAnsi="Arial" w:cs="Arial"/>
          <w:sz w:val="20"/>
          <w:szCs w:val="20"/>
        </w:rPr>
        <w:t>]</w:t>
      </w:r>
    </w:p>
    <w:p w14:paraId="5746894F" w14:textId="77777777" w:rsidR="0087746B" w:rsidRPr="0096160D" w:rsidRDefault="0087746B" w:rsidP="00745247">
      <w:pPr>
        <w:adjustRightInd w:val="0"/>
        <w:snapToGrid w:val="0"/>
        <w:spacing w:after="0"/>
        <w:rPr>
          <w:rFonts w:ascii="Arial" w:hAnsi="Arial" w:cs="Arial"/>
          <w:sz w:val="20"/>
          <w:szCs w:val="20"/>
        </w:rPr>
      </w:pPr>
      <w:bookmarkStart w:id="5" w:name="Suburb"/>
      <w:bookmarkEnd w:id="5"/>
      <w:r w:rsidRPr="0096160D">
        <w:rPr>
          <w:rFonts w:ascii="Arial" w:hAnsi="Arial" w:cs="Arial"/>
          <w:sz w:val="20"/>
          <w:szCs w:val="20"/>
        </w:rPr>
        <w:t>[</w:t>
      </w:r>
      <w:r w:rsidRPr="0096160D">
        <w:rPr>
          <w:rFonts w:ascii="Arial" w:hAnsi="Arial" w:cs="Arial"/>
          <w:sz w:val="20"/>
          <w:szCs w:val="20"/>
          <w:highlight w:val="lightGray"/>
        </w:rPr>
        <w:t xml:space="preserve">Suburb  </w:t>
      </w:r>
      <w:bookmarkStart w:id="6" w:name="State"/>
      <w:bookmarkEnd w:id="6"/>
      <w:r w:rsidRPr="0096160D">
        <w:rPr>
          <w:rFonts w:ascii="Arial" w:hAnsi="Arial" w:cs="Arial"/>
          <w:sz w:val="20"/>
          <w:szCs w:val="20"/>
          <w:highlight w:val="lightGray"/>
        </w:rPr>
        <w:t xml:space="preserve">State  </w:t>
      </w:r>
      <w:bookmarkStart w:id="7" w:name="PostCode"/>
      <w:bookmarkEnd w:id="7"/>
      <w:r w:rsidRPr="0096160D">
        <w:rPr>
          <w:rFonts w:ascii="Arial" w:hAnsi="Arial" w:cs="Arial"/>
          <w:sz w:val="20"/>
          <w:szCs w:val="20"/>
          <w:highlight w:val="lightGray"/>
        </w:rPr>
        <w:t>Post Code</w:t>
      </w:r>
      <w:r w:rsidRPr="0096160D">
        <w:rPr>
          <w:rFonts w:ascii="Arial" w:hAnsi="Arial" w:cs="Arial"/>
          <w:sz w:val="20"/>
          <w:szCs w:val="20"/>
        </w:rPr>
        <w:t>]</w:t>
      </w:r>
    </w:p>
    <w:p w14:paraId="480E75B0" w14:textId="77777777" w:rsidR="0087746B" w:rsidRPr="0096160D" w:rsidRDefault="0087746B" w:rsidP="00745247">
      <w:pPr>
        <w:adjustRightInd w:val="0"/>
        <w:snapToGrid w:val="0"/>
        <w:spacing w:after="0"/>
        <w:rPr>
          <w:rFonts w:ascii="Arial" w:hAnsi="Arial" w:cs="Arial"/>
          <w:sz w:val="20"/>
          <w:szCs w:val="20"/>
        </w:rPr>
      </w:pPr>
    </w:p>
    <w:p w14:paraId="6DC5C08B" w14:textId="77777777" w:rsidR="0087746B" w:rsidRPr="0096160D" w:rsidRDefault="0087746B" w:rsidP="00745247">
      <w:pPr>
        <w:adjustRightInd w:val="0"/>
        <w:snapToGrid w:val="0"/>
        <w:spacing w:after="0"/>
        <w:rPr>
          <w:rFonts w:ascii="Arial" w:hAnsi="Arial" w:cs="Arial"/>
          <w:bCs/>
          <w:sz w:val="20"/>
          <w:szCs w:val="20"/>
        </w:rPr>
      </w:pPr>
    </w:p>
    <w:p w14:paraId="56788C01"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Dear </w:t>
      </w:r>
      <w:bookmarkStart w:id="8" w:name="Salutation"/>
      <w:bookmarkEnd w:id="8"/>
      <w:r w:rsidRPr="0096160D">
        <w:rPr>
          <w:rFonts w:ascii="Arial" w:hAnsi="Arial" w:cs="Arial"/>
          <w:sz w:val="20"/>
          <w:szCs w:val="20"/>
        </w:rPr>
        <w:t>[</w:t>
      </w:r>
      <w:r w:rsidRPr="0096160D">
        <w:rPr>
          <w:rFonts w:ascii="Arial" w:hAnsi="Arial" w:cs="Arial"/>
          <w:sz w:val="20"/>
          <w:szCs w:val="20"/>
          <w:highlight w:val="lightGray"/>
        </w:rPr>
        <w:t>Insert Client Name</w:t>
      </w:r>
      <w:r w:rsidRPr="0096160D">
        <w:rPr>
          <w:rFonts w:ascii="Arial" w:hAnsi="Arial" w:cs="Arial"/>
          <w:sz w:val="20"/>
          <w:szCs w:val="20"/>
        </w:rPr>
        <w:t>]</w:t>
      </w:r>
    </w:p>
    <w:p w14:paraId="699FF7C6" w14:textId="77777777" w:rsidR="0087746B" w:rsidRPr="0096160D" w:rsidRDefault="0087746B" w:rsidP="00745247">
      <w:pPr>
        <w:adjustRightInd w:val="0"/>
        <w:snapToGrid w:val="0"/>
        <w:spacing w:after="0"/>
        <w:rPr>
          <w:rFonts w:ascii="Arial" w:hAnsi="Arial" w:cs="Arial"/>
          <w:bCs/>
          <w:sz w:val="20"/>
          <w:szCs w:val="20"/>
        </w:rPr>
      </w:pPr>
    </w:p>
    <w:p w14:paraId="38F158F9" w14:textId="77777777" w:rsidR="0087746B" w:rsidRPr="0096160D" w:rsidRDefault="0087746B" w:rsidP="00745247">
      <w:pPr>
        <w:adjustRightInd w:val="0"/>
        <w:snapToGrid w:val="0"/>
        <w:spacing w:after="0"/>
        <w:rPr>
          <w:rFonts w:ascii="Arial" w:hAnsi="Arial" w:cs="Arial"/>
          <w:bCs/>
          <w:sz w:val="20"/>
          <w:szCs w:val="20"/>
        </w:rPr>
      </w:pPr>
    </w:p>
    <w:p w14:paraId="1DEF0D78" w14:textId="295BF7A7" w:rsidR="0087746B" w:rsidRPr="008B310E" w:rsidRDefault="0087746B" w:rsidP="00745247">
      <w:pPr>
        <w:adjustRightInd w:val="0"/>
        <w:snapToGrid w:val="0"/>
        <w:spacing w:after="0"/>
        <w:rPr>
          <w:rFonts w:ascii="Arial" w:hAnsi="Arial"/>
          <w:sz w:val="21"/>
          <w:szCs w:val="21"/>
        </w:rPr>
      </w:pPr>
      <w:bookmarkStart w:id="9" w:name="Subject"/>
      <w:bookmarkEnd w:id="9"/>
      <w:r w:rsidRPr="008B310E">
        <w:rPr>
          <w:rFonts w:ascii="Arial" w:hAnsi="Arial" w:cs="Arial"/>
          <w:b/>
          <w:bCs/>
          <w:sz w:val="21"/>
          <w:szCs w:val="21"/>
        </w:rPr>
        <w:t>Re:</w:t>
      </w:r>
      <w:r w:rsidRPr="008B310E">
        <w:rPr>
          <w:rFonts w:ascii="Arial" w:hAnsi="Arial" w:cs="Arial"/>
          <w:b/>
          <w:bCs/>
          <w:sz w:val="21"/>
          <w:szCs w:val="21"/>
        </w:rPr>
        <w:tab/>
      </w:r>
      <w:r w:rsidR="007332B2">
        <w:rPr>
          <w:rFonts w:ascii="Arial" w:hAnsi="Arial" w:cs="Arial"/>
          <w:b/>
          <w:bCs/>
          <w:sz w:val="21"/>
          <w:szCs w:val="21"/>
        </w:rPr>
        <w:t xml:space="preserve">Issues for </w:t>
      </w:r>
      <w:r w:rsidR="00EE73D2">
        <w:rPr>
          <w:rFonts w:ascii="Arial" w:hAnsi="Arial" w:cs="Arial"/>
          <w:b/>
          <w:bCs/>
          <w:sz w:val="21"/>
          <w:szCs w:val="21"/>
        </w:rPr>
        <w:t>t</w:t>
      </w:r>
      <w:r w:rsidR="007332B2">
        <w:rPr>
          <w:rFonts w:ascii="Arial" w:hAnsi="Arial" w:cs="Arial"/>
          <w:b/>
          <w:bCs/>
          <w:sz w:val="21"/>
          <w:szCs w:val="21"/>
        </w:rPr>
        <w:t>rustees in exercising a discretion to distribute trust income</w:t>
      </w:r>
      <w:r w:rsidR="0085306E">
        <w:rPr>
          <w:rFonts w:ascii="Arial" w:hAnsi="Arial" w:cs="Arial"/>
          <w:b/>
          <w:bCs/>
          <w:sz w:val="21"/>
          <w:szCs w:val="21"/>
        </w:rPr>
        <w:t>/gains</w:t>
      </w:r>
      <w:r w:rsidR="007332B2">
        <w:rPr>
          <w:rFonts w:ascii="Arial" w:hAnsi="Arial" w:cs="Arial"/>
          <w:b/>
          <w:bCs/>
          <w:sz w:val="21"/>
          <w:szCs w:val="21"/>
        </w:rPr>
        <w:t xml:space="preserve"> at year</w:t>
      </w:r>
      <w:r w:rsidR="00265FA3">
        <w:rPr>
          <w:rFonts w:ascii="Arial" w:hAnsi="Arial" w:cs="Arial"/>
          <w:b/>
          <w:bCs/>
          <w:sz w:val="21"/>
          <w:szCs w:val="21"/>
        </w:rPr>
        <w:t>-</w:t>
      </w:r>
      <w:r w:rsidR="007332B2">
        <w:rPr>
          <w:rFonts w:ascii="Arial" w:hAnsi="Arial" w:cs="Arial"/>
          <w:b/>
          <w:bCs/>
          <w:sz w:val="21"/>
          <w:szCs w:val="21"/>
        </w:rPr>
        <w:t>end</w:t>
      </w:r>
      <w:r w:rsidR="00A959F5">
        <w:rPr>
          <w:rFonts w:ascii="Arial" w:hAnsi="Arial" w:cs="Arial"/>
          <w:b/>
          <w:bCs/>
          <w:sz w:val="21"/>
          <w:szCs w:val="21"/>
        </w:rPr>
        <w:t xml:space="preserve">  </w:t>
      </w:r>
    </w:p>
    <w:p w14:paraId="76E4733B" w14:textId="77777777" w:rsidR="0087746B" w:rsidRPr="0096160D" w:rsidRDefault="0087746B" w:rsidP="00745247">
      <w:pPr>
        <w:adjustRightInd w:val="0"/>
        <w:snapToGrid w:val="0"/>
        <w:spacing w:after="0"/>
        <w:rPr>
          <w:rFonts w:ascii="Arial" w:hAnsi="Arial" w:cs="Arial"/>
          <w:sz w:val="20"/>
          <w:szCs w:val="20"/>
        </w:rPr>
      </w:pPr>
    </w:p>
    <w:p w14:paraId="352598F1" w14:textId="1DD8C78B" w:rsidR="0087746B" w:rsidRPr="0096160D" w:rsidRDefault="00CE2650" w:rsidP="00745247">
      <w:pPr>
        <w:adjustRightInd w:val="0"/>
        <w:snapToGrid w:val="0"/>
        <w:spacing w:after="0"/>
        <w:rPr>
          <w:rFonts w:ascii="Arial" w:hAnsi="Arial" w:cs="Arial"/>
          <w:sz w:val="20"/>
          <w:szCs w:val="20"/>
        </w:rPr>
      </w:pPr>
      <w:r>
        <w:rPr>
          <w:rFonts w:ascii="Arial" w:hAnsi="Arial" w:cs="Arial"/>
          <w:sz w:val="20"/>
          <w:szCs w:val="20"/>
        </w:rPr>
        <w:t>Trustees making beneficiaries of a discretionary trust presently entitled to a share of trust income</w:t>
      </w:r>
      <w:r w:rsidR="007806E0">
        <w:rPr>
          <w:rFonts w:ascii="Arial" w:hAnsi="Arial" w:cs="Arial"/>
          <w:sz w:val="20"/>
          <w:szCs w:val="20"/>
        </w:rPr>
        <w:t xml:space="preserve"> at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must consider a range of important rulings, cases and legislative developments before exercising a discretion allocating trust income (and therefore the net income of a trust) amongst beneficiaries. </w:t>
      </w:r>
      <w:r w:rsidR="005A64EB">
        <w:rPr>
          <w:rFonts w:ascii="Arial" w:hAnsi="Arial" w:cs="Arial"/>
          <w:sz w:val="20"/>
          <w:szCs w:val="20"/>
        </w:rPr>
        <w:t xml:space="preserve">We have highlighted some of the more significant </w:t>
      </w:r>
      <w:r>
        <w:rPr>
          <w:rFonts w:ascii="Arial" w:hAnsi="Arial" w:cs="Arial"/>
          <w:sz w:val="20"/>
          <w:szCs w:val="20"/>
        </w:rPr>
        <w:t xml:space="preserve">factors that a trustee should take into account </w:t>
      </w:r>
      <w:r w:rsidR="007806E0">
        <w:rPr>
          <w:rFonts w:ascii="Arial" w:hAnsi="Arial" w:cs="Arial"/>
          <w:sz w:val="20"/>
          <w:szCs w:val="20"/>
        </w:rPr>
        <w:t xml:space="preserve">before </w:t>
      </w:r>
      <w:r w:rsidR="002D6AC0">
        <w:rPr>
          <w:rFonts w:ascii="Arial" w:hAnsi="Arial" w:cs="Arial"/>
          <w:sz w:val="20"/>
          <w:szCs w:val="20"/>
        </w:rPr>
        <w:t>year-end</w:t>
      </w:r>
      <w:r w:rsidR="007806E0">
        <w:rPr>
          <w:rFonts w:ascii="Arial" w:hAnsi="Arial" w:cs="Arial"/>
          <w:sz w:val="20"/>
          <w:szCs w:val="20"/>
        </w:rPr>
        <w:t xml:space="preserve"> </w:t>
      </w:r>
      <w:r>
        <w:rPr>
          <w:rFonts w:ascii="Arial" w:hAnsi="Arial" w:cs="Arial"/>
          <w:sz w:val="20"/>
          <w:szCs w:val="20"/>
        </w:rPr>
        <w:t xml:space="preserve">in determining how trust </w:t>
      </w:r>
      <w:r w:rsidRPr="0085306E">
        <w:rPr>
          <w:rFonts w:ascii="Arial" w:hAnsi="Arial" w:cs="Arial"/>
          <w:sz w:val="20"/>
          <w:szCs w:val="20"/>
        </w:rPr>
        <w:t>income</w:t>
      </w:r>
      <w:r w:rsidR="00DB35EC" w:rsidRPr="0085306E">
        <w:rPr>
          <w:rFonts w:ascii="Arial" w:hAnsi="Arial" w:cs="Arial"/>
          <w:sz w:val="20"/>
          <w:szCs w:val="20"/>
        </w:rPr>
        <w:t xml:space="preserve"> and capital gains</w:t>
      </w:r>
      <w:r w:rsidRPr="0085306E">
        <w:rPr>
          <w:rFonts w:ascii="Arial" w:hAnsi="Arial" w:cs="Arial"/>
          <w:sz w:val="20"/>
          <w:szCs w:val="20"/>
        </w:rPr>
        <w:t xml:space="preserve"> </w:t>
      </w:r>
      <w:r>
        <w:rPr>
          <w:rFonts w:ascii="Arial" w:hAnsi="Arial" w:cs="Arial"/>
          <w:sz w:val="20"/>
          <w:szCs w:val="20"/>
        </w:rPr>
        <w:t>should be distributed</w:t>
      </w:r>
      <w:r w:rsidR="005A64EB">
        <w:rPr>
          <w:rFonts w:ascii="Arial" w:hAnsi="Arial" w:cs="Arial"/>
          <w:sz w:val="20"/>
          <w:szCs w:val="20"/>
        </w:rPr>
        <w:t xml:space="preserve">. </w:t>
      </w:r>
      <w:r w:rsidR="0087746B" w:rsidRPr="0096160D">
        <w:rPr>
          <w:rFonts w:ascii="Arial" w:hAnsi="Arial" w:cs="Arial"/>
          <w:sz w:val="20"/>
          <w:szCs w:val="20"/>
        </w:rPr>
        <w:t xml:space="preserve"> </w:t>
      </w:r>
    </w:p>
    <w:p w14:paraId="7E692EC9" w14:textId="77777777" w:rsidR="00745247" w:rsidRDefault="00745247" w:rsidP="00745247">
      <w:pPr>
        <w:adjustRightInd w:val="0"/>
        <w:snapToGrid w:val="0"/>
        <w:spacing w:after="0"/>
        <w:rPr>
          <w:rFonts w:ascii="Arial" w:hAnsi="Arial" w:cs="Arial"/>
          <w:b/>
          <w:sz w:val="20"/>
          <w:szCs w:val="20"/>
        </w:rPr>
      </w:pPr>
    </w:p>
    <w:p w14:paraId="2434E209" w14:textId="77777777" w:rsidR="00671267" w:rsidRPr="0041734B" w:rsidRDefault="00671267" w:rsidP="00745247">
      <w:pPr>
        <w:adjustRightInd w:val="0"/>
        <w:snapToGrid w:val="0"/>
        <w:spacing w:after="0"/>
        <w:rPr>
          <w:rFonts w:ascii="Arial" w:hAnsi="Arial" w:cs="Arial"/>
          <w:b/>
          <w:sz w:val="20"/>
          <w:szCs w:val="20"/>
        </w:rPr>
      </w:pPr>
      <w:r w:rsidRPr="0041734B">
        <w:rPr>
          <w:rFonts w:ascii="Arial" w:hAnsi="Arial" w:cs="Arial"/>
          <w:b/>
          <w:sz w:val="20"/>
          <w:szCs w:val="20"/>
        </w:rPr>
        <w:t>Executive Summary</w:t>
      </w:r>
    </w:p>
    <w:p w14:paraId="1BD0476B" w14:textId="77777777" w:rsidR="00745247" w:rsidRDefault="00745247" w:rsidP="00745247">
      <w:pPr>
        <w:adjustRightInd w:val="0"/>
        <w:snapToGrid w:val="0"/>
        <w:spacing w:after="0"/>
        <w:rPr>
          <w:rFonts w:ascii="Arial" w:hAnsi="Arial" w:cs="Arial"/>
          <w:sz w:val="20"/>
          <w:szCs w:val="20"/>
        </w:rPr>
      </w:pPr>
    </w:p>
    <w:p w14:paraId="205086AD" w14:textId="18D89AF2" w:rsidR="0087746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We provide an explanation </w:t>
      </w:r>
      <w:r w:rsidR="00D67047">
        <w:rPr>
          <w:rFonts w:ascii="Arial" w:hAnsi="Arial" w:cs="Arial"/>
          <w:sz w:val="20"/>
          <w:szCs w:val="20"/>
        </w:rPr>
        <w:t xml:space="preserve">below </w:t>
      </w:r>
      <w:r w:rsidR="008B310E">
        <w:rPr>
          <w:rFonts w:ascii="Arial" w:hAnsi="Arial" w:cs="Arial"/>
          <w:sz w:val="20"/>
          <w:szCs w:val="20"/>
        </w:rPr>
        <w:t xml:space="preserve">of </w:t>
      </w:r>
      <w:r w:rsidR="00D67047">
        <w:rPr>
          <w:rFonts w:ascii="Arial" w:hAnsi="Arial" w:cs="Arial"/>
          <w:sz w:val="20"/>
          <w:szCs w:val="20"/>
        </w:rPr>
        <w:t xml:space="preserve">each of the </w:t>
      </w:r>
      <w:r w:rsidR="008B310E">
        <w:rPr>
          <w:rFonts w:ascii="Arial" w:hAnsi="Arial" w:cs="Arial"/>
          <w:sz w:val="20"/>
          <w:szCs w:val="20"/>
        </w:rPr>
        <w:t xml:space="preserve">following </w:t>
      </w:r>
      <w:r w:rsidR="00D67047">
        <w:rPr>
          <w:rFonts w:ascii="Arial" w:hAnsi="Arial" w:cs="Arial"/>
          <w:sz w:val="20"/>
          <w:szCs w:val="20"/>
        </w:rPr>
        <w:t>factors which should be considered by a trustee in exercising their discretion to distribute trust income:</w:t>
      </w:r>
    </w:p>
    <w:p w14:paraId="4C4B542B" w14:textId="77777777" w:rsidR="00745247" w:rsidRPr="0096160D" w:rsidRDefault="00745247" w:rsidP="00745247">
      <w:pPr>
        <w:adjustRightInd w:val="0"/>
        <w:snapToGrid w:val="0"/>
        <w:spacing w:after="0"/>
        <w:rPr>
          <w:rFonts w:ascii="Arial" w:hAnsi="Arial" w:cs="Arial"/>
          <w:sz w:val="20"/>
          <w:szCs w:val="20"/>
        </w:rPr>
      </w:pPr>
    </w:p>
    <w:p w14:paraId="00E8CDBE" w14:textId="2CAB695C" w:rsidR="0087746B" w:rsidRDefault="008B310E" w:rsidP="00745247">
      <w:pPr>
        <w:pStyle w:val="ListParagraph"/>
        <w:numPr>
          <w:ilvl w:val="0"/>
          <w:numId w:val="7"/>
        </w:numPr>
        <w:adjustRightInd w:val="0"/>
        <w:snapToGrid w:val="0"/>
        <w:spacing w:after="0"/>
        <w:contextualSpacing w:val="0"/>
        <w:rPr>
          <w:rFonts w:ascii="Arial" w:hAnsi="Arial" w:cs="Arial"/>
          <w:sz w:val="20"/>
          <w:szCs w:val="20"/>
        </w:rPr>
      </w:pPr>
      <w:r w:rsidRPr="008B310E">
        <w:rPr>
          <w:rFonts w:ascii="Arial" w:hAnsi="Arial" w:cs="Arial"/>
          <w:sz w:val="20"/>
          <w:szCs w:val="20"/>
        </w:rPr>
        <w:t>T</w:t>
      </w:r>
      <w:r w:rsidR="0087746B" w:rsidRPr="008B310E">
        <w:rPr>
          <w:rFonts w:ascii="Arial" w:hAnsi="Arial" w:cs="Arial"/>
          <w:sz w:val="20"/>
          <w:szCs w:val="20"/>
        </w:rPr>
        <w:t>he streaming rules</w:t>
      </w:r>
      <w:r w:rsidR="00150E12">
        <w:rPr>
          <w:rFonts w:ascii="Arial" w:hAnsi="Arial" w:cs="Arial"/>
          <w:sz w:val="20"/>
          <w:szCs w:val="20"/>
        </w:rPr>
        <w:t>,</w:t>
      </w:r>
      <w:r w:rsidR="0087746B" w:rsidRPr="008B310E">
        <w:rPr>
          <w:rFonts w:ascii="Arial" w:hAnsi="Arial" w:cs="Arial"/>
          <w:sz w:val="20"/>
          <w:szCs w:val="20"/>
        </w:rPr>
        <w:t xml:space="preserve"> </w:t>
      </w:r>
      <w:r w:rsidR="00527FD6">
        <w:rPr>
          <w:rFonts w:ascii="Arial" w:hAnsi="Arial" w:cs="Arial"/>
          <w:sz w:val="20"/>
          <w:szCs w:val="20"/>
        </w:rPr>
        <w:t>under which a trustee of a discretionary trust can make beneficiaries specifically entitled to a capital gain and/or franked dividend in certain circumstances.</w:t>
      </w:r>
    </w:p>
    <w:p w14:paraId="7E299683" w14:textId="53FCFAF9" w:rsidR="0087746B" w:rsidRPr="008262E6" w:rsidRDefault="00CE2650" w:rsidP="00745247">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application of </w:t>
      </w:r>
      <w:r w:rsidR="008B310E">
        <w:rPr>
          <w:rFonts w:ascii="Arial" w:hAnsi="Arial" w:cs="Arial"/>
          <w:sz w:val="20"/>
          <w:szCs w:val="20"/>
        </w:rPr>
        <w:t>Draft Taxation Rul</w:t>
      </w:r>
      <w:r w:rsidR="00527FD6">
        <w:rPr>
          <w:rFonts w:ascii="Arial" w:hAnsi="Arial" w:cs="Arial"/>
          <w:sz w:val="20"/>
          <w:szCs w:val="20"/>
        </w:rPr>
        <w:t>ing</w:t>
      </w:r>
      <w:r w:rsidR="008B310E">
        <w:rPr>
          <w:rFonts w:ascii="Arial" w:hAnsi="Arial" w:cs="Arial"/>
          <w:sz w:val="20"/>
          <w:szCs w:val="20"/>
        </w:rPr>
        <w:t xml:space="preserve"> </w:t>
      </w:r>
      <w:r w:rsidR="0087746B" w:rsidRPr="0096160D">
        <w:rPr>
          <w:rFonts w:ascii="Arial" w:hAnsi="Arial" w:cs="Arial"/>
          <w:sz w:val="20"/>
          <w:szCs w:val="20"/>
        </w:rPr>
        <w:t>TR 2012/D</w:t>
      </w:r>
      <w:r w:rsidR="008B310E">
        <w:rPr>
          <w:rFonts w:ascii="Arial" w:hAnsi="Arial" w:cs="Arial"/>
          <w:sz w:val="20"/>
          <w:szCs w:val="20"/>
        </w:rPr>
        <w:t xml:space="preserve">1, which explains the ATO’s </w:t>
      </w:r>
      <w:r w:rsidR="0087746B" w:rsidRPr="0096160D">
        <w:rPr>
          <w:rFonts w:ascii="Arial" w:hAnsi="Arial" w:cs="Arial"/>
          <w:sz w:val="20"/>
          <w:szCs w:val="20"/>
        </w:rPr>
        <w:t>view on</w:t>
      </w:r>
      <w:r w:rsidR="008B310E">
        <w:rPr>
          <w:rFonts w:ascii="Arial" w:hAnsi="Arial" w:cs="Arial"/>
          <w:sz w:val="20"/>
          <w:szCs w:val="20"/>
        </w:rPr>
        <w:t xml:space="preserve"> the meaning of </w:t>
      </w:r>
      <w:r w:rsidR="00527FD6">
        <w:rPr>
          <w:rFonts w:ascii="Arial" w:hAnsi="Arial" w:cs="Arial"/>
          <w:sz w:val="20"/>
          <w:szCs w:val="20"/>
        </w:rPr>
        <w:t>‘</w:t>
      </w:r>
      <w:r w:rsidR="00745247">
        <w:rPr>
          <w:rFonts w:ascii="Arial" w:hAnsi="Arial" w:cs="Arial"/>
          <w:sz w:val="20"/>
          <w:szCs w:val="20"/>
        </w:rPr>
        <w:t>trust income</w:t>
      </w:r>
      <w:r w:rsidR="00527FD6">
        <w:rPr>
          <w:rFonts w:ascii="Arial" w:hAnsi="Arial" w:cs="Arial"/>
          <w:sz w:val="20"/>
          <w:szCs w:val="20"/>
        </w:rPr>
        <w:t>’</w:t>
      </w:r>
      <w:r w:rsidR="00745247">
        <w:rPr>
          <w:rFonts w:ascii="Arial" w:hAnsi="Arial" w:cs="Arial"/>
          <w:sz w:val="20"/>
          <w:szCs w:val="20"/>
        </w:rPr>
        <w:t xml:space="preserve"> after</w:t>
      </w:r>
      <w:r w:rsidR="008B310E">
        <w:rPr>
          <w:rFonts w:ascii="Arial" w:hAnsi="Arial" w:cs="Arial"/>
          <w:sz w:val="20"/>
          <w:szCs w:val="20"/>
        </w:rPr>
        <w:t xml:space="preserve"> </w:t>
      </w:r>
      <w:r>
        <w:rPr>
          <w:rFonts w:ascii="Arial" w:hAnsi="Arial" w:cs="Arial"/>
          <w:sz w:val="20"/>
          <w:szCs w:val="20"/>
        </w:rPr>
        <w:t xml:space="preserve">taking into account the High Court’s landmark decision in </w:t>
      </w:r>
      <w:r w:rsidR="00DF1FDB" w:rsidRPr="005F6F62">
        <w:rPr>
          <w:rFonts w:ascii="Arial" w:hAnsi="Arial" w:cs="Arial"/>
          <w:i/>
          <w:sz w:val="20"/>
          <w:szCs w:val="20"/>
        </w:rPr>
        <w:t xml:space="preserve">Commissioner of Taxation v </w:t>
      </w:r>
      <w:r w:rsidR="00DF1FDB" w:rsidRPr="003B165F">
        <w:rPr>
          <w:rFonts w:ascii="Arial" w:hAnsi="Arial" w:cs="Arial"/>
          <w:sz w:val="20"/>
          <w:szCs w:val="20"/>
        </w:rPr>
        <w:t>Bamford</w:t>
      </w:r>
      <w:r w:rsidR="00DF1FDB">
        <w:rPr>
          <w:rFonts w:ascii="Arial" w:hAnsi="Arial" w:cs="Arial"/>
          <w:sz w:val="20"/>
          <w:szCs w:val="20"/>
        </w:rPr>
        <w:t xml:space="preserve"> (201</w:t>
      </w:r>
      <w:r w:rsidR="006B0B68">
        <w:rPr>
          <w:rFonts w:ascii="Arial" w:hAnsi="Arial" w:cs="Arial"/>
          <w:sz w:val="20"/>
          <w:szCs w:val="20"/>
        </w:rPr>
        <w:t>0</w:t>
      </w:r>
      <w:r w:rsidR="00DF1FDB">
        <w:rPr>
          <w:rFonts w:ascii="Arial" w:hAnsi="Arial" w:cs="Arial"/>
          <w:sz w:val="20"/>
          <w:szCs w:val="20"/>
        </w:rPr>
        <w:t>) HCA 10 (</w:t>
      </w:r>
      <w:r w:rsidR="00DF1FDB" w:rsidRPr="00C97E74">
        <w:rPr>
          <w:rFonts w:ascii="Arial" w:hAnsi="Arial" w:cs="Arial"/>
          <w:b/>
          <w:bCs/>
          <w:iCs/>
          <w:sz w:val="20"/>
          <w:szCs w:val="20"/>
        </w:rPr>
        <w:t>Bamford</w:t>
      </w:r>
      <w:r w:rsidR="00DF1FDB">
        <w:rPr>
          <w:rFonts w:ascii="Arial" w:hAnsi="Arial" w:cs="Arial"/>
          <w:sz w:val="20"/>
          <w:szCs w:val="20"/>
        </w:rPr>
        <w:t>)</w:t>
      </w:r>
      <w:r w:rsidR="008B310E">
        <w:rPr>
          <w:rFonts w:ascii="Arial" w:hAnsi="Arial" w:cs="Arial"/>
          <w:i/>
          <w:sz w:val="20"/>
          <w:szCs w:val="20"/>
        </w:rPr>
        <w:t>.</w:t>
      </w:r>
    </w:p>
    <w:p w14:paraId="5B7426A4" w14:textId="206BEF99" w:rsidR="00AA2879" w:rsidRDefault="00915389" w:rsidP="00AA2879">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S</w:t>
      </w:r>
      <w:r w:rsidR="00AA2879">
        <w:rPr>
          <w:rFonts w:ascii="Arial" w:hAnsi="Arial" w:cs="Arial"/>
          <w:sz w:val="20"/>
          <w:szCs w:val="20"/>
        </w:rPr>
        <w:t xml:space="preserve">ection 100A of the </w:t>
      </w:r>
      <w:r w:rsidR="00012F9A">
        <w:rPr>
          <w:rFonts w:ascii="Arial" w:hAnsi="Arial" w:cs="Arial"/>
          <w:i/>
          <w:iCs/>
          <w:sz w:val="20"/>
          <w:szCs w:val="20"/>
        </w:rPr>
        <w:t>Income Tax Assessment Act 1936 (</w:t>
      </w:r>
      <w:r w:rsidR="00AA2879" w:rsidRPr="00E6074A">
        <w:rPr>
          <w:rFonts w:ascii="Arial" w:hAnsi="Arial" w:cs="Arial"/>
          <w:b/>
          <w:bCs/>
          <w:sz w:val="20"/>
          <w:szCs w:val="20"/>
        </w:rPr>
        <w:t>ITAA 1936</w:t>
      </w:r>
      <w:r w:rsidR="00012F9A">
        <w:rPr>
          <w:rFonts w:ascii="Arial" w:hAnsi="Arial" w:cs="Arial"/>
          <w:sz w:val="20"/>
          <w:szCs w:val="20"/>
        </w:rPr>
        <w:t>)</w:t>
      </w:r>
      <w:r w:rsidR="00AA2879">
        <w:rPr>
          <w:rFonts w:ascii="Arial" w:hAnsi="Arial" w:cs="Arial"/>
          <w:sz w:val="20"/>
          <w:szCs w:val="20"/>
        </w:rPr>
        <w:t xml:space="preserve"> and the Commissioner’s views in Taxation Ruling 2022/4 and Practical Compliance Guideline 2022/21.</w:t>
      </w:r>
    </w:p>
    <w:p w14:paraId="2AB2C5B7" w14:textId="67D37AB9" w:rsidR="00496D46" w:rsidRPr="00E6074A" w:rsidRDefault="00AB0D01" w:rsidP="00AA2879">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general anti avoidance rules in </w:t>
      </w:r>
      <w:r w:rsidR="00496D46">
        <w:rPr>
          <w:rFonts w:ascii="Arial" w:hAnsi="Arial" w:cs="Arial"/>
          <w:sz w:val="20"/>
          <w:szCs w:val="20"/>
        </w:rPr>
        <w:t xml:space="preserve">Part IVA of the ITAA </w:t>
      </w:r>
      <w:r w:rsidR="00BA02F7">
        <w:rPr>
          <w:rFonts w:ascii="Arial" w:hAnsi="Arial" w:cs="Arial"/>
          <w:sz w:val="20"/>
          <w:szCs w:val="20"/>
        </w:rPr>
        <w:t>1936.</w:t>
      </w:r>
    </w:p>
    <w:p w14:paraId="13403AFB" w14:textId="30358FEC" w:rsidR="008262E6" w:rsidRDefault="008262E6" w:rsidP="008262E6">
      <w:pPr>
        <w:pStyle w:val="ListParagraph"/>
        <w:numPr>
          <w:ilvl w:val="0"/>
          <w:numId w:val="7"/>
        </w:numPr>
        <w:adjustRightInd w:val="0"/>
        <w:snapToGrid w:val="0"/>
        <w:spacing w:after="0"/>
        <w:contextualSpacing w:val="0"/>
        <w:rPr>
          <w:rFonts w:ascii="Arial" w:hAnsi="Arial" w:cs="Arial"/>
          <w:sz w:val="20"/>
          <w:szCs w:val="20"/>
        </w:rPr>
      </w:pPr>
      <w:r>
        <w:rPr>
          <w:rFonts w:ascii="Arial" w:hAnsi="Arial" w:cs="Arial"/>
          <w:sz w:val="20"/>
          <w:szCs w:val="20"/>
        </w:rPr>
        <w:t xml:space="preserve">The steps that should be undertaken in documenting an effective trustee resolution allocating trust </w:t>
      </w:r>
      <w:r w:rsidRPr="0085306E">
        <w:rPr>
          <w:rFonts w:ascii="Arial" w:hAnsi="Arial" w:cs="Arial"/>
          <w:sz w:val="20"/>
          <w:szCs w:val="20"/>
        </w:rPr>
        <w:t xml:space="preserve">income </w:t>
      </w:r>
      <w:r w:rsidR="00D22FB2" w:rsidRPr="0085306E">
        <w:rPr>
          <w:rFonts w:ascii="Arial" w:hAnsi="Arial" w:cs="Arial"/>
          <w:sz w:val="20"/>
          <w:szCs w:val="20"/>
        </w:rPr>
        <w:t xml:space="preserve">and/or capital gains </w:t>
      </w:r>
      <w:r w:rsidRPr="0085306E">
        <w:rPr>
          <w:rFonts w:ascii="Arial" w:hAnsi="Arial" w:cs="Arial"/>
          <w:sz w:val="20"/>
          <w:szCs w:val="20"/>
        </w:rPr>
        <w:t>amongst</w:t>
      </w:r>
      <w:r>
        <w:rPr>
          <w:rFonts w:ascii="Arial" w:hAnsi="Arial" w:cs="Arial"/>
          <w:sz w:val="20"/>
          <w:szCs w:val="20"/>
        </w:rPr>
        <w:t xml:space="preserve"> beneficiaries.</w:t>
      </w:r>
    </w:p>
    <w:p w14:paraId="77344FC7" w14:textId="6BED2B83" w:rsidR="0087746B" w:rsidRPr="0085306E" w:rsidRDefault="00CE2650" w:rsidP="00745247">
      <w:pPr>
        <w:pStyle w:val="ListParagraph"/>
        <w:numPr>
          <w:ilvl w:val="0"/>
          <w:numId w:val="7"/>
        </w:numPr>
        <w:adjustRightInd w:val="0"/>
        <w:snapToGrid w:val="0"/>
        <w:spacing w:after="0"/>
        <w:contextualSpacing w:val="0"/>
        <w:rPr>
          <w:rFonts w:ascii="Arial" w:hAnsi="Arial" w:cs="Arial"/>
          <w:sz w:val="20"/>
          <w:szCs w:val="20"/>
        </w:rPr>
      </w:pPr>
      <w:r w:rsidRPr="0085306E">
        <w:rPr>
          <w:rFonts w:ascii="Arial" w:hAnsi="Arial" w:cs="Arial"/>
          <w:sz w:val="20"/>
          <w:szCs w:val="20"/>
        </w:rPr>
        <w:t xml:space="preserve">Key </w:t>
      </w:r>
      <w:r w:rsidR="008B310E" w:rsidRPr="0085306E">
        <w:rPr>
          <w:rFonts w:ascii="Arial" w:hAnsi="Arial" w:cs="Arial"/>
          <w:sz w:val="20"/>
          <w:szCs w:val="20"/>
        </w:rPr>
        <w:t>disclosures required to be made in t</w:t>
      </w:r>
      <w:r w:rsidR="0039001B" w:rsidRPr="0085306E">
        <w:rPr>
          <w:rFonts w:ascii="Arial" w:hAnsi="Arial" w:cs="Arial"/>
          <w:sz w:val="20"/>
          <w:szCs w:val="20"/>
        </w:rPr>
        <w:t xml:space="preserve">he trust income tax return </w:t>
      </w:r>
      <w:r w:rsidR="0087746B" w:rsidRPr="0085306E">
        <w:rPr>
          <w:rFonts w:ascii="Arial" w:hAnsi="Arial" w:cs="Arial"/>
          <w:sz w:val="20"/>
          <w:szCs w:val="20"/>
        </w:rPr>
        <w:t>form</w:t>
      </w:r>
      <w:r w:rsidR="008B310E" w:rsidRPr="0085306E">
        <w:rPr>
          <w:rFonts w:ascii="Arial" w:hAnsi="Arial" w:cs="Arial"/>
          <w:sz w:val="20"/>
          <w:szCs w:val="20"/>
        </w:rPr>
        <w:t>.</w:t>
      </w:r>
    </w:p>
    <w:p w14:paraId="6404EA78" w14:textId="77777777" w:rsidR="00A959F5" w:rsidRDefault="00A959F5" w:rsidP="00745247">
      <w:pPr>
        <w:adjustRightInd w:val="0"/>
        <w:snapToGrid w:val="0"/>
        <w:spacing w:after="0"/>
        <w:rPr>
          <w:rFonts w:ascii="Arial" w:hAnsi="Arial" w:cs="Arial"/>
          <w:b/>
          <w:sz w:val="20"/>
          <w:szCs w:val="20"/>
        </w:rPr>
      </w:pPr>
    </w:p>
    <w:p w14:paraId="287DE630" w14:textId="5F83F2C2" w:rsidR="00042AA6" w:rsidRDefault="0087746B" w:rsidP="00745247">
      <w:pPr>
        <w:adjustRightInd w:val="0"/>
        <w:snapToGrid w:val="0"/>
        <w:spacing w:after="0"/>
        <w:rPr>
          <w:rFonts w:ascii="Arial" w:hAnsi="Arial" w:cs="Arial"/>
          <w:b/>
          <w:sz w:val="20"/>
          <w:szCs w:val="20"/>
        </w:rPr>
      </w:pPr>
      <w:r w:rsidRPr="0096160D">
        <w:rPr>
          <w:rFonts w:ascii="Arial" w:hAnsi="Arial" w:cs="Arial"/>
          <w:b/>
          <w:sz w:val="20"/>
          <w:szCs w:val="20"/>
        </w:rPr>
        <w:t xml:space="preserve">Background – </w:t>
      </w:r>
      <w:r w:rsidRPr="00C97E74">
        <w:rPr>
          <w:rFonts w:ascii="Arial" w:hAnsi="Arial" w:cs="Arial"/>
          <w:b/>
          <w:iCs/>
          <w:sz w:val="20"/>
          <w:szCs w:val="20"/>
        </w:rPr>
        <w:t>Bamford</w:t>
      </w:r>
      <w:r w:rsidRPr="0096160D">
        <w:rPr>
          <w:rFonts w:ascii="Arial" w:hAnsi="Arial" w:cs="Arial"/>
          <w:b/>
          <w:sz w:val="20"/>
          <w:szCs w:val="20"/>
        </w:rPr>
        <w:t xml:space="preserve"> and the meaning of income</w:t>
      </w:r>
    </w:p>
    <w:p w14:paraId="00F4759D" w14:textId="77777777" w:rsidR="00745247" w:rsidRDefault="00745247" w:rsidP="00745247">
      <w:pPr>
        <w:adjustRightInd w:val="0"/>
        <w:snapToGrid w:val="0"/>
        <w:spacing w:after="0"/>
        <w:rPr>
          <w:rFonts w:ascii="Arial" w:hAnsi="Arial" w:cs="Arial"/>
          <w:sz w:val="20"/>
          <w:szCs w:val="20"/>
        </w:rPr>
      </w:pPr>
    </w:p>
    <w:p w14:paraId="3D50C806" w14:textId="4716DFB9" w:rsidR="00951E98"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Before </w:t>
      </w:r>
      <w:r w:rsidR="00D67047">
        <w:rPr>
          <w:rFonts w:ascii="Arial" w:hAnsi="Arial" w:cs="Arial"/>
          <w:sz w:val="20"/>
          <w:szCs w:val="20"/>
        </w:rPr>
        <w:t>discussing each of the above factors</w:t>
      </w:r>
      <w:r w:rsidR="00C333C3">
        <w:rPr>
          <w:rFonts w:ascii="Arial" w:hAnsi="Arial" w:cs="Arial"/>
          <w:sz w:val="20"/>
          <w:szCs w:val="20"/>
        </w:rPr>
        <w:t>,</w:t>
      </w:r>
      <w:r w:rsidR="00D67047">
        <w:rPr>
          <w:rFonts w:ascii="Arial" w:hAnsi="Arial" w:cs="Arial"/>
          <w:sz w:val="20"/>
          <w:szCs w:val="20"/>
        </w:rPr>
        <w:t xml:space="preserve"> i</w:t>
      </w:r>
      <w:r w:rsidRPr="0096160D">
        <w:rPr>
          <w:rFonts w:ascii="Arial" w:hAnsi="Arial" w:cs="Arial"/>
          <w:sz w:val="20"/>
          <w:szCs w:val="20"/>
        </w:rPr>
        <w:t>t is helpful to briefly outline the relevant legislative provisions</w:t>
      </w:r>
      <w:r w:rsidR="00D67047">
        <w:rPr>
          <w:rFonts w:ascii="Arial" w:hAnsi="Arial" w:cs="Arial"/>
          <w:sz w:val="20"/>
          <w:szCs w:val="20"/>
        </w:rPr>
        <w:t xml:space="preserve"> concerning the taxation of trusts</w:t>
      </w:r>
      <w:r w:rsidRPr="0096160D">
        <w:rPr>
          <w:rFonts w:ascii="Arial" w:hAnsi="Arial" w:cs="Arial"/>
          <w:sz w:val="20"/>
          <w:szCs w:val="20"/>
        </w:rPr>
        <w:t xml:space="preserve">. </w:t>
      </w:r>
    </w:p>
    <w:p w14:paraId="5F166CAA" w14:textId="77777777" w:rsidR="00951E98" w:rsidRDefault="00951E98" w:rsidP="00745247">
      <w:pPr>
        <w:adjustRightInd w:val="0"/>
        <w:snapToGrid w:val="0"/>
        <w:spacing w:after="0"/>
        <w:rPr>
          <w:rFonts w:ascii="Arial" w:hAnsi="Arial" w:cs="Arial"/>
          <w:sz w:val="20"/>
          <w:szCs w:val="20"/>
        </w:rPr>
      </w:pPr>
    </w:p>
    <w:p w14:paraId="29377A2C" w14:textId="02AFEB6B" w:rsidR="00DF1FDB" w:rsidRDefault="00951E98" w:rsidP="00745247">
      <w:pPr>
        <w:adjustRightInd w:val="0"/>
        <w:snapToGrid w:val="0"/>
        <w:spacing w:after="0"/>
        <w:rPr>
          <w:rFonts w:ascii="Arial" w:hAnsi="Arial" w:cs="Arial"/>
          <w:sz w:val="20"/>
          <w:szCs w:val="20"/>
        </w:rPr>
      </w:pPr>
      <w:r>
        <w:rPr>
          <w:rFonts w:ascii="Arial" w:hAnsi="Arial" w:cs="Arial"/>
          <w:sz w:val="20"/>
          <w:szCs w:val="20"/>
        </w:rPr>
        <w:t>Pursuant to</w:t>
      </w:r>
      <w:r w:rsidR="0087746B" w:rsidRPr="0096160D">
        <w:rPr>
          <w:rFonts w:ascii="Arial" w:hAnsi="Arial" w:cs="Arial"/>
          <w:sz w:val="20"/>
          <w:szCs w:val="20"/>
        </w:rPr>
        <w:t xml:space="preserve"> Division 6 of the </w:t>
      </w:r>
      <w:r w:rsidR="00D1029B">
        <w:rPr>
          <w:rFonts w:ascii="Arial" w:hAnsi="Arial" w:cs="Arial"/>
          <w:sz w:val="20"/>
          <w:szCs w:val="20"/>
        </w:rPr>
        <w:t>ITAA 1836</w:t>
      </w:r>
      <w:r w:rsidR="0087746B" w:rsidRPr="0096160D">
        <w:rPr>
          <w:rFonts w:ascii="Arial" w:hAnsi="Arial" w:cs="Arial"/>
          <w:sz w:val="20"/>
          <w:szCs w:val="20"/>
        </w:rPr>
        <w:t xml:space="preserve">, beneficiaries of a trust are ordinarily liable for tax on the trust’s </w:t>
      </w:r>
      <w:r w:rsidR="00C81B82">
        <w:rPr>
          <w:rFonts w:ascii="Arial" w:hAnsi="Arial" w:cs="Arial"/>
          <w:sz w:val="20"/>
          <w:szCs w:val="20"/>
        </w:rPr>
        <w:t xml:space="preserve">net income (i.e. </w:t>
      </w:r>
      <w:r w:rsidR="0087746B" w:rsidRPr="0096160D">
        <w:rPr>
          <w:rFonts w:ascii="Arial" w:hAnsi="Arial" w:cs="Arial"/>
          <w:sz w:val="20"/>
          <w:szCs w:val="20"/>
        </w:rPr>
        <w:t>taxable income</w:t>
      </w:r>
      <w:r w:rsidR="00C81B82">
        <w:rPr>
          <w:rFonts w:ascii="Arial" w:hAnsi="Arial" w:cs="Arial"/>
          <w:sz w:val="20"/>
          <w:szCs w:val="20"/>
        </w:rPr>
        <w:t>)</w:t>
      </w:r>
      <w:r w:rsidR="0087746B" w:rsidRPr="0096160D">
        <w:rPr>
          <w:rFonts w:ascii="Arial" w:hAnsi="Arial" w:cs="Arial"/>
          <w:sz w:val="20"/>
          <w:szCs w:val="20"/>
        </w:rPr>
        <w:t xml:space="preserve"> rather than the trustee</w:t>
      </w:r>
      <w:r w:rsidR="0087746B" w:rsidRPr="000D67D0">
        <w:rPr>
          <w:sz w:val="20"/>
          <w:szCs w:val="20"/>
          <w:vertAlign w:val="superscript"/>
        </w:rPr>
        <w:footnoteReference w:id="2"/>
      </w:r>
      <w:r w:rsidR="0087746B" w:rsidRPr="0096160D">
        <w:rPr>
          <w:rFonts w:ascii="Arial" w:hAnsi="Arial" w:cs="Arial"/>
          <w:sz w:val="20"/>
          <w:szCs w:val="20"/>
        </w:rPr>
        <w:t xml:space="preserve">. </w:t>
      </w:r>
    </w:p>
    <w:p w14:paraId="006FC1DD" w14:textId="77777777" w:rsidR="00434779" w:rsidRDefault="00434779" w:rsidP="00745247">
      <w:pPr>
        <w:adjustRightInd w:val="0"/>
        <w:snapToGrid w:val="0"/>
        <w:spacing w:after="0"/>
        <w:rPr>
          <w:rFonts w:ascii="Arial" w:hAnsi="Arial" w:cs="Arial"/>
          <w:sz w:val="20"/>
          <w:szCs w:val="20"/>
        </w:rPr>
      </w:pPr>
    </w:p>
    <w:p w14:paraId="7A539CEE" w14:textId="319FBAC5" w:rsidR="0039001B"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Specifically, a beneficiary that is presently entitled to a share of the trust’s income will be subject to tax on that same share (i.e. proportion) of the trust’s </w:t>
      </w:r>
      <w:r w:rsidR="00C81B82">
        <w:rPr>
          <w:rFonts w:ascii="Arial" w:hAnsi="Arial" w:cs="Arial"/>
          <w:sz w:val="20"/>
          <w:szCs w:val="20"/>
        </w:rPr>
        <w:t xml:space="preserve">net </w:t>
      </w:r>
      <w:r w:rsidRPr="0096160D">
        <w:rPr>
          <w:rFonts w:ascii="Arial" w:hAnsi="Arial" w:cs="Arial"/>
          <w:sz w:val="20"/>
          <w:szCs w:val="20"/>
        </w:rPr>
        <w:t xml:space="preserve">income. In </w:t>
      </w:r>
      <w:r w:rsidRPr="00E6074A">
        <w:rPr>
          <w:rFonts w:ascii="Arial" w:hAnsi="Arial" w:cs="Arial"/>
          <w:i/>
          <w:sz w:val="20"/>
          <w:szCs w:val="20"/>
        </w:rPr>
        <w:t>Bamford</w:t>
      </w:r>
      <w:r w:rsidR="00C97E74">
        <w:rPr>
          <w:rFonts w:ascii="Arial" w:hAnsi="Arial" w:cs="Arial"/>
          <w:sz w:val="20"/>
          <w:szCs w:val="20"/>
        </w:rPr>
        <w:t>,</w:t>
      </w:r>
      <w:r w:rsidRPr="0096160D">
        <w:rPr>
          <w:rFonts w:ascii="Arial" w:hAnsi="Arial" w:cs="Arial"/>
          <w:sz w:val="20"/>
          <w:szCs w:val="20"/>
        </w:rPr>
        <w:t xml:space="preserve"> the High Court held that a trust’s ‘income’ was its income according to trust law</w:t>
      </w:r>
      <w:r w:rsidRPr="000D67D0">
        <w:rPr>
          <w:sz w:val="20"/>
          <w:szCs w:val="20"/>
          <w:vertAlign w:val="superscript"/>
        </w:rPr>
        <w:footnoteReference w:id="3"/>
      </w:r>
      <w:r w:rsidRPr="0096160D">
        <w:rPr>
          <w:rFonts w:ascii="Arial" w:hAnsi="Arial" w:cs="Arial"/>
          <w:sz w:val="20"/>
          <w:szCs w:val="20"/>
        </w:rPr>
        <w:t xml:space="preserve">. </w:t>
      </w:r>
    </w:p>
    <w:p w14:paraId="74B85B3B" w14:textId="77777777" w:rsidR="0039001B" w:rsidRDefault="0039001B" w:rsidP="00745247">
      <w:pPr>
        <w:adjustRightInd w:val="0"/>
        <w:snapToGrid w:val="0"/>
        <w:spacing w:after="0"/>
        <w:rPr>
          <w:rFonts w:ascii="Arial" w:hAnsi="Arial" w:cs="Arial"/>
          <w:sz w:val="20"/>
          <w:szCs w:val="20"/>
        </w:rPr>
      </w:pPr>
    </w:p>
    <w:p w14:paraId="5F90E18A" w14:textId="7083D370"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 xml:space="preserve">Under these trust law principles, any definition of ‘income’ contained in the </w:t>
      </w:r>
      <w:r w:rsidR="00E80C42">
        <w:rPr>
          <w:rFonts w:ascii="Arial" w:hAnsi="Arial" w:cs="Arial"/>
          <w:sz w:val="20"/>
          <w:szCs w:val="20"/>
        </w:rPr>
        <w:t>Trust Deed</w:t>
      </w:r>
      <w:r w:rsidRPr="0096160D">
        <w:rPr>
          <w:rFonts w:ascii="Arial" w:hAnsi="Arial" w:cs="Arial"/>
          <w:sz w:val="20"/>
          <w:szCs w:val="20"/>
        </w:rPr>
        <w:t xml:space="preserve"> will be relevant when determining the trust’s income.</w:t>
      </w:r>
    </w:p>
    <w:p w14:paraId="542955C1" w14:textId="77777777" w:rsidR="0087746B" w:rsidRPr="0096160D" w:rsidRDefault="0087746B" w:rsidP="00745247">
      <w:pPr>
        <w:adjustRightInd w:val="0"/>
        <w:snapToGrid w:val="0"/>
        <w:spacing w:after="0"/>
        <w:rPr>
          <w:rFonts w:ascii="Arial" w:hAnsi="Arial" w:cs="Arial"/>
          <w:sz w:val="20"/>
          <w:szCs w:val="20"/>
        </w:rPr>
      </w:pPr>
    </w:p>
    <w:p w14:paraId="50CBB929" w14:textId="0DD6D6F9"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 xml:space="preserve">Streaming </w:t>
      </w:r>
      <w:r w:rsidR="00723649">
        <w:rPr>
          <w:rFonts w:ascii="Arial" w:hAnsi="Arial" w:cs="Arial"/>
          <w:b/>
          <w:sz w:val="20"/>
          <w:szCs w:val="20"/>
        </w:rPr>
        <w:t>rules</w:t>
      </w:r>
    </w:p>
    <w:p w14:paraId="328B30E3" w14:textId="77777777" w:rsidR="00745247" w:rsidRDefault="00745247" w:rsidP="00745247">
      <w:pPr>
        <w:keepNext/>
        <w:adjustRightInd w:val="0"/>
        <w:snapToGrid w:val="0"/>
        <w:spacing w:after="0"/>
        <w:rPr>
          <w:rFonts w:ascii="Arial" w:hAnsi="Arial" w:cs="Arial"/>
          <w:sz w:val="20"/>
          <w:szCs w:val="20"/>
        </w:rPr>
      </w:pPr>
    </w:p>
    <w:p w14:paraId="20DF49E3" w14:textId="1658CC62" w:rsidR="0087746B" w:rsidRPr="0096160D" w:rsidRDefault="0087746B" w:rsidP="00745247">
      <w:pPr>
        <w:keepNext/>
        <w:adjustRightInd w:val="0"/>
        <w:snapToGrid w:val="0"/>
        <w:spacing w:after="0"/>
        <w:rPr>
          <w:rFonts w:ascii="Arial" w:hAnsi="Arial" w:cs="Arial"/>
          <w:sz w:val="20"/>
          <w:szCs w:val="20"/>
        </w:rPr>
      </w:pPr>
      <w:r w:rsidRPr="0096160D">
        <w:rPr>
          <w:rFonts w:ascii="Arial" w:hAnsi="Arial" w:cs="Arial"/>
          <w:sz w:val="20"/>
          <w:szCs w:val="20"/>
        </w:rPr>
        <w:t xml:space="preserve">In response to </w:t>
      </w:r>
      <w:r w:rsidRPr="00C97E74">
        <w:rPr>
          <w:rFonts w:ascii="Arial" w:hAnsi="Arial" w:cs="Arial"/>
          <w:iCs/>
          <w:sz w:val="20"/>
          <w:szCs w:val="20"/>
        </w:rPr>
        <w:t>Bamford</w:t>
      </w:r>
      <w:r w:rsidR="0039001B">
        <w:rPr>
          <w:rFonts w:ascii="Arial" w:hAnsi="Arial" w:cs="Arial"/>
          <w:sz w:val="20"/>
          <w:szCs w:val="20"/>
        </w:rPr>
        <w:t>,</w:t>
      </w:r>
      <w:r w:rsidRPr="0096160D">
        <w:rPr>
          <w:rFonts w:ascii="Arial" w:hAnsi="Arial" w:cs="Arial"/>
          <w:sz w:val="20"/>
          <w:szCs w:val="20"/>
        </w:rPr>
        <w:t xml:space="preserve"> the ATO took the view that the proportionate approach adopted by the High Court would not permit the streaming of certain classes of income</w:t>
      </w:r>
      <w:r w:rsidRPr="000D67D0">
        <w:rPr>
          <w:sz w:val="20"/>
          <w:szCs w:val="20"/>
          <w:vertAlign w:val="superscript"/>
        </w:rPr>
        <w:footnoteReference w:id="4"/>
      </w:r>
      <w:r w:rsidRPr="0096160D">
        <w:rPr>
          <w:rFonts w:ascii="Arial" w:hAnsi="Arial" w:cs="Arial"/>
          <w:sz w:val="20"/>
          <w:szCs w:val="20"/>
        </w:rPr>
        <w:t xml:space="preserve">. This view prompted legislative amendments which </w:t>
      </w:r>
      <w:r w:rsidR="00DF1FDB">
        <w:rPr>
          <w:rFonts w:ascii="Arial" w:hAnsi="Arial" w:cs="Arial"/>
          <w:sz w:val="20"/>
          <w:szCs w:val="20"/>
        </w:rPr>
        <w:t>we</w:t>
      </w:r>
      <w:r w:rsidR="00DF1FDB" w:rsidRPr="0096160D">
        <w:rPr>
          <w:rFonts w:ascii="Arial" w:hAnsi="Arial" w:cs="Arial"/>
          <w:sz w:val="20"/>
          <w:szCs w:val="20"/>
        </w:rPr>
        <w:t xml:space="preserve">re </w:t>
      </w:r>
      <w:r w:rsidRPr="0096160D">
        <w:rPr>
          <w:rFonts w:ascii="Arial" w:hAnsi="Arial" w:cs="Arial"/>
          <w:sz w:val="20"/>
          <w:szCs w:val="20"/>
        </w:rPr>
        <w:t>designed to allow the streaming of capital gains and franked di</w:t>
      </w:r>
      <w:r w:rsidR="00D67047">
        <w:rPr>
          <w:rFonts w:ascii="Arial" w:hAnsi="Arial" w:cs="Arial"/>
          <w:sz w:val="20"/>
          <w:szCs w:val="20"/>
        </w:rPr>
        <w:t>vidends</w:t>
      </w:r>
      <w:r w:rsidR="005F6F62">
        <w:rPr>
          <w:rFonts w:ascii="Arial" w:hAnsi="Arial" w:cs="Arial"/>
          <w:sz w:val="20"/>
          <w:szCs w:val="20"/>
        </w:rPr>
        <w:t xml:space="preserve"> subject to certain conditions being satisfied</w:t>
      </w:r>
      <w:r w:rsidRPr="000D67D0">
        <w:rPr>
          <w:sz w:val="20"/>
          <w:szCs w:val="20"/>
          <w:vertAlign w:val="superscript"/>
        </w:rPr>
        <w:footnoteReference w:id="5"/>
      </w:r>
      <w:r>
        <w:rPr>
          <w:rFonts w:ascii="Arial" w:hAnsi="Arial" w:cs="Arial"/>
          <w:sz w:val="20"/>
          <w:szCs w:val="20"/>
        </w:rPr>
        <w:t xml:space="preserve">. </w:t>
      </w:r>
    </w:p>
    <w:p w14:paraId="31223FA4" w14:textId="77777777" w:rsidR="0087746B" w:rsidRPr="0096160D" w:rsidRDefault="0087746B" w:rsidP="00745247">
      <w:pPr>
        <w:adjustRightInd w:val="0"/>
        <w:snapToGrid w:val="0"/>
        <w:spacing w:after="0"/>
        <w:rPr>
          <w:rFonts w:ascii="Arial" w:hAnsi="Arial" w:cs="Arial"/>
          <w:sz w:val="20"/>
          <w:szCs w:val="20"/>
        </w:rPr>
      </w:pPr>
    </w:p>
    <w:p w14:paraId="09F03692" w14:textId="0601B4C0" w:rsidR="00A337BC" w:rsidRPr="0096160D" w:rsidRDefault="005F6F62" w:rsidP="00745247">
      <w:pPr>
        <w:adjustRightInd w:val="0"/>
        <w:snapToGrid w:val="0"/>
        <w:spacing w:after="0"/>
        <w:rPr>
          <w:rFonts w:ascii="Arial" w:hAnsi="Arial" w:cs="Arial"/>
          <w:sz w:val="20"/>
          <w:szCs w:val="20"/>
        </w:rPr>
      </w:pPr>
      <w:r>
        <w:rPr>
          <w:rFonts w:ascii="Arial" w:hAnsi="Arial" w:cs="Arial"/>
          <w:sz w:val="20"/>
          <w:szCs w:val="20"/>
        </w:rPr>
        <w:t xml:space="preserve">Key </w:t>
      </w:r>
      <w:r w:rsidR="00723649">
        <w:rPr>
          <w:rFonts w:ascii="Arial" w:hAnsi="Arial" w:cs="Arial"/>
          <w:sz w:val="20"/>
          <w:szCs w:val="20"/>
        </w:rPr>
        <w:t xml:space="preserve">issues to be considered in relation to </w:t>
      </w:r>
      <w:r>
        <w:rPr>
          <w:rFonts w:ascii="Arial" w:hAnsi="Arial" w:cs="Arial"/>
          <w:sz w:val="20"/>
          <w:szCs w:val="20"/>
        </w:rPr>
        <w:t>the streaming</w:t>
      </w:r>
      <w:r w:rsidR="0087746B" w:rsidRPr="0096160D">
        <w:rPr>
          <w:rFonts w:ascii="Arial" w:hAnsi="Arial" w:cs="Arial"/>
          <w:sz w:val="20"/>
          <w:szCs w:val="20"/>
        </w:rPr>
        <w:t xml:space="preserve"> rules are explained below.</w:t>
      </w:r>
    </w:p>
    <w:p w14:paraId="5F6A3729" w14:textId="77777777" w:rsidR="0087746B" w:rsidRPr="0096160D" w:rsidRDefault="0087746B" w:rsidP="00745247">
      <w:pPr>
        <w:adjustRightInd w:val="0"/>
        <w:snapToGrid w:val="0"/>
        <w:spacing w:after="0"/>
        <w:rPr>
          <w:rFonts w:ascii="Arial" w:hAnsi="Arial" w:cs="Arial"/>
          <w:sz w:val="20"/>
          <w:szCs w:val="20"/>
        </w:rPr>
      </w:pPr>
    </w:p>
    <w:p w14:paraId="08D2FB9C" w14:textId="5FAB589B" w:rsidR="0087746B" w:rsidRPr="0096160D" w:rsidRDefault="00E80C42" w:rsidP="00745247">
      <w:pPr>
        <w:numPr>
          <w:ilvl w:val="0"/>
          <w:numId w:val="3"/>
        </w:numPr>
        <w:adjustRightInd w:val="0"/>
        <w:snapToGrid w:val="0"/>
        <w:spacing w:after="0"/>
        <w:ind w:left="360"/>
        <w:rPr>
          <w:rFonts w:ascii="Arial" w:hAnsi="Arial" w:cs="Arial"/>
          <w:i/>
          <w:sz w:val="20"/>
          <w:szCs w:val="20"/>
        </w:rPr>
      </w:pPr>
      <w:r>
        <w:rPr>
          <w:rFonts w:ascii="Arial" w:hAnsi="Arial" w:cs="Arial"/>
          <w:i/>
          <w:sz w:val="20"/>
          <w:szCs w:val="20"/>
        </w:rPr>
        <w:t>Trust Deed</w:t>
      </w:r>
      <w:r w:rsidR="0087746B" w:rsidRPr="0096160D">
        <w:rPr>
          <w:rFonts w:ascii="Arial" w:hAnsi="Arial" w:cs="Arial"/>
          <w:i/>
          <w:sz w:val="20"/>
          <w:szCs w:val="20"/>
        </w:rPr>
        <w:t xml:space="preserve"> requirements</w:t>
      </w:r>
    </w:p>
    <w:p w14:paraId="210B4FBD" w14:textId="77777777" w:rsidR="00745247" w:rsidRDefault="00745247" w:rsidP="00745247">
      <w:pPr>
        <w:adjustRightInd w:val="0"/>
        <w:snapToGrid w:val="0"/>
        <w:spacing w:after="0"/>
        <w:rPr>
          <w:rFonts w:ascii="Arial" w:hAnsi="Arial" w:cs="Arial"/>
          <w:sz w:val="20"/>
          <w:szCs w:val="20"/>
        </w:rPr>
      </w:pPr>
    </w:p>
    <w:p w14:paraId="49FEC4C0" w14:textId="1DC6CA01" w:rsidR="005F6F62" w:rsidRDefault="0087746B" w:rsidP="00745247">
      <w:pPr>
        <w:adjustRightInd w:val="0"/>
        <w:snapToGrid w:val="0"/>
        <w:spacing w:after="0"/>
        <w:rPr>
          <w:rFonts w:ascii="Arial" w:hAnsi="Arial" w:cs="Arial"/>
          <w:sz w:val="20"/>
          <w:szCs w:val="20"/>
        </w:rPr>
      </w:pPr>
      <w:r w:rsidRPr="0096160D">
        <w:rPr>
          <w:rFonts w:ascii="Arial" w:hAnsi="Arial" w:cs="Arial"/>
          <w:sz w:val="20"/>
          <w:szCs w:val="20"/>
        </w:rPr>
        <w:t>There is doubt as to whether the streaming rules give a trustee power t</w:t>
      </w:r>
      <w:r w:rsidR="00C81B82">
        <w:rPr>
          <w:rFonts w:ascii="Arial" w:hAnsi="Arial" w:cs="Arial"/>
          <w:sz w:val="20"/>
          <w:szCs w:val="20"/>
        </w:rPr>
        <w:t>o stream capital gains or franked</w:t>
      </w:r>
      <w:r w:rsidRPr="0096160D">
        <w:rPr>
          <w:rFonts w:ascii="Arial" w:hAnsi="Arial" w:cs="Arial"/>
          <w:sz w:val="20"/>
          <w:szCs w:val="20"/>
        </w:rPr>
        <w:t xml:space="preserve"> </w:t>
      </w:r>
      <w:r w:rsidR="00C81B82">
        <w:rPr>
          <w:rFonts w:ascii="Arial" w:hAnsi="Arial" w:cs="Arial"/>
          <w:sz w:val="20"/>
          <w:szCs w:val="20"/>
        </w:rPr>
        <w:t>di</w:t>
      </w:r>
      <w:r w:rsidR="00D67047">
        <w:rPr>
          <w:rFonts w:ascii="Arial" w:hAnsi="Arial" w:cs="Arial"/>
          <w:sz w:val="20"/>
          <w:szCs w:val="20"/>
        </w:rPr>
        <w:t>vidends</w:t>
      </w:r>
      <w:r w:rsidRPr="0096160D">
        <w:rPr>
          <w:rFonts w:ascii="Arial" w:hAnsi="Arial" w:cs="Arial"/>
          <w:sz w:val="20"/>
          <w:szCs w:val="20"/>
        </w:rPr>
        <w:t xml:space="preserve">, where no such power exists in the </w:t>
      </w:r>
      <w:r w:rsidR="00E80C42">
        <w:rPr>
          <w:rFonts w:ascii="Arial" w:hAnsi="Arial" w:cs="Arial"/>
          <w:sz w:val="20"/>
          <w:szCs w:val="20"/>
        </w:rPr>
        <w:t>Trust Deed</w:t>
      </w:r>
      <w:r w:rsidRPr="0096160D">
        <w:rPr>
          <w:rFonts w:ascii="Arial" w:hAnsi="Arial" w:cs="Arial"/>
          <w:sz w:val="20"/>
          <w:szCs w:val="20"/>
        </w:rPr>
        <w:t xml:space="preserve">. Consequently, </w:t>
      </w:r>
      <w:r w:rsidR="00E80C42">
        <w:rPr>
          <w:rFonts w:ascii="Arial" w:hAnsi="Arial" w:cs="Arial"/>
          <w:sz w:val="20"/>
          <w:szCs w:val="20"/>
        </w:rPr>
        <w:t>trustees</w:t>
      </w:r>
      <w:r w:rsidR="00E80C42" w:rsidRPr="0096160D">
        <w:rPr>
          <w:rFonts w:ascii="Arial" w:hAnsi="Arial" w:cs="Arial"/>
          <w:sz w:val="20"/>
          <w:szCs w:val="20"/>
        </w:rPr>
        <w:t xml:space="preserve"> </w:t>
      </w:r>
      <w:r w:rsidRPr="0096160D">
        <w:rPr>
          <w:rFonts w:ascii="Arial" w:hAnsi="Arial" w:cs="Arial"/>
          <w:sz w:val="20"/>
          <w:szCs w:val="20"/>
        </w:rPr>
        <w:t xml:space="preserve">who wish to stream </w:t>
      </w:r>
      <w:r w:rsidR="00C81B82">
        <w:rPr>
          <w:rFonts w:ascii="Arial" w:hAnsi="Arial" w:cs="Arial"/>
          <w:sz w:val="20"/>
          <w:szCs w:val="20"/>
        </w:rPr>
        <w:t xml:space="preserve">such amounts </w:t>
      </w:r>
      <w:r w:rsidRPr="0096160D">
        <w:rPr>
          <w:rFonts w:ascii="Arial" w:hAnsi="Arial" w:cs="Arial"/>
          <w:sz w:val="20"/>
          <w:szCs w:val="20"/>
        </w:rPr>
        <w:t xml:space="preserve">should review the </w:t>
      </w:r>
      <w:r w:rsidR="00E80C42">
        <w:rPr>
          <w:rFonts w:ascii="Arial" w:hAnsi="Arial" w:cs="Arial"/>
          <w:sz w:val="20"/>
          <w:szCs w:val="20"/>
        </w:rPr>
        <w:t>Trust Deed</w:t>
      </w:r>
      <w:r w:rsidRPr="0096160D">
        <w:rPr>
          <w:rFonts w:ascii="Arial" w:hAnsi="Arial" w:cs="Arial"/>
          <w:sz w:val="20"/>
          <w:szCs w:val="20"/>
        </w:rPr>
        <w:t xml:space="preserve"> to ensure that strea</w:t>
      </w:r>
      <w:r w:rsidR="00A337BC">
        <w:rPr>
          <w:rFonts w:ascii="Arial" w:hAnsi="Arial" w:cs="Arial"/>
          <w:sz w:val="20"/>
          <w:szCs w:val="20"/>
        </w:rPr>
        <w:t>ming is</w:t>
      </w:r>
      <w:r w:rsidRPr="0096160D">
        <w:rPr>
          <w:rFonts w:ascii="Arial" w:hAnsi="Arial" w:cs="Arial"/>
          <w:sz w:val="20"/>
          <w:szCs w:val="20"/>
        </w:rPr>
        <w:t xml:space="preserve"> permitted.</w:t>
      </w:r>
      <w:r w:rsidR="005A64EB">
        <w:rPr>
          <w:rFonts w:ascii="Arial" w:hAnsi="Arial" w:cs="Arial"/>
          <w:sz w:val="20"/>
          <w:szCs w:val="20"/>
        </w:rPr>
        <w:t xml:space="preserve"> </w:t>
      </w:r>
    </w:p>
    <w:p w14:paraId="4DCED157" w14:textId="77777777" w:rsidR="005F6F62" w:rsidRDefault="005F6F62" w:rsidP="00745247">
      <w:pPr>
        <w:adjustRightInd w:val="0"/>
        <w:snapToGrid w:val="0"/>
        <w:spacing w:after="0"/>
        <w:rPr>
          <w:rFonts w:ascii="Arial" w:hAnsi="Arial" w:cs="Arial"/>
          <w:sz w:val="20"/>
          <w:szCs w:val="20"/>
        </w:rPr>
      </w:pPr>
    </w:p>
    <w:p w14:paraId="1241DD69" w14:textId="49830E56" w:rsidR="0087746B" w:rsidRPr="0096160D" w:rsidRDefault="005A64EB" w:rsidP="00745247">
      <w:pPr>
        <w:adjustRightInd w:val="0"/>
        <w:snapToGrid w:val="0"/>
        <w:spacing w:after="0"/>
        <w:rPr>
          <w:rFonts w:ascii="Arial" w:hAnsi="Arial" w:cs="Arial"/>
          <w:sz w:val="20"/>
          <w:szCs w:val="20"/>
        </w:rPr>
      </w:pPr>
      <w:r>
        <w:rPr>
          <w:rFonts w:ascii="Arial" w:hAnsi="Arial" w:cs="Arial"/>
          <w:sz w:val="20"/>
          <w:szCs w:val="20"/>
        </w:rPr>
        <w:t>Care should</w:t>
      </w:r>
      <w:r w:rsidR="005F6F62">
        <w:rPr>
          <w:rFonts w:ascii="Arial" w:hAnsi="Arial" w:cs="Arial"/>
          <w:sz w:val="20"/>
          <w:szCs w:val="20"/>
        </w:rPr>
        <w:t xml:space="preserve"> be taken to ensure that any amendments </w:t>
      </w:r>
      <w:r>
        <w:rPr>
          <w:rFonts w:ascii="Arial" w:hAnsi="Arial" w:cs="Arial"/>
          <w:sz w:val="20"/>
          <w:szCs w:val="20"/>
        </w:rPr>
        <w:t xml:space="preserve">to </w:t>
      </w:r>
      <w:r w:rsidR="005F6F62">
        <w:rPr>
          <w:rFonts w:ascii="Arial" w:hAnsi="Arial" w:cs="Arial"/>
          <w:sz w:val="20"/>
          <w:szCs w:val="20"/>
        </w:rPr>
        <w:t>a</w:t>
      </w:r>
      <w:r>
        <w:rPr>
          <w:rFonts w:ascii="Arial" w:hAnsi="Arial" w:cs="Arial"/>
          <w:sz w:val="20"/>
          <w:szCs w:val="20"/>
        </w:rPr>
        <w:t xml:space="preserve"> </w:t>
      </w:r>
      <w:r w:rsidR="00E80C42">
        <w:rPr>
          <w:rFonts w:ascii="Arial" w:hAnsi="Arial" w:cs="Arial"/>
          <w:sz w:val="20"/>
          <w:szCs w:val="20"/>
        </w:rPr>
        <w:t>Trust Deed</w:t>
      </w:r>
      <w:r>
        <w:rPr>
          <w:rFonts w:ascii="Arial" w:hAnsi="Arial" w:cs="Arial"/>
          <w:sz w:val="20"/>
          <w:szCs w:val="20"/>
        </w:rPr>
        <w:t xml:space="preserve"> </w:t>
      </w:r>
      <w:r w:rsidR="005F6F62">
        <w:rPr>
          <w:rFonts w:ascii="Arial" w:hAnsi="Arial" w:cs="Arial"/>
          <w:sz w:val="20"/>
          <w:szCs w:val="20"/>
        </w:rPr>
        <w:t>to insert a clause allowing a trustee a discretion to stream capital gains and franked di</w:t>
      </w:r>
      <w:r w:rsidR="00FE7878">
        <w:rPr>
          <w:rFonts w:ascii="Arial" w:hAnsi="Arial" w:cs="Arial"/>
          <w:sz w:val="20"/>
          <w:szCs w:val="20"/>
        </w:rPr>
        <w:t>vidends</w:t>
      </w:r>
      <w:r w:rsidR="005F6F62">
        <w:rPr>
          <w:rFonts w:ascii="Arial" w:hAnsi="Arial" w:cs="Arial"/>
          <w:sz w:val="20"/>
          <w:szCs w:val="20"/>
        </w:rPr>
        <w:t xml:space="preserve"> is made </w:t>
      </w:r>
      <w:r w:rsidR="00D67047">
        <w:rPr>
          <w:rFonts w:ascii="Arial" w:hAnsi="Arial" w:cs="Arial"/>
          <w:sz w:val="20"/>
          <w:szCs w:val="20"/>
        </w:rPr>
        <w:t>under</w:t>
      </w:r>
      <w:r w:rsidR="005F6F62">
        <w:rPr>
          <w:rFonts w:ascii="Arial" w:hAnsi="Arial" w:cs="Arial"/>
          <w:sz w:val="20"/>
          <w:szCs w:val="20"/>
        </w:rPr>
        <w:t xml:space="preserve"> a valid power of amendment and does</w:t>
      </w:r>
      <w:r w:rsidR="00927C30">
        <w:rPr>
          <w:rFonts w:ascii="Arial" w:hAnsi="Arial" w:cs="Arial"/>
          <w:sz w:val="20"/>
          <w:szCs w:val="20"/>
        </w:rPr>
        <w:t xml:space="preserve"> not</w:t>
      </w:r>
      <w:r>
        <w:rPr>
          <w:rFonts w:ascii="Arial" w:hAnsi="Arial" w:cs="Arial"/>
          <w:sz w:val="20"/>
          <w:szCs w:val="20"/>
        </w:rPr>
        <w:t xml:space="preserve"> give rise to a resettlement for stamp duty or tax purposes. Taxation Determination TD 2012/21</w:t>
      </w:r>
      <w:r w:rsidR="00A337BC">
        <w:rPr>
          <w:rFonts w:ascii="Arial" w:hAnsi="Arial" w:cs="Arial"/>
          <w:sz w:val="20"/>
          <w:szCs w:val="20"/>
        </w:rPr>
        <w:t xml:space="preserve"> </w:t>
      </w:r>
      <w:r w:rsidR="00C81B82">
        <w:rPr>
          <w:rFonts w:ascii="Arial" w:hAnsi="Arial" w:cs="Arial"/>
          <w:sz w:val="20"/>
          <w:szCs w:val="20"/>
        </w:rPr>
        <w:t>addresses</w:t>
      </w:r>
      <w:r w:rsidR="00A337BC">
        <w:rPr>
          <w:rFonts w:ascii="Arial" w:hAnsi="Arial" w:cs="Arial"/>
          <w:sz w:val="20"/>
          <w:szCs w:val="20"/>
        </w:rPr>
        <w:t xml:space="preserve"> thi</w:t>
      </w:r>
      <w:r>
        <w:rPr>
          <w:rFonts w:ascii="Arial" w:hAnsi="Arial" w:cs="Arial"/>
          <w:sz w:val="20"/>
          <w:szCs w:val="20"/>
        </w:rPr>
        <w:t>s issue</w:t>
      </w:r>
      <w:r w:rsidR="00C81B82">
        <w:rPr>
          <w:rFonts w:ascii="Arial" w:hAnsi="Arial" w:cs="Arial"/>
          <w:sz w:val="20"/>
          <w:szCs w:val="20"/>
        </w:rPr>
        <w:t xml:space="preserve"> from a tax perspective</w:t>
      </w:r>
      <w:r>
        <w:rPr>
          <w:rFonts w:ascii="Arial" w:hAnsi="Arial" w:cs="Arial"/>
          <w:sz w:val="20"/>
          <w:szCs w:val="20"/>
        </w:rPr>
        <w:t>.</w:t>
      </w:r>
    </w:p>
    <w:p w14:paraId="03D7C0B7" w14:textId="77777777" w:rsidR="0087746B" w:rsidRPr="0096160D" w:rsidRDefault="0087746B" w:rsidP="00745247">
      <w:pPr>
        <w:adjustRightInd w:val="0"/>
        <w:snapToGrid w:val="0"/>
        <w:spacing w:after="0"/>
        <w:rPr>
          <w:rFonts w:ascii="Arial" w:hAnsi="Arial" w:cs="Arial"/>
          <w:sz w:val="20"/>
          <w:szCs w:val="20"/>
        </w:rPr>
      </w:pPr>
    </w:p>
    <w:p w14:paraId="0708EF78" w14:textId="687BF563"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Specific entitlement to franked di</w:t>
      </w:r>
      <w:r w:rsidR="00FE7878">
        <w:rPr>
          <w:rFonts w:ascii="Arial" w:hAnsi="Arial" w:cs="Arial"/>
          <w:i/>
          <w:sz w:val="20"/>
          <w:szCs w:val="20"/>
        </w:rPr>
        <w:t>vidends</w:t>
      </w:r>
      <w:r w:rsidRPr="0096160D">
        <w:rPr>
          <w:rFonts w:ascii="Arial" w:hAnsi="Arial" w:cs="Arial"/>
          <w:i/>
          <w:sz w:val="20"/>
          <w:szCs w:val="20"/>
        </w:rPr>
        <w:t xml:space="preserve"> or capital gains</w:t>
      </w:r>
    </w:p>
    <w:p w14:paraId="7CD790E7" w14:textId="77777777" w:rsidR="00745247" w:rsidRDefault="00745247" w:rsidP="00745247">
      <w:pPr>
        <w:adjustRightInd w:val="0"/>
        <w:snapToGrid w:val="0"/>
        <w:spacing w:after="0"/>
        <w:rPr>
          <w:rFonts w:ascii="Arial" w:hAnsi="Arial" w:cs="Arial"/>
          <w:sz w:val="20"/>
          <w:szCs w:val="20"/>
        </w:rPr>
      </w:pPr>
    </w:p>
    <w:p w14:paraId="74DEE49A" w14:textId="279E4EAD"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To effectively stream a capital gain or franked di</w:t>
      </w:r>
      <w:r w:rsidR="00FE7878">
        <w:rPr>
          <w:rFonts w:ascii="Arial" w:hAnsi="Arial" w:cs="Arial"/>
          <w:sz w:val="20"/>
          <w:szCs w:val="20"/>
        </w:rPr>
        <w:t>vidend</w:t>
      </w:r>
      <w:r w:rsidRPr="0096160D">
        <w:rPr>
          <w:rFonts w:ascii="Arial" w:hAnsi="Arial" w:cs="Arial"/>
          <w:sz w:val="20"/>
          <w:szCs w:val="20"/>
        </w:rPr>
        <w:t xml:space="preserve"> the trustee must make a beneficiary ‘specifically entitled’ to a share of an amount equal to the net financial benefit referable to that capital gain or franked di</w:t>
      </w:r>
      <w:r w:rsidR="00FE7878">
        <w:rPr>
          <w:rFonts w:ascii="Arial" w:hAnsi="Arial" w:cs="Arial"/>
          <w:sz w:val="20"/>
          <w:szCs w:val="20"/>
        </w:rPr>
        <w:t>vidend</w:t>
      </w:r>
      <w:r w:rsidRPr="0096160D">
        <w:rPr>
          <w:rFonts w:ascii="Arial" w:hAnsi="Arial" w:cs="Arial"/>
          <w:sz w:val="20"/>
          <w:szCs w:val="20"/>
        </w:rPr>
        <w:t xml:space="preserve">. </w:t>
      </w:r>
    </w:p>
    <w:p w14:paraId="25F4DD5C" w14:textId="77777777" w:rsidR="0087746B" w:rsidRPr="0096160D" w:rsidRDefault="0087746B" w:rsidP="00745247">
      <w:pPr>
        <w:adjustRightInd w:val="0"/>
        <w:snapToGrid w:val="0"/>
        <w:spacing w:after="0"/>
        <w:rPr>
          <w:rFonts w:ascii="Arial" w:hAnsi="Arial" w:cs="Arial"/>
          <w:sz w:val="20"/>
          <w:szCs w:val="20"/>
        </w:rPr>
      </w:pPr>
    </w:p>
    <w:p w14:paraId="3DDCDE2D" w14:textId="32D56348" w:rsidR="0087746B" w:rsidRPr="0096160D" w:rsidRDefault="00745247" w:rsidP="00745247">
      <w:pPr>
        <w:adjustRightInd w:val="0"/>
        <w:snapToGrid w:val="0"/>
        <w:spacing w:after="0"/>
        <w:rPr>
          <w:rFonts w:ascii="Arial" w:hAnsi="Arial" w:cs="Arial"/>
          <w:sz w:val="20"/>
          <w:szCs w:val="20"/>
        </w:rPr>
      </w:pPr>
      <w:r>
        <w:rPr>
          <w:rFonts w:ascii="Arial" w:hAnsi="Arial" w:cs="Arial"/>
          <w:sz w:val="20"/>
          <w:szCs w:val="20"/>
        </w:rPr>
        <w:t xml:space="preserve">Under </w:t>
      </w:r>
      <w:r w:rsidR="00E80C42">
        <w:rPr>
          <w:rFonts w:ascii="Arial" w:hAnsi="Arial" w:cs="Arial"/>
          <w:sz w:val="20"/>
          <w:szCs w:val="20"/>
        </w:rPr>
        <w:t>s</w:t>
      </w:r>
      <w:r w:rsidR="0087746B" w:rsidRPr="0096160D">
        <w:rPr>
          <w:rFonts w:ascii="Arial" w:hAnsi="Arial" w:cs="Arial"/>
          <w:sz w:val="20"/>
          <w:szCs w:val="20"/>
        </w:rPr>
        <w:t xml:space="preserve">ections 115-228 and 207-58 of the </w:t>
      </w:r>
      <w:r w:rsidR="0087746B" w:rsidRPr="0096160D">
        <w:rPr>
          <w:rFonts w:ascii="Arial" w:hAnsi="Arial" w:cs="Arial"/>
          <w:i/>
          <w:sz w:val="20"/>
          <w:szCs w:val="20"/>
        </w:rPr>
        <w:t xml:space="preserve">Income Tax Assessment Act </w:t>
      </w:r>
      <w:r w:rsidR="0087746B" w:rsidRPr="00927C30">
        <w:rPr>
          <w:rFonts w:ascii="Arial" w:hAnsi="Arial" w:cs="Arial"/>
          <w:sz w:val="20"/>
          <w:szCs w:val="20"/>
        </w:rPr>
        <w:t>1997</w:t>
      </w:r>
      <w:r w:rsidR="00927C30">
        <w:rPr>
          <w:rFonts w:ascii="Arial" w:hAnsi="Arial" w:cs="Arial"/>
          <w:sz w:val="20"/>
          <w:szCs w:val="20"/>
        </w:rPr>
        <w:t xml:space="preserve"> (</w:t>
      </w:r>
      <w:r w:rsidR="00434779" w:rsidRPr="00434779">
        <w:rPr>
          <w:rFonts w:ascii="Arial" w:hAnsi="Arial" w:cs="Arial"/>
          <w:b/>
          <w:bCs/>
          <w:i/>
          <w:iCs/>
          <w:sz w:val="20"/>
          <w:szCs w:val="20"/>
        </w:rPr>
        <w:t>ITAA 1997</w:t>
      </w:r>
      <w:r w:rsidR="00927C30">
        <w:rPr>
          <w:rFonts w:ascii="Arial" w:hAnsi="Arial" w:cs="Arial"/>
          <w:sz w:val="20"/>
          <w:szCs w:val="20"/>
        </w:rPr>
        <w:t>)</w:t>
      </w:r>
      <w:r w:rsidR="0087746B" w:rsidRPr="00927C30">
        <w:rPr>
          <w:rFonts w:ascii="Arial" w:hAnsi="Arial" w:cs="Arial"/>
          <w:sz w:val="20"/>
          <w:szCs w:val="20"/>
        </w:rPr>
        <w:t>,</w:t>
      </w:r>
      <w:r w:rsidR="0087746B" w:rsidRPr="0096160D">
        <w:rPr>
          <w:rFonts w:ascii="Arial" w:hAnsi="Arial" w:cs="Arial"/>
          <w:sz w:val="20"/>
          <w:szCs w:val="20"/>
        </w:rPr>
        <w:t xml:space="preserve"> a beneficiary will be specifically entitled to an amount equal to a share of the net financial benefit where:</w:t>
      </w:r>
    </w:p>
    <w:p w14:paraId="5D443053" w14:textId="77777777" w:rsidR="0087746B" w:rsidRPr="0096160D" w:rsidRDefault="0087746B" w:rsidP="00745247">
      <w:pPr>
        <w:adjustRightInd w:val="0"/>
        <w:snapToGrid w:val="0"/>
        <w:spacing w:after="0"/>
        <w:rPr>
          <w:rFonts w:ascii="Arial" w:hAnsi="Arial" w:cs="Arial"/>
          <w:sz w:val="20"/>
          <w:szCs w:val="20"/>
        </w:rPr>
      </w:pPr>
    </w:p>
    <w:p w14:paraId="1BFEC10A" w14:textId="77777777"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the beneficiary has</w:t>
      </w:r>
      <w:r w:rsidR="0087746B" w:rsidRPr="0096160D">
        <w:rPr>
          <w:rFonts w:ascii="Arial" w:hAnsi="Arial" w:cs="Arial"/>
          <w:sz w:val="20"/>
          <w:szCs w:val="20"/>
        </w:rPr>
        <w:t xml:space="preserve"> received, or can reasonably expect to receive</w:t>
      </w:r>
      <w:r w:rsidR="0039001B">
        <w:rPr>
          <w:rFonts w:ascii="Arial" w:hAnsi="Arial" w:cs="Arial"/>
          <w:sz w:val="20"/>
          <w:szCs w:val="20"/>
        </w:rPr>
        <w:t>,</w:t>
      </w:r>
      <w:r w:rsidR="0087746B" w:rsidRPr="0096160D">
        <w:rPr>
          <w:rFonts w:ascii="Arial" w:hAnsi="Arial" w:cs="Arial"/>
          <w:sz w:val="20"/>
          <w:szCs w:val="20"/>
        </w:rPr>
        <w:t xml:space="preserve"> such an amount</w:t>
      </w:r>
    </w:p>
    <w:p w14:paraId="17404ACB" w14:textId="420CF1AB" w:rsidR="0087746B" w:rsidRPr="0096160D" w:rsidRDefault="0087746B" w:rsidP="00745247">
      <w:pPr>
        <w:pStyle w:val="ColorfulList-Accent11"/>
        <w:numPr>
          <w:ilvl w:val="0"/>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amount is</w:t>
      </w:r>
      <w:r w:rsidR="00927C30">
        <w:rPr>
          <w:rFonts w:ascii="Arial" w:hAnsi="Arial" w:cs="Arial"/>
          <w:sz w:val="20"/>
          <w:szCs w:val="20"/>
        </w:rPr>
        <w:t xml:space="preserve"> referrable to the capital gain or </w:t>
      </w:r>
      <w:r w:rsidRPr="0096160D">
        <w:rPr>
          <w:rFonts w:ascii="Arial" w:hAnsi="Arial" w:cs="Arial"/>
          <w:sz w:val="20"/>
          <w:szCs w:val="20"/>
        </w:rPr>
        <w:t>franked di</w:t>
      </w:r>
      <w:r w:rsidR="00FE7878">
        <w:rPr>
          <w:rFonts w:ascii="Arial" w:hAnsi="Arial" w:cs="Arial"/>
          <w:sz w:val="20"/>
          <w:szCs w:val="20"/>
        </w:rPr>
        <w:t>vidend</w:t>
      </w:r>
      <w:r w:rsidRPr="0096160D">
        <w:rPr>
          <w:rFonts w:ascii="Arial" w:hAnsi="Arial" w:cs="Arial"/>
          <w:sz w:val="20"/>
          <w:szCs w:val="20"/>
        </w:rPr>
        <w:t xml:space="preserve"> (after </w:t>
      </w:r>
      <w:r w:rsidR="00D67047">
        <w:rPr>
          <w:rFonts w:ascii="Arial" w:hAnsi="Arial" w:cs="Arial"/>
          <w:sz w:val="20"/>
          <w:szCs w:val="20"/>
        </w:rPr>
        <w:t xml:space="preserve">respectively </w:t>
      </w:r>
      <w:r w:rsidRPr="0096160D">
        <w:rPr>
          <w:rFonts w:ascii="Arial" w:hAnsi="Arial" w:cs="Arial"/>
          <w:sz w:val="20"/>
          <w:szCs w:val="20"/>
        </w:rPr>
        <w:t xml:space="preserve">applying any </w:t>
      </w:r>
      <w:r w:rsidR="00927C30">
        <w:rPr>
          <w:rFonts w:ascii="Arial" w:hAnsi="Arial" w:cs="Arial"/>
          <w:sz w:val="20"/>
          <w:szCs w:val="20"/>
        </w:rPr>
        <w:t xml:space="preserve">trust </w:t>
      </w:r>
      <w:r w:rsidR="00D67047">
        <w:rPr>
          <w:rFonts w:ascii="Arial" w:hAnsi="Arial" w:cs="Arial"/>
          <w:sz w:val="20"/>
          <w:szCs w:val="20"/>
        </w:rPr>
        <w:t xml:space="preserve">capital </w:t>
      </w:r>
      <w:r w:rsidR="00927C30">
        <w:rPr>
          <w:rFonts w:ascii="Arial" w:hAnsi="Arial" w:cs="Arial"/>
          <w:sz w:val="20"/>
          <w:szCs w:val="20"/>
        </w:rPr>
        <w:t>losses</w:t>
      </w:r>
      <w:r w:rsidRPr="0096160D">
        <w:rPr>
          <w:rFonts w:ascii="Arial" w:hAnsi="Arial" w:cs="Arial"/>
          <w:sz w:val="20"/>
          <w:szCs w:val="20"/>
        </w:rPr>
        <w:t xml:space="preserve"> or </w:t>
      </w:r>
      <w:r w:rsidR="00927C30">
        <w:rPr>
          <w:rFonts w:ascii="Arial" w:hAnsi="Arial" w:cs="Arial"/>
          <w:sz w:val="20"/>
          <w:szCs w:val="20"/>
        </w:rPr>
        <w:t xml:space="preserve">directly relevant </w:t>
      </w:r>
      <w:r w:rsidRPr="0096160D">
        <w:rPr>
          <w:rFonts w:ascii="Arial" w:hAnsi="Arial" w:cs="Arial"/>
          <w:sz w:val="20"/>
          <w:szCs w:val="20"/>
        </w:rPr>
        <w:t>expenses</w:t>
      </w:r>
      <w:r w:rsidR="00861D7C">
        <w:rPr>
          <w:rFonts w:ascii="Arial" w:hAnsi="Arial" w:cs="Arial"/>
          <w:sz w:val="20"/>
          <w:szCs w:val="20"/>
        </w:rPr>
        <w:t>.</w:t>
      </w:r>
      <w:r w:rsidR="00FE7878">
        <w:rPr>
          <w:rFonts w:ascii="Arial" w:hAnsi="Arial" w:cs="Arial"/>
          <w:sz w:val="20"/>
          <w:szCs w:val="20"/>
        </w:rPr>
        <w:t xml:space="preserve"> such as interest</w:t>
      </w:r>
      <w:r w:rsidRPr="0096160D">
        <w:rPr>
          <w:rFonts w:ascii="Arial" w:hAnsi="Arial" w:cs="Arial"/>
          <w:sz w:val="20"/>
          <w:szCs w:val="20"/>
        </w:rPr>
        <w:t>)</w:t>
      </w:r>
      <w:r>
        <w:rPr>
          <w:rFonts w:ascii="Arial" w:hAnsi="Arial" w:cs="Arial"/>
          <w:sz w:val="20"/>
          <w:szCs w:val="20"/>
        </w:rPr>
        <w:t xml:space="preserve"> </w:t>
      </w:r>
    </w:p>
    <w:p w14:paraId="1881FD07" w14:textId="1F165A95" w:rsidR="0087746B" w:rsidRPr="0096160D" w:rsidRDefault="00927C30" w:rsidP="00745247">
      <w:pPr>
        <w:pStyle w:val="ColorfulList-Accent11"/>
        <w:numPr>
          <w:ilvl w:val="0"/>
          <w:numId w:val="1"/>
        </w:numPr>
        <w:adjustRightInd w:val="0"/>
        <w:snapToGrid w:val="0"/>
        <w:spacing w:after="0"/>
        <w:contextualSpacing w:val="0"/>
        <w:rPr>
          <w:rFonts w:ascii="Arial" w:hAnsi="Arial" w:cs="Arial"/>
          <w:sz w:val="20"/>
          <w:szCs w:val="20"/>
        </w:rPr>
      </w:pPr>
      <w:r>
        <w:rPr>
          <w:rFonts w:ascii="Arial" w:hAnsi="Arial" w:cs="Arial"/>
          <w:sz w:val="20"/>
          <w:szCs w:val="20"/>
        </w:rPr>
        <w:t xml:space="preserve">the amount is recorded, </w:t>
      </w:r>
      <w:r w:rsidR="0087746B" w:rsidRPr="0096160D">
        <w:rPr>
          <w:rFonts w:ascii="Arial" w:hAnsi="Arial" w:cs="Arial"/>
          <w:sz w:val="20"/>
          <w:szCs w:val="20"/>
        </w:rPr>
        <w:t>as referrable to the capital gain</w:t>
      </w:r>
      <w:r>
        <w:rPr>
          <w:rFonts w:ascii="Arial" w:hAnsi="Arial" w:cs="Arial"/>
          <w:sz w:val="20"/>
          <w:szCs w:val="20"/>
        </w:rPr>
        <w:t xml:space="preserve"> or </w:t>
      </w:r>
      <w:r w:rsidR="0087746B" w:rsidRPr="0096160D">
        <w:rPr>
          <w:rFonts w:ascii="Arial" w:hAnsi="Arial" w:cs="Arial"/>
          <w:sz w:val="20"/>
          <w:szCs w:val="20"/>
        </w:rPr>
        <w:t>franked di</w:t>
      </w:r>
      <w:r w:rsidR="00FE7878">
        <w:rPr>
          <w:rFonts w:ascii="Arial" w:hAnsi="Arial" w:cs="Arial"/>
          <w:sz w:val="20"/>
          <w:szCs w:val="20"/>
        </w:rPr>
        <w:t>vidend</w:t>
      </w:r>
      <w:r w:rsidR="0087746B" w:rsidRPr="0096160D">
        <w:rPr>
          <w:rFonts w:ascii="Arial" w:hAnsi="Arial" w:cs="Arial"/>
          <w:sz w:val="20"/>
          <w:szCs w:val="20"/>
        </w:rPr>
        <w:t xml:space="preserve"> in the accounts or records of the trust no later than:</w:t>
      </w:r>
    </w:p>
    <w:p w14:paraId="4DD4C09F" w14:textId="77777777" w:rsidR="0087746B" w:rsidRPr="0096160D"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two months after the end of the income year for capital gains or</w:t>
      </w:r>
    </w:p>
    <w:p w14:paraId="75EE6DBF" w14:textId="32BBBDA4" w:rsidR="0087746B" w:rsidRDefault="0087746B" w:rsidP="00745247">
      <w:pPr>
        <w:pStyle w:val="ColorfulList-Accent11"/>
        <w:numPr>
          <w:ilvl w:val="1"/>
          <w:numId w:val="1"/>
        </w:numPr>
        <w:adjustRightInd w:val="0"/>
        <w:snapToGrid w:val="0"/>
        <w:spacing w:after="0"/>
        <w:contextualSpacing w:val="0"/>
        <w:rPr>
          <w:rFonts w:ascii="Arial" w:hAnsi="Arial" w:cs="Arial"/>
          <w:sz w:val="20"/>
          <w:szCs w:val="20"/>
        </w:rPr>
      </w:pPr>
      <w:r w:rsidRPr="0096160D">
        <w:rPr>
          <w:rFonts w:ascii="Arial" w:hAnsi="Arial" w:cs="Arial"/>
          <w:sz w:val="20"/>
          <w:szCs w:val="20"/>
        </w:rPr>
        <w:t>the end of the income year for franked di</w:t>
      </w:r>
      <w:r w:rsidR="00FE7878">
        <w:rPr>
          <w:rFonts w:ascii="Arial" w:hAnsi="Arial" w:cs="Arial"/>
          <w:sz w:val="20"/>
          <w:szCs w:val="20"/>
        </w:rPr>
        <w:t>vidends</w:t>
      </w:r>
      <w:r w:rsidRPr="0096160D">
        <w:rPr>
          <w:rFonts w:ascii="Arial" w:hAnsi="Arial" w:cs="Arial"/>
          <w:sz w:val="20"/>
          <w:szCs w:val="20"/>
        </w:rPr>
        <w:t>.</w:t>
      </w:r>
    </w:p>
    <w:p w14:paraId="56F53E5C" w14:textId="77777777" w:rsidR="00745247" w:rsidRPr="0096160D" w:rsidRDefault="00745247" w:rsidP="00745247">
      <w:pPr>
        <w:pStyle w:val="ColorfulList-Accent11"/>
        <w:adjustRightInd w:val="0"/>
        <w:snapToGrid w:val="0"/>
        <w:spacing w:after="0"/>
        <w:ind w:left="1080"/>
        <w:contextualSpacing w:val="0"/>
        <w:rPr>
          <w:rFonts w:ascii="Arial" w:hAnsi="Arial" w:cs="Arial"/>
          <w:sz w:val="20"/>
          <w:szCs w:val="20"/>
        </w:rPr>
      </w:pPr>
    </w:p>
    <w:p w14:paraId="19662092" w14:textId="29946C47" w:rsidR="0087746B" w:rsidRPr="0096160D" w:rsidRDefault="0087746B" w:rsidP="00745247">
      <w:pPr>
        <w:numPr>
          <w:ilvl w:val="0"/>
          <w:numId w:val="3"/>
        </w:numPr>
        <w:adjustRightInd w:val="0"/>
        <w:snapToGrid w:val="0"/>
        <w:spacing w:after="0"/>
        <w:ind w:left="360"/>
        <w:rPr>
          <w:rFonts w:ascii="Arial" w:hAnsi="Arial" w:cs="Arial"/>
          <w:sz w:val="20"/>
          <w:szCs w:val="20"/>
        </w:rPr>
      </w:pPr>
      <w:r w:rsidRPr="0096160D">
        <w:rPr>
          <w:rFonts w:ascii="Arial" w:hAnsi="Arial" w:cs="Arial"/>
          <w:i/>
          <w:sz w:val="20"/>
          <w:szCs w:val="20"/>
        </w:rPr>
        <w:t>Streamed capital gains and franked di</w:t>
      </w:r>
      <w:r w:rsidR="00FE7878">
        <w:rPr>
          <w:rFonts w:ascii="Arial" w:hAnsi="Arial" w:cs="Arial"/>
          <w:i/>
          <w:sz w:val="20"/>
          <w:szCs w:val="20"/>
        </w:rPr>
        <w:t>vidends</w:t>
      </w:r>
      <w:r w:rsidRPr="0096160D">
        <w:rPr>
          <w:rFonts w:ascii="Arial" w:hAnsi="Arial" w:cs="Arial"/>
          <w:i/>
          <w:sz w:val="20"/>
          <w:szCs w:val="20"/>
        </w:rPr>
        <w:t xml:space="preserve"> excluded from trust income</w:t>
      </w:r>
    </w:p>
    <w:p w14:paraId="7DFC5003" w14:textId="77777777" w:rsidR="00745247" w:rsidRDefault="00745247" w:rsidP="00745247">
      <w:pPr>
        <w:adjustRightInd w:val="0"/>
        <w:snapToGrid w:val="0"/>
        <w:spacing w:after="0"/>
        <w:rPr>
          <w:rFonts w:ascii="Arial" w:hAnsi="Arial" w:cs="Arial"/>
          <w:sz w:val="20"/>
          <w:szCs w:val="20"/>
        </w:rPr>
      </w:pPr>
    </w:p>
    <w:p w14:paraId="53966E29" w14:textId="7604EA13" w:rsidR="0087746B" w:rsidRPr="006B5E50" w:rsidRDefault="0087746B" w:rsidP="00745247">
      <w:pPr>
        <w:adjustRightInd w:val="0"/>
        <w:snapToGrid w:val="0"/>
        <w:spacing w:after="0"/>
        <w:rPr>
          <w:rFonts w:ascii="Arial" w:hAnsi="Arial" w:cs="Arial"/>
          <w:sz w:val="20"/>
          <w:szCs w:val="20"/>
        </w:rPr>
      </w:pPr>
      <w:r w:rsidRPr="006B5E50">
        <w:rPr>
          <w:rFonts w:ascii="Arial" w:hAnsi="Arial" w:cs="Arial"/>
          <w:sz w:val="20"/>
          <w:szCs w:val="20"/>
        </w:rPr>
        <w:t>If the trustee makes a beneficiary specifically entitled to a capital gain or franked di</w:t>
      </w:r>
      <w:r w:rsidR="00FE7878" w:rsidRPr="006B5E50">
        <w:rPr>
          <w:rFonts w:ascii="Arial" w:hAnsi="Arial" w:cs="Arial"/>
          <w:sz w:val="20"/>
          <w:szCs w:val="20"/>
        </w:rPr>
        <w:t>vidend</w:t>
      </w:r>
      <w:r w:rsidRPr="006B5E50">
        <w:rPr>
          <w:rFonts w:ascii="Arial" w:hAnsi="Arial" w:cs="Arial"/>
          <w:sz w:val="20"/>
          <w:szCs w:val="20"/>
        </w:rPr>
        <w:t xml:space="preserve"> that amount will be excluded from the income of the trust estate</w:t>
      </w:r>
      <w:r w:rsidRPr="006B5E50">
        <w:rPr>
          <w:rFonts w:ascii="Arial" w:hAnsi="Arial" w:cs="Arial"/>
          <w:sz w:val="20"/>
          <w:szCs w:val="20"/>
          <w:vertAlign w:val="superscript"/>
        </w:rPr>
        <w:footnoteReference w:id="6"/>
      </w:r>
      <w:r w:rsidR="00C81B82" w:rsidRPr="006B5E50">
        <w:rPr>
          <w:rFonts w:ascii="Arial" w:hAnsi="Arial" w:cs="Arial"/>
          <w:sz w:val="20"/>
          <w:szCs w:val="20"/>
        </w:rPr>
        <w:t xml:space="preserve"> and the trust’s net </w:t>
      </w:r>
      <w:r w:rsidRPr="006B5E50">
        <w:rPr>
          <w:rFonts w:ascii="Arial" w:hAnsi="Arial" w:cs="Arial"/>
          <w:sz w:val="20"/>
          <w:szCs w:val="20"/>
        </w:rPr>
        <w:t>income</w:t>
      </w:r>
      <w:r w:rsidRPr="006B5E50">
        <w:rPr>
          <w:rFonts w:ascii="Arial" w:hAnsi="Arial" w:cs="Arial"/>
          <w:sz w:val="20"/>
          <w:szCs w:val="20"/>
          <w:vertAlign w:val="superscript"/>
        </w:rPr>
        <w:footnoteReference w:id="7"/>
      </w:r>
      <w:r w:rsidRPr="006B5E50">
        <w:rPr>
          <w:rFonts w:ascii="Arial" w:hAnsi="Arial" w:cs="Arial"/>
          <w:sz w:val="20"/>
          <w:szCs w:val="20"/>
        </w:rPr>
        <w:t xml:space="preserve"> in working out the remaining beneficiaries’ share of the net income</w:t>
      </w:r>
      <w:r w:rsidRPr="006B5E50">
        <w:rPr>
          <w:rFonts w:ascii="Arial" w:hAnsi="Arial" w:cs="Arial"/>
          <w:sz w:val="20"/>
          <w:szCs w:val="20"/>
          <w:vertAlign w:val="superscript"/>
        </w:rPr>
        <w:footnoteReference w:id="8"/>
      </w:r>
      <w:r w:rsidRPr="006B5E50">
        <w:rPr>
          <w:rFonts w:ascii="Arial" w:hAnsi="Arial" w:cs="Arial"/>
          <w:sz w:val="20"/>
          <w:szCs w:val="20"/>
        </w:rPr>
        <w:t>. In other words, the trust is deemed to not have derived capital gains or franked dividend income</w:t>
      </w:r>
      <w:r w:rsidR="00927C30" w:rsidRPr="006B5E50">
        <w:rPr>
          <w:rFonts w:ascii="Arial" w:hAnsi="Arial" w:cs="Arial"/>
          <w:sz w:val="20"/>
          <w:szCs w:val="20"/>
        </w:rPr>
        <w:t xml:space="preserve"> which has been streamed</w:t>
      </w:r>
      <w:r w:rsidRPr="006B5E50">
        <w:rPr>
          <w:rFonts w:ascii="Arial" w:hAnsi="Arial" w:cs="Arial"/>
          <w:sz w:val="20"/>
          <w:szCs w:val="20"/>
        </w:rPr>
        <w:t xml:space="preserve"> for the purpose of working </w:t>
      </w:r>
      <w:r w:rsidRPr="006B5E50">
        <w:rPr>
          <w:rFonts w:ascii="Arial" w:hAnsi="Arial" w:cs="Arial"/>
          <w:sz w:val="20"/>
          <w:szCs w:val="20"/>
        </w:rPr>
        <w:lastRenderedPageBreak/>
        <w:t xml:space="preserve">out a beneficiary’s </w:t>
      </w:r>
      <w:r w:rsidR="00745247" w:rsidRPr="006B5E50">
        <w:rPr>
          <w:rFonts w:ascii="Arial" w:hAnsi="Arial" w:cs="Arial"/>
          <w:sz w:val="20"/>
          <w:szCs w:val="20"/>
        </w:rPr>
        <w:t xml:space="preserve">present entitlement to a </w:t>
      </w:r>
      <w:r w:rsidR="00927C30" w:rsidRPr="006B5E50">
        <w:rPr>
          <w:rFonts w:ascii="Arial" w:hAnsi="Arial" w:cs="Arial"/>
          <w:sz w:val="20"/>
          <w:szCs w:val="20"/>
        </w:rPr>
        <w:t xml:space="preserve">share of trust </w:t>
      </w:r>
      <w:r w:rsidRPr="006B5E50">
        <w:rPr>
          <w:rFonts w:ascii="Arial" w:hAnsi="Arial" w:cs="Arial"/>
          <w:sz w:val="20"/>
          <w:szCs w:val="20"/>
        </w:rPr>
        <w:t xml:space="preserve">income </w:t>
      </w:r>
      <w:r w:rsidR="00927C30" w:rsidRPr="006B5E50">
        <w:rPr>
          <w:rFonts w:ascii="Arial" w:hAnsi="Arial" w:cs="Arial"/>
          <w:sz w:val="20"/>
          <w:szCs w:val="20"/>
        </w:rPr>
        <w:t xml:space="preserve">and net income </w:t>
      </w:r>
      <w:r w:rsidRPr="006B5E50">
        <w:rPr>
          <w:rFonts w:ascii="Arial" w:hAnsi="Arial" w:cs="Arial"/>
          <w:sz w:val="20"/>
          <w:szCs w:val="20"/>
        </w:rPr>
        <w:t>under the normal tax rules for trusts.</w:t>
      </w:r>
    </w:p>
    <w:p w14:paraId="4D0D0A76" w14:textId="77777777" w:rsidR="0087746B" w:rsidRPr="0096160D" w:rsidRDefault="0087746B" w:rsidP="00745247">
      <w:pPr>
        <w:pStyle w:val="ColorfulList-Accent11"/>
        <w:adjustRightInd w:val="0"/>
        <w:snapToGrid w:val="0"/>
        <w:spacing w:after="0"/>
        <w:ind w:left="0"/>
        <w:contextualSpacing w:val="0"/>
        <w:rPr>
          <w:rFonts w:ascii="Arial" w:hAnsi="Arial" w:cs="Arial"/>
          <w:sz w:val="20"/>
          <w:szCs w:val="20"/>
        </w:rPr>
      </w:pPr>
    </w:p>
    <w:p w14:paraId="08573C78" w14:textId="4A4EB36F" w:rsidR="0087746B" w:rsidRPr="0096160D" w:rsidRDefault="0087746B" w:rsidP="00745247">
      <w:pPr>
        <w:pStyle w:val="ColorfulList-Accent11"/>
        <w:numPr>
          <w:ilvl w:val="0"/>
          <w:numId w:val="3"/>
        </w:numPr>
        <w:adjustRightInd w:val="0"/>
        <w:snapToGrid w:val="0"/>
        <w:spacing w:after="0"/>
        <w:ind w:left="360"/>
        <w:contextualSpacing w:val="0"/>
        <w:rPr>
          <w:rFonts w:ascii="Arial" w:hAnsi="Arial" w:cs="Arial"/>
          <w:sz w:val="20"/>
          <w:szCs w:val="20"/>
        </w:rPr>
      </w:pPr>
      <w:r w:rsidRPr="0096160D">
        <w:rPr>
          <w:rFonts w:ascii="Arial" w:hAnsi="Arial" w:cs="Arial"/>
          <w:i/>
          <w:sz w:val="20"/>
          <w:szCs w:val="20"/>
        </w:rPr>
        <w:t>Streamed capital gains and franked di</w:t>
      </w:r>
      <w:r w:rsidR="00B33EEC">
        <w:rPr>
          <w:rFonts w:ascii="Arial" w:hAnsi="Arial" w:cs="Arial"/>
          <w:i/>
          <w:sz w:val="20"/>
          <w:szCs w:val="20"/>
        </w:rPr>
        <w:t>vidends</w:t>
      </w:r>
      <w:r w:rsidRPr="0096160D">
        <w:rPr>
          <w:rFonts w:ascii="Arial" w:hAnsi="Arial" w:cs="Arial"/>
          <w:i/>
          <w:sz w:val="20"/>
          <w:szCs w:val="20"/>
        </w:rPr>
        <w:t xml:space="preserve"> are taxed on a quantum basis</w:t>
      </w:r>
    </w:p>
    <w:p w14:paraId="15B774C7" w14:textId="77777777" w:rsidR="00745247" w:rsidRDefault="00745247" w:rsidP="00745247">
      <w:pPr>
        <w:adjustRightInd w:val="0"/>
        <w:snapToGrid w:val="0"/>
        <w:spacing w:after="0"/>
        <w:rPr>
          <w:rFonts w:ascii="Arial" w:hAnsi="Arial" w:cs="Arial"/>
          <w:sz w:val="20"/>
          <w:szCs w:val="20"/>
        </w:rPr>
      </w:pPr>
    </w:p>
    <w:p w14:paraId="3A07BE13" w14:textId="57252365" w:rsidR="0087746B" w:rsidRDefault="00927C30" w:rsidP="00745247">
      <w:pPr>
        <w:adjustRightInd w:val="0"/>
        <w:snapToGrid w:val="0"/>
        <w:spacing w:after="0"/>
        <w:rPr>
          <w:rFonts w:ascii="Arial" w:hAnsi="Arial" w:cs="Arial"/>
          <w:sz w:val="20"/>
          <w:szCs w:val="20"/>
        </w:rPr>
      </w:pPr>
      <w:r>
        <w:rPr>
          <w:rFonts w:ascii="Arial" w:hAnsi="Arial" w:cs="Arial"/>
          <w:sz w:val="20"/>
          <w:szCs w:val="20"/>
        </w:rPr>
        <w:t xml:space="preserve">The </w:t>
      </w:r>
      <w:r w:rsidR="0087746B" w:rsidRPr="0096160D">
        <w:rPr>
          <w:rFonts w:ascii="Arial" w:hAnsi="Arial" w:cs="Arial"/>
          <w:sz w:val="20"/>
          <w:szCs w:val="20"/>
        </w:rPr>
        <w:t xml:space="preserve">capital gain </w:t>
      </w:r>
      <w:r>
        <w:rPr>
          <w:rFonts w:ascii="Arial" w:hAnsi="Arial" w:cs="Arial"/>
          <w:sz w:val="20"/>
          <w:szCs w:val="20"/>
        </w:rPr>
        <w:t>or franked di</w:t>
      </w:r>
      <w:r w:rsidR="00B33EEC">
        <w:rPr>
          <w:rFonts w:ascii="Arial" w:hAnsi="Arial" w:cs="Arial"/>
          <w:sz w:val="20"/>
          <w:szCs w:val="20"/>
        </w:rPr>
        <w:t>vidend</w:t>
      </w:r>
      <w:r>
        <w:rPr>
          <w:rFonts w:ascii="Arial" w:hAnsi="Arial" w:cs="Arial"/>
          <w:sz w:val="20"/>
          <w:szCs w:val="20"/>
        </w:rPr>
        <w:t xml:space="preserve"> </w:t>
      </w:r>
      <w:r w:rsidR="0087746B" w:rsidRPr="0096160D">
        <w:rPr>
          <w:rFonts w:ascii="Arial" w:hAnsi="Arial" w:cs="Arial"/>
          <w:sz w:val="20"/>
          <w:szCs w:val="20"/>
        </w:rPr>
        <w:t>will then be assessable to that specific beneficiary effectively on a quantum basis</w:t>
      </w:r>
      <w:r w:rsidR="00C81B82">
        <w:rPr>
          <w:rFonts w:ascii="Arial" w:hAnsi="Arial" w:cs="Arial"/>
          <w:sz w:val="20"/>
          <w:szCs w:val="20"/>
        </w:rPr>
        <w:t xml:space="preserve"> being the amounts received</w:t>
      </w:r>
      <w:r w:rsidR="0087746B" w:rsidRPr="0096160D">
        <w:rPr>
          <w:rFonts w:ascii="Arial" w:hAnsi="Arial" w:cs="Arial"/>
          <w:sz w:val="20"/>
          <w:szCs w:val="20"/>
        </w:rPr>
        <w:t>.</w:t>
      </w:r>
    </w:p>
    <w:p w14:paraId="5613B931" w14:textId="77777777" w:rsidR="00745247" w:rsidRDefault="00745247" w:rsidP="00745247">
      <w:pPr>
        <w:adjustRightInd w:val="0"/>
        <w:snapToGrid w:val="0"/>
        <w:spacing w:after="0"/>
        <w:rPr>
          <w:rFonts w:ascii="Arial" w:hAnsi="Arial" w:cs="Arial"/>
          <w:sz w:val="20"/>
          <w:szCs w:val="20"/>
        </w:rPr>
      </w:pPr>
    </w:p>
    <w:p w14:paraId="4447A007" w14:textId="4B96BAE0" w:rsidR="00745247" w:rsidRDefault="003D3A97" w:rsidP="00E6074A">
      <w:pPr>
        <w:pStyle w:val="ListParagraph"/>
        <w:numPr>
          <w:ilvl w:val="0"/>
          <w:numId w:val="1"/>
        </w:numPr>
      </w:pPr>
      <w:r w:rsidRPr="00E6074A">
        <w:rPr>
          <w:rFonts w:ascii="Arial" w:hAnsi="Arial" w:cs="Arial"/>
          <w:b/>
          <w:bCs/>
          <w:iCs/>
          <w:sz w:val="20"/>
          <w:szCs w:val="20"/>
        </w:rPr>
        <w:t>Relevant a</w:t>
      </w:r>
      <w:r w:rsidR="00F26972" w:rsidRPr="00E6074A">
        <w:rPr>
          <w:rFonts w:ascii="Arial" w:hAnsi="Arial" w:cs="Arial"/>
          <w:b/>
          <w:bCs/>
          <w:iCs/>
          <w:sz w:val="20"/>
          <w:szCs w:val="20"/>
        </w:rPr>
        <w:t xml:space="preserve">nti-avoidance </w:t>
      </w:r>
      <w:r w:rsidRPr="00E6074A">
        <w:rPr>
          <w:rFonts w:ascii="Arial" w:hAnsi="Arial" w:cs="Arial"/>
          <w:b/>
          <w:bCs/>
          <w:iCs/>
          <w:sz w:val="20"/>
          <w:szCs w:val="20"/>
        </w:rPr>
        <w:t xml:space="preserve">measures </w:t>
      </w:r>
    </w:p>
    <w:p w14:paraId="518BC315" w14:textId="240E185D" w:rsidR="005F4EC6" w:rsidRPr="00F26972" w:rsidRDefault="00220A8E" w:rsidP="00E6074A">
      <w:pPr>
        <w:adjustRightInd w:val="0"/>
        <w:snapToGrid w:val="0"/>
        <w:spacing w:after="0"/>
        <w:rPr>
          <w:rFonts w:cs="Arial"/>
          <w:sz w:val="20"/>
          <w:szCs w:val="20"/>
        </w:rPr>
      </w:pPr>
      <w:r>
        <w:rPr>
          <w:rFonts w:ascii="Arial" w:hAnsi="Arial" w:cs="Arial"/>
          <w:sz w:val="20"/>
          <w:szCs w:val="20"/>
        </w:rPr>
        <w:t xml:space="preserve">It is important that </w:t>
      </w:r>
      <w:r w:rsidR="005358F0">
        <w:rPr>
          <w:rFonts w:ascii="Arial" w:hAnsi="Arial" w:cs="Arial"/>
          <w:sz w:val="20"/>
          <w:szCs w:val="20"/>
        </w:rPr>
        <w:t xml:space="preserve">various anti-avoidance rules be considered </w:t>
      </w:r>
      <w:r w:rsidR="00FC69B7">
        <w:rPr>
          <w:rFonts w:ascii="Arial" w:hAnsi="Arial" w:cs="Arial"/>
          <w:sz w:val="20"/>
          <w:szCs w:val="20"/>
        </w:rPr>
        <w:t xml:space="preserve">in relation to distributions of trust income and there have been some important recent developments in this regard </w:t>
      </w:r>
      <w:r w:rsidR="00F26972">
        <w:rPr>
          <w:rFonts w:ascii="Arial" w:hAnsi="Arial" w:cs="Arial"/>
          <w:sz w:val="20"/>
          <w:szCs w:val="20"/>
        </w:rPr>
        <w:t>in relation to section 100A and Part IVA</w:t>
      </w:r>
      <w:r w:rsidR="00F26972" w:rsidRPr="00E6074A">
        <w:rPr>
          <w:rFonts w:ascii="Arial" w:hAnsi="Arial" w:cs="Arial"/>
          <w:sz w:val="20"/>
          <w:szCs w:val="20"/>
        </w:rPr>
        <w:t xml:space="preserve"> of ITAA 1936</w:t>
      </w:r>
      <w:r w:rsidR="006C1DF8" w:rsidRPr="00F26972">
        <w:rPr>
          <w:rFonts w:ascii="Arial" w:hAnsi="Arial" w:cs="Arial"/>
          <w:sz w:val="20"/>
          <w:szCs w:val="20"/>
        </w:rPr>
        <w:t xml:space="preserve">. </w:t>
      </w:r>
      <w:r w:rsidR="00B83DF7" w:rsidRPr="00F26972">
        <w:rPr>
          <w:rFonts w:ascii="Arial" w:hAnsi="Arial" w:cs="Arial"/>
          <w:sz w:val="20"/>
          <w:szCs w:val="20"/>
        </w:rPr>
        <w:t xml:space="preserve"> </w:t>
      </w:r>
    </w:p>
    <w:p w14:paraId="13C07C96" w14:textId="09260F57" w:rsidR="002516FC" w:rsidRDefault="00B26B68" w:rsidP="006C1DF8">
      <w:pPr>
        <w:pStyle w:val="Table"/>
        <w:spacing w:before="100" w:after="100"/>
        <w:rPr>
          <w:rFonts w:eastAsia="Times New Roman" w:cs="Arial"/>
          <w:sz w:val="20"/>
          <w:szCs w:val="20"/>
        </w:rPr>
      </w:pPr>
      <w:r>
        <w:rPr>
          <w:rFonts w:eastAsia="Times New Roman" w:cs="Arial"/>
          <w:sz w:val="20"/>
          <w:szCs w:val="20"/>
        </w:rPr>
        <w:t>S</w:t>
      </w:r>
      <w:r w:rsidR="006C1DF8" w:rsidRPr="00DE6F80">
        <w:rPr>
          <w:rFonts w:eastAsia="Times New Roman" w:cs="Arial"/>
          <w:sz w:val="20"/>
          <w:szCs w:val="20"/>
        </w:rPr>
        <w:t>ection 100A is an anti-avoidance provision that has the potential of imposing a penal tax outcome where one person (beneficiary) is made presently entitled to trust income, but another person effectively receives the benefit of the income.</w:t>
      </w:r>
      <w:r w:rsidR="00C04EF9">
        <w:rPr>
          <w:rFonts w:eastAsia="Times New Roman" w:cs="Arial"/>
          <w:sz w:val="20"/>
          <w:szCs w:val="20"/>
        </w:rPr>
        <w:t xml:space="preserve">  For </w:t>
      </w:r>
      <w:r w:rsidR="007909DA">
        <w:rPr>
          <w:rFonts w:eastAsia="Times New Roman" w:cs="Arial"/>
          <w:sz w:val="20"/>
          <w:szCs w:val="20"/>
        </w:rPr>
        <w:t>this provision to apply, there needs</w:t>
      </w:r>
      <w:r w:rsidR="009F5BEF">
        <w:rPr>
          <w:rFonts w:eastAsia="Times New Roman" w:cs="Arial"/>
          <w:sz w:val="20"/>
          <w:szCs w:val="20"/>
        </w:rPr>
        <w:t xml:space="preserve"> to be an arrangement or understanding </w:t>
      </w:r>
      <w:r w:rsidR="00146826">
        <w:rPr>
          <w:rFonts w:eastAsia="Times New Roman" w:cs="Arial"/>
          <w:sz w:val="20"/>
          <w:szCs w:val="20"/>
        </w:rPr>
        <w:t>that this benefit will be provided to a person other than the beneficiary at the time that the entitlement to income arises</w:t>
      </w:r>
      <w:r w:rsidR="00A65543">
        <w:rPr>
          <w:rFonts w:eastAsia="Times New Roman" w:cs="Arial"/>
          <w:sz w:val="20"/>
          <w:szCs w:val="20"/>
        </w:rPr>
        <w:t xml:space="preserve"> and a tax benefit needs to be identifiable from the arrangement.  Arrangements that are ordinary family or commercial dealings are excluded from the application of section 100A</w:t>
      </w:r>
      <w:r w:rsidR="00694536">
        <w:rPr>
          <w:rFonts w:eastAsia="Times New Roman" w:cs="Arial"/>
          <w:sz w:val="20"/>
          <w:szCs w:val="20"/>
        </w:rPr>
        <w:t xml:space="preserve">.  Importantly, where </w:t>
      </w:r>
      <w:r w:rsidR="00694536" w:rsidRPr="009928E7">
        <w:rPr>
          <w:rFonts w:eastAsia="Times New Roman" w:cs="Arial"/>
          <w:sz w:val="20"/>
          <w:szCs w:val="20"/>
        </w:rPr>
        <w:t xml:space="preserve">section 100A applies, the beneficiary’s entitlement to income is deemed not to have arisen, with the result that the trustee is assessed on </w:t>
      </w:r>
      <w:r w:rsidR="00694536">
        <w:rPr>
          <w:rFonts w:eastAsia="Times New Roman" w:cs="Arial"/>
          <w:sz w:val="20"/>
          <w:szCs w:val="20"/>
        </w:rPr>
        <w:t xml:space="preserve">the income at </w:t>
      </w:r>
      <w:r w:rsidR="00694536" w:rsidRPr="009928E7">
        <w:rPr>
          <w:rFonts w:eastAsia="Times New Roman" w:cs="Arial"/>
          <w:sz w:val="20"/>
          <w:szCs w:val="20"/>
        </w:rPr>
        <w:t>the top marginal tax rate of 47%.</w:t>
      </w:r>
    </w:p>
    <w:p w14:paraId="3C7C1188" w14:textId="3E6C674D" w:rsidR="006C1DF8" w:rsidRPr="00DE6F80" w:rsidRDefault="006C1DF8" w:rsidP="006C1DF8">
      <w:pPr>
        <w:pStyle w:val="Table"/>
        <w:spacing w:before="100" w:after="100"/>
        <w:rPr>
          <w:rFonts w:eastAsia="Times New Roman" w:cs="Arial"/>
          <w:sz w:val="20"/>
          <w:szCs w:val="20"/>
        </w:rPr>
      </w:pPr>
      <w:r w:rsidRPr="00DE6F80">
        <w:rPr>
          <w:rFonts w:eastAsia="Times New Roman" w:cs="Arial"/>
          <w:sz w:val="20"/>
          <w:szCs w:val="20"/>
        </w:rPr>
        <w:t>The Commissioner has issue</w:t>
      </w:r>
      <w:r w:rsidR="00D0327E">
        <w:rPr>
          <w:rFonts w:eastAsia="Times New Roman" w:cs="Arial"/>
          <w:sz w:val="20"/>
          <w:szCs w:val="20"/>
        </w:rPr>
        <w:t>d</w:t>
      </w:r>
      <w:r w:rsidRPr="00DE6F80">
        <w:rPr>
          <w:rFonts w:eastAsia="Times New Roman" w:cs="Arial"/>
          <w:sz w:val="20"/>
          <w:szCs w:val="20"/>
        </w:rPr>
        <w:t xml:space="preserve"> the following tax rulings / compliance guidelines</w:t>
      </w:r>
      <w:r w:rsidR="00792691">
        <w:rPr>
          <w:rFonts w:eastAsia="Times New Roman" w:cs="Arial"/>
          <w:sz w:val="20"/>
          <w:szCs w:val="20"/>
        </w:rPr>
        <w:t xml:space="preserve"> in relation to section 100A</w:t>
      </w:r>
      <w:r w:rsidRPr="00DE6F80">
        <w:rPr>
          <w:rFonts w:eastAsia="Times New Roman" w:cs="Arial"/>
          <w:sz w:val="20"/>
          <w:szCs w:val="20"/>
        </w:rPr>
        <w:t xml:space="preserve">: </w:t>
      </w:r>
    </w:p>
    <w:p w14:paraId="7EB9683E" w14:textId="75D09402"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Taxation Ruling 2022/</w:t>
      </w:r>
      <w:r w:rsidR="00066B66">
        <w:rPr>
          <w:rFonts w:eastAsia="Times New Roman" w:cs="Arial"/>
          <w:sz w:val="20"/>
          <w:szCs w:val="20"/>
        </w:rPr>
        <w:t>4</w:t>
      </w:r>
      <w:r w:rsidRPr="00DE6F80">
        <w:rPr>
          <w:rFonts w:eastAsia="Times New Roman" w:cs="Arial"/>
          <w:sz w:val="20"/>
          <w:szCs w:val="20"/>
        </w:rPr>
        <w:t xml:space="preserve"> – Income tax: section 100A reimbursement agreements</w:t>
      </w:r>
    </w:p>
    <w:p w14:paraId="29E10A8F" w14:textId="77777777" w:rsidR="006C1DF8" w:rsidRPr="00DE6F80"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Taxpayer Alert TA 2022/1 – Parents benefitting from the trust entitlements of their children over 18 years of age</w:t>
      </w:r>
    </w:p>
    <w:p w14:paraId="395EE97D" w14:textId="5038E485" w:rsidR="006C1DF8" w:rsidRDefault="006C1DF8" w:rsidP="006C1DF8">
      <w:pPr>
        <w:pStyle w:val="Table"/>
        <w:numPr>
          <w:ilvl w:val="0"/>
          <w:numId w:val="11"/>
        </w:numPr>
        <w:spacing w:before="100" w:after="100"/>
        <w:rPr>
          <w:rFonts w:eastAsia="Times New Roman" w:cs="Arial"/>
          <w:sz w:val="20"/>
          <w:szCs w:val="20"/>
        </w:rPr>
      </w:pPr>
      <w:r w:rsidRPr="00DE6F80">
        <w:rPr>
          <w:rFonts w:eastAsia="Times New Roman" w:cs="Arial"/>
          <w:sz w:val="20"/>
          <w:szCs w:val="20"/>
        </w:rPr>
        <w:t>Practical Compliance Guideline 2022/</w:t>
      </w:r>
      <w:r w:rsidR="003D72EF">
        <w:rPr>
          <w:rFonts w:eastAsia="Times New Roman" w:cs="Arial"/>
          <w:sz w:val="20"/>
          <w:szCs w:val="20"/>
        </w:rPr>
        <w:t>2</w:t>
      </w:r>
      <w:r w:rsidRPr="00DE6F80">
        <w:rPr>
          <w:rFonts w:eastAsia="Times New Roman" w:cs="Arial"/>
          <w:sz w:val="20"/>
          <w:szCs w:val="20"/>
        </w:rPr>
        <w:t xml:space="preserve"> – Section 100A reimbursement agreements – ATO compliance approach</w:t>
      </w:r>
    </w:p>
    <w:p w14:paraId="1558BDF1" w14:textId="5161283F" w:rsidR="007909DA" w:rsidRDefault="007909DA" w:rsidP="007909DA">
      <w:pPr>
        <w:pStyle w:val="Table"/>
        <w:spacing w:before="100" w:after="100"/>
        <w:rPr>
          <w:rFonts w:eastAsia="Times New Roman" w:cs="Arial"/>
          <w:sz w:val="20"/>
          <w:szCs w:val="20"/>
        </w:rPr>
      </w:pPr>
      <w:r w:rsidRPr="009928E7">
        <w:rPr>
          <w:rFonts w:eastAsia="Times New Roman" w:cs="Arial"/>
          <w:sz w:val="20"/>
          <w:szCs w:val="20"/>
        </w:rPr>
        <w:t xml:space="preserve">Notably, and unlike many other provisions in tax legislation (including the anti-avoidance rules in Part IVA), section 100A has an unlimited amendment period.  </w:t>
      </w:r>
    </w:p>
    <w:p w14:paraId="4547F54E" w14:textId="01C8412F" w:rsidR="007909DA" w:rsidRDefault="007909DA" w:rsidP="009812C1">
      <w:pPr>
        <w:pStyle w:val="Table"/>
        <w:spacing w:before="100" w:after="100"/>
        <w:rPr>
          <w:rFonts w:eastAsia="Times New Roman" w:cs="Arial"/>
          <w:sz w:val="20"/>
          <w:szCs w:val="20"/>
        </w:rPr>
      </w:pPr>
      <w:r w:rsidRPr="004F06B1">
        <w:rPr>
          <w:rFonts w:eastAsia="Times New Roman" w:cs="Arial"/>
          <w:sz w:val="20"/>
          <w:szCs w:val="20"/>
        </w:rPr>
        <w:t xml:space="preserve">Part IVA </w:t>
      </w:r>
      <w:r>
        <w:rPr>
          <w:rFonts w:eastAsia="Times New Roman" w:cs="Arial"/>
          <w:sz w:val="20"/>
          <w:szCs w:val="20"/>
        </w:rPr>
        <w:t>i</w:t>
      </w:r>
      <w:r w:rsidRPr="004F06B1">
        <w:rPr>
          <w:rFonts w:eastAsia="Times New Roman" w:cs="Arial"/>
          <w:sz w:val="20"/>
          <w:szCs w:val="20"/>
        </w:rPr>
        <w:t xml:space="preserve">s the general anti-avoidance provision of Australian income tax law. Part IVA </w:t>
      </w:r>
      <w:r w:rsidR="0077438C">
        <w:rPr>
          <w:rFonts w:eastAsia="Times New Roman" w:cs="Arial"/>
          <w:sz w:val="20"/>
          <w:szCs w:val="20"/>
        </w:rPr>
        <w:t xml:space="preserve">essentially </w:t>
      </w:r>
      <w:r w:rsidR="005C287C">
        <w:rPr>
          <w:rFonts w:eastAsia="Times New Roman" w:cs="Arial"/>
          <w:sz w:val="20"/>
          <w:szCs w:val="20"/>
        </w:rPr>
        <w:t xml:space="preserve">empowers the Commissioner to strike down a </w:t>
      </w:r>
      <w:r w:rsidR="0077438C">
        <w:rPr>
          <w:rFonts w:eastAsia="Times New Roman" w:cs="Arial"/>
          <w:sz w:val="20"/>
          <w:szCs w:val="20"/>
        </w:rPr>
        <w:t>scheme that that has been entered into with the dominant purpose of obtaining a tax benefit</w:t>
      </w:r>
      <w:r w:rsidR="009812C1">
        <w:rPr>
          <w:rFonts w:eastAsia="Times New Roman" w:cs="Arial"/>
          <w:sz w:val="20"/>
          <w:szCs w:val="20"/>
        </w:rPr>
        <w:t xml:space="preserve">.  </w:t>
      </w:r>
    </w:p>
    <w:p w14:paraId="26454956" w14:textId="3BADB063" w:rsidR="00097CC1" w:rsidRDefault="00C54AE2">
      <w:pPr>
        <w:pStyle w:val="Table"/>
        <w:spacing w:before="100" w:after="100"/>
        <w:rPr>
          <w:rFonts w:eastAsia="Times New Roman" w:cs="Arial"/>
          <w:sz w:val="20"/>
          <w:szCs w:val="20"/>
        </w:rPr>
      </w:pPr>
      <w:r>
        <w:rPr>
          <w:rFonts w:eastAsia="Times New Roman" w:cs="Arial"/>
          <w:sz w:val="20"/>
          <w:szCs w:val="20"/>
        </w:rPr>
        <w:t xml:space="preserve">A Full Federal Court decision handed down in January 2023 </w:t>
      </w:r>
      <w:r w:rsidR="003C710F">
        <w:rPr>
          <w:rFonts w:eastAsia="Times New Roman" w:cs="Arial"/>
          <w:sz w:val="20"/>
          <w:szCs w:val="20"/>
        </w:rPr>
        <w:t>(</w:t>
      </w:r>
      <w:r w:rsidR="00CF785C" w:rsidRPr="00E6074A">
        <w:rPr>
          <w:rFonts w:eastAsia="Times New Roman" w:cs="Arial"/>
          <w:i/>
          <w:iCs/>
          <w:sz w:val="20"/>
          <w:szCs w:val="20"/>
        </w:rPr>
        <w:t>Commissioner of Taxation v Guardian AIT Pty Ltd ATF Australian Investment Trust</w:t>
      </w:r>
      <w:r w:rsidR="00CF785C" w:rsidRPr="00CF785C">
        <w:rPr>
          <w:rFonts w:eastAsia="Times New Roman" w:cs="Arial"/>
          <w:sz w:val="20"/>
          <w:szCs w:val="20"/>
        </w:rPr>
        <w:t xml:space="preserve"> [2023] FCAFC 3</w:t>
      </w:r>
      <w:r w:rsidR="003C710F">
        <w:rPr>
          <w:rFonts w:eastAsia="Times New Roman" w:cs="Arial"/>
          <w:sz w:val="20"/>
          <w:szCs w:val="20"/>
        </w:rPr>
        <w:t>)</w:t>
      </w:r>
      <w:r w:rsidR="00893B35">
        <w:rPr>
          <w:rFonts w:eastAsia="Times New Roman" w:cs="Arial"/>
          <w:sz w:val="20"/>
          <w:szCs w:val="20"/>
        </w:rPr>
        <w:t xml:space="preserve"> consider</w:t>
      </w:r>
      <w:r w:rsidR="00B26B68">
        <w:rPr>
          <w:rFonts w:eastAsia="Times New Roman" w:cs="Arial"/>
          <w:sz w:val="20"/>
          <w:szCs w:val="20"/>
        </w:rPr>
        <w:t>ed</w:t>
      </w:r>
      <w:r w:rsidR="00CF785C" w:rsidRPr="00CF785C">
        <w:rPr>
          <w:rFonts w:eastAsia="Times New Roman" w:cs="Arial"/>
          <w:sz w:val="20"/>
          <w:szCs w:val="20"/>
        </w:rPr>
        <w:t xml:space="preserve"> the application of </w:t>
      </w:r>
      <w:r w:rsidR="00B26B68">
        <w:rPr>
          <w:rFonts w:eastAsia="Times New Roman" w:cs="Arial"/>
          <w:sz w:val="20"/>
          <w:szCs w:val="20"/>
        </w:rPr>
        <w:t>both</w:t>
      </w:r>
      <w:r w:rsidR="00154E13">
        <w:rPr>
          <w:rFonts w:eastAsia="Times New Roman" w:cs="Arial"/>
          <w:sz w:val="20"/>
          <w:szCs w:val="20"/>
        </w:rPr>
        <w:t xml:space="preserve"> Part IVA and </w:t>
      </w:r>
      <w:r w:rsidR="00CF785C" w:rsidRPr="00CF785C">
        <w:rPr>
          <w:rFonts w:eastAsia="Times New Roman" w:cs="Arial"/>
          <w:sz w:val="20"/>
          <w:szCs w:val="20"/>
        </w:rPr>
        <w:t>section 100A</w:t>
      </w:r>
      <w:r w:rsidR="00B26B68">
        <w:rPr>
          <w:rFonts w:eastAsia="Times New Roman" w:cs="Arial"/>
          <w:sz w:val="20"/>
          <w:szCs w:val="20"/>
        </w:rPr>
        <w:t xml:space="preserve"> to </w:t>
      </w:r>
      <w:r w:rsidR="005B21CF">
        <w:rPr>
          <w:rFonts w:eastAsia="Times New Roman" w:cs="Arial"/>
          <w:sz w:val="20"/>
          <w:szCs w:val="20"/>
        </w:rPr>
        <w:t>certain arrangements involving discretionary trust distributions</w:t>
      </w:r>
      <w:r w:rsidR="00154E13">
        <w:rPr>
          <w:rFonts w:eastAsia="Times New Roman" w:cs="Arial"/>
          <w:sz w:val="20"/>
          <w:szCs w:val="20"/>
        </w:rPr>
        <w:t xml:space="preserve">. </w:t>
      </w:r>
      <w:r w:rsidR="003C710F">
        <w:rPr>
          <w:rFonts w:eastAsia="Times New Roman" w:cs="Arial"/>
          <w:sz w:val="20"/>
          <w:szCs w:val="20"/>
        </w:rPr>
        <w:t xml:space="preserve">In brief, </w:t>
      </w:r>
      <w:r w:rsidR="00097CC1">
        <w:rPr>
          <w:rFonts w:eastAsia="Times New Roman" w:cs="Arial"/>
          <w:sz w:val="20"/>
          <w:szCs w:val="20"/>
        </w:rPr>
        <w:t>t</w:t>
      </w:r>
      <w:r w:rsidR="00CF785C" w:rsidRPr="00CF785C">
        <w:rPr>
          <w:rFonts w:eastAsia="Times New Roman" w:cs="Arial"/>
          <w:sz w:val="20"/>
          <w:szCs w:val="20"/>
        </w:rPr>
        <w:t xml:space="preserve">he Court </w:t>
      </w:r>
      <w:r w:rsidR="000F5662">
        <w:rPr>
          <w:rFonts w:eastAsia="Times New Roman" w:cs="Arial"/>
          <w:sz w:val="20"/>
          <w:szCs w:val="20"/>
        </w:rPr>
        <w:t>held</w:t>
      </w:r>
      <w:r w:rsidR="00097CC1">
        <w:rPr>
          <w:rFonts w:eastAsia="Times New Roman" w:cs="Arial"/>
          <w:sz w:val="20"/>
          <w:szCs w:val="20"/>
        </w:rPr>
        <w:t xml:space="preserve">: </w:t>
      </w:r>
    </w:p>
    <w:p w14:paraId="606173C5" w14:textId="1154873B" w:rsidR="00CC1619" w:rsidRDefault="009D14D4" w:rsidP="00097CC1">
      <w:pPr>
        <w:pStyle w:val="Table"/>
        <w:numPr>
          <w:ilvl w:val="0"/>
          <w:numId w:val="11"/>
        </w:numPr>
        <w:spacing w:before="100" w:after="100"/>
        <w:rPr>
          <w:rFonts w:eastAsia="Times New Roman" w:cs="Arial"/>
          <w:sz w:val="20"/>
          <w:szCs w:val="20"/>
        </w:rPr>
      </w:pPr>
      <w:r>
        <w:rPr>
          <w:rFonts w:eastAsia="Times New Roman" w:cs="Arial"/>
          <w:sz w:val="20"/>
          <w:szCs w:val="20"/>
        </w:rPr>
        <w:t xml:space="preserve">in favour of the </w:t>
      </w:r>
      <w:r w:rsidR="00CF785C" w:rsidRPr="00CF785C">
        <w:rPr>
          <w:rFonts w:eastAsia="Times New Roman" w:cs="Arial"/>
          <w:sz w:val="20"/>
          <w:szCs w:val="20"/>
        </w:rPr>
        <w:t xml:space="preserve">taxpayer </w:t>
      </w:r>
      <w:r>
        <w:rPr>
          <w:rFonts w:eastAsia="Times New Roman" w:cs="Arial"/>
          <w:sz w:val="20"/>
          <w:szCs w:val="20"/>
        </w:rPr>
        <w:t xml:space="preserve">that section 100A did not apply </w:t>
      </w:r>
      <w:r w:rsidR="00DD692F">
        <w:rPr>
          <w:rFonts w:eastAsia="Times New Roman" w:cs="Arial"/>
          <w:sz w:val="20"/>
          <w:szCs w:val="20"/>
        </w:rPr>
        <w:t xml:space="preserve">to the relevant income distributions, on the basis that </w:t>
      </w:r>
      <w:r w:rsidR="00611A24">
        <w:rPr>
          <w:rFonts w:eastAsia="Times New Roman" w:cs="Arial"/>
          <w:sz w:val="20"/>
          <w:szCs w:val="20"/>
        </w:rPr>
        <w:t xml:space="preserve">the arrangement under which another person may benefit from the income distribution (rather than the beneficiary) </w:t>
      </w:r>
      <w:r w:rsidR="00A276C0">
        <w:rPr>
          <w:rFonts w:eastAsia="Times New Roman" w:cs="Arial"/>
          <w:sz w:val="20"/>
          <w:szCs w:val="20"/>
        </w:rPr>
        <w:t>did not exist at the time that the distribution of income was made</w:t>
      </w:r>
    </w:p>
    <w:p w14:paraId="23E882A6" w14:textId="79A7F7E9" w:rsidR="00A21F49" w:rsidRPr="00E6074A" w:rsidRDefault="00CC1619" w:rsidP="00A21F49">
      <w:pPr>
        <w:pStyle w:val="ListParagraph"/>
        <w:numPr>
          <w:ilvl w:val="0"/>
          <w:numId w:val="11"/>
        </w:numPr>
        <w:spacing w:line="240" w:lineRule="auto"/>
        <w:rPr>
          <w:rFonts w:ascii="Arial" w:hAnsi="Arial" w:cs="Arial"/>
        </w:rPr>
      </w:pPr>
      <w:r w:rsidRPr="005B306E">
        <w:rPr>
          <w:rFonts w:cs="Arial"/>
          <w:sz w:val="20"/>
          <w:szCs w:val="20"/>
        </w:rPr>
        <w:t xml:space="preserve">in favour of the Commissioner </w:t>
      </w:r>
      <w:r w:rsidR="00CF785C" w:rsidRPr="005B306E">
        <w:rPr>
          <w:rFonts w:cs="Arial"/>
          <w:sz w:val="20"/>
          <w:szCs w:val="20"/>
        </w:rPr>
        <w:t xml:space="preserve">in </w:t>
      </w:r>
      <w:r w:rsidRPr="005B306E">
        <w:rPr>
          <w:rFonts w:cs="Arial"/>
          <w:sz w:val="20"/>
          <w:szCs w:val="20"/>
        </w:rPr>
        <w:t xml:space="preserve">relation to the application of </w:t>
      </w:r>
      <w:r w:rsidR="00CF785C" w:rsidRPr="005B306E">
        <w:rPr>
          <w:rFonts w:cs="Arial"/>
          <w:sz w:val="20"/>
          <w:szCs w:val="20"/>
        </w:rPr>
        <w:t>Part IVA</w:t>
      </w:r>
      <w:r w:rsidRPr="005B306E">
        <w:rPr>
          <w:rFonts w:cs="Arial"/>
          <w:sz w:val="20"/>
          <w:szCs w:val="20"/>
        </w:rPr>
        <w:t xml:space="preserve">.  </w:t>
      </w:r>
      <w:r w:rsidR="00B9432B" w:rsidRPr="005B306E">
        <w:rPr>
          <w:rFonts w:cs="Arial"/>
          <w:sz w:val="20"/>
          <w:szCs w:val="20"/>
        </w:rPr>
        <w:t xml:space="preserve">This was on the basis that it was evident to the Court that the dominant </w:t>
      </w:r>
      <w:r w:rsidR="00EB211F" w:rsidRPr="005B306E">
        <w:rPr>
          <w:rFonts w:cs="Arial"/>
          <w:sz w:val="20"/>
          <w:szCs w:val="20"/>
        </w:rPr>
        <w:t xml:space="preserve">purpose of the distributions of income to the relevant beneficiary </w:t>
      </w:r>
      <w:r w:rsidR="004B23FA" w:rsidRPr="005B306E">
        <w:rPr>
          <w:rFonts w:cs="Arial"/>
          <w:sz w:val="20"/>
          <w:szCs w:val="20"/>
        </w:rPr>
        <w:t>was obtaining a tax benefit</w:t>
      </w:r>
      <w:r w:rsidR="00ED48BB" w:rsidRPr="005B306E">
        <w:rPr>
          <w:rFonts w:cs="Arial"/>
          <w:sz w:val="20"/>
          <w:szCs w:val="20"/>
        </w:rPr>
        <w:t>.  In this regard, the income beneficiary was a company</w:t>
      </w:r>
      <w:r w:rsidR="000D5882" w:rsidRPr="005B306E">
        <w:rPr>
          <w:rFonts w:cs="Arial"/>
          <w:sz w:val="20"/>
          <w:szCs w:val="20"/>
        </w:rPr>
        <w:t xml:space="preserve"> </w:t>
      </w:r>
      <w:r w:rsidR="006C70C7" w:rsidRPr="005B306E">
        <w:rPr>
          <w:rFonts w:cs="Arial"/>
          <w:sz w:val="20"/>
          <w:szCs w:val="20"/>
        </w:rPr>
        <w:t xml:space="preserve">(taxed at 30%) </w:t>
      </w:r>
      <w:r w:rsidR="000D5882" w:rsidRPr="005B306E">
        <w:rPr>
          <w:rFonts w:cs="Arial"/>
          <w:sz w:val="20"/>
          <w:szCs w:val="20"/>
        </w:rPr>
        <w:t xml:space="preserve">that subsequently declared a franked dividend that flowed to a non-resident </w:t>
      </w:r>
      <w:r w:rsidR="006C70C7" w:rsidRPr="005B306E">
        <w:rPr>
          <w:rFonts w:cs="Arial"/>
          <w:sz w:val="20"/>
          <w:szCs w:val="20"/>
        </w:rPr>
        <w:t xml:space="preserve">individual </w:t>
      </w:r>
      <w:r w:rsidR="000D5882" w:rsidRPr="005B306E">
        <w:rPr>
          <w:rFonts w:cs="Arial"/>
          <w:sz w:val="20"/>
          <w:szCs w:val="20"/>
        </w:rPr>
        <w:t>recipient, without the incurrence of further Australian tax liability, whereas if the distribut</w:t>
      </w:r>
      <w:r w:rsidR="006C70C7" w:rsidRPr="005B306E">
        <w:rPr>
          <w:rFonts w:cs="Arial"/>
          <w:sz w:val="20"/>
          <w:szCs w:val="20"/>
        </w:rPr>
        <w:t>ion had been made directly to the non-resident income tax of some 47% would have been payable.</w:t>
      </w:r>
      <w:r w:rsidR="006C70C7" w:rsidRPr="00E6074A">
        <w:rPr>
          <w:rFonts w:ascii="Arial" w:hAnsi="Arial" w:cs="Arial"/>
          <w:sz w:val="20"/>
          <w:szCs w:val="20"/>
        </w:rPr>
        <w:t xml:space="preserve"> </w:t>
      </w:r>
      <w:r w:rsidR="00746973" w:rsidRPr="00E6074A">
        <w:rPr>
          <w:rFonts w:ascii="Arial" w:hAnsi="Arial" w:cs="Arial"/>
          <w:sz w:val="20"/>
          <w:szCs w:val="20"/>
        </w:rPr>
        <w:t xml:space="preserve"> </w:t>
      </w:r>
    </w:p>
    <w:p w14:paraId="32577806" w14:textId="5A0203AD" w:rsidR="006C1DF8" w:rsidRPr="00E6074A" w:rsidRDefault="00A21F49" w:rsidP="00E6074A">
      <w:pPr>
        <w:rPr>
          <w:rFonts w:ascii="Arial" w:hAnsi="Arial" w:cs="Arial"/>
          <w:b/>
          <w:sz w:val="20"/>
          <w:szCs w:val="20"/>
        </w:rPr>
      </w:pPr>
      <w:r w:rsidRPr="00E6074A">
        <w:rPr>
          <w:rFonts w:ascii="Arial" w:hAnsi="Arial" w:cs="Arial"/>
          <w:sz w:val="20"/>
          <w:szCs w:val="20"/>
        </w:rPr>
        <w:t>In view of these recent developments, additional care should be taken by trustees in exercising their discretion</w:t>
      </w:r>
      <w:r w:rsidR="003D3A97">
        <w:rPr>
          <w:rFonts w:ascii="Arial" w:hAnsi="Arial" w:cs="Arial"/>
          <w:sz w:val="20"/>
          <w:szCs w:val="20"/>
        </w:rPr>
        <w:t xml:space="preserve">, having regard to any broader circumstances </w:t>
      </w:r>
      <w:r w:rsidR="00000889">
        <w:rPr>
          <w:rFonts w:ascii="Arial" w:hAnsi="Arial" w:cs="Arial"/>
          <w:sz w:val="20"/>
          <w:szCs w:val="20"/>
        </w:rPr>
        <w:t xml:space="preserve">and objectives.  Arrangements where the beneficiary of a distribution </w:t>
      </w:r>
      <w:r w:rsidR="0094131B">
        <w:rPr>
          <w:rFonts w:ascii="Arial" w:hAnsi="Arial" w:cs="Arial"/>
          <w:sz w:val="20"/>
          <w:szCs w:val="20"/>
        </w:rPr>
        <w:t xml:space="preserve">are purely tax motivated </w:t>
      </w:r>
      <w:r w:rsidR="00012F47">
        <w:rPr>
          <w:rFonts w:ascii="Arial" w:hAnsi="Arial" w:cs="Arial"/>
          <w:sz w:val="20"/>
          <w:szCs w:val="20"/>
        </w:rPr>
        <w:t xml:space="preserve">with the objective of another person ultimately receiving the benefit of the relevant funds are likely to be subject to increasing scrutiny.  </w:t>
      </w:r>
      <w:r w:rsidR="00000889">
        <w:rPr>
          <w:rFonts w:ascii="Arial" w:hAnsi="Arial" w:cs="Arial"/>
          <w:sz w:val="20"/>
          <w:szCs w:val="20"/>
        </w:rPr>
        <w:t xml:space="preserve"> </w:t>
      </w:r>
      <w:r w:rsidRPr="00E6074A">
        <w:rPr>
          <w:rFonts w:ascii="Arial" w:hAnsi="Arial" w:cs="Arial"/>
          <w:b/>
          <w:sz w:val="20"/>
          <w:szCs w:val="20"/>
        </w:rPr>
        <w:t xml:space="preserve"> </w:t>
      </w:r>
      <w:r w:rsidR="00746973" w:rsidRPr="00E6074A">
        <w:rPr>
          <w:rFonts w:ascii="Arial" w:hAnsi="Arial" w:cs="Arial"/>
          <w:b/>
          <w:sz w:val="20"/>
          <w:szCs w:val="20"/>
        </w:rPr>
        <w:t xml:space="preserve"> </w:t>
      </w:r>
    </w:p>
    <w:p w14:paraId="0EEF0489" w14:textId="77777777" w:rsidR="0087746B" w:rsidRPr="0096160D" w:rsidRDefault="0087746B" w:rsidP="00745247">
      <w:pPr>
        <w:keepNext/>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 2012/D1: Income Tax: The meaning</w:t>
      </w:r>
      <w:r w:rsidR="00927C30">
        <w:rPr>
          <w:rFonts w:ascii="Arial" w:hAnsi="Arial" w:cs="Arial"/>
          <w:b/>
          <w:sz w:val="20"/>
          <w:szCs w:val="20"/>
        </w:rPr>
        <w:t xml:space="preserve"> of ‘income of the trust estate’</w:t>
      </w:r>
    </w:p>
    <w:p w14:paraId="028DA6B5" w14:textId="77777777" w:rsidR="00745247" w:rsidRDefault="00745247" w:rsidP="00745247">
      <w:pPr>
        <w:keepNext/>
        <w:adjustRightInd w:val="0"/>
        <w:snapToGrid w:val="0"/>
        <w:spacing w:after="0"/>
        <w:rPr>
          <w:rFonts w:ascii="Arial" w:hAnsi="Arial" w:cs="Arial"/>
          <w:sz w:val="20"/>
          <w:szCs w:val="20"/>
        </w:rPr>
      </w:pPr>
    </w:p>
    <w:p w14:paraId="0F41244E" w14:textId="677ED5D4" w:rsidR="0039001B" w:rsidRDefault="00927C30" w:rsidP="00745247">
      <w:pPr>
        <w:keepNext/>
        <w:adjustRightInd w:val="0"/>
        <w:snapToGrid w:val="0"/>
        <w:spacing w:after="0"/>
        <w:rPr>
          <w:rFonts w:ascii="Arial" w:hAnsi="Arial" w:cs="Arial"/>
          <w:sz w:val="20"/>
          <w:szCs w:val="20"/>
        </w:rPr>
      </w:pPr>
      <w:r>
        <w:rPr>
          <w:rFonts w:ascii="Arial" w:hAnsi="Arial" w:cs="Arial"/>
          <w:sz w:val="20"/>
          <w:szCs w:val="20"/>
        </w:rPr>
        <w:t>D</w:t>
      </w:r>
      <w:r w:rsidR="0087746B" w:rsidRPr="0096160D">
        <w:rPr>
          <w:rFonts w:ascii="Arial" w:hAnsi="Arial" w:cs="Arial"/>
          <w:sz w:val="20"/>
          <w:szCs w:val="20"/>
        </w:rPr>
        <w:t xml:space="preserve">raft </w:t>
      </w:r>
      <w:r>
        <w:rPr>
          <w:rFonts w:ascii="Arial" w:hAnsi="Arial" w:cs="Arial"/>
          <w:sz w:val="20"/>
          <w:szCs w:val="20"/>
        </w:rPr>
        <w:t>Taxation R</w:t>
      </w:r>
      <w:r w:rsidR="0087746B" w:rsidRPr="0096160D">
        <w:rPr>
          <w:rFonts w:ascii="Arial" w:hAnsi="Arial" w:cs="Arial"/>
          <w:sz w:val="20"/>
          <w:szCs w:val="20"/>
        </w:rPr>
        <w:t xml:space="preserve">uling </w:t>
      </w:r>
      <w:r>
        <w:rPr>
          <w:rFonts w:ascii="Arial" w:hAnsi="Arial" w:cs="Arial"/>
          <w:sz w:val="20"/>
          <w:szCs w:val="20"/>
        </w:rPr>
        <w:t>TR 2012/D1</w:t>
      </w:r>
      <w:r w:rsidR="00E80C42">
        <w:rPr>
          <w:rFonts w:ascii="Arial" w:hAnsi="Arial" w:cs="Arial"/>
          <w:sz w:val="20"/>
          <w:szCs w:val="20"/>
        </w:rPr>
        <w:t xml:space="preserve"> </w:t>
      </w:r>
      <w:r>
        <w:rPr>
          <w:rFonts w:ascii="Arial" w:hAnsi="Arial" w:cs="Arial"/>
          <w:sz w:val="20"/>
          <w:szCs w:val="20"/>
        </w:rPr>
        <w:t xml:space="preserve">sets out </w:t>
      </w:r>
      <w:r w:rsidR="00E80C42">
        <w:rPr>
          <w:rFonts w:ascii="Arial" w:hAnsi="Arial" w:cs="Arial"/>
          <w:sz w:val="20"/>
          <w:szCs w:val="20"/>
        </w:rPr>
        <w:t>the views of the Australian Taxation Office (ATO)</w:t>
      </w:r>
      <w:r w:rsidR="0087746B" w:rsidRPr="0096160D">
        <w:rPr>
          <w:rFonts w:ascii="Arial" w:hAnsi="Arial" w:cs="Arial"/>
          <w:sz w:val="20"/>
          <w:szCs w:val="20"/>
        </w:rPr>
        <w:t xml:space="preserve"> on the meaning of ‘trust income’ following </w:t>
      </w:r>
      <w:r w:rsidR="0087746B" w:rsidRPr="00C97E74">
        <w:rPr>
          <w:rFonts w:ascii="Arial" w:hAnsi="Arial" w:cs="Arial"/>
          <w:iCs/>
          <w:sz w:val="20"/>
          <w:szCs w:val="20"/>
        </w:rPr>
        <w:t>Bamford’s</w:t>
      </w:r>
      <w:r w:rsidR="0087746B" w:rsidRPr="0096160D">
        <w:rPr>
          <w:rFonts w:ascii="Arial" w:hAnsi="Arial" w:cs="Arial"/>
          <w:sz w:val="20"/>
          <w:szCs w:val="20"/>
        </w:rPr>
        <w:t xml:space="preserve"> case. </w:t>
      </w:r>
      <w:r w:rsidR="004F7737">
        <w:rPr>
          <w:rFonts w:ascii="Arial" w:hAnsi="Arial" w:cs="Arial"/>
          <w:sz w:val="20"/>
          <w:szCs w:val="20"/>
        </w:rPr>
        <w:t>W</w:t>
      </w:r>
      <w:r w:rsidR="004F7737" w:rsidRPr="0096160D">
        <w:rPr>
          <w:rFonts w:ascii="Arial" w:hAnsi="Arial" w:cs="Arial"/>
          <w:sz w:val="20"/>
          <w:szCs w:val="20"/>
        </w:rPr>
        <w:t xml:space="preserve">hile </w:t>
      </w:r>
      <w:r w:rsidR="0087746B" w:rsidRPr="0096160D">
        <w:rPr>
          <w:rFonts w:ascii="Arial" w:hAnsi="Arial" w:cs="Arial"/>
          <w:sz w:val="20"/>
          <w:szCs w:val="20"/>
        </w:rPr>
        <w:t xml:space="preserve">the draft ruling is yet to be finalised (and </w:t>
      </w:r>
      <w:r w:rsidR="0087746B" w:rsidRPr="0096160D">
        <w:rPr>
          <w:rFonts w:ascii="Arial" w:hAnsi="Arial" w:cs="Arial"/>
          <w:sz w:val="20"/>
          <w:szCs w:val="20"/>
        </w:rPr>
        <w:lastRenderedPageBreak/>
        <w:t xml:space="preserve">may not be finalised in its current form) it is the most comprehensive outline of the ATO’s views on trust income to date. </w:t>
      </w:r>
    </w:p>
    <w:p w14:paraId="511A80CE" w14:textId="77777777" w:rsidR="0039001B" w:rsidRDefault="0039001B" w:rsidP="00745247">
      <w:pPr>
        <w:adjustRightInd w:val="0"/>
        <w:snapToGrid w:val="0"/>
        <w:spacing w:after="0"/>
        <w:rPr>
          <w:rFonts w:ascii="Arial" w:hAnsi="Arial" w:cs="Arial"/>
          <w:sz w:val="20"/>
          <w:szCs w:val="20"/>
        </w:rPr>
      </w:pPr>
    </w:p>
    <w:p w14:paraId="00CC3FB9" w14:textId="77777777" w:rsidR="0087746B" w:rsidRPr="0096160D" w:rsidRDefault="0087746B" w:rsidP="00745247">
      <w:pPr>
        <w:adjustRightInd w:val="0"/>
        <w:snapToGrid w:val="0"/>
        <w:spacing w:after="0"/>
        <w:rPr>
          <w:rFonts w:ascii="Arial" w:hAnsi="Arial" w:cs="Arial"/>
          <w:sz w:val="20"/>
          <w:szCs w:val="20"/>
        </w:rPr>
      </w:pPr>
      <w:r w:rsidRPr="0096160D">
        <w:rPr>
          <w:rFonts w:ascii="Arial" w:hAnsi="Arial" w:cs="Arial"/>
          <w:sz w:val="20"/>
          <w:szCs w:val="20"/>
        </w:rPr>
        <w:t>Some of the key views outlined in the draft ruling are:</w:t>
      </w:r>
    </w:p>
    <w:p w14:paraId="36B54A5D" w14:textId="77777777" w:rsidR="0087746B" w:rsidRPr="0096160D" w:rsidRDefault="0087746B" w:rsidP="00745247">
      <w:pPr>
        <w:adjustRightInd w:val="0"/>
        <w:snapToGrid w:val="0"/>
        <w:spacing w:after="0"/>
        <w:rPr>
          <w:rFonts w:ascii="Arial" w:hAnsi="Arial" w:cs="Arial"/>
          <w:sz w:val="20"/>
          <w:szCs w:val="20"/>
        </w:rPr>
      </w:pPr>
    </w:p>
    <w:p w14:paraId="3C9A13A3" w14:textId="04D22CC1" w:rsid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notional amounts (e.g. franking credits) cannot form part of trust income</w:t>
      </w:r>
    </w:p>
    <w:p w14:paraId="6F0DFD80" w14:textId="6F201387" w:rsidR="0087746B" w:rsidRPr="00FE7878" w:rsidRDefault="0087746B" w:rsidP="00FE7878">
      <w:pPr>
        <w:pStyle w:val="ColorfulList-Accent11"/>
        <w:numPr>
          <w:ilvl w:val="0"/>
          <w:numId w:val="8"/>
        </w:numPr>
        <w:adjustRightInd w:val="0"/>
        <w:snapToGrid w:val="0"/>
        <w:spacing w:after="0"/>
        <w:contextualSpacing w:val="0"/>
        <w:rPr>
          <w:rFonts w:ascii="Arial" w:hAnsi="Arial" w:cs="Arial"/>
          <w:sz w:val="20"/>
          <w:szCs w:val="20"/>
        </w:rPr>
      </w:pPr>
      <w:r w:rsidRPr="00FE7878">
        <w:rPr>
          <w:rFonts w:ascii="Arial" w:hAnsi="Arial" w:cs="Arial"/>
          <w:sz w:val="20"/>
          <w:szCs w:val="20"/>
        </w:rPr>
        <w:t xml:space="preserve">the </w:t>
      </w:r>
      <w:r w:rsidR="00927C30" w:rsidRPr="00FE7878">
        <w:rPr>
          <w:rFonts w:ascii="Arial" w:hAnsi="Arial" w:cs="Arial"/>
          <w:sz w:val="20"/>
          <w:szCs w:val="20"/>
        </w:rPr>
        <w:t xml:space="preserve">income of the trust estate </w:t>
      </w:r>
      <w:r w:rsidRPr="00FE7878">
        <w:rPr>
          <w:rFonts w:ascii="Arial" w:hAnsi="Arial" w:cs="Arial"/>
          <w:sz w:val="20"/>
          <w:szCs w:val="20"/>
        </w:rPr>
        <w:t xml:space="preserve">for a year will be capped </w:t>
      </w:r>
      <w:r w:rsidR="00927C30" w:rsidRPr="00FE7878">
        <w:rPr>
          <w:rFonts w:ascii="Arial" w:hAnsi="Arial" w:cs="Arial"/>
          <w:sz w:val="20"/>
          <w:szCs w:val="20"/>
        </w:rPr>
        <w:t>to any net</w:t>
      </w:r>
      <w:r w:rsidRPr="00FE7878">
        <w:rPr>
          <w:rFonts w:ascii="Arial" w:hAnsi="Arial" w:cs="Arial"/>
          <w:sz w:val="20"/>
          <w:szCs w:val="20"/>
        </w:rPr>
        <w:t xml:space="preserve"> ‘accretions’ to the trust (e.g. increases in the value of trust property)</w:t>
      </w:r>
    </w:p>
    <w:p w14:paraId="06C30FD7" w14:textId="77777777" w:rsidR="0087746B" w:rsidRPr="0096160D" w:rsidRDefault="00927C30" w:rsidP="00FE7878">
      <w:pPr>
        <w:pStyle w:val="ColorfulList-Accent11"/>
        <w:numPr>
          <w:ilvl w:val="0"/>
          <w:numId w:val="8"/>
        </w:numPr>
        <w:adjustRightInd w:val="0"/>
        <w:snapToGrid w:val="0"/>
        <w:spacing w:after="0"/>
        <w:contextualSpacing w:val="0"/>
        <w:rPr>
          <w:rFonts w:ascii="Arial" w:hAnsi="Arial" w:cs="Arial"/>
          <w:sz w:val="20"/>
          <w:szCs w:val="20"/>
        </w:rPr>
      </w:pPr>
      <w:r>
        <w:rPr>
          <w:rFonts w:ascii="Arial" w:hAnsi="Arial" w:cs="Arial"/>
          <w:sz w:val="20"/>
          <w:szCs w:val="20"/>
        </w:rPr>
        <w:t xml:space="preserve">trust </w:t>
      </w:r>
      <w:r w:rsidR="0087746B" w:rsidRPr="0096160D">
        <w:rPr>
          <w:rFonts w:ascii="Arial" w:hAnsi="Arial" w:cs="Arial"/>
          <w:sz w:val="20"/>
          <w:szCs w:val="20"/>
        </w:rPr>
        <w:t>income which has been capitalised in prior years cannot be re-characterised as ‘income’ in the current income year.</w:t>
      </w:r>
    </w:p>
    <w:p w14:paraId="044353CC" w14:textId="77777777" w:rsidR="0087746B" w:rsidRDefault="0087746B" w:rsidP="00FE7878">
      <w:pPr>
        <w:adjustRightInd w:val="0"/>
        <w:snapToGrid w:val="0"/>
        <w:spacing w:after="0"/>
        <w:rPr>
          <w:rFonts w:ascii="Arial" w:hAnsi="Arial" w:cs="Arial"/>
          <w:sz w:val="20"/>
          <w:szCs w:val="20"/>
        </w:rPr>
      </w:pPr>
    </w:p>
    <w:p w14:paraId="6C239B22" w14:textId="3A7C5767" w:rsidR="00FE7878" w:rsidRDefault="00671267" w:rsidP="00745247">
      <w:pPr>
        <w:adjustRightInd w:val="0"/>
        <w:snapToGrid w:val="0"/>
        <w:spacing w:after="0"/>
        <w:rPr>
          <w:rFonts w:ascii="Arial" w:hAnsi="Arial" w:cs="Arial"/>
          <w:sz w:val="20"/>
          <w:szCs w:val="20"/>
        </w:rPr>
      </w:pPr>
      <w:r>
        <w:rPr>
          <w:rFonts w:ascii="Arial" w:hAnsi="Arial" w:cs="Arial"/>
          <w:sz w:val="20"/>
          <w:szCs w:val="20"/>
        </w:rPr>
        <w:t xml:space="preserve">When a </w:t>
      </w:r>
      <w:r w:rsidR="00E80C42">
        <w:rPr>
          <w:rFonts w:ascii="Arial" w:hAnsi="Arial" w:cs="Arial"/>
          <w:sz w:val="20"/>
          <w:szCs w:val="20"/>
        </w:rPr>
        <w:t>Trust Deed</w:t>
      </w:r>
      <w:r w:rsidR="00A337BC">
        <w:rPr>
          <w:rFonts w:ascii="Arial" w:hAnsi="Arial" w:cs="Arial"/>
          <w:sz w:val="20"/>
          <w:szCs w:val="20"/>
        </w:rPr>
        <w:t xml:space="preserve"> </w:t>
      </w:r>
      <w:r w:rsidR="0087746B">
        <w:rPr>
          <w:rFonts w:ascii="Arial" w:hAnsi="Arial" w:cs="Arial"/>
          <w:sz w:val="20"/>
          <w:szCs w:val="20"/>
        </w:rPr>
        <w:t>define</w:t>
      </w:r>
      <w:r>
        <w:rPr>
          <w:rFonts w:ascii="Arial" w:hAnsi="Arial" w:cs="Arial"/>
          <w:sz w:val="20"/>
          <w:szCs w:val="20"/>
        </w:rPr>
        <w:t>s</w:t>
      </w:r>
      <w:r w:rsidR="0087746B">
        <w:rPr>
          <w:rFonts w:ascii="Arial" w:hAnsi="Arial" w:cs="Arial"/>
          <w:sz w:val="20"/>
          <w:szCs w:val="20"/>
        </w:rPr>
        <w:t xml:space="preserve"> trust income as net income </w:t>
      </w:r>
      <w:r w:rsidR="000E63D1">
        <w:rPr>
          <w:rFonts w:ascii="Arial" w:hAnsi="Arial" w:cs="Arial"/>
          <w:sz w:val="20"/>
          <w:szCs w:val="20"/>
        </w:rPr>
        <w:t xml:space="preserve">under an </w:t>
      </w:r>
      <w:r w:rsidR="0087746B">
        <w:rPr>
          <w:rFonts w:ascii="Arial" w:hAnsi="Arial" w:cs="Arial"/>
          <w:sz w:val="20"/>
          <w:szCs w:val="20"/>
        </w:rPr>
        <w:t>income equalisation clause</w:t>
      </w:r>
      <w:r w:rsidR="00A337BC">
        <w:rPr>
          <w:rFonts w:ascii="Arial" w:hAnsi="Arial" w:cs="Arial"/>
          <w:sz w:val="20"/>
          <w:szCs w:val="20"/>
        </w:rPr>
        <w:t>, t</w:t>
      </w:r>
      <w:r>
        <w:rPr>
          <w:rFonts w:ascii="Arial" w:hAnsi="Arial" w:cs="Arial"/>
          <w:sz w:val="20"/>
          <w:szCs w:val="20"/>
        </w:rPr>
        <w:t>rustees</w:t>
      </w:r>
      <w:r w:rsidR="0087746B">
        <w:rPr>
          <w:rFonts w:ascii="Arial" w:hAnsi="Arial" w:cs="Arial"/>
          <w:sz w:val="20"/>
          <w:szCs w:val="20"/>
        </w:rPr>
        <w:t xml:space="preserve"> must be very careful when making an analysis of the income of </w:t>
      </w:r>
      <w:r w:rsidR="000E63D1">
        <w:rPr>
          <w:rFonts w:ascii="Arial" w:hAnsi="Arial" w:cs="Arial"/>
          <w:sz w:val="20"/>
          <w:szCs w:val="20"/>
        </w:rPr>
        <w:t xml:space="preserve">the trust. This is because net </w:t>
      </w:r>
      <w:r w:rsidR="0087746B">
        <w:rPr>
          <w:rFonts w:ascii="Arial" w:hAnsi="Arial" w:cs="Arial"/>
          <w:sz w:val="20"/>
          <w:szCs w:val="20"/>
        </w:rPr>
        <w:t>income can often include notional amounts</w:t>
      </w:r>
      <w:r w:rsidR="0087746B">
        <w:rPr>
          <w:rStyle w:val="FootnoteReference"/>
          <w:rFonts w:ascii="Arial" w:hAnsi="Arial"/>
          <w:sz w:val="20"/>
          <w:szCs w:val="20"/>
        </w:rPr>
        <w:footnoteReference w:id="9"/>
      </w:r>
      <w:r w:rsidR="0087746B">
        <w:rPr>
          <w:rFonts w:ascii="Arial" w:hAnsi="Arial" w:cs="Arial"/>
          <w:sz w:val="20"/>
          <w:szCs w:val="20"/>
        </w:rPr>
        <w:t xml:space="preserve"> that, according to </w:t>
      </w:r>
      <w:r w:rsidR="00927C30">
        <w:rPr>
          <w:rFonts w:ascii="Arial" w:hAnsi="Arial" w:cs="Arial"/>
          <w:sz w:val="20"/>
          <w:szCs w:val="20"/>
        </w:rPr>
        <w:t xml:space="preserve">Draft Taxation Ruling </w:t>
      </w:r>
      <w:r w:rsidR="0087746B">
        <w:rPr>
          <w:rFonts w:ascii="Arial" w:hAnsi="Arial" w:cs="Arial"/>
          <w:sz w:val="20"/>
          <w:szCs w:val="20"/>
        </w:rPr>
        <w:t>TR 2012/D1</w:t>
      </w:r>
      <w:r w:rsidR="0039001B">
        <w:rPr>
          <w:rFonts w:ascii="Arial" w:hAnsi="Arial" w:cs="Arial"/>
          <w:sz w:val="20"/>
          <w:szCs w:val="20"/>
        </w:rPr>
        <w:t>,</w:t>
      </w:r>
      <w:r w:rsidR="0087746B">
        <w:rPr>
          <w:rFonts w:ascii="Arial" w:hAnsi="Arial" w:cs="Arial"/>
          <w:sz w:val="20"/>
          <w:szCs w:val="20"/>
        </w:rPr>
        <w:t xml:space="preserve"> cannot form part of the income of the trust.  </w:t>
      </w:r>
    </w:p>
    <w:p w14:paraId="72643579" w14:textId="77777777" w:rsidR="00FE7878" w:rsidRDefault="00FE7878" w:rsidP="00745247">
      <w:pPr>
        <w:adjustRightInd w:val="0"/>
        <w:snapToGrid w:val="0"/>
        <w:spacing w:after="0"/>
        <w:rPr>
          <w:rFonts w:ascii="Arial" w:hAnsi="Arial" w:cs="Arial"/>
          <w:sz w:val="20"/>
          <w:szCs w:val="20"/>
        </w:rPr>
      </w:pPr>
    </w:p>
    <w:p w14:paraId="25F25E6D" w14:textId="330AD198" w:rsidR="0087746B" w:rsidRDefault="0087746B" w:rsidP="00745247">
      <w:pPr>
        <w:adjustRightInd w:val="0"/>
        <w:snapToGrid w:val="0"/>
        <w:spacing w:after="0"/>
        <w:rPr>
          <w:rFonts w:ascii="Arial" w:hAnsi="Arial" w:cs="Arial"/>
          <w:sz w:val="20"/>
          <w:szCs w:val="20"/>
        </w:rPr>
      </w:pPr>
      <w:r>
        <w:rPr>
          <w:rFonts w:ascii="Arial" w:hAnsi="Arial" w:cs="Arial"/>
          <w:sz w:val="20"/>
          <w:szCs w:val="20"/>
        </w:rPr>
        <w:t>A common example of a notional amount is a franking credit which is included in assessable income (when a franked di</w:t>
      </w:r>
      <w:r w:rsidR="00FE7878">
        <w:rPr>
          <w:rFonts w:ascii="Arial" w:hAnsi="Arial" w:cs="Arial"/>
          <w:sz w:val="20"/>
          <w:szCs w:val="20"/>
        </w:rPr>
        <w:t>vidend</w:t>
      </w:r>
      <w:r w:rsidR="00927C30">
        <w:rPr>
          <w:rFonts w:ascii="Arial" w:hAnsi="Arial" w:cs="Arial"/>
          <w:sz w:val="20"/>
          <w:szCs w:val="20"/>
        </w:rPr>
        <w:t xml:space="preserve"> is received). The ATO’s view </w:t>
      </w:r>
      <w:r>
        <w:rPr>
          <w:rFonts w:ascii="Arial" w:hAnsi="Arial" w:cs="Arial"/>
          <w:sz w:val="20"/>
          <w:szCs w:val="20"/>
        </w:rPr>
        <w:t>is th</w:t>
      </w:r>
      <w:r w:rsidR="000E63D1">
        <w:rPr>
          <w:rFonts w:ascii="Arial" w:hAnsi="Arial" w:cs="Arial"/>
          <w:sz w:val="20"/>
          <w:szCs w:val="20"/>
        </w:rPr>
        <w:t>at a franking credit is a feature of the tax law</w:t>
      </w:r>
      <w:r>
        <w:rPr>
          <w:rFonts w:ascii="Arial" w:hAnsi="Arial" w:cs="Arial"/>
          <w:sz w:val="20"/>
          <w:szCs w:val="20"/>
        </w:rPr>
        <w:t xml:space="preserve"> that cannot be considered to be an accretion to the trust and as such will not be taken into account when working out trust income. </w:t>
      </w:r>
    </w:p>
    <w:p w14:paraId="5E1D409B" w14:textId="77777777" w:rsidR="0087746B" w:rsidRDefault="0087746B" w:rsidP="00745247">
      <w:pPr>
        <w:adjustRightInd w:val="0"/>
        <w:snapToGrid w:val="0"/>
        <w:spacing w:after="0"/>
        <w:rPr>
          <w:rFonts w:ascii="Arial" w:hAnsi="Arial" w:cs="Arial"/>
          <w:sz w:val="20"/>
          <w:szCs w:val="20"/>
        </w:rPr>
      </w:pPr>
    </w:p>
    <w:p w14:paraId="23445F50" w14:textId="137BB524" w:rsidR="0087746B" w:rsidRDefault="0087746B" w:rsidP="00745247">
      <w:pPr>
        <w:adjustRightInd w:val="0"/>
        <w:snapToGrid w:val="0"/>
        <w:spacing w:after="0"/>
        <w:rPr>
          <w:rFonts w:ascii="Arial" w:hAnsi="Arial" w:cs="Arial"/>
          <w:sz w:val="20"/>
          <w:szCs w:val="20"/>
        </w:rPr>
      </w:pPr>
      <w:r>
        <w:rPr>
          <w:rFonts w:ascii="Arial" w:hAnsi="Arial" w:cs="Arial"/>
          <w:sz w:val="20"/>
          <w:szCs w:val="20"/>
        </w:rPr>
        <w:t xml:space="preserve">A trust with an </w:t>
      </w:r>
      <w:r w:rsidR="005B306E">
        <w:rPr>
          <w:rFonts w:ascii="Arial" w:hAnsi="Arial" w:cs="Arial"/>
          <w:sz w:val="20"/>
          <w:szCs w:val="20"/>
        </w:rPr>
        <w:t>‘</w:t>
      </w:r>
      <w:r>
        <w:rPr>
          <w:rFonts w:ascii="Arial" w:hAnsi="Arial" w:cs="Arial"/>
          <w:sz w:val="20"/>
          <w:szCs w:val="20"/>
        </w:rPr>
        <w:t>income equalisation</w:t>
      </w:r>
      <w:r w:rsidR="005B306E">
        <w:rPr>
          <w:rFonts w:ascii="Arial" w:hAnsi="Arial" w:cs="Arial"/>
          <w:sz w:val="20"/>
          <w:szCs w:val="20"/>
        </w:rPr>
        <w:t>’</w:t>
      </w:r>
      <w:r>
        <w:rPr>
          <w:rFonts w:ascii="Arial" w:hAnsi="Arial" w:cs="Arial"/>
          <w:sz w:val="20"/>
          <w:szCs w:val="20"/>
        </w:rPr>
        <w:t xml:space="preserve"> clause </w:t>
      </w:r>
      <w:r w:rsidR="00B2195E">
        <w:rPr>
          <w:rFonts w:ascii="Arial" w:hAnsi="Arial" w:cs="Arial"/>
          <w:sz w:val="20"/>
          <w:szCs w:val="20"/>
        </w:rPr>
        <w:t xml:space="preserve">(that is, a clause purporting to equate trust distributable income with its taxable income) </w:t>
      </w:r>
      <w:r>
        <w:rPr>
          <w:rFonts w:ascii="Arial" w:hAnsi="Arial" w:cs="Arial"/>
          <w:sz w:val="20"/>
          <w:szCs w:val="20"/>
        </w:rPr>
        <w:t>that does not exclude franking credits from its calculation of trust income will in almost all cases inflate its calculation of trust income. This can lead to the following problems:</w:t>
      </w:r>
    </w:p>
    <w:p w14:paraId="11095436" w14:textId="77777777" w:rsidR="00A337BC" w:rsidRDefault="00A337BC" w:rsidP="00745247">
      <w:pPr>
        <w:adjustRightInd w:val="0"/>
        <w:snapToGrid w:val="0"/>
        <w:spacing w:after="0"/>
        <w:rPr>
          <w:rFonts w:ascii="Arial" w:hAnsi="Arial" w:cs="Arial"/>
          <w:sz w:val="20"/>
          <w:szCs w:val="20"/>
        </w:rPr>
      </w:pPr>
    </w:p>
    <w:p w14:paraId="2DF04E6C" w14:textId="18798438"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an un</w:t>
      </w:r>
      <w:r w:rsidRPr="000D67D0">
        <w:rPr>
          <w:rFonts w:ascii="Arial" w:hAnsi="Arial" w:cs="Arial"/>
          <w:sz w:val="20"/>
          <w:szCs w:val="20"/>
        </w:rPr>
        <w:t xml:space="preserve">expected allocation of </w:t>
      </w:r>
      <w:r w:rsidR="00927C30">
        <w:rPr>
          <w:rFonts w:ascii="Arial" w:hAnsi="Arial" w:cs="Arial"/>
          <w:sz w:val="20"/>
          <w:szCs w:val="20"/>
        </w:rPr>
        <w:t xml:space="preserve">net </w:t>
      </w:r>
      <w:r w:rsidRPr="000D67D0">
        <w:rPr>
          <w:rFonts w:ascii="Arial" w:hAnsi="Arial" w:cs="Arial"/>
          <w:sz w:val="20"/>
          <w:szCs w:val="20"/>
        </w:rPr>
        <w:t>income</w:t>
      </w:r>
      <w:r>
        <w:rPr>
          <w:rFonts w:ascii="Arial" w:hAnsi="Arial" w:cs="Arial"/>
          <w:sz w:val="20"/>
          <w:szCs w:val="20"/>
        </w:rPr>
        <w:t xml:space="preserve"> between beneficiaries</w:t>
      </w:r>
    </w:p>
    <w:p w14:paraId="76FD3E8D" w14:textId="3335C025"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sidRPr="000D67D0">
        <w:rPr>
          <w:rFonts w:ascii="Arial" w:hAnsi="Arial" w:cs="Arial"/>
          <w:sz w:val="20"/>
          <w:szCs w:val="20"/>
        </w:rPr>
        <w:t>a wastage of franking credits</w:t>
      </w:r>
      <w:r w:rsidR="00927C30">
        <w:rPr>
          <w:rFonts w:ascii="Arial" w:hAnsi="Arial" w:cs="Arial"/>
          <w:sz w:val="20"/>
          <w:szCs w:val="20"/>
        </w:rPr>
        <w:t xml:space="preserve"> or</w:t>
      </w:r>
    </w:p>
    <w:p w14:paraId="6C55A5B3" w14:textId="06580305" w:rsidR="0087746B" w:rsidRDefault="00B33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the issue of a</w:t>
      </w:r>
      <w:r w:rsidR="0087746B" w:rsidRPr="000D67D0">
        <w:rPr>
          <w:rFonts w:ascii="Arial" w:hAnsi="Arial" w:cs="Arial"/>
          <w:sz w:val="20"/>
          <w:szCs w:val="20"/>
        </w:rPr>
        <w:t xml:space="preserve"> section 99A trustee assessment</w:t>
      </w:r>
      <w:r w:rsidR="0087746B" w:rsidRPr="00A56108">
        <w:rPr>
          <w:rFonts w:ascii="Arial" w:hAnsi="Arial" w:cs="Arial"/>
          <w:sz w:val="20"/>
          <w:szCs w:val="20"/>
        </w:rPr>
        <w:t>.</w:t>
      </w:r>
    </w:p>
    <w:p w14:paraId="2CC2B53F" w14:textId="77777777" w:rsidR="0087746B" w:rsidRDefault="0087746B" w:rsidP="00745247">
      <w:pPr>
        <w:adjustRightInd w:val="0"/>
        <w:snapToGrid w:val="0"/>
        <w:spacing w:after="0"/>
        <w:rPr>
          <w:rFonts w:ascii="Arial" w:hAnsi="Arial" w:cs="Arial"/>
          <w:sz w:val="20"/>
          <w:szCs w:val="20"/>
        </w:rPr>
      </w:pPr>
    </w:p>
    <w:p w14:paraId="44AFF70C" w14:textId="6C5EFFF7" w:rsidR="0087746B" w:rsidRDefault="0087746B" w:rsidP="00745247">
      <w:pPr>
        <w:adjustRightInd w:val="0"/>
        <w:snapToGrid w:val="0"/>
        <w:spacing w:after="0"/>
        <w:rPr>
          <w:rFonts w:ascii="Arial" w:hAnsi="Arial" w:cs="Arial"/>
          <w:sz w:val="20"/>
          <w:szCs w:val="20"/>
        </w:rPr>
      </w:pPr>
      <w:r>
        <w:rPr>
          <w:rFonts w:ascii="Arial" w:hAnsi="Arial" w:cs="Arial"/>
          <w:sz w:val="20"/>
          <w:szCs w:val="20"/>
        </w:rPr>
        <w:t>Other examples of notional amount</w:t>
      </w:r>
      <w:r w:rsidR="000E63D1">
        <w:rPr>
          <w:rFonts w:ascii="Arial" w:hAnsi="Arial" w:cs="Arial"/>
          <w:sz w:val="20"/>
          <w:szCs w:val="20"/>
        </w:rPr>
        <w:t xml:space="preserve">s that are included in net </w:t>
      </w:r>
      <w:r>
        <w:rPr>
          <w:rFonts w:ascii="Arial" w:hAnsi="Arial" w:cs="Arial"/>
          <w:sz w:val="20"/>
          <w:szCs w:val="20"/>
        </w:rPr>
        <w:t>income but may not be included in trust income are:</w:t>
      </w:r>
    </w:p>
    <w:p w14:paraId="2DA553F0" w14:textId="77777777" w:rsidR="00A337BC" w:rsidRDefault="00A337BC" w:rsidP="00745247">
      <w:pPr>
        <w:adjustRightInd w:val="0"/>
        <w:snapToGrid w:val="0"/>
        <w:spacing w:after="0"/>
        <w:rPr>
          <w:rFonts w:ascii="Arial" w:hAnsi="Arial" w:cs="Arial"/>
          <w:sz w:val="20"/>
          <w:szCs w:val="20"/>
        </w:rPr>
      </w:pPr>
    </w:p>
    <w:p w14:paraId="3A91EA17"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Division 7A deemed dividends</w:t>
      </w:r>
    </w:p>
    <w:p w14:paraId="0ACE4E46" w14:textId="457EE2D5" w:rsidR="0087746B" w:rsidRDefault="005E0EEC"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L</w:t>
      </w:r>
      <w:r w:rsidR="0087746B">
        <w:rPr>
          <w:rFonts w:ascii="Arial" w:hAnsi="Arial" w:cs="Arial"/>
          <w:sz w:val="20"/>
          <w:szCs w:val="20"/>
        </w:rPr>
        <w:t>iquidator</w:t>
      </w:r>
      <w:r>
        <w:rPr>
          <w:rFonts w:ascii="Arial" w:hAnsi="Arial" w:cs="Arial"/>
          <w:sz w:val="20"/>
          <w:szCs w:val="20"/>
        </w:rPr>
        <w:t>’</w:t>
      </w:r>
      <w:r w:rsidR="0087746B">
        <w:rPr>
          <w:rFonts w:ascii="Arial" w:hAnsi="Arial" w:cs="Arial"/>
          <w:sz w:val="20"/>
          <w:szCs w:val="20"/>
        </w:rPr>
        <w:t>s deemed dividends</w:t>
      </w:r>
    </w:p>
    <w:p w14:paraId="279D85B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trading stock revaluations (where the increase in value relates to a prior period)</w:t>
      </w:r>
    </w:p>
    <w:p w14:paraId="611F4605" w14:textId="77777777" w:rsidR="0087746B" w:rsidRDefault="0087746B"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capital gains that have been inflated as a result of the market value substitution rule</w:t>
      </w:r>
    </w:p>
    <w:p w14:paraId="07CE22C9" w14:textId="77777777" w:rsidR="0087746B" w:rsidRDefault="000E63D1" w:rsidP="0074524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ssessable gains under the taxation of financial arrangement</w:t>
      </w:r>
      <w:r w:rsidR="00927C30">
        <w:rPr>
          <w:rFonts w:ascii="Arial" w:hAnsi="Arial" w:cs="Arial"/>
          <w:sz w:val="20"/>
          <w:szCs w:val="20"/>
        </w:rPr>
        <w:t>s</w:t>
      </w:r>
      <w:r w:rsidR="0087746B">
        <w:rPr>
          <w:rFonts w:ascii="Arial" w:hAnsi="Arial" w:cs="Arial"/>
          <w:sz w:val="20"/>
          <w:szCs w:val="20"/>
        </w:rPr>
        <w:t xml:space="preserve"> provisions</w:t>
      </w:r>
    </w:p>
    <w:p w14:paraId="40A6C37F" w14:textId="494A42C6" w:rsidR="00912B17" w:rsidRPr="00DE6F80" w:rsidRDefault="000E63D1" w:rsidP="00912B17">
      <w:pPr>
        <w:pStyle w:val="ListParagraph"/>
        <w:numPr>
          <w:ilvl w:val="0"/>
          <w:numId w:val="5"/>
        </w:numPr>
        <w:adjustRightInd w:val="0"/>
        <w:snapToGrid w:val="0"/>
        <w:spacing w:after="0"/>
        <w:contextualSpacing w:val="0"/>
        <w:rPr>
          <w:rFonts w:ascii="Arial" w:hAnsi="Arial" w:cs="Arial"/>
          <w:sz w:val="20"/>
          <w:szCs w:val="20"/>
        </w:rPr>
      </w:pPr>
      <w:r>
        <w:rPr>
          <w:rFonts w:ascii="Arial" w:hAnsi="Arial" w:cs="Arial"/>
          <w:sz w:val="20"/>
          <w:szCs w:val="20"/>
        </w:rPr>
        <w:t>a</w:t>
      </w:r>
      <w:r w:rsidR="0087746B">
        <w:rPr>
          <w:rFonts w:ascii="Arial" w:hAnsi="Arial" w:cs="Arial"/>
          <w:sz w:val="20"/>
          <w:szCs w:val="20"/>
        </w:rPr>
        <w:t>ttributable amounts under the transferor trust provisions.</w:t>
      </w:r>
    </w:p>
    <w:p w14:paraId="14328841" w14:textId="77777777" w:rsidR="00912B17" w:rsidRDefault="00912B17" w:rsidP="00DE6F80">
      <w:pPr>
        <w:adjustRightInd w:val="0"/>
        <w:snapToGrid w:val="0"/>
        <w:spacing w:after="0"/>
        <w:rPr>
          <w:rFonts w:ascii="Arial" w:hAnsi="Arial" w:cs="Arial"/>
          <w:b/>
          <w:sz w:val="20"/>
          <w:szCs w:val="20"/>
        </w:rPr>
      </w:pPr>
    </w:p>
    <w:p w14:paraId="4C900B48" w14:textId="4F2D340C" w:rsidR="0087746B" w:rsidRPr="0096160D" w:rsidRDefault="008262E6" w:rsidP="00745247">
      <w:pPr>
        <w:numPr>
          <w:ilvl w:val="0"/>
          <w:numId w:val="4"/>
        </w:numPr>
        <w:adjustRightInd w:val="0"/>
        <w:snapToGrid w:val="0"/>
        <w:spacing w:after="0"/>
        <w:ind w:hanging="720"/>
        <w:rPr>
          <w:rFonts w:ascii="Arial" w:hAnsi="Arial" w:cs="Arial"/>
          <w:b/>
          <w:sz w:val="20"/>
          <w:szCs w:val="20"/>
        </w:rPr>
      </w:pPr>
      <w:r>
        <w:rPr>
          <w:rFonts w:ascii="Arial" w:hAnsi="Arial" w:cs="Arial"/>
          <w:b/>
          <w:sz w:val="20"/>
          <w:szCs w:val="20"/>
        </w:rPr>
        <w:t>Effective t</w:t>
      </w:r>
      <w:r w:rsidR="0087746B" w:rsidRPr="0096160D">
        <w:rPr>
          <w:rFonts w:ascii="Arial" w:hAnsi="Arial" w:cs="Arial"/>
          <w:b/>
          <w:sz w:val="20"/>
          <w:szCs w:val="20"/>
        </w:rPr>
        <w:t>rust resolutions</w:t>
      </w:r>
    </w:p>
    <w:p w14:paraId="4D0DB26E" w14:textId="77777777" w:rsidR="00745247" w:rsidRDefault="00745247" w:rsidP="00745247">
      <w:pPr>
        <w:adjustRightInd w:val="0"/>
        <w:snapToGrid w:val="0"/>
        <w:spacing w:after="0"/>
        <w:rPr>
          <w:rFonts w:ascii="Arial" w:hAnsi="Arial" w:cs="Arial"/>
          <w:sz w:val="20"/>
          <w:szCs w:val="20"/>
        </w:rPr>
      </w:pPr>
    </w:p>
    <w:p w14:paraId="6326535E" w14:textId="218BED59"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From the </w:t>
      </w:r>
      <w:r w:rsidR="002D6AC0">
        <w:rPr>
          <w:rFonts w:ascii="Arial" w:hAnsi="Arial" w:cs="Arial"/>
          <w:sz w:val="20"/>
          <w:szCs w:val="20"/>
        </w:rPr>
        <w:t>year</w:t>
      </w:r>
      <w:r w:rsidR="00466CFF">
        <w:rPr>
          <w:rFonts w:ascii="Arial" w:hAnsi="Arial" w:cs="Arial"/>
          <w:sz w:val="20"/>
          <w:szCs w:val="20"/>
        </w:rPr>
        <w:t xml:space="preserve"> </w:t>
      </w:r>
      <w:r w:rsidR="002D6AC0">
        <w:rPr>
          <w:rFonts w:ascii="Arial" w:hAnsi="Arial" w:cs="Arial"/>
          <w:sz w:val="20"/>
          <w:szCs w:val="20"/>
        </w:rPr>
        <w:t>end</w:t>
      </w:r>
      <w:r>
        <w:rPr>
          <w:rFonts w:ascii="Arial" w:hAnsi="Arial" w:cs="Arial"/>
          <w:sz w:val="20"/>
          <w:szCs w:val="20"/>
        </w:rPr>
        <w:t>ed 30 June 2012 onwards a trustee of a discretionary trust</w:t>
      </w:r>
      <w:r w:rsidR="00295193">
        <w:rPr>
          <w:rFonts w:ascii="Arial" w:hAnsi="Arial" w:cs="Arial"/>
          <w:sz w:val="20"/>
          <w:szCs w:val="20"/>
        </w:rPr>
        <w:t xml:space="preserve"> </w:t>
      </w:r>
      <w:r w:rsidR="004E14D7">
        <w:rPr>
          <w:rFonts w:ascii="Arial" w:hAnsi="Arial" w:cs="Arial"/>
          <w:sz w:val="20"/>
          <w:szCs w:val="20"/>
        </w:rPr>
        <w:t xml:space="preserve">should take care to ensure that </w:t>
      </w:r>
      <w:r w:rsidR="00512325">
        <w:rPr>
          <w:rFonts w:ascii="Arial" w:hAnsi="Arial" w:cs="Arial"/>
          <w:sz w:val="20"/>
          <w:szCs w:val="20"/>
        </w:rPr>
        <w:t xml:space="preserve">its </w:t>
      </w:r>
      <w:r w:rsidR="000B5709">
        <w:rPr>
          <w:rFonts w:ascii="Arial" w:hAnsi="Arial" w:cs="Arial"/>
          <w:sz w:val="20"/>
          <w:szCs w:val="20"/>
        </w:rPr>
        <w:t xml:space="preserve">distribution </w:t>
      </w:r>
      <w:r w:rsidR="00FF1A8E">
        <w:rPr>
          <w:rFonts w:ascii="Arial" w:hAnsi="Arial" w:cs="Arial"/>
          <w:sz w:val="20"/>
          <w:szCs w:val="20"/>
        </w:rPr>
        <w:t>resolution</w:t>
      </w:r>
      <w:r w:rsidR="000B5709">
        <w:rPr>
          <w:rFonts w:ascii="Arial" w:hAnsi="Arial" w:cs="Arial"/>
          <w:sz w:val="20"/>
          <w:szCs w:val="20"/>
        </w:rPr>
        <w:t>s</w:t>
      </w:r>
      <w:r w:rsidR="00413672">
        <w:rPr>
          <w:rFonts w:ascii="Arial" w:hAnsi="Arial" w:cs="Arial"/>
          <w:sz w:val="20"/>
          <w:szCs w:val="20"/>
        </w:rPr>
        <w:t xml:space="preserve"> are passed and </w:t>
      </w:r>
      <w:r w:rsidR="00972B74">
        <w:rPr>
          <w:rFonts w:ascii="Arial" w:hAnsi="Arial" w:cs="Arial"/>
          <w:sz w:val="20"/>
          <w:szCs w:val="20"/>
        </w:rPr>
        <w:t xml:space="preserve">documented at the appropriate time.  </w:t>
      </w:r>
      <w:r w:rsidR="00413672">
        <w:rPr>
          <w:rFonts w:ascii="Arial" w:hAnsi="Arial" w:cs="Arial"/>
          <w:sz w:val="20"/>
          <w:szCs w:val="20"/>
        </w:rPr>
        <w:t xml:space="preserve">This will generally be </w:t>
      </w:r>
      <w:r>
        <w:rPr>
          <w:rFonts w:ascii="Arial" w:hAnsi="Arial" w:cs="Arial"/>
          <w:sz w:val="20"/>
          <w:szCs w:val="20"/>
        </w:rPr>
        <w:t>by 30 June</w:t>
      </w:r>
      <w:r w:rsidR="00043907">
        <w:rPr>
          <w:rFonts w:ascii="Arial" w:hAnsi="Arial" w:cs="Arial"/>
          <w:sz w:val="20"/>
          <w:szCs w:val="20"/>
        </w:rPr>
        <w:t xml:space="preserve"> </w:t>
      </w:r>
      <w:r w:rsidR="00136246">
        <w:rPr>
          <w:rFonts w:ascii="Arial" w:hAnsi="Arial" w:cs="Arial"/>
          <w:sz w:val="20"/>
          <w:szCs w:val="20"/>
        </w:rPr>
        <w:t>of the relevant year</w:t>
      </w:r>
      <w:r w:rsidR="00650938">
        <w:rPr>
          <w:rFonts w:ascii="Arial" w:hAnsi="Arial" w:cs="Arial"/>
          <w:sz w:val="20"/>
          <w:szCs w:val="20"/>
        </w:rPr>
        <w:t xml:space="preserve"> </w:t>
      </w:r>
      <w:r w:rsidR="00043907">
        <w:rPr>
          <w:rFonts w:ascii="Arial" w:hAnsi="Arial" w:cs="Arial"/>
          <w:sz w:val="20"/>
          <w:szCs w:val="20"/>
        </w:rPr>
        <w:t>(unless the Trust Deed requires this to be done earlier</w:t>
      </w:r>
      <w:r w:rsidR="00650938">
        <w:rPr>
          <w:rFonts w:ascii="Arial" w:hAnsi="Arial" w:cs="Arial"/>
          <w:sz w:val="20"/>
          <w:szCs w:val="20"/>
        </w:rPr>
        <w:t xml:space="preserve"> or </w:t>
      </w:r>
      <w:r w:rsidR="00AD74D3">
        <w:rPr>
          <w:rFonts w:ascii="Arial" w:hAnsi="Arial" w:cs="Arial"/>
          <w:sz w:val="20"/>
          <w:szCs w:val="20"/>
        </w:rPr>
        <w:t>in the case of streamed capital gains</w:t>
      </w:r>
      <w:r w:rsidR="00826336">
        <w:rPr>
          <w:rFonts w:ascii="Arial" w:hAnsi="Arial" w:cs="Arial"/>
          <w:sz w:val="20"/>
          <w:szCs w:val="20"/>
        </w:rPr>
        <w:t>, as noted earlier</w:t>
      </w:r>
      <w:r w:rsidR="00043907">
        <w:rPr>
          <w:rFonts w:ascii="Arial" w:hAnsi="Arial" w:cs="Arial"/>
          <w:sz w:val="20"/>
          <w:szCs w:val="20"/>
        </w:rPr>
        <w:t>)</w:t>
      </w:r>
      <w:r>
        <w:rPr>
          <w:rFonts w:ascii="Arial" w:hAnsi="Arial" w:cs="Arial"/>
          <w:sz w:val="20"/>
          <w:szCs w:val="20"/>
        </w:rPr>
        <w:t>.</w:t>
      </w:r>
      <w:r w:rsidR="009F232C">
        <w:rPr>
          <w:rFonts w:ascii="Arial" w:hAnsi="Arial" w:cs="Arial"/>
          <w:sz w:val="20"/>
          <w:szCs w:val="20"/>
        </w:rPr>
        <w:t xml:space="preserve"> </w:t>
      </w:r>
    </w:p>
    <w:p w14:paraId="08FB49BC" w14:textId="0C11A103" w:rsidR="008262E6" w:rsidRDefault="008262E6" w:rsidP="00745247">
      <w:pPr>
        <w:adjustRightInd w:val="0"/>
        <w:snapToGrid w:val="0"/>
        <w:spacing w:after="0"/>
        <w:rPr>
          <w:rFonts w:ascii="Arial" w:hAnsi="Arial" w:cs="Arial"/>
          <w:sz w:val="20"/>
          <w:szCs w:val="20"/>
        </w:rPr>
      </w:pPr>
    </w:p>
    <w:p w14:paraId="1B5AACA2" w14:textId="101D3398"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It is critical that a resolution be made by the above date as this is an area that the ATO may scrutinise on audit. It should be noted that the ATO can, amongst other things, check computer records and </w:t>
      </w:r>
      <w:r w:rsidR="00AE1C11">
        <w:rPr>
          <w:rFonts w:ascii="Arial" w:hAnsi="Arial" w:cs="Arial"/>
          <w:sz w:val="20"/>
          <w:szCs w:val="20"/>
        </w:rPr>
        <w:t xml:space="preserve">forensically </w:t>
      </w:r>
      <w:r w:rsidR="004E14D7">
        <w:rPr>
          <w:rFonts w:ascii="Arial" w:hAnsi="Arial" w:cs="Arial"/>
          <w:sz w:val="20"/>
          <w:szCs w:val="20"/>
        </w:rPr>
        <w:t>date the documentation</w:t>
      </w:r>
      <w:r>
        <w:rPr>
          <w:rFonts w:ascii="Arial" w:hAnsi="Arial" w:cs="Arial"/>
          <w:sz w:val="20"/>
          <w:szCs w:val="20"/>
        </w:rPr>
        <w:t xml:space="preserve"> to ensure a trustee has satisfied this requirement.</w:t>
      </w:r>
    </w:p>
    <w:p w14:paraId="2E07377C" w14:textId="77777777" w:rsidR="008262E6" w:rsidRDefault="008262E6" w:rsidP="00745247">
      <w:pPr>
        <w:adjustRightInd w:val="0"/>
        <w:snapToGrid w:val="0"/>
        <w:spacing w:after="0"/>
        <w:rPr>
          <w:rFonts w:ascii="Arial" w:hAnsi="Arial" w:cs="Arial"/>
          <w:sz w:val="20"/>
          <w:szCs w:val="20"/>
        </w:rPr>
      </w:pPr>
    </w:p>
    <w:p w14:paraId="5E7D0249" w14:textId="1FEFEEE0" w:rsidR="008262E6" w:rsidRDefault="008262E6" w:rsidP="00745247">
      <w:pPr>
        <w:adjustRightInd w:val="0"/>
        <w:snapToGrid w:val="0"/>
        <w:spacing w:after="0"/>
        <w:rPr>
          <w:rFonts w:ascii="Arial" w:hAnsi="Arial" w:cs="Arial"/>
          <w:sz w:val="20"/>
          <w:szCs w:val="20"/>
        </w:rPr>
      </w:pPr>
      <w:r>
        <w:rPr>
          <w:rFonts w:ascii="Arial" w:hAnsi="Arial" w:cs="Arial"/>
          <w:sz w:val="20"/>
          <w:szCs w:val="20"/>
        </w:rPr>
        <w:t xml:space="preserve">As the making of any resolution after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is invalid</w:t>
      </w:r>
      <w:r w:rsidR="00043907">
        <w:rPr>
          <w:rFonts w:ascii="Arial" w:hAnsi="Arial" w:cs="Arial"/>
          <w:sz w:val="20"/>
          <w:szCs w:val="20"/>
        </w:rPr>
        <w:t>,</w:t>
      </w:r>
      <w:r>
        <w:rPr>
          <w:rFonts w:ascii="Arial" w:hAnsi="Arial" w:cs="Arial"/>
          <w:sz w:val="20"/>
          <w:szCs w:val="20"/>
        </w:rPr>
        <w:t xml:space="preserve"> any failure of the trust</w:t>
      </w:r>
      <w:r w:rsidR="00B33EEC">
        <w:rPr>
          <w:rFonts w:ascii="Arial" w:hAnsi="Arial" w:cs="Arial"/>
          <w:sz w:val="20"/>
          <w:szCs w:val="20"/>
        </w:rPr>
        <w:t>ee to</w:t>
      </w:r>
      <w:r>
        <w:rPr>
          <w:rFonts w:ascii="Arial" w:hAnsi="Arial" w:cs="Arial"/>
          <w:sz w:val="20"/>
          <w:szCs w:val="20"/>
        </w:rPr>
        <w:t xml:space="preserve"> evidence the making of a resolution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has the following detrimental consequences:</w:t>
      </w:r>
    </w:p>
    <w:p w14:paraId="1A064781" w14:textId="77777777" w:rsidR="008262E6" w:rsidRDefault="008262E6" w:rsidP="00745247">
      <w:pPr>
        <w:adjustRightInd w:val="0"/>
        <w:snapToGrid w:val="0"/>
        <w:spacing w:after="0"/>
        <w:rPr>
          <w:rFonts w:ascii="Arial" w:hAnsi="Arial" w:cs="Arial"/>
          <w:sz w:val="20"/>
          <w:szCs w:val="20"/>
        </w:rPr>
      </w:pPr>
    </w:p>
    <w:p w14:paraId="4265459C" w14:textId="52ABB887"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lastRenderedPageBreak/>
        <w:t xml:space="preserve">no beneficiary will be taken to be presently entitled to trust income in which case the trustee will be assessed on the trust’s net income under section 99A of the </w:t>
      </w:r>
      <w:r w:rsidR="00434779" w:rsidRPr="00434779">
        <w:rPr>
          <w:rFonts w:ascii="Arial" w:hAnsi="Arial" w:cs="Arial"/>
          <w:i/>
          <w:iCs/>
          <w:sz w:val="20"/>
          <w:szCs w:val="20"/>
        </w:rPr>
        <w:t>ITAA 1936</w:t>
      </w:r>
      <w:r w:rsidR="00043907">
        <w:rPr>
          <w:rFonts w:ascii="Arial" w:hAnsi="Arial" w:cs="Arial"/>
          <w:i/>
          <w:sz w:val="20"/>
          <w:szCs w:val="20"/>
        </w:rPr>
        <w:t>,</w:t>
      </w:r>
      <w:r>
        <w:rPr>
          <w:rFonts w:ascii="Arial" w:hAnsi="Arial" w:cs="Arial"/>
          <w:sz w:val="20"/>
          <w:szCs w:val="20"/>
        </w:rPr>
        <w:t xml:space="preserve"> typically at the effective highest marginal tax rate </w:t>
      </w:r>
      <w:r w:rsidR="00265FA3">
        <w:rPr>
          <w:rFonts w:ascii="Arial" w:hAnsi="Arial" w:cs="Arial"/>
          <w:sz w:val="20"/>
          <w:szCs w:val="20"/>
        </w:rPr>
        <w:t xml:space="preserve">(plus Medicare levy) </w:t>
      </w:r>
      <w:r>
        <w:rPr>
          <w:rFonts w:ascii="Arial" w:hAnsi="Arial" w:cs="Arial"/>
          <w:sz w:val="20"/>
          <w:szCs w:val="20"/>
        </w:rPr>
        <w:t>which is currently 47% or</w:t>
      </w:r>
    </w:p>
    <w:p w14:paraId="510C5DE7" w14:textId="477C892D" w:rsidR="008262E6" w:rsidRDefault="008262E6" w:rsidP="008262E6">
      <w:pPr>
        <w:pStyle w:val="ListParagraph"/>
        <w:numPr>
          <w:ilvl w:val="0"/>
          <w:numId w:val="9"/>
        </w:numPr>
        <w:adjustRightInd w:val="0"/>
        <w:snapToGrid w:val="0"/>
        <w:spacing w:after="0"/>
        <w:rPr>
          <w:rFonts w:ascii="Arial" w:hAnsi="Arial" w:cs="Arial"/>
          <w:sz w:val="20"/>
          <w:szCs w:val="20"/>
        </w:rPr>
      </w:pPr>
      <w:r>
        <w:rPr>
          <w:rFonts w:ascii="Arial" w:hAnsi="Arial" w:cs="Arial"/>
          <w:sz w:val="20"/>
          <w:szCs w:val="20"/>
        </w:rPr>
        <w:t xml:space="preserve">any default beneficiaries named in the </w:t>
      </w:r>
      <w:r w:rsidR="00E80C42">
        <w:rPr>
          <w:rFonts w:ascii="Arial" w:hAnsi="Arial" w:cs="Arial"/>
          <w:sz w:val="20"/>
          <w:szCs w:val="20"/>
        </w:rPr>
        <w:t>Trust Deed</w:t>
      </w:r>
      <w:r>
        <w:rPr>
          <w:rFonts w:ascii="Arial" w:hAnsi="Arial" w:cs="Arial"/>
          <w:sz w:val="20"/>
          <w:szCs w:val="20"/>
        </w:rPr>
        <w:t xml:space="preserve"> will be proportionally made presently entitled to trust income</w:t>
      </w:r>
      <w:r w:rsidR="000C790C">
        <w:rPr>
          <w:rFonts w:ascii="Arial" w:hAnsi="Arial" w:cs="Arial"/>
          <w:sz w:val="20"/>
          <w:szCs w:val="20"/>
        </w:rPr>
        <w:t xml:space="preserve"> in which case they will be assessed on an equivalent share of the trust’s net income.</w:t>
      </w:r>
    </w:p>
    <w:p w14:paraId="56BB67F8" w14:textId="77777777" w:rsidR="000C790C" w:rsidRDefault="000C790C" w:rsidP="000C790C">
      <w:pPr>
        <w:adjustRightInd w:val="0"/>
        <w:snapToGrid w:val="0"/>
        <w:spacing w:after="0"/>
        <w:rPr>
          <w:rFonts w:ascii="Arial" w:hAnsi="Arial" w:cs="Arial"/>
          <w:sz w:val="20"/>
          <w:szCs w:val="20"/>
        </w:rPr>
      </w:pPr>
    </w:p>
    <w:p w14:paraId="14B34191" w14:textId="20A806F2" w:rsidR="008262E6" w:rsidRDefault="000C790C" w:rsidP="00745247">
      <w:pPr>
        <w:adjustRightInd w:val="0"/>
        <w:snapToGrid w:val="0"/>
        <w:spacing w:after="0"/>
        <w:rPr>
          <w:rFonts w:ascii="Arial" w:hAnsi="Arial" w:cs="Arial"/>
          <w:sz w:val="20"/>
          <w:szCs w:val="20"/>
        </w:rPr>
      </w:pPr>
      <w:r>
        <w:rPr>
          <w:rFonts w:ascii="Arial" w:hAnsi="Arial" w:cs="Arial"/>
          <w:sz w:val="20"/>
          <w:szCs w:val="20"/>
        </w:rPr>
        <w:t xml:space="preserve">In making an effective trustee resolution the trustee should determine how income is defined under the </w:t>
      </w:r>
      <w:r w:rsidR="00E80C42">
        <w:rPr>
          <w:rFonts w:ascii="Arial" w:hAnsi="Arial" w:cs="Arial"/>
          <w:sz w:val="20"/>
          <w:szCs w:val="20"/>
        </w:rPr>
        <w:t>Trust Deed</w:t>
      </w:r>
      <w:r>
        <w:rPr>
          <w:rFonts w:ascii="Arial" w:hAnsi="Arial" w:cs="Arial"/>
          <w:sz w:val="20"/>
          <w:szCs w:val="20"/>
        </w:rPr>
        <w:t xml:space="preserve"> and refer to the specific clause in the </w:t>
      </w:r>
      <w:r w:rsidR="00E80C42">
        <w:rPr>
          <w:rFonts w:ascii="Arial" w:hAnsi="Arial" w:cs="Arial"/>
          <w:sz w:val="20"/>
          <w:szCs w:val="20"/>
        </w:rPr>
        <w:t>Trust Deed</w:t>
      </w:r>
      <w:r>
        <w:rPr>
          <w:rFonts w:ascii="Arial" w:hAnsi="Arial" w:cs="Arial"/>
          <w:sz w:val="20"/>
          <w:szCs w:val="20"/>
        </w:rPr>
        <w:t xml:space="preserve"> which enables the trustee to exercise a discretion in distributing trust income to beneficiaries.</w:t>
      </w:r>
    </w:p>
    <w:p w14:paraId="07FF9081" w14:textId="7257545D" w:rsidR="000C790C" w:rsidRDefault="000C790C" w:rsidP="00745247">
      <w:pPr>
        <w:adjustRightInd w:val="0"/>
        <w:snapToGrid w:val="0"/>
        <w:spacing w:after="0"/>
        <w:rPr>
          <w:rFonts w:ascii="Arial" w:hAnsi="Arial" w:cs="Arial"/>
          <w:sz w:val="20"/>
          <w:szCs w:val="20"/>
        </w:rPr>
      </w:pPr>
    </w:p>
    <w:p w14:paraId="1B4C7A22" w14:textId="20D2FE61"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Such a resolution should be documented in writing and signed and dated by the trustee so that it can be objectively evidenced that the distribution is made prior to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w:t>
      </w:r>
    </w:p>
    <w:p w14:paraId="6CBB4C08" w14:textId="6860CFDB" w:rsidR="000C790C" w:rsidRDefault="000C790C" w:rsidP="00745247">
      <w:pPr>
        <w:adjustRightInd w:val="0"/>
        <w:snapToGrid w:val="0"/>
        <w:spacing w:after="0"/>
        <w:rPr>
          <w:rFonts w:ascii="Arial" w:hAnsi="Arial" w:cs="Arial"/>
          <w:sz w:val="20"/>
          <w:szCs w:val="20"/>
        </w:rPr>
      </w:pPr>
    </w:p>
    <w:p w14:paraId="11B03EA2" w14:textId="19E7B78E" w:rsidR="000C790C" w:rsidRDefault="000C790C" w:rsidP="00745247">
      <w:pPr>
        <w:adjustRightInd w:val="0"/>
        <w:snapToGrid w:val="0"/>
        <w:spacing w:after="0"/>
        <w:rPr>
          <w:rFonts w:ascii="Arial" w:hAnsi="Arial" w:cs="Arial"/>
          <w:sz w:val="20"/>
          <w:szCs w:val="20"/>
        </w:rPr>
      </w:pPr>
      <w:r>
        <w:rPr>
          <w:rFonts w:ascii="Arial" w:hAnsi="Arial" w:cs="Arial"/>
          <w:sz w:val="20"/>
          <w:szCs w:val="20"/>
        </w:rPr>
        <w:t xml:space="preserve">The ATO </w:t>
      </w:r>
      <w:r w:rsidR="00B33EEC">
        <w:rPr>
          <w:rFonts w:ascii="Arial" w:hAnsi="Arial" w:cs="Arial"/>
          <w:sz w:val="20"/>
          <w:szCs w:val="20"/>
        </w:rPr>
        <w:t>has</w:t>
      </w:r>
      <w:r>
        <w:rPr>
          <w:rFonts w:ascii="Arial" w:hAnsi="Arial" w:cs="Arial"/>
          <w:sz w:val="20"/>
          <w:szCs w:val="20"/>
        </w:rPr>
        <w:t xml:space="preserve"> confirmed that a resolution made by a trustee does not have to specify a specific actual dollar amount in order for the resolution to be effective in making a beneficiary presently entitled to trust income. </w:t>
      </w:r>
    </w:p>
    <w:p w14:paraId="3BBBDACB" w14:textId="77777777" w:rsidR="000C790C" w:rsidRDefault="000C790C" w:rsidP="00745247">
      <w:pPr>
        <w:adjustRightInd w:val="0"/>
        <w:snapToGrid w:val="0"/>
        <w:spacing w:after="0"/>
        <w:rPr>
          <w:rFonts w:ascii="Arial" w:hAnsi="Arial" w:cs="Arial"/>
          <w:sz w:val="20"/>
          <w:szCs w:val="20"/>
        </w:rPr>
      </w:pPr>
    </w:p>
    <w:p w14:paraId="249FFBA5" w14:textId="47143439" w:rsidR="000C790C" w:rsidRDefault="00043907" w:rsidP="00745247">
      <w:pPr>
        <w:adjustRightInd w:val="0"/>
        <w:snapToGrid w:val="0"/>
        <w:spacing w:after="0"/>
        <w:rPr>
          <w:rFonts w:ascii="Arial" w:hAnsi="Arial" w:cs="Arial"/>
          <w:sz w:val="20"/>
          <w:szCs w:val="20"/>
        </w:rPr>
      </w:pPr>
      <w:r>
        <w:rPr>
          <w:rFonts w:ascii="Arial" w:hAnsi="Arial" w:cs="Arial"/>
          <w:sz w:val="20"/>
          <w:szCs w:val="20"/>
        </w:rPr>
        <w:t>Where a dollar amount is not specified, t</w:t>
      </w:r>
      <w:r w:rsidR="000C790C">
        <w:rPr>
          <w:rFonts w:ascii="Arial" w:hAnsi="Arial" w:cs="Arial"/>
          <w:sz w:val="20"/>
          <w:szCs w:val="20"/>
        </w:rPr>
        <w:t>he resolution must prescribe a clear methodology which has been applied in calculating a beneficiary’s entitlement to trust income such as making each beneficiary presently entitled to a specific percentage of trust income for the relevant year.</w:t>
      </w:r>
    </w:p>
    <w:p w14:paraId="780DBDD7" w14:textId="77777777" w:rsidR="000C790C" w:rsidRDefault="000C790C" w:rsidP="00745247">
      <w:pPr>
        <w:adjustRightInd w:val="0"/>
        <w:snapToGrid w:val="0"/>
        <w:spacing w:after="0"/>
        <w:rPr>
          <w:rFonts w:ascii="Arial" w:hAnsi="Arial" w:cs="Arial"/>
          <w:sz w:val="20"/>
          <w:szCs w:val="20"/>
        </w:rPr>
      </w:pPr>
    </w:p>
    <w:p w14:paraId="345CB38D" w14:textId="59759D9D" w:rsidR="000C790C" w:rsidRDefault="000C790C" w:rsidP="00745247">
      <w:pPr>
        <w:adjustRightInd w:val="0"/>
        <w:snapToGrid w:val="0"/>
        <w:spacing w:after="0"/>
        <w:rPr>
          <w:rFonts w:ascii="Arial" w:hAnsi="Arial" w:cs="Arial"/>
          <w:sz w:val="20"/>
          <w:szCs w:val="20"/>
        </w:rPr>
      </w:pPr>
      <w:r>
        <w:rPr>
          <w:rFonts w:ascii="Arial" w:hAnsi="Arial" w:cs="Arial"/>
          <w:sz w:val="20"/>
          <w:szCs w:val="20"/>
        </w:rPr>
        <w:t>Alternatively, the trustee may make one or more beneficiaries presently entitled to a specific amount with a single beneficiary being entitled to the balance of trust income.</w:t>
      </w:r>
    </w:p>
    <w:p w14:paraId="67E2F18A" w14:textId="08593173" w:rsidR="000C790C" w:rsidRDefault="000C790C" w:rsidP="00745247">
      <w:pPr>
        <w:adjustRightInd w:val="0"/>
        <w:snapToGrid w:val="0"/>
        <w:spacing w:after="0"/>
        <w:rPr>
          <w:rFonts w:ascii="Arial" w:hAnsi="Arial" w:cs="Arial"/>
          <w:sz w:val="20"/>
          <w:szCs w:val="20"/>
        </w:rPr>
      </w:pPr>
    </w:p>
    <w:p w14:paraId="60CAB4FC" w14:textId="187A12D8" w:rsidR="000C790C" w:rsidRDefault="00813A0B" w:rsidP="00745247">
      <w:pPr>
        <w:adjustRightInd w:val="0"/>
        <w:snapToGrid w:val="0"/>
        <w:spacing w:after="0"/>
        <w:rPr>
          <w:rFonts w:ascii="Arial" w:hAnsi="Arial" w:cs="Arial"/>
          <w:sz w:val="20"/>
          <w:szCs w:val="20"/>
        </w:rPr>
      </w:pPr>
      <w:r>
        <w:rPr>
          <w:rFonts w:ascii="Arial" w:hAnsi="Arial" w:cs="Arial"/>
          <w:sz w:val="20"/>
          <w:szCs w:val="20"/>
        </w:rPr>
        <w:t>A</w:t>
      </w:r>
      <w:r w:rsidR="000C790C">
        <w:rPr>
          <w:rFonts w:ascii="Arial" w:hAnsi="Arial" w:cs="Arial"/>
          <w:sz w:val="20"/>
          <w:szCs w:val="20"/>
        </w:rPr>
        <w:t xml:space="preserve"> resolution may take the form of any of the following where there is a meeting of the trustee and their advisers:</w:t>
      </w:r>
    </w:p>
    <w:p w14:paraId="61BD7F20" w14:textId="3DC2D5A7" w:rsidR="000C790C" w:rsidRDefault="000C790C" w:rsidP="00745247">
      <w:pPr>
        <w:adjustRightInd w:val="0"/>
        <w:snapToGrid w:val="0"/>
        <w:spacing w:after="0"/>
        <w:rPr>
          <w:rFonts w:ascii="Arial" w:hAnsi="Arial" w:cs="Arial"/>
          <w:sz w:val="20"/>
          <w:szCs w:val="20"/>
        </w:rPr>
      </w:pPr>
    </w:p>
    <w:p w14:paraId="422BDEC6" w14:textId="102C69BA"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file note recording the decision made </w:t>
      </w:r>
      <w:r w:rsidR="00B33EEC">
        <w:rPr>
          <w:rFonts w:ascii="Arial" w:hAnsi="Arial" w:cs="Arial"/>
          <w:sz w:val="20"/>
          <w:szCs w:val="20"/>
        </w:rPr>
        <w:t>by the trustee</w:t>
      </w:r>
      <w:r>
        <w:rPr>
          <w:rFonts w:ascii="Arial" w:hAnsi="Arial" w:cs="Arial"/>
          <w:sz w:val="20"/>
          <w:szCs w:val="20"/>
        </w:rPr>
        <w:t xml:space="preserve"> at the meeting which is completed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t>
      </w:r>
    </w:p>
    <w:p w14:paraId="768B3823" w14:textId="12E0C84F"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an exchange of correspondence recording the exercise of the trustee’s discretion which is finalised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p>
    <w:p w14:paraId="5B0160BC" w14:textId="75A5E38A" w:rsidR="000C790C" w:rsidRDefault="000C790C" w:rsidP="000C790C">
      <w:pPr>
        <w:pStyle w:val="ListParagraph"/>
        <w:numPr>
          <w:ilvl w:val="0"/>
          <w:numId w:val="10"/>
        </w:numPr>
        <w:adjustRightInd w:val="0"/>
        <w:snapToGrid w:val="0"/>
        <w:spacing w:after="0"/>
        <w:rPr>
          <w:rFonts w:ascii="Arial" w:hAnsi="Arial" w:cs="Arial"/>
          <w:sz w:val="20"/>
          <w:szCs w:val="20"/>
        </w:rPr>
      </w:pPr>
      <w:r>
        <w:rPr>
          <w:rFonts w:ascii="Arial" w:hAnsi="Arial" w:cs="Arial"/>
          <w:sz w:val="20"/>
          <w:szCs w:val="20"/>
        </w:rPr>
        <w:t xml:space="preserve">a draft minute executed before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Pr>
          <w:rFonts w:ascii="Arial" w:hAnsi="Arial" w:cs="Arial"/>
          <w:sz w:val="20"/>
          <w:szCs w:val="20"/>
        </w:rPr>
        <w:t xml:space="preserve"> which formally records the trustee’s decision which is finalised after 30 June </w:t>
      </w:r>
      <w:r w:rsidR="00B33EEC">
        <w:rPr>
          <w:rFonts w:ascii="Arial" w:hAnsi="Arial" w:cs="Arial"/>
          <w:sz w:val="20"/>
          <w:szCs w:val="20"/>
        </w:rPr>
        <w:t>(</w:t>
      </w:r>
      <w:r>
        <w:rPr>
          <w:rFonts w:ascii="Arial" w:hAnsi="Arial" w:cs="Arial"/>
          <w:sz w:val="20"/>
          <w:szCs w:val="20"/>
        </w:rPr>
        <w:t xml:space="preserve">if permitted under the </w:t>
      </w:r>
      <w:r w:rsidR="00E80C42">
        <w:rPr>
          <w:rFonts w:ascii="Arial" w:hAnsi="Arial" w:cs="Arial"/>
          <w:sz w:val="20"/>
          <w:szCs w:val="20"/>
        </w:rPr>
        <w:t>Trust Deed</w:t>
      </w:r>
      <w:r w:rsidR="00B33EEC">
        <w:rPr>
          <w:rFonts w:ascii="Arial" w:hAnsi="Arial" w:cs="Arial"/>
          <w:sz w:val="20"/>
          <w:szCs w:val="20"/>
        </w:rPr>
        <w:t>)</w:t>
      </w:r>
      <w:r>
        <w:rPr>
          <w:rFonts w:ascii="Arial" w:hAnsi="Arial" w:cs="Arial"/>
          <w:sz w:val="20"/>
          <w:szCs w:val="20"/>
        </w:rPr>
        <w:t>.</w:t>
      </w:r>
    </w:p>
    <w:p w14:paraId="78170B8F" w14:textId="4D9C6F61" w:rsidR="00B56D89" w:rsidRDefault="00B56D89" w:rsidP="00EB1E7E">
      <w:pPr>
        <w:adjustRightInd w:val="0"/>
        <w:snapToGrid w:val="0"/>
        <w:spacing w:after="0"/>
        <w:rPr>
          <w:rFonts w:ascii="Arial" w:hAnsi="Arial" w:cs="Arial"/>
          <w:sz w:val="20"/>
          <w:szCs w:val="20"/>
        </w:rPr>
      </w:pPr>
    </w:p>
    <w:p w14:paraId="0569A8E5" w14:textId="5B660A14" w:rsidR="00EB1E7E" w:rsidRPr="00EB1E7E" w:rsidRDefault="00EB1E7E" w:rsidP="00EB1E7E">
      <w:pPr>
        <w:adjustRightInd w:val="0"/>
        <w:snapToGrid w:val="0"/>
        <w:spacing w:after="0"/>
        <w:rPr>
          <w:rFonts w:ascii="Arial" w:hAnsi="Arial" w:cs="Arial"/>
          <w:sz w:val="20"/>
          <w:szCs w:val="20"/>
        </w:rPr>
      </w:pPr>
      <w:r>
        <w:rPr>
          <w:rFonts w:ascii="Arial" w:hAnsi="Arial" w:cs="Arial"/>
          <w:sz w:val="20"/>
          <w:szCs w:val="20"/>
        </w:rPr>
        <w:t>However, in all cases, it is recommended that formal documentation of res</w:t>
      </w:r>
      <w:r w:rsidR="00B046F3">
        <w:rPr>
          <w:rFonts w:ascii="Arial" w:hAnsi="Arial" w:cs="Arial"/>
          <w:sz w:val="20"/>
          <w:szCs w:val="20"/>
        </w:rPr>
        <w:t xml:space="preserve">olutions to reflect the above be prepared and signed as soon as possible.  </w:t>
      </w:r>
    </w:p>
    <w:p w14:paraId="67414E25" w14:textId="77777777" w:rsidR="00B24DF5" w:rsidRPr="00E6074A" w:rsidRDefault="00B24DF5" w:rsidP="005636BF">
      <w:pPr>
        <w:adjustRightInd w:val="0"/>
        <w:snapToGrid w:val="0"/>
        <w:spacing w:after="0"/>
        <w:rPr>
          <w:rFonts w:ascii="Arial" w:hAnsi="Arial" w:cs="Arial"/>
          <w:sz w:val="20"/>
          <w:szCs w:val="20"/>
        </w:rPr>
      </w:pPr>
    </w:p>
    <w:p w14:paraId="1069752B" w14:textId="3F99A6D0" w:rsidR="000C790C" w:rsidRPr="000C790C" w:rsidRDefault="000C790C" w:rsidP="000C790C">
      <w:pPr>
        <w:adjustRightInd w:val="0"/>
        <w:snapToGrid w:val="0"/>
        <w:spacing w:after="0"/>
        <w:rPr>
          <w:rFonts w:ascii="Arial" w:hAnsi="Arial" w:cs="Arial"/>
          <w:sz w:val="20"/>
          <w:szCs w:val="20"/>
        </w:rPr>
      </w:pPr>
    </w:p>
    <w:p w14:paraId="4EC9035D" w14:textId="16C9AC93" w:rsidR="00441CAA" w:rsidRDefault="000C790C" w:rsidP="000C790C">
      <w:pPr>
        <w:adjustRightInd w:val="0"/>
        <w:snapToGrid w:val="0"/>
        <w:spacing w:after="0"/>
        <w:rPr>
          <w:rFonts w:ascii="Arial" w:hAnsi="Arial" w:cs="Arial"/>
          <w:sz w:val="20"/>
          <w:szCs w:val="20"/>
        </w:rPr>
      </w:pPr>
      <w:r>
        <w:rPr>
          <w:rFonts w:ascii="Arial" w:hAnsi="Arial" w:cs="Arial"/>
          <w:sz w:val="20"/>
          <w:szCs w:val="20"/>
        </w:rPr>
        <w:t>Finally,</w:t>
      </w:r>
      <w:r w:rsidR="00441CAA">
        <w:rPr>
          <w:rFonts w:ascii="Arial" w:hAnsi="Arial" w:cs="Arial"/>
          <w:sz w:val="20"/>
          <w:szCs w:val="20"/>
        </w:rPr>
        <w:t xml:space="preserve"> it is necessary to consider the interaction of the specific entitlement an</w:t>
      </w:r>
      <w:r w:rsidR="003D04CF">
        <w:rPr>
          <w:rFonts w:ascii="Arial" w:hAnsi="Arial" w:cs="Arial"/>
          <w:sz w:val="20"/>
          <w:szCs w:val="20"/>
        </w:rPr>
        <w:t>d</w:t>
      </w:r>
      <w:r w:rsidR="00441CAA">
        <w:rPr>
          <w:rFonts w:ascii="Arial" w:hAnsi="Arial" w:cs="Arial"/>
          <w:sz w:val="20"/>
          <w:szCs w:val="20"/>
        </w:rPr>
        <w:t xml:space="preserve"> present entitlement rules where the </w:t>
      </w:r>
      <w:r w:rsidR="00E80C42">
        <w:rPr>
          <w:rFonts w:ascii="Arial" w:hAnsi="Arial" w:cs="Arial"/>
          <w:sz w:val="20"/>
          <w:szCs w:val="20"/>
        </w:rPr>
        <w:t>Trust Deed</w:t>
      </w:r>
      <w:r w:rsidR="00441CAA">
        <w:rPr>
          <w:rFonts w:ascii="Arial" w:hAnsi="Arial" w:cs="Arial"/>
          <w:sz w:val="20"/>
          <w:szCs w:val="20"/>
        </w:rPr>
        <w:t xml:space="preserve"> includes an income equalisation clause equating trust income with the definition of net income under section 95(1) of the </w:t>
      </w:r>
      <w:r w:rsidR="00434779" w:rsidRPr="00434779">
        <w:rPr>
          <w:rFonts w:ascii="Arial" w:hAnsi="Arial" w:cs="Arial"/>
          <w:i/>
          <w:iCs/>
          <w:sz w:val="20"/>
          <w:szCs w:val="20"/>
        </w:rPr>
        <w:t>ITAA 1936</w:t>
      </w:r>
      <w:r w:rsidR="00441CAA">
        <w:rPr>
          <w:rFonts w:ascii="Arial" w:hAnsi="Arial" w:cs="Arial"/>
          <w:sz w:val="20"/>
          <w:szCs w:val="20"/>
        </w:rPr>
        <w:t>.</w:t>
      </w:r>
    </w:p>
    <w:p w14:paraId="6F8C171A" w14:textId="77777777" w:rsidR="00441CAA" w:rsidRDefault="00441CAA" w:rsidP="000C790C">
      <w:pPr>
        <w:adjustRightInd w:val="0"/>
        <w:snapToGrid w:val="0"/>
        <w:spacing w:after="0"/>
        <w:rPr>
          <w:rFonts w:ascii="Arial" w:hAnsi="Arial" w:cs="Arial"/>
          <w:sz w:val="20"/>
          <w:szCs w:val="20"/>
        </w:rPr>
      </w:pPr>
    </w:p>
    <w:p w14:paraId="2571B0D0" w14:textId="50EFD612" w:rsidR="00441CAA" w:rsidRDefault="00441CAA" w:rsidP="000C790C">
      <w:pPr>
        <w:adjustRightInd w:val="0"/>
        <w:snapToGrid w:val="0"/>
        <w:spacing w:after="0"/>
        <w:rPr>
          <w:rFonts w:ascii="Arial" w:hAnsi="Arial" w:cs="Arial"/>
          <w:sz w:val="20"/>
          <w:szCs w:val="20"/>
        </w:rPr>
      </w:pPr>
      <w:r>
        <w:rPr>
          <w:rFonts w:ascii="Arial" w:hAnsi="Arial" w:cs="Arial"/>
          <w:sz w:val="20"/>
          <w:szCs w:val="20"/>
        </w:rPr>
        <w:t>Where such a clause applies</w:t>
      </w:r>
      <w:r w:rsidR="00D54169">
        <w:rPr>
          <w:rFonts w:ascii="Arial" w:hAnsi="Arial" w:cs="Arial"/>
          <w:sz w:val="20"/>
          <w:szCs w:val="20"/>
        </w:rPr>
        <w:t>,</w:t>
      </w:r>
      <w:r>
        <w:rPr>
          <w:rFonts w:ascii="Arial" w:hAnsi="Arial" w:cs="Arial"/>
          <w:sz w:val="20"/>
          <w:szCs w:val="20"/>
        </w:rPr>
        <w:t xml:space="preserve"> </w:t>
      </w:r>
      <w:r w:rsidR="00B33EEC">
        <w:rPr>
          <w:rFonts w:ascii="Arial" w:hAnsi="Arial" w:cs="Arial"/>
          <w:sz w:val="20"/>
          <w:szCs w:val="20"/>
        </w:rPr>
        <w:t xml:space="preserve">any </w:t>
      </w:r>
      <w:r>
        <w:rPr>
          <w:rFonts w:ascii="Arial" w:hAnsi="Arial" w:cs="Arial"/>
          <w:sz w:val="20"/>
          <w:szCs w:val="20"/>
        </w:rPr>
        <w:t>net capital gain included in the trust</w:t>
      </w:r>
      <w:r w:rsidR="003D04CF">
        <w:rPr>
          <w:rFonts w:ascii="Arial" w:hAnsi="Arial" w:cs="Arial"/>
          <w:sz w:val="20"/>
          <w:szCs w:val="20"/>
        </w:rPr>
        <w:t>’s</w:t>
      </w:r>
      <w:r>
        <w:rPr>
          <w:rFonts w:ascii="Arial" w:hAnsi="Arial" w:cs="Arial"/>
          <w:sz w:val="20"/>
          <w:szCs w:val="20"/>
        </w:rPr>
        <w:t xml:space="preserve"> net income </w:t>
      </w:r>
      <w:r w:rsidR="00B33EEC">
        <w:rPr>
          <w:rFonts w:ascii="Arial" w:hAnsi="Arial" w:cs="Arial"/>
          <w:sz w:val="20"/>
          <w:szCs w:val="20"/>
        </w:rPr>
        <w:t xml:space="preserve">will </w:t>
      </w:r>
      <w:r w:rsidR="003D04CF">
        <w:rPr>
          <w:rFonts w:ascii="Arial" w:hAnsi="Arial" w:cs="Arial"/>
          <w:sz w:val="20"/>
          <w:szCs w:val="20"/>
        </w:rPr>
        <w:t xml:space="preserve">also </w:t>
      </w:r>
      <w:r>
        <w:rPr>
          <w:rFonts w:ascii="Arial" w:hAnsi="Arial" w:cs="Arial"/>
          <w:sz w:val="20"/>
          <w:szCs w:val="20"/>
        </w:rPr>
        <w:t xml:space="preserve">be considered to be part of the income of the trust estate. Hence, where beneficiaries </w:t>
      </w:r>
      <w:r w:rsidR="00B33EEC">
        <w:rPr>
          <w:rFonts w:ascii="Arial" w:hAnsi="Arial" w:cs="Arial"/>
          <w:sz w:val="20"/>
          <w:szCs w:val="20"/>
        </w:rPr>
        <w:t xml:space="preserve">are </w:t>
      </w:r>
      <w:r>
        <w:rPr>
          <w:rFonts w:ascii="Arial" w:hAnsi="Arial" w:cs="Arial"/>
          <w:sz w:val="20"/>
          <w:szCs w:val="20"/>
        </w:rPr>
        <w:t xml:space="preserve">made presently entitled to all of the trust income by </w:t>
      </w:r>
      <w:r w:rsidR="002D6AC0">
        <w:rPr>
          <w:rFonts w:ascii="Arial" w:hAnsi="Arial" w:cs="Arial"/>
          <w:sz w:val="20"/>
          <w:szCs w:val="20"/>
        </w:rPr>
        <w:t>year-end</w:t>
      </w:r>
      <w:r>
        <w:rPr>
          <w:rFonts w:ascii="Arial" w:hAnsi="Arial" w:cs="Arial"/>
          <w:sz w:val="20"/>
          <w:szCs w:val="20"/>
        </w:rPr>
        <w:t xml:space="preserve"> those beneficiaries will be distributed all of the net income of the trust for that year (including any assessable net capital gain) by virtue of the income equalisation clause. Accordingly, there would not be any remaining capital gain available to be subsequently streamed to another beneficiary by the following 31 August since </w:t>
      </w:r>
      <w:r w:rsidR="00B33EEC">
        <w:rPr>
          <w:rFonts w:ascii="Arial" w:hAnsi="Arial" w:cs="Arial"/>
          <w:sz w:val="20"/>
          <w:szCs w:val="20"/>
        </w:rPr>
        <w:t xml:space="preserve">the </w:t>
      </w:r>
      <w:r>
        <w:rPr>
          <w:rFonts w:ascii="Arial" w:hAnsi="Arial" w:cs="Arial"/>
          <w:sz w:val="20"/>
          <w:szCs w:val="20"/>
        </w:rPr>
        <w:t xml:space="preserve">net capital gain will already </w:t>
      </w:r>
      <w:r w:rsidR="00B33EEC">
        <w:rPr>
          <w:rFonts w:ascii="Arial" w:hAnsi="Arial" w:cs="Arial"/>
          <w:sz w:val="20"/>
          <w:szCs w:val="20"/>
        </w:rPr>
        <w:t xml:space="preserve">have </w:t>
      </w:r>
      <w:r>
        <w:rPr>
          <w:rFonts w:ascii="Arial" w:hAnsi="Arial" w:cs="Arial"/>
          <w:sz w:val="20"/>
          <w:szCs w:val="20"/>
        </w:rPr>
        <w:t>been effectively distributed in accordance with the allocation of net income to presently entitled beneficiaries.</w:t>
      </w:r>
    </w:p>
    <w:p w14:paraId="47C82793" w14:textId="64A31874" w:rsidR="00441CAA" w:rsidRDefault="00441CAA" w:rsidP="000C790C">
      <w:pPr>
        <w:adjustRightInd w:val="0"/>
        <w:snapToGrid w:val="0"/>
        <w:spacing w:after="0"/>
        <w:rPr>
          <w:rFonts w:ascii="Arial" w:hAnsi="Arial" w:cs="Arial"/>
          <w:sz w:val="20"/>
          <w:szCs w:val="20"/>
        </w:rPr>
      </w:pPr>
    </w:p>
    <w:p w14:paraId="245D422D" w14:textId="5AB662AD" w:rsidR="000C790C" w:rsidRDefault="00441CAA" w:rsidP="000C790C">
      <w:pPr>
        <w:adjustRightInd w:val="0"/>
        <w:snapToGrid w:val="0"/>
        <w:spacing w:after="0"/>
        <w:rPr>
          <w:rFonts w:ascii="Arial" w:hAnsi="Arial" w:cs="Arial"/>
          <w:sz w:val="20"/>
          <w:szCs w:val="20"/>
        </w:rPr>
      </w:pPr>
      <w:r>
        <w:rPr>
          <w:rFonts w:ascii="Arial" w:hAnsi="Arial" w:cs="Arial"/>
          <w:sz w:val="20"/>
          <w:szCs w:val="20"/>
        </w:rPr>
        <w:t xml:space="preserve">Thus, where a </w:t>
      </w:r>
      <w:r w:rsidR="00E80C42">
        <w:rPr>
          <w:rFonts w:ascii="Arial" w:hAnsi="Arial" w:cs="Arial"/>
          <w:sz w:val="20"/>
          <w:szCs w:val="20"/>
        </w:rPr>
        <w:t>Trust Deed</w:t>
      </w:r>
      <w:r>
        <w:rPr>
          <w:rFonts w:ascii="Arial" w:hAnsi="Arial" w:cs="Arial"/>
          <w:sz w:val="20"/>
          <w:szCs w:val="20"/>
        </w:rPr>
        <w:t xml:space="preserve"> includes an income equalisation clause it would be prudent for the trustee to make a beneficiary specifically entitled to any capital gain or franked dividend before making beneficiaries presently entitled to the balance of net income under the trustee resolution which must be made by </w:t>
      </w:r>
      <w:r w:rsidR="002D6AC0">
        <w:rPr>
          <w:rFonts w:ascii="Arial" w:hAnsi="Arial" w:cs="Arial"/>
          <w:sz w:val="20"/>
          <w:szCs w:val="20"/>
        </w:rPr>
        <w:t>year</w:t>
      </w:r>
      <w:r w:rsidR="00265FA3">
        <w:rPr>
          <w:rFonts w:ascii="Arial" w:hAnsi="Arial" w:cs="Arial"/>
          <w:sz w:val="20"/>
          <w:szCs w:val="20"/>
        </w:rPr>
        <w:t>-</w:t>
      </w:r>
      <w:r w:rsidR="002D6AC0">
        <w:rPr>
          <w:rFonts w:ascii="Arial" w:hAnsi="Arial" w:cs="Arial"/>
          <w:sz w:val="20"/>
          <w:szCs w:val="20"/>
        </w:rPr>
        <w:t>end</w:t>
      </w:r>
      <w:r w:rsidR="00D22BD6">
        <w:rPr>
          <w:rFonts w:ascii="Arial" w:hAnsi="Arial" w:cs="Arial"/>
          <w:sz w:val="20"/>
          <w:szCs w:val="20"/>
        </w:rPr>
        <w:t>,</w:t>
      </w:r>
      <w:r>
        <w:rPr>
          <w:rFonts w:ascii="Arial" w:hAnsi="Arial" w:cs="Arial"/>
          <w:sz w:val="20"/>
          <w:szCs w:val="20"/>
        </w:rPr>
        <w:t xml:space="preserve"> being typically 30 June.</w:t>
      </w:r>
    </w:p>
    <w:p w14:paraId="3CBBA11A" w14:textId="71B47130" w:rsidR="00A71697" w:rsidRDefault="00A71697" w:rsidP="000C790C">
      <w:pPr>
        <w:adjustRightInd w:val="0"/>
        <w:snapToGrid w:val="0"/>
        <w:spacing w:after="0"/>
        <w:rPr>
          <w:rFonts w:ascii="Arial" w:hAnsi="Arial" w:cs="Arial"/>
          <w:sz w:val="20"/>
          <w:szCs w:val="20"/>
        </w:rPr>
      </w:pPr>
    </w:p>
    <w:p w14:paraId="1C148BED" w14:textId="77777777" w:rsidR="000C790C" w:rsidRDefault="000C790C" w:rsidP="00745247">
      <w:pPr>
        <w:adjustRightInd w:val="0"/>
        <w:snapToGrid w:val="0"/>
        <w:spacing w:after="0"/>
        <w:rPr>
          <w:rFonts w:ascii="Arial" w:hAnsi="Arial" w:cs="Arial"/>
          <w:sz w:val="20"/>
          <w:szCs w:val="20"/>
        </w:rPr>
      </w:pPr>
    </w:p>
    <w:p w14:paraId="272D975C" w14:textId="77777777" w:rsidR="0087746B" w:rsidRPr="0096160D" w:rsidRDefault="0087746B" w:rsidP="00745247">
      <w:pPr>
        <w:numPr>
          <w:ilvl w:val="0"/>
          <w:numId w:val="4"/>
        </w:numPr>
        <w:adjustRightInd w:val="0"/>
        <w:snapToGrid w:val="0"/>
        <w:spacing w:after="0"/>
        <w:ind w:hanging="720"/>
        <w:rPr>
          <w:rFonts w:ascii="Arial" w:hAnsi="Arial" w:cs="Arial"/>
          <w:b/>
          <w:sz w:val="20"/>
          <w:szCs w:val="20"/>
        </w:rPr>
      </w:pPr>
      <w:r w:rsidRPr="0096160D">
        <w:rPr>
          <w:rFonts w:ascii="Arial" w:hAnsi="Arial" w:cs="Arial"/>
          <w:b/>
          <w:sz w:val="20"/>
          <w:szCs w:val="20"/>
        </w:rPr>
        <w:t>Trust Tax Return</w:t>
      </w:r>
    </w:p>
    <w:p w14:paraId="1B146ED4" w14:textId="77777777" w:rsidR="00745247" w:rsidRDefault="00745247" w:rsidP="00745247">
      <w:pPr>
        <w:adjustRightInd w:val="0"/>
        <w:snapToGrid w:val="0"/>
        <w:spacing w:after="0"/>
        <w:rPr>
          <w:rFonts w:ascii="Arial" w:hAnsi="Arial" w:cs="Arial"/>
          <w:sz w:val="20"/>
          <w:szCs w:val="20"/>
        </w:rPr>
      </w:pPr>
    </w:p>
    <w:p w14:paraId="79EC7CA6" w14:textId="54546D68" w:rsidR="0087746B" w:rsidRDefault="002A302F" w:rsidP="00745247">
      <w:pPr>
        <w:adjustRightInd w:val="0"/>
        <w:snapToGrid w:val="0"/>
        <w:spacing w:after="0"/>
        <w:rPr>
          <w:rFonts w:ascii="Arial" w:hAnsi="Arial" w:cs="Arial"/>
          <w:sz w:val="20"/>
          <w:szCs w:val="20"/>
        </w:rPr>
      </w:pPr>
      <w:r>
        <w:rPr>
          <w:rFonts w:ascii="Arial" w:hAnsi="Arial" w:cs="Arial"/>
          <w:sz w:val="20"/>
          <w:szCs w:val="20"/>
        </w:rPr>
        <w:t>T</w:t>
      </w:r>
      <w:r w:rsidR="0087746B" w:rsidRPr="0096160D">
        <w:rPr>
          <w:rFonts w:ascii="Arial" w:hAnsi="Arial" w:cs="Arial"/>
          <w:sz w:val="20"/>
          <w:szCs w:val="20"/>
        </w:rPr>
        <w:t xml:space="preserve">rustees are required to disclose the income of the trust </w:t>
      </w:r>
      <w:r w:rsidR="00927C30">
        <w:rPr>
          <w:rFonts w:ascii="Arial" w:hAnsi="Arial" w:cs="Arial"/>
          <w:sz w:val="20"/>
          <w:szCs w:val="20"/>
        </w:rPr>
        <w:t xml:space="preserve">at Item </w:t>
      </w:r>
      <w:r w:rsidR="00156F0A">
        <w:rPr>
          <w:rFonts w:ascii="Arial" w:hAnsi="Arial" w:cs="Arial"/>
          <w:sz w:val="20"/>
          <w:szCs w:val="20"/>
        </w:rPr>
        <w:t xml:space="preserve">56 </w:t>
      </w:r>
      <w:r>
        <w:rPr>
          <w:rFonts w:ascii="Arial" w:hAnsi="Arial" w:cs="Arial"/>
          <w:sz w:val="20"/>
          <w:szCs w:val="20"/>
        </w:rPr>
        <w:t xml:space="preserve">of the </w:t>
      </w:r>
      <w:r w:rsidR="00A374AA">
        <w:rPr>
          <w:rFonts w:ascii="Arial" w:hAnsi="Arial" w:cs="Arial"/>
          <w:sz w:val="20"/>
          <w:szCs w:val="20"/>
        </w:rPr>
        <w:t>202</w:t>
      </w:r>
      <w:r w:rsidR="00F835D2">
        <w:rPr>
          <w:rFonts w:ascii="Arial" w:hAnsi="Arial" w:cs="Arial"/>
          <w:sz w:val="20"/>
          <w:szCs w:val="20"/>
        </w:rPr>
        <w:t>3</w:t>
      </w:r>
      <w:r w:rsidR="00A374AA">
        <w:rPr>
          <w:rFonts w:ascii="Arial" w:hAnsi="Arial" w:cs="Arial"/>
          <w:sz w:val="20"/>
          <w:szCs w:val="20"/>
        </w:rPr>
        <w:t xml:space="preserve"> </w:t>
      </w:r>
      <w:r>
        <w:rPr>
          <w:rFonts w:ascii="Arial" w:hAnsi="Arial" w:cs="Arial"/>
          <w:sz w:val="20"/>
          <w:szCs w:val="20"/>
        </w:rPr>
        <w:t xml:space="preserve">Trust Tax Return Form </w:t>
      </w:r>
      <w:r w:rsidR="0087746B" w:rsidRPr="0096160D">
        <w:rPr>
          <w:rFonts w:ascii="Arial" w:hAnsi="Arial" w:cs="Arial"/>
          <w:sz w:val="20"/>
          <w:szCs w:val="20"/>
        </w:rPr>
        <w:t xml:space="preserve">and at item </w:t>
      </w:r>
      <w:r w:rsidR="00D54169" w:rsidRPr="0096160D">
        <w:rPr>
          <w:rFonts w:ascii="Arial" w:hAnsi="Arial" w:cs="Arial"/>
          <w:sz w:val="20"/>
          <w:szCs w:val="20"/>
        </w:rPr>
        <w:t>5</w:t>
      </w:r>
      <w:r w:rsidR="00156F0A">
        <w:rPr>
          <w:rFonts w:ascii="Arial" w:hAnsi="Arial" w:cs="Arial"/>
          <w:sz w:val="20"/>
          <w:szCs w:val="20"/>
        </w:rPr>
        <w:t>7</w:t>
      </w:r>
      <w:r w:rsidR="00D54169" w:rsidRPr="0096160D">
        <w:rPr>
          <w:rFonts w:ascii="Arial" w:hAnsi="Arial" w:cs="Arial"/>
          <w:sz w:val="20"/>
          <w:szCs w:val="20"/>
        </w:rPr>
        <w:t xml:space="preserve"> </w:t>
      </w:r>
      <w:r w:rsidR="00927C30">
        <w:rPr>
          <w:rFonts w:ascii="Arial" w:hAnsi="Arial" w:cs="Arial"/>
          <w:sz w:val="20"/>
          <w:szCs w:val="20"/>
        </w:rPr>
        <w:t xml:space="preserve">each </w:t>
      </w:r>
      <w:r w:rsidR="0087746B" w:rsidRPr="0096160D">
        <w:rPr>
          <w:rFonts w:ascii="Arial" w:hAnsi="Arial" w:cs="Arial"/>
          <w:sz w:val="20"/>
          <w:szCs w:val="20"/>
        </w:rPr>
        <w:t>beneficiar</w:t>
      </w:r>
      <w:r w:rsidR="00927C30">
        <w:rPr>
          <w:rFonts w:ascii="Arial" w:hAnsi="Arial" w:cs="Arial"/>
          <w:sz w:val="20"/>
          <w:szCs w:val="20"/>
        </w:rPr>
        <w:t>y’s share of</w:t>
      </w:r>
      <w:r w:rsidR="0087746B" w:rsidRPr="0096160D">
        <w:rPr>
          <w:rFonts w:ascii="Arial" w:hAnsi="Arial" w:cs="Arial"/>
          <w:sz w:val="20"/>
          <w:szCs w:val="20"/>
        </w:rPr>
        <w:t xml:space="preserve"> income of the trust</w:t>
      </w:r>
      <w:r w:rsidR="0087746B">
        <w:rPr>
          <w:rFonts w:ascii="Arial" w:hAnsi="Arial" w:cs="Arial"/>
          <w:sz w:val="20"/>
          <w:szCs w:val="20"/>
        </w:rPr>
        <w:t xml:space="preserve">. </w:t>
      </w:r>
      <w:r w:rsidR="0087746B" w:rsidRPr="0096160D">
        <w:rPr>
          <w:rFonts w:ascii="Arial" w:hAnsi="Arial" w:cs="Arial"/>
          <w:sz w:val="20"/>
          <w:szCs w:val="20"/>
        </w:rPr>
        <w:t xml:space="preserve">Care must be taken when completing this disclosure so that it properly reflects the terms of the </w:t>
      </w:r>
      <w:r w:rsidR="00E80C42">
        <w:rPr>
          <w:rFonts w:ascii="Arial" w:hAnsi="Arial" w:cs="Arial"/>
          <w:sz w:val="20"/>
          <w:szCs w:val="20"/>
        </w:rPr>
        <w:t>Trust Deed</w:t>
      </w:r>
      <w:r w:rsidR="0087746B" w:rsidRPr="0096160D">
        <w:rPr>
          <w:rFonts w:ascii="Arial" w:hAnsi="Arial" w:cs="Arial"/>
          <w:sz w:val="20"/>
          <w:szCs w:val="20"/>
        </w:rPr>
        <w:t xml:space="preserve"> and</w:t>
      </w:r>
      <w:r w:rsidR="0039001B">
        <w:rPr>
          <w:rFonts w:ascii="Arial" w:hAnsi="Arial" w:cs="Arial"/>
          <w:sz w:val="20"/>
          <w:szCs w:val="20"/>
        </w:rPr>
        <w:t>,</w:t>
      </w:r>
      <w:r w:rsidR="0087746B" w:rsidRPr="0096160D">
        <w:rPr>
          <w:rFonts w:ascii="Arial" w:hAnsi="Arial" w:cs="Arial"/>
          <w:sz w:val="20"/>
          <w:szCs w:val="20"/>
        </w:rPr>
        <w:t xml:space="preserve"> where relevant, takes into account the ATO’s views of the meaning of trust income </w:t>
      </w:r>
      <w:r w:rsidR="00927C30">
        <w:rPr>
          <w:rFonts w:ascii="Arial" w:hAnsi="Arial" w:cs="Arial"/>
          <w:sz w:val="20"/>
          <w:szCs w:val="20"/>
        </w:rPr>
        <w:t xml:space="preserve">as set out under </w:t>
      </w:r>
      <w:r w:rsidR="0087746B" w:rsidRPr="0096160D">
        <w:rPr>
          <w:rFonts w:ascii="Arial" w:hAnsi="Arial" w:cs="Arial"/>
          <w:sz w:val="20"/>
          <w:szCs w:val="20"/>
        </w:rPr>
        <w:t xml:space="preserve">Draft </w:t>
      </w:r>
      <w:r w:rsidR="00792828">
        <w:rPr>
          <w:rFonts w:ascii="Arial" w:hAnsi="Arial" w:cs="Arial"/>
          <w:sz w:val="20"/>
          <w:szCs w:val="20"/>
        </w:rPr>
        <w:t>T</w:t>
      </w:r>
      <w:r w:rsidR="0087746B" w:rsidRPr="0096160D">
        <w:rPr>
          <w:rFonts w:ascii="Arial" w:hAnsi="Arial" w:cs="Arial"/>
          <w:sz w:val="20"/>
          <w:szCs w:val="20"/>
        </w:rPr>
        <w:t>axation Ruling TR 2012/D1</w:t>
      </w:r>
      <w:r w:rsidR="00441CAA">
        <w:rPr>
          <w:rFonts w:ascii="Arial" w:hAnsi="Arial" w:cs="Arial"/>
          <w:sz w:val="20"/>
          <w:szCs w:val="20"/>
        </w:rPr>
        <w:t xml:space="preserve"> discussed above</w:t>
      </w:r>
      <w:r w:rsidR="0087746B" w:rsidRPr="0096160D">
        <w:rPr>
          <w:rFonts w:ascii="Arial" w:hAnsi="Arial" w:cs="Arial"/>
          <w:sz w:val="20"/>
          <w:szCs w:val="20"/>
        </w:rPr>
        <w:t>.</w:t>
      </w:r>
    </w:p>
    <w:p w14:paraId="0076F102" w14:textId="77777777" w:rsidR="0087746B" w:rsidRPr="0096160D" w:rsidRDefault="0087746B" w:rsidP="00745247">
      <w:pPr>
        <w:adjustRightInd w:val="0"/>
        <w:snapToGrid w:val="0"/>
        <w:spacing w:after="0"/>
        <w:rPr>
          <w:rFonts w:ascii="Arial" w:hAnsi="Arial" w:cs="Arial"/>
          <w:sz w:val="20"/>
          <w:szCs w:val="20"/>
        </w:rPr>
      </w:pPr>
    </w:p>
    <w:p w14:paraId="1CA328F2" w14:textId="6578F467" w:rsidR="0087746B" w:rsidRPr="0096160D" w:rsidRDefault="0087746B" w:rsidP="00745247">
      <w:pPr>
        <w:adjustRightInd w:val="0"/>
        <w:snapToGrid w:val="0"/>
        <w:spacing w:after="0"/>
        <w:rPr>
          <w:rFonts w:ascii="Arial" w:hAnsi="Arial"/>
          <w:sz w:val="20"/>
          <w:szCs w:val="20"/>
        </w:rPr>
      </w:pPr>
      <w:r w:rsidRPr="0096160D">
        <w:rPr>
          <w:rFonts w:ascii="Arial" w:hAnsi="Arial"/>
          <w:bCs/>
          <w:sz w:val="20"/>
          <w:szCs w:val="20"/>
        </w:rPr>
        <w:t>We note that the practical</w:t>
      </w:r>
      <w:r w:rsidR="00927C30">
        <w:rPr>
          <w:rFonts w:ascii="Arial" w:hAnsi="Arial"/>
          <w:bCs/>
          <w:sz w:val="20"/>
          <w:szCs w:val="20"/>
        </w:rPr>
        <w:t xml:space="preserve"> application of the</w:t>
      </w:r>
      <w:r w:rsidR="00441CAA">
        <w:rPr>
          <w:rFonts w:ascii="Arial" w:hAnsi="Arial"/>
          <w:bCs/>
          <w:sz w:val="20"/>
          <w:szCs w:val="20"/>
        </w:rPr>
        <w:t xml:space="preserve"> above</w:t>
      </w:r>
      <w:r w:rsidR="00927C30">
        <w:rPr>
          <w:rFonts w:ascii="Arial" w:hAnsi="Arial"/>
          <w:bCs/>
          <w:sz w:val="20"/>
          <w:szCs w:val="20"/>
        </w:rPr>
        <w:t xml:space="preserve"> r</w:t>
      </w:r>
      <w:r w:rsidRPr="0096160D">
        <w:rPr>
          <w:rFonts w:ascii="Arial" w:hAnsi="Arial"/>
          <w:bCs/>
          <w:sz w:val="20"/>
          <w:szCs w:val="20"/>
        </w:rPr>
        <w:t>ules can often be difficult</w:t>
      </w:r>
      <w:r w:rsidR="00441CAA">
        <w:rPr>
          <w:rFonts w:ascii="Arial" w:hAnsi="Arial"/>
          <w:bCs/>
          <w:sz w:val="20"/>
          <w:szCs w:val="20"/>
        </w:rPr>
        <w:t xml:space="preserve">. Accordingly, </w:t>
      </w:r>
      <w:r w:rsidRPr="0096160D">
        <w:rPr>
          <w:rFonts w:ascii="Arial" w:hAnsi="Arial"/>
          <w:bCs/>
          <w:sz w:val="20"/>
          <w:szCs w:val="20"/>
        </w:rPr>
        <w:t>if you have further queries on any details contained within this letter</w:t>
      </w:r>
      <w:r w:rsidRPr="0096160D">
        <w:rPr>
          <w:rFonts w:ascii="Arial" w:hAnsi="Arial"/>
          <w:sz w:val="20"/>
          <w:szCs w:val="20"/>
        </w:rPr>
        <w:t xml:space="preserve"> or have any other tax planning issues</w:t>
      </w:r>
      <w:r w:rsidR="00441CAA">
        <w:rPr>
          <w:rFonts w:ascii="Arial" w:hAnsi="Arial"/>
          <w:sz w:val="20"/>
          <w:szCs w:val="20"/>
        </w:rPr>
        <w:t xml:space="preserve"> relating to the taxation of trusts</w:t>
      </w:r>
      <w:r w:rsidRPr="0096160D">
        <w:rPr>
          <w:rFonts w:ascii="Arial" w:hAnsi="Arial"/>
          <w:sz w:val="20"/>
          <w:szCs w:val="20"/>
        </w:rPr>
        <w:t>, please contact me on [</w:t>
      </w:r>
      <w:r w:rsidRPr="0096160D">
        <w:rPr>
          <w:rFonts w:ascii="Arial" w:hAnsi="Arial"/>
          <w:sz w:val="20"/>
          <w:szCs w:val="20"/>
          <w:highlight w:val="lightGray"/>
        </w:rPr>
        <w:t>insert telephone number of partner</w:t>
      </w:r>
      <w:r w:rsidRPr="0096160D">
        <w:rPr>
          <w:rFonts w:ascii="Arial" w:hAnsi="Arial"/>
          <w:sz w:val="20"/>
          <w:szCs w:val="20"/>
        </w:rPr>
        <w:t>].</w:t>
      </w:r>
    </w:p>
    <w:p w14:paraId="3A66921F" w14:textId="77777777" w:rsidR="0087746B" w:rsidRPr="0096160D" w:rsidRDefault="0087746B" w:rsidP="00745247">
      <w:pPr>
        <w:adjustRightInd w:val="0"/>
        <w:snapToGrid w:val="0"/>
        <w:spacing w:after="0"/>
        <w:rPr>
          <w:rFonts w:ascii="Arial" w:hAnsi="Arial"/>
          <w:sz w:val="20"/>
          <w:szCs w:val="20"/>
        </w:rPr>
      </w:pPr>
    </w:p>
    <w:p w14:paraId="0C0090AC" w14:textId="77777777" w:rsidR="00745247" w:rsidRDefault="00745247" w:rsidP="00745247">
      <w:pPr>
        <w:adjustRightInd w:val="0"/>
        <w:snapToGrid w:val="0"/>
        <w:spacing w:after="0"/>
        <w:rPr>
          <w:rFonts w:ascii="Arial" w:hAnsi="Arial"/>
          <w:sz w:val="20"/>
          <w:szCs w:val="20"/>
        </w:rPr>
      </w:pPr>
      <w:bookmarkStart w:id="14" w:name="Signoff"/>
      <w:bookmarkEnd w:id="14"/>
    </w:p>
    <w:p w14:paraId="0CBACF0F" w14:textId="77777777" w:rsidR="0087746B" w:rsidRPr="0096160D" w:rsidRDefault="0087746B" w:rsidP="00745247">
      <w:pPr>
        <w:adjustRightInd w:val="0"/>
        <w:snapToGrid w:val="0"/>
        <w:spacing w:after="0"/>
        <w:rPr>
          <w:rFonts w:ascii="Arial" w:hAnsi="Arial"/>
          <w:sz w:val="20"/>
          <w:szCs w:val="20"/>
        </w:rPr>
      </w:pPr>
      <w:r w:rsidRPr="0096160D">
        <w:rPr>
          <w:rFonts w:ascii="Arial" w:hAnsi="Arial"/>
          <w:sz w:val="20"/>
          <w:szCs w:val="20"/>
        </w:rPr>
        <w:t>Yours faithfully</w:t>
      </w:r>
    </w:p>
    <w:p w14:paraId="75A62B3E" w14:textId="77777777" w:rsidR="0087746B" w:rsidRDefault="0087746B" w:rsidP="00745247">
      <w:pPr>
        <w:adjustRightInd w:val="0"/>
        <w:snapToGrid w:val="0"/>
        <w:spacing w:after="0"/>
        <w:rPr>
          <w:rFonts w:ascii="Arial" w:hAnsi="Arial"/>
          <w:sz w:val="20"/>
          <w:szCs w:val="20"/>
        </w:rPr>
      </w:pPr>
    </w:p>
    <w:p w14:paraId="02D5DD97" w14:textId="77777777" w:rsidR="00745247" w:rsidRDefault="00745247" w:rsidP="00745247">
      <w:pPr>
        <w:adjustRightInd w:val="0"/>
        <w:snapToGrid w:val="0"/>
        <w:spacing w:after="0"/>
        <w:rPr>
          <w:rFonts w:ascii="Arial" w:hAnsi="Arial"/>
          <w:sz w:val="20"/>
          <w:szCs w:val="20"/>
        </w:rPr>
      </w:pPr>
    </w:p>
    <w:p w14:paraId="61A2AB44" w14:textId="77777777" w:rsidR="00745247" w:rsidRDefault="00745247" w:rsidP="00745247">
      <w:pPr>
        <w:adjustRightInd w:val="0"/>
        <w:snapToGrid w:val="0"/>
        <w:spacing w:after="0"/>
        <w:rPr>
          <w:rFonts w:ascii="Arial" w:hAnsi="Arial"/>
          <w:sz w:val="20"/>
          <w:szCs w:val="20"/>
        </w:rPr>
      </w:pPr>
    </w:p>
    <w:p w14:paraId="38913F80" w14:textId="77777777" w:rsidR="00745247" w:rsidRPr="0096160D" w:rsidRDefault="00745247" w:rsidP="00745247">
      <w:pPr>
        <w:adjustRightInd w:val="0"/>
        <w:snapToGrid w:val="0"/>
        <w:spacing w:after="0"/>
        <w:rPr>
          <w:rFonts w:ascii="Arial" w:hAnsi="Arial"/>
          <w:sz w:val="20"/>
          <w:szCs w:val="20"/>
        </w:rPr>
      </w:pPr>
    </w:p>
    <w:p w14:paraId="373DDC48" w14:textId="77777777" w:rsidR="0087746B" w:rsidRPr="0096160D" w:rsidRDefault="0087746B" w:rsidP="00745247">
      <w:pPr>
        <w:adjustRightInd w:val="0"/>
        <w:snapToGrid w:val="0"/>
        <w:spacing w:after="0"/>
        <w:rPr>
          <w:rFonts w:ascii="Arial" w:hAnsi="Arial"/>
          <w:b/>
          <w:bCs/>
          <w:sz w:val="20"/>
          <w:szCs w:val="20"/>
        </w:rPr>
      </w:pPr>
      <w:bookmarkStart w:id="15" w:name="Partner"/>
      <w:bookmarkEnd w:id="15"/>
      <w:r w:rsidRPr="0096160D">
        <w:rPr>
          <w:rFonts w:ascii="Arial" w:hAnsi="Arial"/>
          <w:b/>
          <w:bCs/>
          <w:sz w:val="20"/>
          <w:szCs w:val="20"/>
        </w:rPr>
        <w:t>[</w:t>
      </w:r>
      <w:r w:rsidRPr="0096160D">
        <w:rPr>
          <w:rFonts w:ascii="Arial" w:hAnsi="Arial"/>
          <w:b/>
          <w:bCs/>
          <w:sz w:val="20"/>
          <w:szCs w:val="20"/>
          <w:highlight w:val="lightGray"/>
        </w:rPr>
        <w:t>Insert name of Partner</w:t>
      </w:r>
      <w:r w:rsidRPr="0096160D">
        <w:rPr>
          <w:rFonts w:ascii="Arial" w:hAnsi="Arial"/>
          <w:b/>
          <w:bCs/>
          <w:sz w:val="20"/>
          <w:szCs w:val="20"/>
        </w:rPr>
        <w:t>]</w:t>
      </w:r>
    </w:p>
    <w:p w14:paraId="5B387445" w14:textId="77777777" w:rsidR="009F4C70" w:rsidRDefault="009F4C70" w:rsidP="00745247">
      <w:pPr>
        <w:adjustRightInd w:val="0"/>
        <w:snapToGrid w:val="0"/>
        <w:spacing w:after="0"/>
      </w:pPr>
    </w:p>
    <w:sectPr w:rsidR="009F4C70" w:rsidSect="008E6A3C">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0C3C" w14:textId="77777777" w:rsidR="003D1CE7" w:rsidRDefault="003D1CE7" w:rsidP="0087746B">
      <w:pPr>
        <w:spacing w:after="0" w:line="240" w:lineRule="auto"/>
      </w:pPr>
      <w:r>
        <w:separator/>
      </w:r>
    </w:p>
  </w:endnote>
  <w:endnote w:type="continuationSeparator" w:id="0">
    <w:p w14:paraId="7612D999" w14:textId="77777777" w:rsidR="003D1CE7" w:rsidRDefault="003D1CE7" w:rsidP="0087746B">
      <w:pPr>
        <w:spacing w:after="0" w:line="240" w:lineRule="auto"/>
      </w:pPr>
      <w:r>
        <w:continuationSeparator/>
      </w:r>
    </w:p>
  </w:endnote>
  <w:endnote w:type="continuationNotice" w:id="1">
    <w:p w14:paraId="7BF5E1FA" w14:textId="77777777" w:rsidR="00A83601" w:rsidRDefault="00A83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34D0" w14:textId="77777777" w:rsidR="003D1CE7" w:rsidRDefault="003D1CE7" w:rsidP="0087746B">
      <w:pPr>
        <w:spacing w:after="0" w:line="240" w:lineRule="auto"/>
      </w:pPr>
      <w:r>
        <w:separator/>
      </w:r>
    </w:p>
  </w:footnote>
  <w:footnote w:type="continuationSeparator" w:id="0">
    <w:p w14:paraId="751C3703" w14:textId="77777777" w:rsidR="003D1CE7" w:rsidRDefault="003D1CE7" w:rsidP="0087746B">
      <w:pPr>
        <w:spacing w:after="0" w:line="240" w:lineRule="auto"/>
      </w:pPr>
      <w:r>
        <w:continuationSeparator/>
      </w:r>
    </w:p>
  </w:footnote>
  <w:footnote w:type="continuationNotice" w:id="1">
    <w:p w14:paraId="2D9DD6A2" w14:textId="77777777" w:rsidR="00A83601" w:rsidRDefault="00A83601">
      <w:pPr>
        <w:spacing w:after="0" w:line="240" w:lineRule="auto"/>
      </w:pPr>
    </w:p>
  </w:footnote>
  <w:footnote w:id="2">
    <w:p w14:paraId="596998E4" w14:textId="77777777"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Provided that beneficiaries are presently entitled to all the income of the trust, all the </w:t>
      </w:r>
      <w:r w:rsidR="00C81B82">
        <w:rPr>
          <w:rFonts w:ascii="Arial" w:hAnsi="Arial" w:cs="Arial"/>
          <w:sz w:val="18"/>
          <w:szCs w:val="18"/>
        </w:rPr>
        <w:t xml:space="preserve">net income (i.e. </w:t>
      </w:r>
      <w:r w:rsidRPr="00A337BC">
        <w:rPr>
          <w:rFonts w:ascii="Arial" w:hAnsi="Arial" w:cs="Arial"/>
          <w:sz w:val="18"/>
          <w:szCs w:val="18"/>
        </w:rPr>
        <w:t>taxable income</w:t>
      </w:r>
      <w:r w:rsidR="00C81B82">
        <w:rPr>
          <w:rFonts w:ascii="Arial" w:hAnsi="Arial" w:cs="Arial"/>
          <w:sz w:val="18"/>
          <w:szCs w:val="18"/>
        </w:rPr>
        <w:t>)</w:t>
      </w:r>
      <w:r w:rsidRPr="00A337BC">
        <w:rPr>
          <w:rFonts w:ascii="Arial" w:hAnsi="Arial" w:cs="Arial"/>
          <w:sz w:val="18"/>
          <w:szCs w:val="18"/>
        </w:rPr>
        <w:t xml:space="preserve"> of the trust will generally be assessed to the beneficiaries of the trust, with no amount falling for assessment in the trustee’s hands.  </w:t>
      </w:r>
    </w:p>
  </w:footnote>
  <w:footnote w:id="3">
    <w:p w14:paraId="08A54A45" w14:textId="7DE30D65"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This will </w:t>
      </w:r>
      <w:r w:rsidR="00CE2650">
        <w:rPr>
          <w:rFonts w:ascii="Arial" w:hAnsi="Arial" w:cs="Arial"/>
          <w:sz w:val="18"/>
          <w:szCs w:val="18"/>
        </w:rPr>
        <w:t xml:space="preserve">generally </w:t>
      </w:r>
      <w:r w:rsidRPr="00A337BC">
        <w:rPr>
          <w:rFonts w:ascii="Arial" w:hAnsi="Arial" w:cs="Arial"/>
          <w:sz w:val="18"/>
          <w:szCs w:val="18"/>
        </w:rPr>
        <w:t xml:space="preserve">be its income calculated under general trust accounting concepts, as modified by any </w:t>
      </w:r>
      <w:r w:rsidR="00D67047">
        <w:rPr>
          <w:rFonts w:ascii="Arial" w:hAnsi="Arial" w:cs="Arial"/>
          <w:sz w:val="18"/>
          <w:szCs w:val="18"/>
        </w:rPr>
        <w:t xml:space="preserve">specific </w:t>
      </w:r>
      <w:r w:rsidRPr="00A337BC">
        <w:rPr>
          <w:rFonts w:ascii="Arial" w:hAnsi="Arial" w:cs="Arial"/>
          <w:sz w:val="18"/>
          <w:szCs w:val="18"/>
        </w:rPr>
        <w:t>definition</w:t>
      </w:r>
      <w:r w:rsidR="00D67047">
        <w:rPr>
          <w:rFonts w:ascii="Arial" w:hAnsi="Arial" w:cs="Arial"/>
          <w:sz w:val="18"/>
          <w:szCs w:val="18"/>
        </w:rPr>
        <w:t xml:space="preserve"> of income of the trust estate</w:t>
      </w:r>
      <w:r w:rsidRPr="00A337BC">
        <w:rPr>
          <w:rFonts w:ascii="Arial" w:hAnsi="Arial" w:cs="Arial"/>
          <w:sz w:val="18"/>
          <w:szCs w:val="18"/>
        </w:rPr>
        <w:t xml:space="preserve"> in the </w:t>
      </w:r>
      <w:r w:rsidR="00E80C42">
        <w:rPr>
          <w:rFonts w:ascii="Arial" w:hAnsi="Arial" w:cs="Arial"/>
          <w:sz w:val="18"/>
          <w:szCs w:val="18"/>
        </w:rPr>
        <w:t>Trust Deed</w:t>
      </w:r>
      <w:r w:rsidRPr="00A337BC">
        <w:rPr>
          <w:rFonts w:ascii="Arial" w:hAnsi="Arial" w:cs="Arial"/>
          <w:sz w:val="18"/>
          <w:szCs w:val="18"/>
        </w:rPr>
        <w:t>.</w:t>
      </w:r>
    </w:p>
  </w:footnote>
  <w:footnote w:id="4">
    <w:p w14:paraId="481EE3A0" w14:textId="495AD414" w:rsidR="0087746B" w:rsidRPr="00A337BC" w:rsidRDefault="0087746B" w:rsidP="0087746B">
      <w:pPr>
        <w:pStyle w:val="FootnoteText"/>
        <w:rPr>
          <w:rFonts w:ascii="Arial" w:hAnsi="Arial" w:cs="Arial"/>
          <w:sz w:val="18"/>
          <w:szCs w:val="18"/>
        </w:rPr>
      </w:pPr>
      <w:r w:rsidRPr="00A337BC">
        <w:rPr>
          <w:rStyle w:val="FootnoteReference"/>
          <w:rFonts w:ascii="Arial" w:hAnsi="Arial" w:cs="Arial"/>
          <w:sz w:val="18"/>
          <w:szCs w:val="18"/>
        </w:rPr>
        <w:footnoteRef/>
      </w:r>
      <w:r w:rsidRPr="00A337BC">
        <w:rPr>
          <w:rFonts w:ascii="Arial" w:hAnsi="Arial" w:cs="Arial"/>
          <w:sz w:val="18"/>
          <w:szCs w:val="18"/>
        </w:rPr>
        <w:t xml:space="preserve"> Refer to </w:t>
      </w:r>
      <w:hyperlink r:id="rId1" w:history="1">
        <w:r w:rsidRPr="00813A0B">
          <w:rPr>
            <w:rStyle w:val="Hyperlink"/>
            <w:rFonts w:ascii="Arial" w:hAnsi="Arial" w:cs="Arial"/>
            <w:sz w:val="18"/>
            <w:szCs w:val="18"/>
          </w:rPr>
          <w:t>Decision Impact Statement</w:t>
        </w:r>
      </w:hyperlink>
      <w:r w:rsidRPr="00A337BC">
        <w:rPr>
          <w:rFonts w:ascii="Arial" w:hAnsi="Arial" w:cs="Arial"/>
          <w:sz w:val="18"/>
          <w:szCs w:val="18"/>
        </w:rPr>
        <w:t xml:space="preserve"> on </w:t>
      </w:r>
      <w:bookmarkStart w:id="10" w:name="top"/>
      <w:bookmarkStart w:id="11" w:name="Content"/>
      <w:bookmarkEnd w:id="10"/>
      <w:r w:rsidRPr="00A337BC">
        <w:rPr>
          <w:rFonts w:ascii="Arial" w:hAnsi="Arial" w:cs="Arial"/>
          <w:i/>
          <w:sz w:val="18"/>
          <w:szCs w:val="18"/>
        </w:rPr>
        <w:t xml:space="preserve">Commissioner of Taxation v </w:t>
      </w:r>
      <w:bookmarkStart w:id="12" w:name="HIT1"/>
      <w:bookmarkEnd w:id="11"/>
      <w:bookmarkEnd w:id="12"/>
      <w:r w:rsidRPr="00A337BC">
        <w:rPr>
          <w:rFonts w:ascii="Arial" w:hAnsi="Arial" w:cs="Arial"/>
          <w:i/>
          <w:sz w:val="18"/>
          <w:szCs w:val="18"/>
        </w:rPr>
        <w:t xml:space="preserve">Bamford &amp; </w:t>
      </w:r>
      <w:proofErr w:type="spellStart"/>
      <w:r w:rsidRPr="00A337BC">
        <w:rPr>
          <w:rFonts w:ascii="Arial" w:hAnsi="Arial" w:cs="Arial"/>
          <w:i/>
          <w:sz w:val="18"/>
          <w:szCs w:val="18"/>
        </w:rPr>
        <w:t>Ors</w:t>
      </w:r>
      <w:proofErr w:type="spellEnd"/>
      <w:r w:rsidRPr="00A337BC">
        <w:rPr>
          <w:rFonts w:ascii="Arial" w:hAnsi="Arial" w:cs="Arial"/>
          <w:i/>
          <w:sz w:val="18"/>
          <w:szCs w:val="18"/>
        </w:rPr>
        <w:t xml:space="preserve">; </w:t>
      </w:r>
      <w:bookmarkStart w:id="13" w:name="HIT2"/>
      <w:bookmarkEnd w:id="13"/>
      <w:r w:rsidRPr="00A337BC">
        <w:rPr>
          <w:rFonts w:ascii="Arial" w:hAnsi="Arial" w:cs="Arial"/>
          <w:i/>
          <w:sz w:val="18"/>
          <w:szCs w:val="18"/>
        </w:rPr>
        <w:t xml:space="preserve">Bamford &amp; Anor v Commissioner of Taxation. </w:t>
      </w:r>
    </w:p>
  </w:footnote>
  <w:footnote w:id="5">
    <w:p w14:paraId="640F518E" w14:textId="022D195F" w:rsidR="0087746B" w:rsidRPr="00FE7878" w:rsidRDefault="0087746B" w:rsidP="0087746B">
      <w:pPr>
        <w:pStyle w:val="FootnoteText"/>
        <w:rPr>
          <w:rFonts w:ascii="Arial" w:hAnsi="Arial" w:cs="Arial"/>
          <w:sz w:val="18"/>
          <w:szCs w:val="18"/>
          <w:lang w:val="en-US"/>
        </w:rPr>
      </w:pPr>
      <w:r w:rsidRPr="00A337BC">
        <w:rPr>
          <w:rStyle w:val="FootnoteReference"/>
          <w:rFonts w:ascii="Arial" w:hAnsi="Arial" w:cs="Arial"/>
          <w:sz w:val="18"/>
          <w:szCs w:val="18"/>
        </w:rPr>
        <w:footnoteRef/>
      </w:r>
      <w:r w:rsidRPr="00A337BC">
        <w:rPr>
          <w:rFonts w:ascii="Arial" w:hAnsi="Arial" w:cs="Arial"/>
          <w:sz w:val="18"/>
          <w:szCs w:val="18"/>
        </w:rPr>
        <w:t xml:space="preserve"> </w:t>
      </w:r>
      <w:r w:rsidRPr="00FE7878">
        <w:rPr>
          <w:rFonts w:ascii="Arial" w:hAnsi="Arial" w:cs="Arial"/>
          <w:sz w:val="18"/>
          <w:szCs w:val="18"/>
          <w:lang w:val="en-US"/>
        </w:rPr>
        <w:t>Note that the</w:t>
      </w:r>
      <w:r w:rsidR="00962465">
        <w:rPr>
          <w:rFonts w:ascii="Arial" w:hAnsi="Arial" w:cs="Arial"/>
          <w:sz w:val="18"/>
          <w:szCs w:val="18"/>
          <w:lang w:val="en-US"/>
        </w:rPr>
        <w:t xml:space="preserve">se amendments only relate to the streaming of </w:t>
      </w:r>
      <w:r w:rsidR="00DD487F">
        <w:rPr>
          <w:rFonts w:ascii="Arial" w:hAnsi="Arial" w:cs="Arial"/>
          <w:sz w:val="18"/>
          <w:szCs w:val="18"/>
          <w:lang w:val="en-US"/>
        </w:rPr>
        <w:t>franking dividends and capital gains.  Consequently, the</w:t>
      </w:r>
      <w:r w:rsidRPr="00FE7878">
        <w:rPr>
          <w:rFonts w:ascii="Arial" w:hAnsi="Arial" w:cs="Arial"/>
          <w:sz w:val="18"/>
          <w:szCs w:val="18"/>
          <w:lang w:val="en-US"/>
        </w:rPr>
        <w:t xml:space="preserve"> ATO considers </w:t>
      </w:r>
      <w:r w:rsidR="00254F8C">
        <w:rPr>
          <w:rFonts w:ascii="Arial" w:hAnsi="Arial" w:cs="Arial"/>
          <w:sz w:val="18"/>
          <w:szCs w:val="18"/>
          <w:lang w:val="en-US"/>
        </w:rPr>
        <w:t xml:space="preserve">that </w:t>
      </w:r>
      <w:r w:rsidRPr="00FE7878">
        <w:rPr>
          <w:rFonts w:ascii="Arial" w:hAnsi="Arial" w:cs="Arial"/>
          <w:sz w:val="18"/>
          <w:szCs w:val="18"/>
          <w:lang w:val="en-US"/>
        </w:rPr>
        <w:t>the streaming of other types of incom</w:t>
      </w:r>
      <w:r w:rsidR="00C81B82" w:rsidRPr="00FE7878">
        <w:rPr>
          <w:rFonts w:ascii="Arial" w:hAnsi="Arial" w:cs="Arial"/>
          <w:sz w:val="18"/>
          <w:szCs w:val="18"/>
          <w:lang w:val="en-US"/>
        </w:rPr>
        <w:t xml:space="preserve">e will not be effective. </w:t>
      </w:r>
    </w:p>
  </w:footnote>
  <w:footnote w:id="6">
    <w:p w14:paraId="3AB8AC06" w14:textId="51748EB4"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income after excluding franked dividends and capital gains (to the extent they form part of the trust income) is known for the purpose</w:t>
      </w:r>
      <w:r w:rsidR="00FE7878">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00FE7878">
        <w:rPr>
          <w:rFonts w:ascii="Arial" w:hAnsi="Arial" w:cs="Arial"/>
          <w:sz w:val="18"/>
          <w:szCs w:val="18"/>
        </w:rPr>
        <w:t xml:space="preserve"> </w:t>
      </w:r>
      <w:r w:rsidRPr="00FE7878">
        <w:rPr>
          <w:rFonts w:ascii="Arial" w:hAnsi="Arial" w:cs="Arial"/>
          <w:sz w:val="18"/>
          <w:szCs w:val="18"/>
        </w:rPr>
        <w:t xml:space="preserve">as </w:t>
      </w:r>
      <w:r w:rsidR="00FE7878">
        <w:rPr>
          <w:rFonts w:ascii="Arial" w:hAnsi="Arial" w:cs="Arial"/>
          <w:sz w:val="18"/>
          <w:szCs w:val="18"/>
        </w:rPr>
        <w:t>‘</w:t>
      </w:r>
      <w:r w:rsidRPr="00FE7878">
        <w:rPr>
          <w:rFonts w:ascii="Arial" w:hAnsi="Arial" w:cs="Arial"/>
          <w:sz w:val="18"/>
          <w:szCs w:val="18"/>
        </w:rPr>
        <w:t>the Division 6E income</w:t>
      </w:r>
      <w:r w:rsidR="00FE7878">
        <w:rPr>
          <w:rFonts w:ascii="Arial" w:hAnsi="Arial" w:cs="Arial"/>
          <w:sz w:val="18"/>
          <w:szCs w:val="18"/>
        </w:rPr>
        <w:t>’</w:t>
      </w:r>
      <w:r w:rsidRPr="00FE7878">
        <w:rPr>
          <w:rFonts w:ascii="Arial" w:hAnsi="Arial" w:cs="Arial"/>
          <w:sz w:val="18"/>
          <w:szCs w:val="18"/>
        </w:rPr>
        <w:t xml:space="preserve">. </w:t>
      </w:r>
    </w:p>
  </w:footnote>
  <w:footnote w:id="7">
    <w:p w14:paraId="59AC2A2F" w14:textId="6DF9DC5C" w:rsidR="0087746B" w:rsidRPr="00FE7878"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The trust estate’s net </w:t>
      </w:r>
      <w:r w:rsidR="00FC2B1C">
        <w:rPr>
          <w:rFonts w:ascii="Arial" w:hAnsi="Arial" w:cs="Arial"/>
          <w:sz w:val="18"/>
          <w:szCs w:val="18"/>
        </w:rPr>
        <w:t xml:space="preserve">(taxable) </w:t>
      </w:r>
      <w:r w:rsidRPr="00FE7878">
        <w:rPr>
          <w:rFonts w:ascii="Arial" w:hAnsi="Arial" w:cs="Arial"/>
          <w:sz w:val="18"/>
          <w:szCs w:val="18"/>
        </w:rPr>
        <w:t>income after excluding franked dividends and capital gains is known for the purpose</w:t>
      </w:r>
      <w:r w:rsidR="00B33EEC">
        <w:rPr>
          <w:rFonts w:ascii="Arial" w:hAnsi="Arial" w:cs="Arial"/>
          <w:sz w:val="18"/>
          <w:szCs w:val="18"/>
        </w:rPr>
        <w:t>s</w:t>
      </w:r>
      <w:r w:rsidRPr="00FE7878">
        <w:rPr>
          <w:rFonts w:ascii="Arial" w:hAnsi="Arial" w:cs="Arial"/>
          <w:sz w:val="18"/>
          <w:szCs w:val="18"/>
        </w:rPr>
        <w:t xml:space="preserve"> of the </w:t>
      </w:r>
      <w:r w:rsidR="00434779" w:rsidRPr="00434779">
        <w:rPr>
          <w:rFonts w:ascii="Arial" w:hAnsi="Arial" w:cs="Arial"/>
          <w:i/>
          <w:sz w:val="18"/>
          <w:szCs w:val="18"/>
        </w:rPr>
        <w:t>ITAA 1936</w:t>
      </w:r>
      <w:r w:rsidRPr="00FE7878">
        <w:rPr>
          <w:rFonts w:ascii="Arial" w:hAnsi="Arial" w:cs="Arial"/>
          <w:sz w:val="18"/>
          <w:szCs w:val="18"/>
        </w:rPr>
        <w:t xml:space="preserve"> as </w:t>
      </w:r>
      <w:r w:rsidR="00B33EEC">
        <w:rPr>
          <w:rFonts w:ascii="Arial" w:hAnsi="Arial" w:cs="Arial"/>
          <w:sz w:val="18"/>
          <w:szCs w:val="18"/>
        </w:rPr>
        <w:t>‘</w:t>
      </w:r>
      <w:r w:rsidRPr="00FE7878">
        <w:rPr>
          <w:rFonts w:ascii="Arial" w:hAnsi="Arial" w:cs="Arial"/>
          <w:sz w:val="18"/>
          <w:szCs w:val="18"/>
        </w:rPr>
        <w:t>the Division 6E net income</w:t>
      </w:r>
      <w:r w:rsidR="00B33EEC">
        <w:rPr>
          <w:rFonts w:ascii="Arial" w:hAnsi="Arial" w:cs="Arial"/>
          <w:sz w:val="18"/>
          <w:szCs w:val="18"/>
        </w:rPr>
        <w:t>’</w:t>
      </w:r>
      <w:r w:rsidRPr="00FE7878">
        <w:rPr>
          <w:rFonts w:ascii="Arial" w:hAnsi="Arial" w:cs="Arial"/>
          <w:sz w:val="18"/>
          <w:szCs w:val="18"/>
        </w:rPr>
        <w:t>.</w:t>
      </w:r>
    </w:p>
  </w:footnote>
  <w:footnote w:id="8">
    <w:p w14:paraId="3CDB3C45" w14:textId="55F3A5B3" w:rsidR="0087746B" w:rsidRPr="008A18FF" w:rsidRDefault="0087746B" w:rsidP="0087746B">
      <w:pPr>
        <w:pStyle w:val="FootnoteText"/>
        <w:rPr>
          <w:sz w:val="18"/>
          <w:szCs w:val="18"/>
        </w:rPr>
      </w:pPr>
      <w:r w:rsidRPr="00FE7878">
        <w:rPr>
          <w:rStyle w:val="FootnoteReference"/>
          <w:rFonts w:ascii="Arial" w:hAnsi="Arial" w:cs="Arial"/>
          <w:sz w:val="18"/>
          <w:szCs w:val="18"/>
        </w:rPr>
        <w:footnoteRef/>
      </w:r>
      <w:r w:rsidRPr="00FE7878">
        <w:rPr>
          <w:rFonts w:ascii="Arial" w:hAnsi="Arial" w:cs="Arial"/>
          <w:sz w:val="18"/>
          <w:szCs w:val="18"/>
        </w:rPr>
        <w:t xml:space="preserve"> </w:t>
      </w:r>
      <w:r w:rsidR="00B33EEC">
        <w:rPr>
          <w:rFonts w:ascii="Arial" w:hAnsi="Arial" w:cs="Arial"/>
          <w:sz w:val="18"/>
          <w:szCs w:val="18"/>
        </w:rPr>
        <w:t>In these circumstances t</w:t>
      </w:r>
      <w:r w:rsidRPr="00FE7878">
        <w:rPr>
          <w:rFonts w:ascii="Arial" w:hAnsi="Arial" w:cs="Arial"/>
          <w:sz w:val="18"/>
          <w:szCs w:val="18"/>
        </w:rPr>
        <w:t xml:space="preserve">he </w:t>
      </w:r>
      <w:r w:rsidR="00434779" w:rsidRPr="00434779">
        <w:rPr>
          <w:rFonts w:ascii="Arial" w:hAnsi="Arial" w:cs="Arial"/>
          <w:i/>
          <w:iCs/>
          <w:sz w:val="18"/>
          <w:szCs w:val="18"/>
        </w:rPr>
        <w:t>ITAA 1936</w:t>
      </w:r>
      <w:r w:rsidRPr="00FE7878">
        <w:rPr>
          <w:rFonts w:ascii="Arial" w:hAnsi="Arial" w:cs="Arial"/>
          <w:sz w:val="18"/>
          <w:szCs w:val="18"/>
        </w:rPr>
        <w:t xml:space="preserve"> will deem the income and the net income of the trust to be the Division 6E income</w:t>
      </w:r>
      <w:r w:rsidR="00FE7878">
        <w:rPr>
          <w:rFonts w:ascii="Arial" w:hAnsi="Arial" w:cs="Arial"/>
          <w:sz w:val="18"/>
          <w:szCs w:val="18"/>
        </w:rPr>
        <w:t xml:space="preserve"> and the Division 6E net income </w:t>
      </w:r>
      <w:r w:rsidRPr="00FE7878">
        <w:rPr>
          <w:rFonts w:ascii="Arial" w:hAnsi="Arial" w:cs="Arial"/>
          <w:sz w:val="18"/>
          <w:szCs w:val="18"/>
        </w:rPr>
        <w:t>for the purpose of applying Division 6</w:t>
      </w:r>
      <w:r w:rsidR="00FE7878">
        <w:rPr>
          <w:rFonts w:ascii="Arial" w:hAnsi="Arial" w:cs="Arial"/>
          <w:sz w:val="18"/>
          <w:szCs w:val="18"/>
        </w:rPr>
        <w:t xml:space="preserve"> in</w:t>
      </w:r>
      <w:r w:rsidRPr="00FE7878">
        <w:rPr>
          <w:rFonts w:ascii="Arial" w:hAnsi="Arial" w:cs="Arial"/>
          <w:sz w:val="18"/>
          <w:szCs w:val="18"/>
        </w:rPr>
        <w:t xml:space="preserve"> assess</w:t>
      </w:r>
      <w:r w:rsidR="00FE7878">
        <w:rPr>
          <w:rFonts w:ascii="Arial" w:hAnsi="Arial" w:cs="Arial"/>
          <w:sz w:val="18"/>
          <w:szCs w:val="18"/>
        </w:rPr>
        <w:t xml:space="preserve">ing </w:t>
      </w:r>
      <w:r w:rsidRPr="00FE7878">
        <w:rPr>
          <w:rFonts w:ascii="Arial" w:hAnsi="Arial" w:cs="Arial"/>
          <w:sz w:val="18"/>
          <w:szCs w:val="18"/>
        </w:rPr>
        <w:t xml:space="preserve">the net income </w:t>
      </w:r>
      <w:r w:rsidR="00FE7878">
        <w:rPr>
          <w:rFonts w:ascii="Arial" w:hAnsi="Arial" w:cs="Arial"/>
          <w:sz w:val="18"/>
          <w:szCs w:val="18"/>
        </w:rPr>
        <w:t xml:space="preserve">of a trust </w:t>
      </w:r>
      <w:r w:rsidRPr="00FE7878">
        <w:rPr>
          <w:rFonts w:ascii="Arial" w:hAnsi="Arial" w:cs="Arial"/>
          <w:sz w:val="18"/>
          <w:szCs w:val="18"/>
        </w:rPr>
        <w:t xml:space="preserve">(excluding </w:t>
      </w:r>
      <w:r w:rsidR="00FE7878">
        <w:rPr>
          <w:rFonts w:ascii="Arial" w:hAnsi="Arial" w:cs="Arial"/>
          <w:sz w:val="18"/>
          <w:szCs w:val="18"/>
        </w:rPr>
        <w:t xml:space="preserve">streamed </w:t>
      </w:r>
      <w:r w:rsidRPr="00FE7878">
        <w:rPr>
          <w:rFonts w:ascii="Arial" w:hAnsi="Arial" w:cs="Arial"/>
          <w:sz w:val="18"/>
          <w:szCs w:val="18"/>
        </w:rPr>
        <w:t xml:space="preserve">capital gains </w:t>
      </w:r>
      <w:r w:rsidR="00FE7878">
        <w:rPr>
          <w:rFonts w:ascii="Arial" w:hAnsi="Arial" w:cs="Arial"/>
          <w:sz w:val="18"/>
          <w:szCs w:val="18"/>
        </w:rPr>
        <w:t>and f</w:t>
      </w:r>
      <w:r w:rsidRPr="00FE7878">
        <w:rPr>
          <w:rFonts w:ascii="Arial" w:hAnsi="Arial" w:cs="Arial"/>
          <w:sz w:val="18"/>
          <w:szCs w:val="18"/>
        </w:rPr>
        <w:t>ranked di</w:t>
      </w:r>
      <w:r w:rsidR="00FE7878">
        <w:rPr>
          <w:rFonts w:ascii="Arial" w:hAnsi="Arial" w:cs="Arial"/>
          <w:sz w:val="18"/>
          <w:szCs w:val="18"/>
        </w:rPr>
        <w:t>vidends</w:t>
      </w:r>
      <w:r w:rsidRPr="00FE7878">
        <w:rPr>
          <w:rFonts w:ascii="Arial" w:hAnsi="Arial" w:cs="Arial"/>
          <w:sz w:val="18"/>
          <w:szCs w:val="18"/>
        </w:rPr>
        <w:t>) to beneficiaries.</w:t>
      </w:r>
    </w:p>
  </w:footnote>
  <w:footnote w:id="9">
    <w:p w14:paraId="41A3EBD2" w14:textId="79788964" w:rsidR="0087746B" w:rsidRDefault="0087746B" w:rsidP="0087746B">
      <w:pPr>
        <w:pStyle w:val="FootnoteText"/>
      </w:pPr>
      <w:r>
        <w:rPr>
          <w:rStyle w:val="FootnoteReference"/>
        </w:rPr>
        <w:footnoteRef/>
      </w:r>
      <w:r>
        <w:t xml:space="preserve"> </w:t>
      </w:r>
      <w:r w:rsidRPr="000D67D0">
        <w:rPr>
          <w:rFonts w:ascii="Arial" w:hAnsi="Arial" w:cs="Arial"/>
          <w:sz w:val="18"/>
          <w:szCs w:val="18"/>
        </w:rPr>
        <w:t>These notional amounts would otherwise increase or decrease</w:t>
      </w:r>
      <w:r>
        <w:rPr>
          <w:rFonts w:ascii="Arial" w:hAnsi="Arial" w:cs="Arial"/>
          <w:sz w:val="18"/>
          <w:szCs w:val="18"/>
        </w:rPr>
        <w:t xml:space="preserve"> the calculation of trust</w:t>
      </w:r>
      <w:r w:rsidRPr="000D67D0">
        <w:rPr>
          <w:rFonts w:ascii="Arial" w:hAnsi="Arial" w:cs="Arial"/>
          <w:sz w:val="18"/>
          <w:szCs w:val="18"/>
        </w:rPr>
        <w:t xml:space="preserve"> income</w:t>
      </w:r>
      <w:r w:rsidR="00B33EE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E5F"/>
    <w:multiLevelType w:val="hybridMultilevel"/>
    <w:tmpl w:val="A122FF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464DF"/>
    <w:multiLevelType w:val="hybridMultilevel"/>
    <w:tmpl w:val="8A6004BE"/>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CBE"/>
    <w:multiLevelType w:val="hybridMultilevel"/>
    <w:tmpl w:val="44468B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A45878"/>
    <w:multiLevelType w:val="hybridMultilevel"/>
    <w:tmpl w:val="84D0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11FB"/>
    <w:multiLevelType w:val="hybridMultilevel"/>
    <w:tmpl w:val="D69E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858BA"/>
    <w:multiLevelType w:val="hybridMultilevel"/>
    <w:tmpl w:val="27C0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006519"/>
    <w:multiLevelType w:val="hybridMultilevel"/>
    <w:tmpl w:val="9014E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AF388E"/>
    <w:multiLevelType w:val="hybridMultilevel"/>
    <w:tmpl w:val="98BA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18244C"/>
    <w:multiLevelType w:val="hybridMultilevel"/>
    <w:tmpl w:val="67EA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B3902"/>
    <w:multiLevelType w:val="hybridMultilevel"/>
    <w:tmpl w:val="9CA4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94751D"/>
    <w:multiLevelType w:val="hybridMultilevel"/>
    <w:tmpl w:val="422016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F44A23"/>
    <w:multiLevelType w:val="hybridMultilevel"/>
    <w:tmpl w:val="D7EE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422970"/>
    <w:multiLevelType w:val="hybridMultilevel"/>
    <w:tmpl w:val="CD9A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3276811">
    <w:abstractNumId w:val="10"/>
  </w:num>
  <w:num w:numId="2" w16cid:durableId="1325863581">
    <w:abstractNumId w:val="5"/>
  </w:num>
  <w:num w:numId="3" w16cid:durableId="1230000380">
    <w:abstractNumId w:val="1"/>
  </w:num>
  <w:num w:numId="4" w16cid:durableId="1154640954">
    <w:abstractNumId w:val="0"/>
  </w:num>
  <w:num w:numId="5" w16cid:durableId="354580151">
    <w:abstractNumId w:val="8"/>
  </w:num>
  <w:num w:numId="6" w16cid:durableId="989674614">
    <w:abstractNumId w:val="6"/>
  </w:num>
  <w:num w:numId="7" w16cid:durableId="2071923982">
    <w:abstractNumId w:val="2"/>
  </w:num>
  <w:num w:numId="8" w16cid:durableId="856431530">
    <w:abstractNumId w:val="12"/>
  </w:num>
  <w:num w:numId="9" w16cid:durableId="403379345">
    <w:abstractNumId w:val="9"/>
  </w:num>
  <w:num w:numId="10" w16cid:durableId="1047796103">
    <w:abstractNumId w:val="11"/>
  </w:num>
  <w:num w:numId="11" w16cid:durableId="1354726963">
    <w:abstractNumId w:val="4"/>
  </w:num>
  <w:num w:numId="12" w16cid:durableId="858198480">
    <w:abstractNumId w:val="3"/>
  </w:num>
  <w:num w:numId="13" w16cid:durableId="57477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6B"/>
    <w:rsid w:val="00000889"/>
    <w:rsid w:val="00012F47"/>
    <w:rsid w:val="00012F9A"/>
    <w:rsid w:val="00042AA6"/>
    <w:rsid w:val="00043907"/>
    <w:rsid w:val="00045E42"/>
    <w:rsid w:val="0005091A"/>
    <w:rsid w:val="00054A0A"/>
    <w:rsid w:val="00066B66"/>
    <w:rsid w:val="00085360"/>
    <w:rsid w:val="00097CC1"/>
    <w:rsid w:val="000A537E"/>
    <w:rsid w:val="000B5709"/>
    <w:rsid w:val="000C14AC"/>
    <w:rsid w:val="000C790C"/>
    <w:rsid w:val="000D1516"/>
    <w:rsid w:val="000D5882"/>
    <w:rsid w:val="000D7D5E"/>
    <w:rsid w:val="000E63D1"/>
    <w:rsid w:val="000F5662"/>
    <w:rsid w:val="001162DC"/>
    <w:rsid w:val="00136246"/>
    <w:rsid w:val="001463A9"/>
    <w:rsid w:val="00146826"/>
    <w:rsid w:val="00147B88"/>
    <w:rsid w:val="00150E12"/>
    <w:rsid w:val="00154A2F"/>
    <w:rsid w:val="00154E13"/>
    <w:rsid w:val="00156F0A"/>
    <w:rsid w:val="00171161"/>
    <w:rsid w:val="00190834"/>
    <w:rsid w:val="001D3662"/>
    <w:rsid w:val="001E0CDE"/>
    <w:rsid w:val="001F1CAA"/>
    <w:rsid w:val="00220A8E"/>
    <w:rsid w:val="00224E3E"/>
    <w:rsid w:val="002313C6"/>
    <w:rsid w:val="002516FC"/>
    <w:rsid w:val="00254F8C"/>
    <w:rsid w:val="00265FA3"/>
    <w:rsid w:val="00295193"/>
    <w:rsid w:val="002A302F"/>
    <w:rsid w:val="002D6AC0"/>
    <w:rsid w:val="00310288"/>
    <w:rsid w:val="003143AE"/>
    <w:rsid w:val="0039001B"/>
    <w:rsid w:val="003911E2"/>
    <w:rsid w:val="00391641"/>
    <w:rsid w:val="003A46BA"/>
    <w:rsid w:val="003B165F"/>
    <w:rsid w:val="003C710F"/>
    <w:rsid w:val="003C7BA0"/>
    <w:rsid w:val="003D04CF"/>
    <w:rsid w:val="003D1CE7"/>
    <w:rsid w:val="003D3A97"/>
    <w:rsid w:val="003D72EF"/>
    <w:rsid w:val="003E0C4C"/>
    <w:rsid w:val="003E39E1"/>
    <w:rsid w:val="00400481"/>
    <w:rsid w:val="00413672"/>
    <w:rsid w:val="0041734B"/>
    <w:rsid w:val="00434779"/>
    <w:rsid w:val="00441CAA"/>
    <w:rsid w:val="00466CFF"/>
    <w:rsid w:val="00491C44"/>
    <w:rsid w:val="00496D46"/>
    <w:rsid w:val="004B23FA"/>
    <w:rsid w:val="004E14D7"/>
    <w:rsid w:val="004F06B1"/>
    <w:rsid w:val="004F7737"/>
    <w:rsid w:val="00512325"/>
    <w:rsid w:val="00513198"/>
    <w:rsid w:val="00527FD6"/>
    <w:rsid w:val="005358F0"/>
    <w:rsid w:val="005636BF"/>
    <w:rsid w:val="00566C9F"/>
    <w:rsid w:val="00582CCE"/>
    <w:rsid w:val="005839BC"/>
    <w:rsid w:val="005A16DE"/>
    <w:rsid w:val="005A2DE1"/>
    <w:rsid w:val="005A64EB"/>
    <w:rsid w:val="005B21CF"/>
    <w:rsid w:val="005B306E"/>
    <w:rsid w:val="005B6D40"/>
    <w:rsid w:val="005C287C"/>
    <w:rsid w:val="005E0EEC"/>
    <w:rsid w:val="005F4EC6"/>
    <w:rsid w:val="005F6F62"/>
    <w:rsid w:val="00611A24"/>
    <w:rsid w:val="006416F6"/>
    <w:rsid w:val="006441BA"/>
    <w:rsid w:val="006467FC"/>
    <w:rsid w:val="00650938"/>
    <w:rsid w:val="006704CE"/>
    <w:rsid w:val="00671267"/>
    <w:rsid w:val="00694536"/>
    <w:rsid w:val="00694793"/>
    <w:rsid w:val="006B0B68"/>
    <w:rsid w:val="006B1BAD"/>
    <w:rsid w:val="006B5E50"/>
    <w:rsid w:val="006C1DF8"/>
    <w:rsid w:val="006C4AC6"/>
    <w:rsid w:val="006C70C7"/>
    <w:rsid w:val="006C7FC8"/>
    <w:rsid w:val="006D239C"/>
    <w:rsid w:val="006D4D91"/>
    <w:rsid w:val="006D674E"/>
    <w:rsid w:val="006E08CC"/>
    <w:rsid w:val="006E2014"/>
    <w:rsid w:val="006E5311"/>
    <w:rsid w:val="006F061A"/>
    <w:rsid w:val="00723649"/>
    <w:rsid w:val="007332B2"/>
    <w:rsid w:val="00737E66"/>
    <w:rsid w:val="00745247"/>
    <w:rsid w:val="00746973"/>
    <w:rsid w:val="00751175"/>
    <w:rsid w:val="00763716"/>
    <w:rsid w:val="0077438C"/>
    <w:rsid w:val="007806E0"/>
    <w:rsid w:val="007909DA"/>
    <w:rsid w:val="00792691"/>
    <w:rsid w:val="00792828"/>
    <w:rsid w:val="007A5D4E"/>
    <w:rsid w:val="007D18D9"/>
    <w:rsid w:val="007E1E73"/>
    <w:rsid w:val="00803FDD"/>
    <w:rsid w:val="00813A0B"/>
    <w:rsid w:val="008262E6"/>
    <w:rsid w:val="00826336"/>
    <w:rsid w:val="0085306E"/>
    <w:rsid w:val="00861D7C"/>
    <w:rsid w:val="0087746B"/>
    <w:rsid w:val="00893B35"/>
    <w:rsid w:val="008A0B98"/>
    <w:rsid w:val="008B310E"/>
    <w:rsid w:val="008B715C"/>
    <w:rsid w:val="00912B17"/>
    <w:rsid w:val="00915389"/>
    <w:rsid w:val="00925C6B"/>
    <w:rsid w:val="00927C30"/>
    <w:rsid w:val="0094131B"/>
    <w:rsid w:val="00951E98"/>
    <w:rsid w:val="00962465"/>
    <w:rsid w:val="00963962"/>
    <w:rsid w:val="00970A94"/>
    <w:rsid w:val="00972B74"/>
    <w:rsid w:val="009812C1"/>
    <w:rsid w:val="0098573E"/>
    <w:rsid w:val="009928E7"/>
    <w:rsid w:val="009D14D4"/>
    <w:rsid w:val="009E7F50"/>
    <w:rsid w:val="009F232C"/>
    <w:rsid w:val="009F4C70"/>
    <w:rsid w:val="009F5BEF"/>
    <w:rsid w:val="00A10AB8"/>
    <w:rsid w:val="00A21F49"/>
    <w:rsid w:val="00A276C0"/>
    <w:rsid w:val="00A337BC"/>
    <w:rsid w:val="00A374AA"/>
    <w:rsid w:val="00A52E72"/>
    <w:rsid w:val="00A65543"/>
    <w:rsid w:val="00A71697"/>
    <w:rsid w:val="00A80A68"/>
    <w:rsid w:val="00A83601"/>
    <w:rsid w:val="00A923AB"/>
    <w:rsid w:val="00A959F5"/>
    <w:rsid w:val="00AA136F"/>
    <w:rsid w:val="00AA2879"/>
    <w:rsid w:val="00AB0D01"/>
    <w:rsid w:val="00AC32E4"/>
    <w:rsid w:val="00AD0FA8"/>
    <w:rsid w:val="00AD74D3"/>
    <w:rsid w:val="00AE18C9"/>
    <w:rsid w:val="00AE1C11"/>
    <w:rsid w:val="00AF05E5"/>
    <w:rsid w:val="00AF1C8C"/>
    <w:rsid w:val="00B046F3"/>
    <w:rsid w:val="00B2195E"/>
    <w:rsid w:val="00B24DF5"/>
    <w:rsid w:val="00B26B68"/>
    <w:rsid w:val="00B33EEC"/>
    <w:rsid w:val="00B5363E"/>
    <w:rsid w:val="00B543F2"/>
    <w:rsid w:val="00B56D89"/>
    <w:rsid w:val="00B83DF7"/>
    <w:rsid w:val="00B9432B"/>
    <w:rsid w:val="00BA02F7"/>
    <w:rsid w:val="00BA296F"/>
    <w:rsid w:val="00BB3419"/>
    <w:rsid w:val="00BC6FD2"/>
    <w:rsid w:val="00BD2947"/>
    <w:rsid w:val="00BE0FE7"/>
    <w:rsid w:val="00BE2F1E"/>
    <w:rsid w:val="00BF0C52"/>
    <w:rsid w:val="00C04571"/>
    <w:rsid w:val="00C04EF9"/>
    <w:rsid w:val="00C061C6"/>
    <w:rsid w:val="00C20478"/>
    <w:rsid w:val="00C333C3"/>
    <w:rsid w:val="00C4555E"/>
    <w:rsid w:val="00C54AE2"/>
    <w:rsid w:val="00C71768"/>
    <w:rsid w:val="00C81B82"/>
    <w:rsid w:val="00C82FB0"/>
    <w:rsid w:val="00C849F6"/>
    <w:rsid w:val="00C86233"/>
    <w:rsid w:val="00C94BFE"/>
    <w:rsid w:val="00C97E74"/>
    <w:rsid w:val="00C97F5E"/>
    <w:rsid w:val="00CA04A4"/>
    <w:rsid w:val="00CB32AD"/>
    <w:rsid w:val="00CC1619"/>
    <w:rsid w:val="00CC2DC1"/>
    <w:rsid w:val="00CD2BCB"/>
    <w:rsid w:val="00CE2650"/>
    <w:rsid w:val="00CF5AB3"/>
    <w:rsid w:val="00CF785C"/>
    <w:rsid w:val="00D0327E"/>
    <w:rsid w:val="00D1029B"/>
    <w:rsid w:val="00D11067"/>
    <w:rsid w:val="00D12200"/>
    <w:rsid w:val="00D16570"/>
    <w:rsid w:val="00D2014A"/>
    <w:rsid w:val="00D22BD6"/>
    <w:rsid w:val="00D22FB2"/>
    <w:rsid w:val="00D235D8"/>
    <w:rsid w:val="00D24B30"/>
    <w:rsid w:val="00D54169"/>
    <w:rsid w:val="00D605FF"/>
    <w:rsid w:val="00D65AE5"/>
    <w:rsid w:val="00D67047"/>
    <w:rsid w:val="00D9398F"/>
    <w:rsid w:val="00D9715E"/>
    <w:rsid w:val="00D97D2A"/>
    <w:rsid w:val="00DA649E"/>
    <w:rsid w:val="00DB35EC"/>
    <w:rsid w:val="00DD487F"/>
    <w:rsid w:val="00DD692F"/>
    <w:rsid w:val="00DE6F80"/>
    <w:rsid w:val="00DF1FDB"/>
    <w:rsid w:val="00E3057F"/>
    <w:rsid w:val="00E324A1"/>
    <w:rsid w:val="00E506BB"/>
    <w:rsid w:val="00E6074A"/>
    <w:rsid w:val="00E74A66"/>
    <w:rsid w:val="00E80768"/>
    <w:rsid w:val="00E80C42"/>
    <w:rsid w:val="00E8586A"/>
    <w:rsid w:val="00EA5C26"/>
    <w:rsid w:val="00EA6BEA"/>
    <w:rsid w:val="00EB1E7E"/>
    <w:rsid w:val="00EB211F"/>
    <w:rsid w:val="00EC73DF"/>
    <w:rsid w:val="00ED48BB"/>
    <w:rsid w:val="00ED5D8A"/>
    <w:rsid w:val="00EE73D2"/>
    <w:rsid w:val="00F07FEF"/>
    <w:rsid w:val="00F26972"/>
    <w:rsid w:val="00F3631E"/>
    <w:rsid w:val="00F46B53"/>
    <w:rsid w:val="00F82E99"/>
    <w:rsid w:val="00F835D2"/>
    <w:rsid w:val="00FC2B1C"/>
    <w:rsid w:val="00FC69B7"/>
    <w:rsid w:val="00FC7E0D"/>
    <w:rsid w:val="00FE7878"/>
    <w:rsid w:val="00FF1A8E"/>
    <w:rsid w:val="00FF31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6FDE7"/>
  <w15:docId w15:val="{93E67172-DAA6-4636-9BEF-318AB09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7746B"/>
    <w:pPr>
      <w:ind w:left="720"/>
      <w:contextualSpacing/>
    </w:pPr>
  </w:style>
  <w:style w:type="paragraph" w:styleId="FootnoteText">
    <w:name w:val="footnote text"/>
    <w:basedOn w:val="Normal"/>
    <w:link w:val="FootnoteTextChar"/>
    <w:semiHidden/>
    <w:rsid w:val="0087746B"/>
    <w:pPr>
      <w:spacing w:after="0" w:line="240" w:lineRule="auto"/>
    </w:pPr>
    <w:rPr>
      <w:sz w:val="20"/>
      <w:szCs w:val="20"/>
    </w:rPr>
  </w:style>
  <w:style w:type="character" w:customStyle="1" w:styleId="FootnoteTextChar">
    <w:name w:val="Footnote Text Char"/>
    <w:basedOn w:val="DefaultParagraphFont"/>
    <w:link w:val="FootnoteText"/>
    <w:semiHidden/>
    <w:rsid w:val="0087746B"/>
    <w:rPr>
      <w:rFonts w:ascii="Times New Roman" w:eastAsia="Times New Roman" w:hAnsi="Times New Roman" w:cs="Times New Roman"/>
      <w:sz w:val="20"/>
      <w:szCs w:val="20"/>
    </w:rPr>
  </w:style>
  <w:style w:type="character" w:styleId="FootnoteReference">
    <w:name w:val="footnote reference"/>
    <w:semiHidden/>
    <w:rsid w:val="0087746B"/>
    <w:rPr>
      <w:rFonts w:cs="Times New Roman"/>
      <w:vertAlign w:val="superscript"/>
    </w:rPr>
  </w:style>
  <w:style w:type="character" w:styleId="Hyperlink">
    <w:name w:val="Hyperlink"/>
    <w:rsid w:val="0087746B"/>
    <w:rPr>
      <w:rFonts w:cs="Times New Roman"/>
      <w:color w:val="0000FF"/>
      <w:u w:val="single"/>
    </w:rPr>
  </w:style>
  <w:style w:type="paragraph" w:styleId="ListParagraph">
    <w:name w:val="List Paragraph"/>
    <w:basedOn w:val="Normal"/>
    <w:uiPriority w:val="34"/>
    <w:qFormat/>
    <w:rsid w:val="0087746B"/>
    <w:pPr>
      <w:ind w:left="720"/>
      <w:contextualSpacing/>
    </w:pPr>
  </w:style>
  <w:style w:type="paragraph" w:styleId="BalloonText">
    <w:name w:val="Balloon Text"/>
    <w:basedOn w:val="Normal"/>
    <w:link w:val="BalloonTextChar"/>
    <w:uiPriority w:val="99"/>
    <w:semiHidden/>
    <w:unhideWhenUsed/>
    <w:rsid w:val="002A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2F"/>
    <w:rPr>
      <w:rFonts w:ascii="Tahoma" w:eastAsia="Times New Roman" w:hAnsi="Tahoma" w:cs="Tahoma"/>
      <w:sz w:val="16"/>
      <w:szCs w:val="16"/>
    </w:rPr>
  </w:style>
  <w:style w:type="paragraph" w:styleId="Header">
    <w:name w:val="header"/>
    <w:basedOn w:val="Normal"/>
    <w:link w:val="HeaderChar"/>
    <w:uiPriority w:val="99"/>
    <w:unhideWhenUsed/>
    <w:rsid w:val="00C8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82"/>
    <w:rPr>
      <w:rFonts w:ascii="Times New Roman" w:eastAsia="Times New Roman" w:hAnsi="Times New Roman" w:cs="Times New Roman"/>
    </w:rPr>
  </w:style>
  <w:style w:type="paragraph" w:styleId="Footer">
    <w:name w:val="footer"/>
    <w:basedOn w:val="Normal"/>
    <w:link w:val="FooterChar"/>
    <w:uiPriority w:val="99"/>
    <w:unhideWhenUsed/>
    <w:rsid w:val="00C8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8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2650"/>
    <w:rPr>
      <w:color w:val="605E5C"/>
      <w:shd w:val="clear" w:color="auto" w:fill="E1DFDD"/>
    </w:rPr>
  </w:style>
  <w:style w:type="character" w:styleId="FollowedHyperlink">
    <w:name w:val="FollowedHyperlink"/>
    <w:basedOn w:val="DefaultParagraphFont"/>
    <w:uiPriority w:val="99"/>
    <w:semiHidden/>
    <w:unhideWhenUsed/>
    <w:rsid w:val="00CE2650"/>
    <w:rPr>
      <w:color w:val="800080" w:themeColor="followedHyperlink"/>
      <w:u w:val="single"/>
    </w:rPr>
  </w:style>
  <w:style w:type="character" w:styleId="CommentReference">
    <w:name w:val="annotation reference"/>
    <w:basedOn w:val="DefaultParagraphFont"/>
    <w:uiPriority w:val="99"/>
    <w:semiHidden/>
    <w:unhideWhenUsed/>
    <w:rsid w:val="00DF1FDB"/>
    <w:rPr>
      <w:sz w:val="16"/>
      <w:szCs w:val="16"/>
    </w:rPr>
  </w:style>
  <w:style w:type="paragraph" w:styleId="CommentText">
    <w:name w:val="annotation text"/>
    <w:basedOn w:val="Normal"/>
    <w:link w:val="CommentTextChar"/>
    <w:uiPriority w:val="99"/>
    <w:unhideWhenUsed/>
    <w:rsid w:val="00DF1FDB"/>
    <w:pPr>
      <w:spacing w:line="240" w:lineRule="auto"/>
    </w:pPr>
    <w:rPr>
      <w:sz w:val="20"/>
      <w:szCs w:val="20"/>
    </w:rPr>
  </w:style>
  <w:style w:type="character" w:customStyle="1" w:styleId="CommentTextChar">
    <w:name w:val="Comment Text Char"/>
    <w:basedOn w:val="DefaultParagraphFont"/>
    <w:link w:val="CommentText"/>
    <w:uiPriority w:val="99"/>
    <w:rsid w:val="00DF1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FDB"/>
    <w:rPr>
      <w:b/>
      <w:bCs/>
    </w:rPr>
  </w:style>
  <w:style w:type="character" w:customStyle="1" w:styleId="CommentSubjectChar">
    <w:name w:val="Comment Subject Char"/>
    <w:basedOn w:val="CommentTextChar"/>
    <w:link w:val="CommentSubject"/>
    <w:uiPriority w:val="99"/>
    <w:semiHidden/>
    <w:rsid w:val="00DF1FDB"/>
    <w:rPr>
      <w:rFonts w:ascii="Times New Roman" w:eastAsia="Times New Roman" w:hAnsi="Times New Roman" w:cs="Times New Roman"/>
      <w:b/>
      <w:bCs/>
      <w:sz w:val="20"/>
      <w:szCs w:val="20"/>
    </w:rPr>
  </w:style>
  <w:style w:type="paragraph" w:styleId="Revision">
    <w:name w:val="Revision"/>
    <w:hidden/>
    <w:uiPriority w:val="99"/>
    <w:semiHidden/>
    <w:rsid w:val="00DF1FDB"/>
    <w:pPr>
      <w:spacing w:after="0" w:line="240" w:lineRule="auto"/>
    </w:pPr>
    <w:rPr>
      <w:rFonts w:ascii="Times New Roman" w:eastAsia="Times New Roman" w:hAnsi="Times New Roman" w:cs="Times New Roman"/>
    </w:rPr>
  </w:style>
  <w:style w:type="paragraph" w:customStyle="1" w:styleId="Table">
    <w:name w:val="_Table"/>
    <w:basedOn w:val="Normal"/>
    <w:qFormat/>
    <w:rsid w:val="006C1DF8"/>
    <w:pPr>
      <w:spacing w:before="60" w:after="60" w:line="240" w:lineRule="auto"/>
    </w:pPr>
    <w:rPr>
      <w:rFonts w:ascii="Arial" w:eastAsia="MS Gothic" w:hAnsi="Arial"/>
      <w:sz w:val="17"/>
      <w:szCs w:val="17"/>
    </w:rPr>
  </w:style>
  <w:style w:type="character" w:styleId="UnresolvedMention">
    <w:name w:val="Unresolved Mention"/>
    <w:basedOn w:val="DefaultParagraphFont"/>
    <w:uiPriority w:val="99"/>
    <w:semiHidden/>
    <w:unhideWhenUsed/>
    <w:rsid w:val="00C0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1274">
      <w:bodyDiv w:val="1"/>
      <w:marLeft w:val="0"/>
      <w:marRight w:val="0"/>
      <w:marTop w:val="0"/>
      <w:marBottom w:val="0"/>
      <w:divBdr>
        <w:top w:val="none" w:sz="0" w:space="0" w:color="auto"/>
        <w:left w:val="none" w:sz="0" w:space="0" w:color="auto"/>
        <w:bottom w:val="none" w:sz="0" w:space="0" w:color="auto"/>
        <w:right w:val="none" w:sz="0" w:space="0" w:color="auto"/>
      </w:divBdr>
    </w:div>
    <w:div w:id="16955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law/view/document?DocID=LIT/ICD/S310/20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07F6-7592-4188-8AF7-85BC27C8F401}">
  <ds:schemaRefs>
    <ds:schemaRef ds:uri="http://purl.org/dc/terms/"/>
    <ds:schemaRef ds:uri="http://schemas.microsoft.com/office/2006/documentManagement/types"/>
    <ds:schemaRef ds:uri="149a938d-5178-4880-bee6-c99a533f2b6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302223-c54b-4550-8ee9-092c6b9c08d4"/>
    <ds:schemaRef ds:uri="http://www.w3.org/XML/1998/namespace"/>
    <ds:schemaRef ds:uri="http://purl.org/dc/dcmitype/"/>
  </ds:schemaRefs>
</ds:datastoreItem>
</file>

<file path=customXml/itemProps2.xml><?xml version="1.0" encoding="utf-8"?>
<ds:datastoreItem xmlns:ds="http://schemas.openxmlformats.org/officeDocument/2006/customXml" ds:itemID="{2C4A0995-23E6-454B-ADF9-7A41DED84C74}">
  <ds:schemaRefs>
    <ds:schemaRef ds:uri="http://schemas.microsoft.com/sharepoint/v3/contenttype/forms"/>
  </ds:schemaRefs>
</ds:datastoreItem>
</file>

<file path=customXml/itemProps3.xml><?xml version="1.0" encoding="utf-8"?>
<ds:datastoreItem xmlns:ds="http://schemas.openxmlformats.org/officeDocument/2006/customXml" ds:itemID="{9B3ECE02-9E28-46DB-B546-5B2689141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8F173-E58D-4BAE-9C36-296E410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Taxation of trusts client letter</vt:lpstr>
    </vt:vector>
  </TitlesOfParts>
  <Company>CPA Australia</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trusts client letter</dc:title>
  <dc:creator>Michelle Webb</dc:creator>
  <cp:keywords>ATO, tax law, draft tax rulings, income tax, trusts, Australian Taxation Office, streaming rules, taxation rulings</cp:keywords>
  <cp:lastModifiedBy>Kristen Beadle</cp:lastModifiedBy>
  <cp:revision>3</cp:revision>
  <cp:lastPrinted>2019-06-27T08:46:00Z</cp:lastPrinted>
  <dcterms:created xsi:type="dcterms:W3CDTF">2023-05-02T07:06:00Z</dcterms:created>
  <dcterms:modified xsi:type="dcterms:W3CDTF">2023-05-02T07:09:00Z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