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A468" w14:textId="77777777" w:rsidR="005A349D" w:rsidRPr="00AC7C2C" w:rsidRDefault="005A349D" w:rsidP="00F86219">
      <w:pPr>
        <w:adjustRightInd w:val="0"/>
        <w:snapToGrid w:val="0"/>
        <w:spacing w:line="276" w:lineRule="auto"/>
        <w:rPr>
          <w:rFonts w:cs="Arial"/>
        </w:rPr>
      </w:pPr>
      <w:r w:rsidRPr="00AC7C2C">
        <w:rPr>
          <w:rFonts w:cs="Arial"/>
        </w:rPr>
        <w:t>[</w:t>
      </w:r>
      <w:r w:rsidRPr="00AC7C2C">
        <w:rPr>
          <w:rFonts w:cs="Arial"/>
          <w:highlight w:val="lightGray"/>
        </w:rPr>
        <w:t>Insert DD Month YYYY</w:t>
      </w:r>
      <w:r w:rsidRPr="00AC7C2C">
        <w:rPr>
          <w:rFonts w:cs="Arial"/>
        </w:rPr>
        <w:t>]</w:t>
      </w:r>
    </w:p>
    <w:p w14:paraId="7DBF0BA2" w14:textId="77777777" w:rsidR="005A349D" w:rsidRPr="00AC7C2C" w:rsidRDefault="005A349D" w:rsidP="00F86219">
      <w:pPr>
        <w:adjustRightInd w:val="0"/>
        <w:snapToGrid w:val="0"/>
        <w:spacing w:line="276"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9"/>
      </w:tblGrid>
      <w:tr w:rsidR="005A349D" w:rsidRPr="00AC7C2C" w14:paraId="7C8A0A16" w14:textId="77777777" w:rsidTr="00E57472">
        <w:tc>
          <w:tcPr>
            <w:tcW w:w="9289" w:type="dxa"/>
            <w:tcBorders>
              <w:top w:val="nil"/>
              <w:left w:val="nil"/>
              <w:bottom w:val="nil"/>
              <w:right w:val="nil"/>
            </w:tcBorders>
          </w:tcPr>
          <w:p w14:paraId="252E4E99" w14:textId="77777777" w:rsidR="005A349D" w:rsidRPr="00AC7C2C" w:rsidRDefault="005A349D" w:rsidP="00F86219">
            <w:pPr>
              <w:adjustRightInd w:val="0"/>
              <w:snapToGrid w:val="0"/>
              <w:spacing w:line="276" w:lineRule="auto"/>
              <w:rPr>
                <w:rFonts w:cs="Arial"/>
                <w:b/>
                <w:bCs/>
              </w:rPr>
            </w:pPr>
            <w:bookmarkStart w:id="0" w:name="Confidential"/>
            <w:bookmarkEnd w:id="0"/>
          </w:p>
        </w:tc>
      </w:tr>
    </w:tbl>
    <w:p w14:paraId="56B1EB45" w14:textId="77777777" w:rsidR="005A349D" w:rsidRPr="00AC7C2C" w:rsidRDefault="005A349D" w:rsidP="00F86219">
      <w:pPr>
        <w:adjustRightInd w:val="0"/>
        <w:snapToGrid w:val="0"/>
        <w:spacing w:line="276" w:lineRule="auto"/>
        <w:rPr>
          <w:rFonts w:cs="Arial"/>
        </w:rPr>
      </w:pPr>
      <w:bookmarkStart w:id="1" w:name="Name1"/>
      <w:bookmarkEnd w:id="1"/>
      <w:r w:rsidRPr="00AC7C2C">
        <w:rPr>
          <w:rFonts w:cs="Arial"/>
        </w:rPr>
        <w:t>[</w:t>
      </w:r>
      <w:r w:rsidRPr="00AC7C2C">
        <w:rPr>
          <w:rFonts w:cs="Arial"/>
          <w:highlight w:val="lightGray"/>
        </w:rPr>
        <w:t>Insert Client Name</w:t>
      </w:r>
      <w:r w:rsidRPr="00AC7C2C">
        <w:rPr>
          <w:rFonts w:cs="Arial"/>
        </w:rPr>
        <w:t>]</w:t>
      </w:r>
    </w:p>
    <w:p w14:paraId="029BAAE2" w14:textId="77777777" w:rsidR="005A349D" w:rsidRPr="00AC7C2C" w:rsidRDefault="005A349D" w:rsidP="00F86219">
      <w:pPr>
        <w:adjustRightInd w:val="0"/>
        <w:snapToGrid w:val="0"/>
        <w:spacing w:line="276" w:lineRule="auto"/>
        <w:rPr>
          <w:rFonts w:cs="Arial"/>
        </w:rPr>
      </w:pPr>
      <w:bookmarkStart w:id="2" w:name="Position"/>
      <w:bookmarkEnd w:id="2"/>
      <w:r w:rsidRPr="00AC7C2C">
        <w:rPr>
          <w:rFonts w:cs="Arial"/>
        </w:rPr>
        <w:t>[</w:t>
      </w:r>
      <w:r w:rsidRPr="00AC7C2C">
        <w:rPr>
          <w:rFonts w:cs="Arial"/>
          <w:highlight w:val="lightGray"/>
        </w:rPr>
        <w:t>Insert Client Position]</w:t>
      </w:r>
    </w:p>
    <w:p w14:paraId="28F75A66" w14:textId="77777777" w:rsidR="005A349D" w:rsidRPr="00AC7C2C" w:rsidRDefault="005A349D" w:rsidP="00F86219">
      <w:pPr>
        <w:adjustRightInd w:val="0"/>
        <w:snapToGrid w:val="0"/>
        <w:spacing w:line="276" w:lineRule="auto"/>
        <w:rPr>
          <w:rFonts w:cs="Arial"/>
        </w:rPr>
      </w:pPr>
      <w:bookmarkStart w:id="3" w:name="Company1"/>
      <w:bookmarkEnd w:id="3"/>
      <w:r w:rsidRPr="00AC7C2C">
        <w:rPr>
          <w:rFonts w:cs="Arial"/>
        </w:rPr>
        <w:t>[</w:t>
      </w:r>
      <w:r w:rsidRPr="00AC7C2C">
        <w:rPr>
          <w:rFonts w:cs="Arial"/>
          <w:highlight w:val="lightGray"/>
        </w:rPr>
        <w:t>Insert Company Name</w:t>
      </w:r>
      <w:r w:rsidRPr="00AC7C2C">
        <w:rPr>
          <w:rFonts w:cs="Arial"/>
        </w:rPr>
        <w:t>]</w:t>
      </w:r>
    </w:p>
    <w:p w14:paraId="3453BAAC" w14:textId="77777777" w:rsidR="005A349D" w:rsidRPr="00AC7C2C" w:rsidRDefault="005A349D" w:rsidP="00F86219">
      <w:pPr>
        <w:adjustRightInd w:val="0"/>
        <w:snapToGrid w:val="0"/>
        <w:spacing w:line="276" w:lineRule="auto"/>
        <w:rPr>
          <w:rFonts w:cs="Arial"/>
        </w:rPr>
      </w:pPr>
      <w:bookmarkStart w:id="4" w:name="Address1"/>
      <w:bookmarkEnd w:id="4"/>
      <w:r w:rsidRPr="00AC7C2C">
        <w:rPr>
          <w:rFonts w:cs="Arial"/>
        </w:rPr>
        <w:t>[</w:t>
      </w:r>
      <w:r w:rsidRPr="00AC7C2C">
        <w:rPr>
          <w:rFonts w:cs="Arial"/>
          <w:highlight w:val="lightGray"/>
        </w:rPr>
        <w:t>Insert Company Address</w:t>
      </w:r>
      <w:r w:rsidRPr="00AC7C2C">
        <w:rPr>
          <w:rFonts w:cs="Arial"/>
        </w:rPr>
        <w:t>]</w:t>
      </w:r>
    </w:p>
    <w:p w14:paraId="0B2D2B22" w14:textId="77777777" w:rsidR="005A349D" w:rsidRPr="00AC7C2C" w:rsidRDefault="005A349D" w:rsidP="00F86219">
      <w:pPr>
        <w:adjustRightInd w:val="0"/>
        <w:snapToGrid w:val="0"/>
        <w:spacing w:line="276" w:lineRule="auto"/>
        <w:rPr>
          <w:rFonts w:cs="Arial"/>
        </w:rPr>
      </w:pPr>
      <w:bookmarkStart w:id="5" w:name="Suburb"/>
      <w:bookmarkEnd w:id="5"/>
      <w:r w:rsidRPr="00AC7C2C">
        <w:rPr>
          <w:rFonts w:cs="Arial"/>
        </w:rPr>
        <w:t>[</w:t>
      </w:r>
      <w:r w:rsidRPr="00AC7C2C">
        <w:rPr>
          <w:rFonts w:cs="Arial"/>
          <w:highlight w:val="lightGray"/>
        </w:rPr>
        <w:t xml:space="preserve">Suburb  </w:t>
      </w:r>
      <w:bookmarkStart w:id="6" w:name="State"/>
      <w:bookmarkEnd w:id="6"/>
      <w:r w:rsidRPr="00AC7C2C">
        <w:rPr>
          <w:rFonts w:cs="Arial"/>
          <w:highlight w:val="lightGray"/>
        </w:rPr>
        <w:t xml:space="preserve">State  </w:t>
      </w:r>
      <w:bookmarkStart w:id="7" w:name="PostCode"/>
      <w:bookmarkEnd w:id="7"/>
      <w:r w:rsidRPr="00AC7C2C">
        <w:rPr>
          <w:rFonts w:cs="Arial"/>
          <w:highlight w:val="lightGray"/>
        </w:rPr>
        <w:t>Post Code</w:t>
      </w:r>
      <w:r w:rsidRPr="00AC7C2C">
        <w:rPr>
          <w:rFonts w:cs="Arial"/>
        </w:rPr>
        <w:t>]</w:t>
      </w:r>
    </w:p>
    <w:p w14:paraId="5EDC783D" w14:textId="77777777" w:rsidR="005A349D" w:rsidRPr="00AC7C2C" w:rsidRDefault="005A349D" w:rsidP="00F86219">
      <w:pPr>
        <w:adjustRightInd w:val="0"/>
        <w:snapToGrid w:val="0"/>
        <w:spacing w:line="276" w:lineRule="auto"/>
        <w:rPr>
          <w:rFonts w:cs="Arial"/>
        </w:rPr>
      </w:pPr>
    </w:p>
    <w:p w14:paraId="4AFDA18A" w14:textId="77777777" w:rsidR="005A349D" w:rsidRPr="00AC7C2C" w:rsidRDefault="005A349D" w:rsidP="00F86219">
      <w:pPr>
        <w:adjustRightInd w:val="0"/>
        <w:snapToGrid w:val="0"/>
        <w:spacing w:line="276" w:lineRule="auto"/>
        <w:rPr>
          <w:rFonts w:cs="Arial"/>
          <w:bCs/>
        </w:rPr>
      </w:pPr>
    </w:p>
    <w:p w14:paraId="7F2AFBC1" w14:textId="77777777" w:rsidR="005A349D" w:rsidRPr="00AC7C2C" w:rsidRDefault="005A349D" w:rsidP="00F86219">
      <w:pPr>
        <w:adjustRightInd w:val="0"/>
        <w:snapToGrid w:val="0"/>
        <w:spacing w:line="276" w:lineRule="auto"/>
        <w:rPr>
          <w:rFonts w:cs="Arial"/>
        </w:rPr>
      </w:pPr>
      <w:r w:rsidRPr="00AC7C2C">
        <w:rPr>
          <w:rFonts w:cs="Arial"/>
        </w:rPr>
        <w:t xml:space="preserve">Dear </w:t>
      </w:r>
      <w:bookmarkStart w:id="8" w:name="Salutation"/>
      <w:bookmarkEnd w:id="8"/>
      <w:r w:rsidRPr="00AC7C2C">
        <w:rPr>
          <w:rFonts w:cs="Arial"/>
        </w:rPr>
        <w:t>[</w:t>
      </w:r>
      <w:r w:rsidRPr="00AC7C2C">
        <w:rPr>
          <w:rFonts w:cs="Arial"/>
          <w:highlight w:val="lightGray"/>
        </w:rPr>
        <w:t>Insert Client Name</w:t>
      </w:r>
      <w:r w:rsidRPr="00AC7C2C">
        <w:rPr>
          <w:rFonts w:cs="Arial"/>
        </w:rPr>
        <w:t>]</w:t>
      </w:r>
    </w:p>
    <w:p w14:paraId="2F09060A" w14:textId="77777777" w:rsidR="005A349D" w:rsidRPr="00AC7C2C" w:rsidRDefault="005A349D" w:rsidP="00F86219">
      <w:pPr>
        <w:adjustRightInd w:val="0"/>
        <w:snapToGrid w:val="0"/>
        <w:spacing w:line="276" w:lineRule="auto"/>
        <w:rPr>
          <w:rFonts w:cs="Arial"/>
          <w:bCs/>
        </w:rPr>
      </w:pPr>
    </w:p>
    <w:p w14:paraId="083968E8" w14:textId="77777777" w:rsidR="005A349D" w:rsidRPr="00AC7C2C" w:rsidRDefault="005A349D" w:rsidP="00F86219">
      <w:pPr>
        <w:adjustRightInd w:val="0"/>
        <w:snapToGrid w:val="0"/>
        <w:spacing w:line="276" w:lineRule="auto"/>
        <w:rPr>
          <w:rFonts w:cs="Arial"/>
          <w:bCs/>
        </w:rPr>
      </w:pPr>
    </w:p>
    <w:p w14:paraId="1D7A3365" w14:textId="77777777" w:rsidR="005A349D" w:rsidRPr="00D714BB" w:rsidRDefault="00D714BB" w:rsidP="00F86219">
      <w:pPr>
        <w:adjustRightInd w:val="0"/>
        <w:snapToGrid w:val="0"/>
        <w:spacing w:line="276" w:lineRule="auto"/>
        <w:rPr>
          <w:rFonts w:cs="Arial"/>
          <w:b/>
          <w:bCs/>
          <w:sz w:val="21"/>
          <w:szCs w:val="21"/>
        </w:rPr>
      </w:pPr>
      <w:bookmarkStart w:id="9" w:name="Subject"/>
      <w:bookmarkEnd w:id="9"/>
      <w:r w:rsidRPr="00D714BB">
        <w:rPr>
          <w:rFonts w:cs="Arial"/>
          <w:b/>
          <w:bCs/>
          <w:sz w:val="21"/>
          <w:szCs w:val="21"/>
        </w:rPr>
        <w:t>Re:</w:t>
      </w:r>
      <w:r w:rsidRPr="00D714BB">
        <w:rPr>
          <w:rFonts w:cs="Arial"/>
          <w:b/>
          <w:bCs/>
          <w:sz w:val="21"/>
          <w:szCs w:val="21"/>
        </w:rPr>
        <w:tab/>
        <w:t>Limited recourse borrowing arrangements</w:t>
      </w:r>
    </w:p>
    <w:p w14:paraId="74127C7C" w14:textId="77777777" w:rsidR="005A349D" w:rsidRPr="00AC7C2C" w:rsidRDefault="005A349D" w:rsidP="00F86219">
      <w:pPr>
        <w:adjustRightInd w:val="0"/>
        <w:snapToGrid w:val="0"/>
        <w:spacing w:line="276" w:lineRule="auto"/>
        <w:rPr>
          <w:rFonts w:cs="Arial"/>
        </w:rPr>
      </w:pPr>
    </w:p>
    <w:p w14:paraId="043E963D" w14:textId="74F16D41" w:rsidR="005A349D" w:rsidRDefault="003F346E" w:rsidP="00F86219">
      <w:pPr>
        <w:adjustRightInd w:val="0"/>
        <w:snapToGrid w:val="0"/>
        <w:spacing w:line="276" w:lineRule="auto"/>
        <w:rPr>
          <w:rFonts w:cs="Arial"/>
        </w:rPr>
      </w:pPr>
      <w:r w:rsidRPr="003F346E">
        <w:rPr>
          <w:rFonts w:cs="Arial"/>
        </w:rPr>
        <w:t>Self-managed superannuation funds (</w:t>
      </w:r>
      <w:r w:rsidRPr="00CF3868">
        <w:rPr>
          <w:rFonts w:cs="Arial"/>
          <w:b/>
          <w:bCs/>
        </w:rPr>
        <w:t>SMSFs</w:t>
      </w:r>
      <w:r w:rsidRPr="003F346E">
        <w:rPr>
          <w:rFonts w:cs="Arial"/>
        </w:rPr>
        <w:t xml:space="preserve">) are generally prohibited from borrowing long-term funds to finance the acquisition of an investment under section 67 of the </w:t>
      </w:r>
      <w:r w:rsidRPr="003F346E">
        <w:rPr>
          <w:rFonts w:cs="Arial"/>
          <w:i/>
        </w:rPr>
        <w:t>Superannuation Industry (Supervision) Act</w:t>
      </w:r>
      <w:r w:rsidR="00D714BB" w:rsidRPr="008124F2">
        <w:rPr>
          <w:rFonts w:cs="Arial"/>
          <w:i/>
          <w:iCs/>
        </w:rPr>
        <w:t xml:space="preserve"> </w:t>
      </w:r>
      <w:r w:rsidRPr="008124F2">
        <w:rPr>
          <w:rFonts w:cs="Arial"/>
          <w:i/>
          <w:iCs/>
        </w:rPr>
        <w:t>1993</w:t>
      </w:r>
      <w:r w:rsidRPr="003F346E">
        <w:rPr>
          <w:rFonts w:cs="Arial"/>
        </w:rPr>
        <w:t xml:space="preserve"> (</w:t>
      </w:r>
      <w:r w:rsidR="00616426" w:rsidRPr="00616426">
        <w:rPr>
          <w:rFonts w:cs="Arial"/>
          <w:b/>
          <w:bCs/>
          <w:i/>
          <w:iCs/>
        </w:rPr>
        <w:t>SIS Act</w:t>
      </w:r>
      <w:r w:rsidRPr="003F346E">
        <w:rPr>
          <w:rFonts w:cs="Arial"/>
        </w:rPr>
        <w:t xml:space="preserve">). However, a fund may be able to obtain such long-term funding if the borrowing satisfies all the requirements of being a </w:t>
      </w:r>
      <w:r w:rsidR="00D714BB">
        <w:rPr>
          <w:rFonts w:cs="Arial"/>
        </w:rPr>
        <w:t>L</w:t>
      </w:r>
      <w:r w:rsidRPr="003F346E">
        <w:rPr>
          <w:rFonts w:cs="Arial"/>
        </w:rPr>
        <w:t xml:space="preserve">imited </w:t>
      </w:r>
      <w:r w:rsidR="00D714BB">
        <w:rPr>
          <w:rFonts w:cs="Arial"/>
        </w:rPr>
        <w:t>R</w:t>
      </w:r>
      <w:r w:rsidRPr="003F346E">
        <w:rPr>
          <w:rFonts w:cs="Arial"/>
        </w:rPr>
        <w:t xml:space="preserve">ecourse </w:t>
      </w:r>
      <w:r w:rsidR="00D714BB">
        <w:rPr>
          <w:rFonts w:cs="Arial"/>
        </w:rPr>
        <w:t>B</w:t>
      </w:r>
      <w:r w:rsidRPr="003F346E">
        <w:rPr>
          <w:rFonts w:cs="Arial"/>
        </w:rPr>
        <w:t xml:space="preserve">orrowing </w:t>
      </w:r>
      <w:r w:rsidR="00D714BB">
        <w:rPr>
          <w:rFonts w:cs="Arial"/>
        </w:rPr>
        <w:t>A</w:t>
      </w:r>
      <w:r w:rsidRPr="003F346E">
        <w:rPr>
          <w:rFonts w:cs="Arial"/>
        </w:rPr>
        <w:t>rrangement (</w:t>
      </w:r>
      <w:r w:rsidRPr="00CF3868">
        <w:rPr>
          <w:rFonts w:cs="Arial"/>
          <w:b/>
          <w:bCs/>
        </w:rPr>
        <w:t>LRBA</w:t>
      </w:r>
      <w:r w:rsidRPr="003F346E">
        <w:rPr>
          <w:rFonts w:cs="Arial"/>
        </w:rPr>
        <w:t>)</w:t>
      </w:r>
      <w:r w:rsidR="00D714BB">
        <w:rPr>
          <w:rFonts w:cs="Arial"/>
        </w:rPr>
        <w:t xml:space="preserve"> under section 67A of the </w:t>
      </w:r>
      <w:r w:rsidR="00616426" w:rsidRPr="00616426">
        <w:rPr>
          <w:rFonts w:cs="Arial"/>
          <w:i/>
          <w:iCs/>
        </w:rPr>
        <w:t>SIS Act</w:t>
      </w:r>
      <w:r w:rsidRPr="003F346E">
        <w:rPr>
          <w:rFonts w:cs="Arial"/>
        </w:rPr>
        <w:t xml:space="preserve">. The rules relating to </w:t>
      </w:r>
      <w:r w:rsidR="009E1CCD">
        <w:rPr>
          <w:rFonts w:cs="Arial"/>
        </w:rPr>
        <w:t>an LRBA</w:t>
      </w:r>
      <w:r w:rsidRPr="003F346E">
        <w:rPr>
          <w:rFonts w:cs="Arial"/>
        </w:rPr>
        <w:t xml:space="preserve"> are quite complex and have been subject to a range of guidance products issued by the Australian Taxation Office (</w:t>
      </w:r>
      <w:r w:rsidRPr="00CF3868">
        <w:rPr>
          <w:rFonts w:cs="Arial"/>
          <w:b/>
          <w:bCs/>
        </w:rPr>
        <w:t>ATO</w:t>
      </w:r>
      <w:r w:rsidRPr="003F346E">
        <w:rPr>
          <w:rFonts w:cs="Arial"/>
        </w:rPr>
        <w:t xml:space="preserve">) which clarify the requirements which </w:t>
      </w:r>
      <w:r w:rsidR="009E1CCD">
        <w:rPr>
          <w:rFonts w:cs="Arial"/>
        </w:rPr>
        <w:t>an LRBA</w:t>
      </w:r>
      <w:r w:rsidRPr="003F346E">
        <w:rPr>
          <w:rFonts w:cs="Arial"/>
        </w:rPr>
        <w:t xml:space="preserve"> must satisfy </w:t>
      </w:r>
      <w:r w:rsidR="00D714BB">
        <w:rPr>
          <w:rFonts w:cs="Arial"/>
        </w:rPr>
        <w:t xml:space="preserve">in order </w:t>
      </w:r>
      <w:r w:rsidRPr="003F346E">
        <w:rPr>
          <w:rFonts w:cs="Arial"/>
        </w:rPr>
        <w:t>to be effective.</w:t>
      </w:r>
    </w:p>
    <w:p w14:paraId="701658EE" w14:textId="77777777" w:rsidR="004D2111" w:rsidRDefault="004D2111" w:rsidP="00F86219">
      <w:pPr>
        <w:adjustRightInd w:val="0"/>
        <w:snapToGrid w:val="0"/>
        <w:spacing w:line="276" w:lineRule="auto"/>
        <w:rPr>
          <w:rFonts w:cs="Arial"/>
        </w:rPr>
      </w:pPr>
    </w:p>
    <w:p w14:paraId="245E9A33" w14:textId="77777777" w:rsidR="004D2111" w:rsidRPr="009D59D1" w:rsidRDefault="004D2111" w:rsidP="00F86219">
      <w:pPr>
        <w:adjustRightInd w:val="0"/>
        <w:snapToGrid w:val="0"/>
        <w:spacing w:line="276" w:lineRule="auto"/>
        <w:rPr>
          <w:rFonts w:cs="Arial"/>
          <w:b/>
        </w:rPr>
      </w:pPr>
      <w:r w:rsidRPr="009D59D1">
        <w:rPr>
          <w:rFonts w:cs="Arial"/>
          <w:b/>
        </w:rPr>
        <w:t>Executive Summary</w:t>
      </w:r>
    </w:p>
    <w:p w14:paraId="5C4E5431" w14:textId="77777777" w:rsidR="005A349D" w:rsidRPr="00AC7C2C" w:rsidRDefault="005A349D" w:rsidP="00F86219">
      <w:pPr>
        <w:adjustRightInd w:val="0"/>
        <w:snapToGrid w:val="0"/>
        <w:spacing w:line="276" w:lineRule="auto"/>
        <w:rPr>
          <w:rFonts w:cs="Arial"/>
        </w:rPr>
      </w:pPr>
    </w:p>
    <w:p w14:paraId="4400C872" w14:textId="5E4D6F6C" w:rsidR="004D2111" w:rsidRDefault="005A349D" w:rsidP="00F86219">
      <w:pPr>
        <w:adjustRightInd w:val="0"/>
        <w:snapToGrid w:val="0"/>
        <w:spacing w:line="276" w:lineRule="auto"/>
        <w:rPr>
          <w:rFonts w:cs="Arial"/>
        </w:rPr>
      </w:pPr>
      <w:r w:rsidRPr="00AC7C2C">
        <w:rPr>
          <w:rFonts w:cs="Arial"/>
        </w:rPr>
        <w:t>The purpose of this correspondence is to provide you with a broad overview of</w:t>
      </w:r>
      <w:r w:rsidR="00E43966">
        <w:rPr>
          <w:rFonts w:cs="Arial"/>
        </w:rPr>
        <w:t>:</w:t>
      </w:r>
    </w:p>
    <w:p w14:paraId="6D16A5C9" w14:textId="77777777" w:rsidR="009D59D1" w:rsidRDefault="009D59D1" w:rsidP="00F86219">
      <w:pPr>
        <w:adjustRightInd w:val="0"/>
        <w:snapToGrid w:val="0"/>
        <w:spacing w:line="276" w:lineRule="auto"/>
        <w:rPr>
          <w:rFonts w:cs="Arial"/>
        </w:rPr>
      </w:pPr>
    </w:p>
    <w:p w14:paraId="18E31133" w14:textId="4EE14656" w:rsidR="00F7114C" w:rsidRDefault="00D714BB" w:rsidP="00F86219">
      <w:pPr>
        <w:pStyle w:val="ListParagraph"/>
        <w:numPr>
          <w:ilvl w:val="0"/>
          <w:numId w:val="3"/>
        </w:numPr>
        <w:adjustRightInd w:val="0"/>
        <w:snapToGrid w:val="0"/>
        <w:spacing w:line="276" w:lineRule="auto"/>
        <w:contextualSpacing w:val="0"/>
        <w:rPr>
          <w:rFonts w:cs="Arial"/>
        </w:rPr>
      </w:pPr>
      <w:r>
        <w:rPr>
          <w:rFonts w:cs="Arial"/>
        </w:rPr>
        <w:t xml:space="preserve">The general rules which a borrowing must satisfy to be regarded as </w:t>
      </w:r>
      <w:r w:rsidR="009E1CCD">
        <w:rPr>
          <w:rFonts w:cs="Arial"/>
        </w:rPr>
        <w:t>an LRBA</w:t>
      </w:r>
      <w:r>
        <w:rPr>
          <w:rFonts w:cs="Arial"/>
        </w:rPr>
        <w:t>.</w:t>
      </w:r>
    </w:p>
    <w:p w14:paraId="5A178AB2" w14:textId="33542803" w:rsidR="00F7114C" w:rsidRDefault="005A349D" w:rsidP="00F86219">
      <w:pPr>
        <w:pStyle w:val="ListParagraph"/>
        <w:numPr>
          <w:ilvl w:val="0"/>
          <w:numId w:val="3"/>
        </w:numPr>
        <w:adjustRightInd w:val="0"/>
        <w:snapToGrid w:val="0"/>
        <w:spacing w:line="276" w:lineRule="auto"/>
        <w:contextualSpacing w:val="0"/>
        <w:rPr>
          <w:rFonts w:cs="Arial"/>
        </w:rPr>
      </w:pPr>
      <w:r w:rsidRPr="004D2111">
        <w:rPr>
          <w:rFonts w:cs="Arial"/>
        </w:rPr>
        <w:t xml:space="preserve">ATO guidance on </w:t>
      </w:r>
      <w:r w:rsidR="00B61345" w:rsidRPr="00B61345">
        <w:rPr>
          <w:rFonts w:cs="Arial"/>
        </w:rPr>
        <w:t xml:space="preserve">the application of those rules. </w:t>
      </w:r>
    </w:p>
    <w:p w14:paraId="3FD47967" w14:textId="73678F76" w:rsidR="001929F1" w:rsidRDefault="001929F1" w:rsidP="00F86219">
      <w:pPr>
        <w:pStyle w:val="ListParagraph"/>
        <w:numPr>
          <w:ilvl w:val="0"/>
          <w:numId w:val="3"/>
        </w:numPr>
        <w:adjustRightInd w:val="0"/>
        <w:snapToGrid w:val="0"/>
        <w:spacing w:line="276" w:lineRule="auto"/>
        <w:contextualSpacing w:val="0"/>
        <w:rPr>
          <w:rFonts w:cs="Arial"/>
        </w:rPr>
      </w:pPr>
      <w:r>
        <w:rPr>
          <w:rFonts w:cs="Arial"/>
        </w:rPr>
        <w:t>Implications for a member’s transfer balance account.</w:t>
      </w:r>
    </w:p>
    <w:p w14:paraId="5430BF35" w14:textId="77777777" w:rsidR="005A349D" w:rsidRPr="00AC7C2C" w:rsidRDefault="005A349D" w:rsidP="00F86219">
      <w:pPr>
        <w:adjustRightInd w:val="0"/>
        <w:snapToGrid w:val="0"/>
        <w:spacing w:line="276" w:lineRule="auto"/>
        <w:rPr>
          <w:rFonts w:cs="Arial"/>
        </w:rPr>
      </w:pPr>
    </w:p>
    <w:p w14:paraId="6D242759" w14:textId="77777777" w:rsidR="00F7114C" w:rsidRPr="00D714BB" w:rsidRDefault="00D714BB" w:rsidP="00F86219">
      <w:pPr>
        <w:adjustRightInd w:val="0"/>
        <w:snapToGrid w:val="0"/>
        <w:spacing w:line="276" w:lineRule="auto"/>
        <w:rPr>
          <w:rFonts w:cs="Arial"/>
          <w:b/>
        </w:rPr>
      </w:pPr>
      <w:r>
        <w:rPr>
          <w:rFonts w:cs="Arial"/>
          <w:b/>
        </w:rPr>
        <w:t>G</w:t>
      </w:r>
      <w:r w:rsidR="00F7114C" w:rsidRPr="00D714BB">
        <w:rPr>
          <w:rFonts w:cs="Arial"/>
          <w:b/>
        </w:rPr>
        <w:t xml:space="preserve">eneral </w:t>
      </w:r>
      <w:r>
        <w:rPr>
          <w:rFonts w:cs="Arial"/>
          <w:b/>
        </w:rPr>
        <w:t>LRBA</w:t>
      </w:r>
      <w:r w:rsidR="00F7114C" w:rsidRPr="00D714BB">
        <w:rPr>
          <w:rFonts w:cs="Arial"/>
          <w:b/>
        </w:rPr>
        <w:t xml:space="preserve"> rules</w:t>
      </w:r>
    </w:p>
    <w:p w14:paraId="1F066C08" w14:textId="77777777" w:rsidR="005A349D" w:rsidRPr="00AC7C2C" w:rsidRDefault="005A349D" w:rsidP="00F86219">
      <w:pPr>
        <w:adjustRightInd w:val="0"/>
        <w:snapToGrid w:val="0"/>
        <w:spacing w:line="276" w:lineRule="auto"/>
        <w:rPr>
          <w:rFonts w:cs="Arial"/>
        </w:rPr>
      </w:pPr>
    </w:p>
    <w:p w14:paraId="546B3B8F" w14:textId="284A75FB" w:rsidR="005A349D" w:rsidRPr="00AC7C2C" w:rsidRDefault="005A349D" w:rsidP="00F86219">
      <w:pPr>
        <w:adjustRightInd w:val="0"/>
        <w:snapToGrid w:val="0"/>
        <w:spacing w:line="276" w:lineRule="auto"/>
        <w:rPr>
          <w:rFonts w:cs="Arial"/>
        </w:rPr>
      </w:pPr>
      <w:r w:rsidRPr="00AC7C2C">
        <w:rPr>
          <w:rFonts w:cs="Arial"/>
        </w:rPr>
        <w:t xml:space="preserve">SMSFs are generally prohibited from borrowing money by section 67 of the </w:t>
      </w:r>
      <w:r w:rsidR="00616426" w:rsidRPr="00616426">
        <w:rPr>
          <w:rFonts w:cs="Arial"/>
          <w:i/>
          <w:iCs/>
        </w:rPr>
        <w:t>SIS Act</w:t>
      </w:r>
      <w:r w:rsidR="004D481A">
        <w:rPr>
          <w:rFonts w:cs="Arial"/>
        </w:rPr>
        <w:t xml:space="preserve">. </w:t>
      </w:r>
      <w:r w:rsidRPr="00AC7C2C">
        <w:rPr>
          <w:rFonts w:cs="Arial"/>
        </w:rPr>
        <w:t>This prohibi</w:t>
      </w:r>
      <w:r w:rsidR="003F346E">
        <w:rPr>
          <w:rFonts w:cs="Arial"/>
        </w:rPr>
        <w:t>tion is designed to ensure SMSFs</w:t>
      </w:r>
      <w:r w:rsidRPr="00AC7C2C">
        <w:rPr>
          <w:rFonts w:cs="Arial"/>
        </w:rPr>
        <w:t xml:space="preserve"> do not take on undue levels of risk. However, section 67A of the </w:t>
      </w:r>
      <w:r w:rsidR="00616426" w:rsidRPr="00616426">
        <w:rPr>
          <w:rFonts w:cs="Arial"/>
          <w:i/>
          <w:iCs/>
        </w:rPr>
        <w:t>SIS Act</w:t>
      </w:r>
      <w:r w:rsidRPr="00AC7C2C">
        <w:rPr>
          <w:rFonts w:cs="Arial"/>
        </w:rPr>
        <w:t xml:space="preserve"> allows SMSFs to borrow using</w:t>
      </w:r>
      <w:r>
        <w:rPr>
          <w:rFonts w:cs="Arial"/>
        </w:rPr>
        <w:t xml:space="preserve"> </w:t>
      </w:r>
      <w:r w:rsidR="009E1CCD">
        <w:rPr>
          <w:rFonts w:cs="Arial"/>
        </w:rPr>
        <w:t>an LRBA</w:t>
      </w:r>
      <w:r>
        <w:rPr>
          <w:rFonts w:cs="Arial"/>
        </w:rPr>
        <w:t>.</w:t>
      </w:r>
      <w:r w:rsidRPr="00AC7C2C">
        <w:rPr>
          <w:rFonts w:cs="Arial"/>
        </w:rPr>
        <w:t xml:space="preserve"> </w:t>
      </w:r>
    </w:p>
    <w:p w14:paraId="30D8AFD2" w14:textId="77777777" w:rsidR="005A349D" w:rsidRPr="00AC7C2C" w:rsidRDefault="005A349D" w:rsidP="00F86219">
      <w:pPr>
        <w:adjustRightInd w:val="0"/>
        <w:snapToGrid w:val="0"/>
        <w:spacing w:line="276" w:lineRule="auto"/>
        <w:rPr>
          <w:rFonts w:cs="Arial"/>
        </w:rPr>
      </w:pPr>
    </w:p>
    <w:p w14:paraId="03DDE116" w14:textId="3ED04D2C" w:rsidR="005A349D" w:rsidRPr="00AC7C2C" w:rsidRDefault="005A349D" w:rsidP="00F86219">
      <w:pPr>
        <w:adjustRightInd w:val="0"/>
        <w:snapToGrid w:val="0"/>
        <w:spacing w:line="276" w:lineRule="auto"/>
        <w:rPr>
          <w:rFonts w:cs="Arial"/>
        </w:rPr>
      </w:pPr>
      <w:r w:rsidRPr="00AC7C2C">
        <w:rPr>
          <w:rFonts w:cs="Arial"/>
        </w:rPr>
        <w:t xml:space="preserve">These rules, outlined below, essentially require </w:t>
      </w:r>
      <w:r w:rsidR="003F346E">
        <w:rPr>
          <w:rFonts w:cs="Arial"/>
        </w:rPr>
        <w:t xml:space="preserve">that </w:t>
      </w:r>
      <w:r w:rsidRPr="00AC7C2C">
        <w:rPr>
          <w:rFonts w:cs="Arial"/>
        </w:rPr>
        <w:t xml:space="preserve">all </w:t>
      </w:r>
      <w:r w:rsidR="003F346E">
        <w:rPr>
          <w:rFonts w:cs="Arial"/>
        </w:rPr>
        <w:t xml:space="preserve">the </w:t>
      </w:r>
      <w:r w:rsidRPr="00AC7C2C">
        <w:rPr>
          <w:rFonts w:cs="Arial"/>
        </w:rPr>
        <w:t xml:space="preserve">borrowed funds </w:t>
      </w:r>
      <w:r w:rsidR="003F346E">
        <w:rPr>
          <w:rFonts w:cs="Arial"/>
        </w:rPr>
        <w:t xml:space="preserve">under the LRBA </w:t>
      </w:r>
      <w:r w:rsidRPr="00AC7C2C">
        <w:rPr>
          <w:rFonts w:cs="Arial"/>
        </w:rPr>
        <w:t xml:space="preserve">be used to </w:t>
      </w:r>
      <w:r w:rsidR="003F346E">
        <w:rPr>
          <w:rFonts w:cs="Arial"/>
        </w:rPr>
        <w:t>finance the acquisition of</w:t>
      </w:r>
      <w:r w:rsidRPr="00AC7C2C">
        <w:rPr>
          <w:rFonts w:cs="Arial"/>
        </w:rPr>
        <w:t xml:space="preserve"> a single asset or a collection of identical assets of the same market value. </w:t>
      </w:r>
      <w:r w:rsidR="009541E3">
        <w:rPr>
          <w:rFonts w:cs="Arial"/>
        </w:rPr>
        <w:t>In addition</w:t>
      </w:r>
      <w:r w:rsidRPr="00AC7C2C">
        <w:rPr>
          <w:rFonts w:cs="Arial"/>
        </w:rPr>
        <w:t xml:space="preserve">, the funds </w:t>
      </w:r>
      <w:r w:rsidR="003F346E">
        <w:rPr>
          <w:rFonts w:cs="Arial"/>
        </w:rPr>
        <w:t xml:space="preserve">obtained under </w:t>
      </w:r>
      <w:r w:rsidR="00F51D88">
        <w:rPr>
          <w:rFonts w:cs="Arial"/>
        </w:rPr>
        <w:t xml:space="preserve">an </w:t>
      </w:r>
      <w:r w:rsidR="003F346E">
        <w:rPr>
          <w:rFonts w:cs="Arial"/>
        </w:rPr>
        <w:t>LRBA can</w:t>
      </w:r>
      <w:r w:rsidRPr="00AC7C2C">
        <w:rPr>
          <w:rFonts w:cs="Arial"/>
        </w:rPr>
        <w:t xml:space="preserve"> be used to </w:t>
      </w:r>
      <w:r w:rsidR="00F65F3D">
        <w:rPr>
          <w:rFonts w:cs="Arial"/>
        </w:rPr>
        <w:t xml:space="preserve">perform basic </w:t>
      </w:r>
      <w:r w:rsidRPr="00AC7C2C">
        <w:rPr>
          <w:rFonts w:cs="Arial"/>
        </w:rPr>
        <w:t>repair</w:t>
      </w:r>
      <w:r w:rsidR="00F65F3D">
        <w:rPr>
          <w:rFonts w:cs="Arial"/>
        </w:rPr>
        <w:t>s</w:t>
      </w:r>
      <w:r w:rsidRPr="00AC7C2C">
        <w:rPr>
          <w:rFonts w:cs="Arial"/>
        </w:rPr>
        <w:t xml:space="preserve"> or maintain the asset </w:t>
      </w:r>
      <w:r w:rsidR="00F65F3D">
        <w:rPr>
          <w:rFonts w:cs="Arial"/>
        </w:rPr>
        <w:t xml:space="preserve">and </w:t>
      </w:r>
      <w:r w:rsidRPr="00AC7C2C">
        <w:rPr>
          <w:rFonts w:cs="Arial"/>
        </w:rPr>
        <w:t>cannot be used to improve the asset.</w:t>
      </w:r>
    </w:p>
    <w:p w14:paraId="7210BBA4" w14:textId="77777777" w:rsidR="005A349D" w:rsidRPr="00AC7C2C" w:rsidRDefault="005A349D" w:rsidP="00F86219">
      <w:pPr>
        <w:adjustRightInd w:val="0"/>
        <w:snapToGrid w:val="0"/>
        <w:spacing w:line="276" w:lineRule="auto"/>
        <w:rPr>
          <w:rFonts w:cs="Arial"/>
          <w:b/>
        </w:rPr>
      </w:pPr>
    </w:p>
    <w:p w14:paraId="06FB7AB1" w14:textId="58BFC6FE" w:rsidR="00F7114C" w:rsidRDefault="00F86219" w:rsidP="00F86219">
      <w:pPr>
        <w:adjustRightInd w:val="0"/>
        <w:snapToGrid w:val="0"/>
        <w:spacing w:line="276" w:lineRule="auto"/>
        <w:rPr>
          <w:rFonts w:cs="Arial"/>
        </w:rPr>
      </w:pPr>
      <w:r>
        <w:rPr>
          <w:rFonts w:cs="Arial"/>
        </w:rPr>
        <w:t>T</w:t>
      </w:r>
      <w:r w:rsidR="005A349D" w:rsidRPr="00AC7C2C">
        <w:rPr>
          <w:rFonts w:cs="Arial"/>
        </w:rPr>
        <w:t xml:space="preserve">he requirements that must be satisfied in relation to the use of </w:t>
      </w:r>
      <w:r w:rsidR="00E5253D">
        <w:rPr>
          <w:rFonts w:cs="Arial"/>
        </w:rPr>
        <w:t>an LRBA</w:t>
      </w:r>
      <w:r w:rsidR="005A349D" w:rsidRPr="00AC7C2C">
        <w:rPr>
          <w:rFonts w:cs="Arial"/>
        </w:rPr>
        <w:t xml:space="preserve"> are quite s</w:t>
      </w:r>
      <w:r w:rsidR="00637EF2">
        <w:rPr>
          <w:rFonts w:cs="Arial"/>
        </w:rPr>
        <w:t>trict and include the following.</w:t>
      </w:r>
      <w:r w:rsidR="005A349D" w:rsidRPr="00AC7C2C">
        <w:rPr>
          <w:rFonts w:cs="Arial"/>
        </w:rPr>
        <w:t xml:space="preserve">  </w:t>
      </w:r>
    </w:p>
    <w:p w14:paraId="789E925E" w14:textId="77777777" w:rsidR="005A349D" w:rsidRPr="00AC7C2C" w:rsidRDefault="005A349D" w:rsidP="00F86219">
      <w:pPr>
        <w:adjustRightInd w:val="0"/>
        <w:snapToGrid w:val="0"/>
        <w:spacing w:line="276" w:lineRule="auto"/>
        <w:rPr>
          <w:rFonts w:cs="Arial"/>
        </w:rPr>
      </w:pPr>
    </w:p>
    <w:p w14:paraId="76621795" w14:textId="4BD6C079" w:rsidR="00F7114C" w:rsidRDefault="005A349D" w:rsidP="00F86219">
      <w:pPr>
        <w:pStyle w:val="ListParagraph"/>
        <w:numPr>
          <w:ilvl w:val="0"/>
          <w:numId w:val="1"/>
        </w:numPr>
        <w:adjustRightInd w:val="0"/>
        <w:snapToGrid w:val="0"/>
        <w:spacing w:line="276" w:lineRule="auto"/>
        <w:ind w:left="786" w:hanging="426"/>
        <w:contextualSpacing w:val="0"/>
        <w:rPr>
          <w:rFonts w:cs="Arial"/>
        </w:rPr>
      </w:pPr>
      <w:r w:rsidRPr="00AC7C2C">
        <w:rPr>
          <w:rFonts w:cs="Arial"/>
        </w:rPr>
        <w:t xml:space="preserve">Borrowed funds must be used to purchase either a single asset (e.g. real estate) or a collection of identical assets of the same market value (e.g. a collection of shares in the same company, each with identical rights). </w:t>
      </w:r>
      <w:r w:rsidR="007C3716">
        <w:rPr>
          <w:rFonts w:cs="Arial"/>
        </w:rPr>
        <w:t>F</w:t>
      </w:r>
      <w:r w:rsidRPr="00AC7C2C">
        <w:rPr>
          <w:rFonts w:cs="Arial"/>
        </w:rPr>
        <w:t>or example, a</w:t>
      </w:r>
      <w:r w:rsidR="00D714BB">
        <w:rPr>
          <w:rFonts w:cs="Arial"/>
        </w:rPr>
        <w:t>n</w:t>
      </w:r>
      <w:r w:rsidRPr="00AC7C2C">
        <w:rPr>
          <w:rFonts w:cs="Arial"/>
        </w:rPr>
        <w:t xml:space="preserve"> SMSF cannot borrow to purchase a collection of buildings each under separate strata title, even if the buildings are substantially the same, as the buildings will </w:t>
      </w:r>
      <w:r w:rsidR="00D714BB">
        <w:rPr>
          <w:rFonts w:cs="Arial"/>
        </w:rPr>
        <w:t xml:space="preserve">not be identical. However, </w:t>
      </w:r>
      <w:r w:rsidR="00DF567B">
        <w:rPr>
          <w:rFonts w:cs="Arial"/>
        </w:rPr>
        <w:t xml:space="preserve">as confirmed in Self-Managed Superannuation Funds Ruling SMSFR 2012/1, </w:t>
      </w:r>
      <w:r w:rsidR="00D714BB">
        <w:rPr>
          <w:rFonts w:cs="Arial"/>
        </w:rPr>
        <w:t>t</w:t>
      </w:r>
      <w:r w:rsidRPr="00AC7C2C">
        <w:rPr>
          <w:rFonts w:cs="Arial"/>
        </w:rPr>
        <w:t>wo separate proprietary rights (e.g. two separate titles) will be a single asset if they cannot be dealt with separately. For example, an apartment and a separate car park on a different title will be a single asset if they cannot be dealt with separately.</w:t>
      </w:r>
    </w:p>
    <w:p w14:paraId="2C2F9DA6" w14:textId="77777777" w:rsidR="00F7114C" w:rsidRDefault="00F7114C" w:rsidP="00F86219">
      <w:pPr>
        <w:adjustRightInd w:val="0"/>
        <w:snapToGrid w:val="0"/>
        <w:spacing w:line="276" w:lineRule="auto"/>
        <w:ind w:left="786" w:hanging="426"/>
        <w:rPr>
          <w:rFonts w:cs="Arial"/>
        </w:rPr>
      </w:pPr>
    </w:p>
    <w:p w14:paraId="39BFC026" w14:textId="77777777" w:rsidR="00F7114C" w:rsidRDefault="005A349D" w:rsidP="00F86219">
      <w:pPr>
        <w:pStyle w:val="ListParagraph"/>
        <w:numPr>
          <w:ilvl w:val="0"/>
          <w:numId w:val="1"/>
        </w:numPr>
        <w:adjustRightInd w:val="0"/>
        <w:snapToGrid w:val="0"/>
        <w:spacing w:line="276" w:lineRule="auto"/>
        <w:ind w:left="786" w:hanging="426"/>
        <w:contextualSpacing w:val="0"/>
        <w:rPr>
          <w:rFonts w:cs="Arial"/>
        </w:rPr>
      </w:pPr>
      <w:r w:rsidRPr="00AC7C2C">
        <w:rPr>
          <w:rFonts w:cs="Arial"/>
        </w:rPr>
        <w:t>Borrowed funds can be used to repair or maintain an asset but not to improve an asset. This prohibition on improvements is likely to create issues for SMSFs investing in real</w:t>
      </w:r>
      <w:r>
        <w:rPr>
          <w:rFonts w:cs="Arial"/>
        </w:rPr>
        <w:t xml:space="preserve"> </w:t>
      </w:r>
      <w:r w:rsidRPr="00AC7C2C">
        <w:rPr>
          <w:rFonts w:cs="Arial"/>
        </w:rPr>
        <w:t>estate as it will place limits on any renovations they may wish to undertake.</w:t>
      </w:r>
    </w:p>
    <w:p w14:paraId="0C3B394A" w14:textId="77777777" w:rsidR="00F7114C" w:rsidRDefault="00F7114C" w:rsidP="00F86219">
      <w:pPr>
        <w:adjustRightInd w:val="0"/>
        <w:snapToGrid w:val="0"/>
        <w:spacing w:line="276" w:lineRule="auto"/>
        <w:ind w:left="786" w:hanging="426"/>
        <w:rPr>
          <w:rFonts w:cs="Arial"/>
        </w:rPr>
      </w:pPr>
    </w:p>
    <w:p w14:paraId="57118A4C" w14:textId="08A2AE16" w:rsidR="00F7114C" w:rsidRDefault="002F7A7F" w:rsidP="00F86219">
      <w:pPr>
        <w:pStyle w:val="ListParagraph"/>
        <w:numPr>
          <w:ilvl w:val="0"/>
          <w:numId w:val="1"/>
        </w:numPr>
        <w:adjustRightInd w:val="0"/>
        <w:snapToGrid w:val="0"/>
        <w:spacing w:line="276" w:lineRule="auto"/>
        <w:ind w:left="786" w:hanging="426"/>
        <w:contextualSpacing w:val="0"/>
        <w:rPr>
          <w:rFonts w:cs="Arial"/>
        </w:rPr>
      </w:pPr>
      <w:r>
        <w:rPr>
          <w:rFonts w:cs="Arial"/>
        </w:rPr>
        <w:t>T</w:t>
      </w:r>
      <w:r w:rsidR="005A349D" w:rsidRPr="00AC7C2C">
        <w:rPr>
          <w:rFonts w:cs="Arial"/>
        </w:rPr>
        <w:t xml:space="preserve">he rules place restrictions on the types of guarantees that SMSF members (and other parties) may give in relation to the borrowings. A guarantor of the SMSF’s borrowing would normally be entitled to reimbursement from the SMSF if the lender enforces the guarantee, meaning they could have rights against other SMSF property. </w:t>
      </w:r>
      <w:r>
        <w:rPr>
          <w:rFonts w:cs="Arial"/>
        </w:rPr>
        <w:t>However, i</w:t>
      </w:r>
      <w:r w:rsidR="005A349D" w:rsidRPr="00AC7C2C">
        <w:rPr>
          <w:rFonts w:cs="Arial"/>
        </w:rPr>
        <w:t>n relation to SMSFs, all guarantee documentation must explicitly exclude this right in order to satisfy the requirements of section 67A</w:t>
      </w:r>
      <w:r w:rsidR="00637EF2">
        <w:rPr>
          <w:rFonts w:cs="Arial"/>
        </w:rPr>
        <w:t xml:space="preserve"> as the guarantor’s right to reimbursement is limited to the single acquirable asset subject to the LRBA</w:t>
      </w:r>
      <w:r w:rsidR="005A349D" w:rsidRPr="00AC7C2C">
        <w:rPr>
          <w:rFonts w:cs="Arial"/>
        </w:rPr>
        <w:t>.</w:t>
      </w:r>
    </w:p>
    <w:p w14:paraId="56F36B36" w14:textId="77777777" w:rsidR="005A349D" w:rsidRPr="00AC7C2C" w:rsidRDefault="005A349D" w:rsidP="00F86219">
      <w:pPr>
        <w:adjustRightInd w:val="0"/>
        <w:snapToGrid w:val="0"/>
        <w:spacing w:line="276" w:lineRule="auto"/>
        <w:rPr>
          <w:rFonts w:cs="Arial"/>
        </w:rPr>
      </w:pPr>
    </w:p>
    <w:p w14:paraId="5364DC25" w14:textId="5AA84C1E" w:rsidR="00F7114C" w:rsidRDefault="00D714BB" w:rsidP="00F86219">
      <w:pPr>
        <w:adjustRightInd w:val="0"/>
        <w:snapToGrid w:val="0"/>
        <w:spacing w:line="276" w:lineRule="auto"/>
        <w:rPr>
          <w:rFonts w:cs="Arial"/>
        </w:rPr>
      </w:pPr>
      <w:r>
        <w:rPr>
          <w:rFonts w:cs="Arial"/>
        </w:rPr>
        <w:t>In addition, s</w:t>
      </w:r>
      <w:r w:rsidR="00637EF2" w:rsidRPr="00637EF2">
        <w:rPr>
          <w:rFonts w:cs="Arial"/>
        </w:rPr>
        <w:t xml:space="preserve">ection 67A(1) of the </w:t>
      </w:r>
      <w:r w:rsidR="00616426" w:rsidRPr="00616426">
        <w:rPr>
          <w:rFonts w:cs="Arial"/>
          <w:i/>
          <w:iCs/>
        </w:rPr>
        <w:t>SIS Act</w:t>
      </w:r>
      <w:r w:rsidR="00637EF2" w:rsidRPr="00637EF2">
        <w:rPr>
          <w:rFonts w:cs="Arial"/>
        </w:rPr>
        <w:t xml:space="preserve"> </w:t>
      </w:r>
      <w:r>
        <w:rPr>
          <w:rFonts w:cs="Arial"/>
        </w:rPr>
        <w:t xml:space="preserve">only </w:t>
      </w:r>
      <w:r w:rsidR="00637EF2" w:rsidRPr="00637EF2">
        <w:rPr>
          <w:rFonts w:cs="Arial"/>
        </w:rPr>
        <w:t>allows a trustee of an SMSF to enter into a limited recourse borrowing where all the following conditions are met:</w:t>
      </w:r>
    </w:p>
    <w:p w14:paraId="5F5E5600" w14:textId="77777777" w:rsidR="00F7114C" w:rsidRDefault="00F7114C" w:rsidP="00F86219">
      <w:pPr>
        <w:adjustRightInd w:val="0"/>
        <w:snapToGrid w:val="0"/>
        <w:spacing w:line="276" w:lineRule="auto"/>
        <w:ind w:left="426"/>
        <w:rPr>
          <w:rFonts w:cs="Arial"/>
        </w:rPr>
      </w:pPr>
    </w:p>
    <w:p w14:paraId="411620AE" w14:textId="0723614A" w:rsidR="00637EF2" w:rsidRPr="00637EF2" w:rsidRDefault="00531D8C" w:rsidP="00F86219">
      <w:pPr>
        <w:pStyle w:val="ListParagraph"/>
        <w:numPr>
          <w:ilvl w:val="0"/>
          <w:numId w:val="1"/>
        </w:numPr>
        <w:adjustRightInd w:val="0"/>
        <w:snapToGrid w:val="0"/>
        <w:spacing w:line="276" w:lineRule="auto"/>
        <w:contextualSpacing w:val="0"/>
        <w:rPr>
          <w:rFonts w:cs="Arial"/>
        </w:rPr>
      </w:pPr>
      <w:r>
        <w:rPr>
          <w:rFonts w:cs="Arial"/>
        </w:rPr>
        <w:t>T</w:t>
      </w:r>
      <w:r w:rsidR="00637EF2">
        <w:rPr>
          <w:rFonts w:cs="Arial"/>
        </w:rPr>
        <w:t>h</w:t>
      </w:r>
      <w:r w:rsidR="00637EF2" w:rsidRPr="00637EF2">
        <w:rPr>
          <w:rFonts w:cs="Arial"/>
        </w:rPr>
        <w:t xml:space="preserve">e borrowings made by the trustee of the SMSF are applied to acquire a single acquirable asset, including expenses incurred in connection with the borrowing or the acquisition of the asset, or costs incurred in maintaining or </w:t>
      </w:r>
      <w:r w:rsidR="00637EF2">
        <w:rPr>
          <w:rFonts w:cs="Arial"/>
        </w:rPr>
        <w:t>repairing the acquirable asset</w:t>
      </w:r>
      <w:r>
        <w:rPr>
          <w:rFonts w:cs="Arial"/>
        </w:rPr>
        <w:t>.</w:t>
      </w:r>
    </w:p>
    <w:p w14:paraId="08F09585" w14:textId="73580256" w:rsidR="00637EF2" w:rsidRPr="00637EF2" w:rsidRDefault="00531D8C" w:rsidP="00F86219">
      <w:pPr>
        <w:pStyle w:val="ListParagraph"/>
        <w:numPr>
          <w:ilvl w:val="0"/>
          <w:numId w:val="1"/>
        </w:numPr>
        <w:adjustRightInd w:val="0"/>
        <w:snapToGrid w:val="0"/>
        <w:spacing w:line="276" w:lineRule="auto"/>
        <w:contextualSpacing w:val="0"/>
        <w:rPr>
          <w:rFonts w:cs="Arial"/>
        </w:rPr>
      </w:pPr>
      <w:r>
        <w:rPr>
          <w:rFonts w:cs="Arial"/>
        </w:rPr>
        <w:t>T</w:t>
      </w:r>
      <w:r w:rsidR="00637EF2" w:rsidRPr="00637EF2">
        <w:rPr>
          <w:rFonts w:cs="Arial"/>
        </w:rPr>
        <w:t>he acquirable asset is held on trust by a holding trust under which the trustee of the SMSF acquires a beneficial i</w:t>
      </w:r>
      <w:r w:rsidR="00637EF2">
        <w:rPr>
          <w:rFonts w:cs="Arial"/>
        </w:rPr>
        <w:t>nterest in the acquirable asset</w:t>
      </w:r>
      <w:r>
        <w:rPr>
          <w:rFonts w:cs="Arial"/>
        </w:rPr>
        <w:t>.</w:t>
      </w:r>
    </w:p>
    <w:p w14:paraId="10A4CEC9" w14:textId="125E8EC3" w:rsidR="00637EF2" w:rsidRPr="00637EF2" w:rsidRDefault="00531D8C" w:rsidP="00F86219">
      <w:pPr>
        <w:pStyle w:val="ListParagraph"/>
        <w:numPr>
          <w:ilvl w:val="0"/>
          <w:numId w:val="1"/>
        </w:numPr>
        <w:adjustRightInd w:val="0"/>
        <w:snapToGrid w:val="0"/>
        <w:spacing w:line="276" w:lineRule="auto"/>
        <w:contextualSpacing w:val="0"/>
        <w:rPr>
          <w:rFonts w:cs="Arial"/>
        </w:rPr>
      </w:pPr>
      <w:r>
        <w:rPr>
          <w:rFonts w:cs="Arial"/>
        </w:rPr>
        <w:t>T</w:t>
      </w:r>
      <w:r w:rsidR="00637EF2" w:rsidRPr="00637EF2">
        <w:rPr>
          <w:rFonts w:cs="Arial"/>
        </w:rPr>
        <w:t>he trustee of the SMSF has a right to acquire legal ownership of the acquirable asset by making at least one payment after ac</w:t>
      </w:r>
      <w:r w:rsidR="00637EF2">
        <w:rPr>
          <w:rFonts w:cs="Arial"/>
        </w:rPr>
        <w:t>quiring the beneficial interest</w:t>
      </w:r>
      <w:r>
        <w:rPr>
          <w:rFonts w:cs="Arial"/>
        </w:rPr>
        <w:t>.</w:t>
      </w:r>
    </w:p>
    <w:p w14:paraId="1D9DA2BA" w14:textId="50978982" w:rsidR="00637EF2" w:rsidRPr="00637EF2" w:rsidRDefault="00531D8C" w:rsidP="00F86219">
      <w:pPr>
        <w:pStyle w:val="ListParagraph"/>
        <w:numPr>
          <w:ilvl w:val="0"/>
          <w:numId w:val="1"/>
        </w:numPr>
        <w:adjustRightInd w:val="0"/>
        <w:snapToGrid w:val="0"/>
        <w:spacing w:line="276" w:lineRule="auto"/>
        <w:contextualSpacing w:val="0"/>
        <w:rPr>
          <w:rFonts w:cs="Arial"/>
        </w:rPr>
      </w:pPr>
      <w:r>
        <w:rPr>
          <w:rFonts w:cs="Arial"/>
        </w:rPr>
        <w:t>T</w:t>
      </w:r>
      <w:r w:rsidR="00637EF2" w:rsidRPr="00637EF2">
        <w:rPr>
          <w:rFonts w:cs="Arial"/>
        </w:rPr>
        <w:t>he rights of the lender (or any other person) on any default is limited to the acquirable asset held by the t</w:t>
      </w:r>
      <w:r w:rsidR="00637EF2">
        <w:rPr>
          <w:rFonts w:cs="Arial"/>
        </w:rPr>
        <w:t>rustee of the holding trust</w:t>
      </w:r>
      <w:r>
        <w:rPr>
          <w:rFonts w:cs="Arial"/>
        </w:rPr>
        <w:t>.</w:t>
      </w:r>
    </w:p>
    <w:p w14:paraId="43788BC4" w14:textId="608322AE" w:rsidR="00637EF2" w:rsidRPr="00637EF2" w:rsidRDefault="00531D8C" w:rsidP="00F86219">
      <w:pPr>
        <w:pStyle w:val="ListParagraph"/>
        <w:numPr>
          <w:ilvl w:val="0"/>
          <w:numId w:val="1"/>
        </w:numPr>
        <w:adjustRightInd w:val="0"/>
        <w:snapToGrid w:val="0"/>
        <w:spacing w:line="276" w:lineRule="auto"/>
        <w:contextualSpacing w:val="0"/>
        <w:rPr>
          <w:rFonts w:cs="Arial"/>
        </w:rPr>
      </w:pPr>
      <w:r>
        <w:rPr>
          <w:rFonts w:cs="Arial"/>
        </w:rPr>
        <w:t>I</w:t>
      </w:r>
      <w:r w:rsidR="00637EF2" w:rsidRPr="00637EF2">
        <w:rPr>
          <w:rFonts w:cs="Arial"/>
        </w:rPr>
        <w:t>f the trustee of the SMSF has a right relating to the acquirable asset (other than the right to acquire the legal ownership) the rights of the lender (or any other person) in connection with the trustee’s exercise of those rights are limited to rights r</w:t>
      </w:r>
      <w:r w:rsidR="00637EF2">
        <w:rPr>
          <w:rFonts w:cs="Arial"/>
        </w:rPr>
        <w:t>elating to the acquirable asset</w:t>
      </w:r>
      <w:r>
        <w:rPr>
          <w:rFonts w:cs="Arial"/>
        </w:rPr>
        <w:t>.</w:t>
      </w:r>
    </w:p>
    <w:p w14:paraId="0296C203" w14:textId="385322A6" w:rsidR="00637EF2" w:rsidRPr="00637EF2" w:rsidRDefault="00531D8C" w:rsidP="00F86219">
      <w:pPr>
        <w:pStyle w:val="ListParagraph"/>
        <w:numPr>
          <w:ilvl w:val="0"/>
          <w:numId w:val="1"/>
        </w:numPr>
        <w:adjustRightInd w:val="0"/>
        <w:snapToGrid w:val="0"/>
        <w:spacing w:line="276" w:lineRule="auto"/>
        <w:contextualSpacing w:val="0"/>
        <w:rPr>
          <w:rFonts w:cs="Arial"/>
        </w:rPr>
      </w:pPr>
      <w:r>
        <w:rPr>
          <w:rFonts w:cs="Arial"/>
        </w:rPr>
        <w:t>T</w:t>
      </w:r>
      <w:r w:rsidR="00637EF2" w:rsidRPr="00637EF2">
        <w:rPr>
          <w:rFonts w:cs="Arial"/>
        </w:rPr>
        <w:t>he acquirable asset is not subject to any charge</w:t>
      </w:r>
      <w:r w:rsidR="006E0116">
        <w:rPr>
          <w:rFonts w:cs="Arial"/>
        </w:rPr>
        <w:t xml:space="preserve"> other than </w:t>
      </w:r>
      <w:r w:rsidR="00C9112C">
        <w:rPr>
          <w:rFonts w:cs="Arial"/>
        </w:rPr>
        <w:t>the</w:t>
      </w:r>
      <w:r w:rsidR="008171EE">
        <w:rPr>
          <w:rFonts w:cs="Arial"/>
        </w:rPr>
        <w:t xml:space="preserve"> charge </w:t>
      </w:r>
      <w:r w:rsidR="00C9112C">
        <w:rPr>
          <w:rFonts w:cs="Arial"/>
        </w:rPr>
        <w:t>spe</w:t>
      </w:r>
      <w:r w:rsidR="00693A84">
        <w:rPr>
          <w:rFonts w:cs="Arial"/>
        </w:rPr>
        <w:t>cific</w:t>
      </w:r>
      <w:r w:rsidR="00C9112C">
        <w:rPr>
          <w:rFonts w:cs="Arial"/>
        </w:rPr>
        <w:t xml:space="preserve">ally </w:t>
      </w:r>
      <w:r w:rsidR="008171EE">
        <w:rPr>
          <w:rFonts w:cs="Arial"/>
        </w:rPr>
        <w:t xml:space="preserve">with respect </w:t>
      </w:r>
      <w:r w:rsidR="00C9112C">
        <w:rPr>
          <w:rFonts w:cs="Arial"/>
        </w:rPr>
        <w:t>to the acquirable asset</w:t>
      </w:r>
      <w:r w:rsidR="00693A84">
        <w:rPr>
          <w:rFonts w:cs="Arial"/>
        </w:rPr>
        <w:t xml:space="preserve"> under the LRBA</w:t>
      </w:r>
    </w:p>
    <w:p w14:paraId="6C9D9E77" w14:textId="77777777" w:rsidR="00F7114C" w:rsidRDefault="00F7114C" w:rsidP="00F86219">
      <w:pPr>
        <w:adjustRightInd w:val="0"/>
        <w:snapToGrid w:val="0"/>
        <w:spacing w:line="276" w:lineRule="auto"/>
        <w:ind w:left="426"/>
        <w:rPr>
          <w:rFonts w:cs="Arial"/>
        </w:rPr>
      </w:pPr>
    </w:p>
    <w:p w14:paraId="75D52FF8" w14:textId="07BA2D04" w:rsidR="00F7114C" w:rsidRDefault="005A349D" w:rsidP="00F86219">
      <w:pPr>
        <w:adjustRightInd w:val="0"/>
        <w:snapToGrid w:val="0"/>
        <w:spacing w:line="276" w:lineRule="auto"/>
        <w:rPr>
          <w:rFonts w:cs="Arial"/>
        </w:rPr>
      </w:pPr>
      <w:r w:rsidRPr="00AC7C2C">
        <w:rPr>
          <w:rFonts w:cs="Arial"/>
        </w:rPr>
        <w:t>When setting up a</w:t>
      </w:r>
      <w:r w:rsidR="009E1CCD">
        <w:rPr>
          <w:rFonts w:cs="Arial"/>
        </w:rPr>
        <w:t>n</w:t>
      </w:r>
      <w:r>
        <w:rPr>
          <w:rFonts w:cs="Arial"/>
        </w:rPr>
        <w:t xml:space="preserve"> LRBA</w:t>
      </w:r>
      <w:r w:rsidRPr="00AC7C2C">
        <w:rPr>
          <w:rFonts w:cs="Arial"/>
        </w:rPr>
        <w:t xml:space="preserve"> it is important that you review all documentation to ensure </w:t>
      </w:r>
      <w:r w:rsidR="00702DC6">
        <w:rPr>
          <w:rFonts w:cs="Arial"/>
        </w:rPr>
        <w:t xml:space="preserve">that </w:t>
      </w:r>
      <w:r w:rsidRPr="00AC7C2C">
        <w:rPr>
          <w:rFonts w:cs="Arial"/>
        </w:rPr>
        <w:t>these requirements are satisfied.</w:t>
      </w:r>
    </w:p>
    <w:p w14:paraId="0E9E2DDD" w14:textId="77777777" w:rsidR="005A349D" w:rsidRPr="00AC7C2C" w:rsidRDefault="005A349D" w:rsidP="00F86219">
      <w:pPr>
        <w:adjustRightInd w:val="0"/>
        <w:snapToGrid w:val="0"/>
        <w:spacing w:line="276" w:lineRule="auto"/>
        <w:rPr>
          <w:rFonts w:cs="Arial"/>
        </w:rPr>
      </w:pPr>
    </w:p>
    <w:p w14:paraId="655238FF" w14:textId="3F1A8CEC" w:rsidR="00F7114C" w:rsidRPr="00C8462A" w:rsidRDefault="005A349D" w:rsidP="00F86219">
      <w:pPr>
        <w:adjustRightInd w:val="0"/>
        <w:snapToGrid w:val="0"/>
        <w:spacing w:line="276" w:lineRule="auto"/>
        <w:rPr>
          <w:rFonts w:cs="Arial"/>
          <w:b/>
        </w:rPr>
      </w:pPr>
      <w:r w:rsidRPr="00C8462A">
        <w:rPr>
          <w:rFonts w:cs="Arial"/>
          <w:b/>
        </w:rPr>
        <w:t xml:space="preserve">ATO guidance on </w:t>
      </w:r>
      <w:r w:rsidR="00F94596">
        <w:rPr>
          <w:rFonts w:cs="Arial"/>
          <w:b/>
        </w:rPr>
        <w:t>r</w:t>
      </w:r>
      <w:r w:rsidR="00220574">
        <w:rPr>
          <w:rFonts w:cs="Arial"/>
          <w:b/>
        </w:rPr>
        <w:t xml:space="preserve">elated </w:t>
      </w:r>
      <w:r w:rsidR="00F94596">
        <w:rPr>
          <w:rFonts w:cs="Arial"/>
          <w:b/>
        </w:rPr>
        <w:t>p</w:t>
      </w:r>
      <w:r w:rsidR="00220574">
        <w:rPr>
          <w:rFonts w:cs="Arial"/>
          <w:b/>
        </w:rPr>
        <w:t xml:space="preserve">arty </w:t>
      </w:r>
      <w:r w:rsidR="00C8462A" w:rsidRPr="00C8462A">
        <w:rPr>
          <w:rFonts w:cs="Arial"/>
          <w:b/>
        </w:rPr>
        <w:t>LRBA</w:t>
      </w:r>
      <w:r w:rsidR="00A03DD6">
        <w:rPr>
          <w:rFonts w:cs="Arial"/>
          <w:b/>
        </w:rPr>
        <w:t>s</w:t>
      </w:r>
    </w:p>
    <w:p w14:paraId="1E6173F1" w14:textId="77777777" w:rsidR="005A349D" w:rsidRPr="00AC7C2C" w:rsidRDefault="005A349D" w:rsidP="00F86219">
      <w:pPr>
        <w:adjustRightInd w:val="0"/>
        <w:snapToGrid w:val="0"/>
        <w:spacing w:line="276" w:lineRule="auto"/>
        <w:rPr>
          <w:rFonts w:cs="Arial"/>
        </w:rPr>
      </w:pPr>
    </w:p>
    <w:p w14:paraId="1BA9AE35" w14:textId="77777777" w:rsidR="00F7114C" w:rsidRDefault="00C8462A" w:rsidP="00F86219">
      <w:pPr>
        <w:adjustRightInd w:val="0"/>
        <w:snapToGrid w:val="0"/>
        <w:spacing w:line="276" w:lineRule="auto"/>
        <w:rPr>
          <w:rFonts w:cs="Arial"/>
        </w:rPr>
      </w:pPr>
      <w:r>
        <w:rPr>
          <w:rFonts w:cs="Arial"/>
        </w:rPr>
        <w:t>T</w:t>
      </w:r>
      <w:r w:rsidR="005A349D" w:rsidRPr="00AC7C2C">
        <w:rPr>
          <w:rFonts w:cs="Arial"/>
        </w:rPr>
        <w:t xml:space="preserve">he ATO has released </w:t>
      </w:r>
      <w:r>
        <w:rPr>
          <w:rFonts w:cs="Arial"/>
        </w:rPr>
        <w:t>various guidance products</w:t>
      </w:r>
      <w:r w:rsidR="005A349D">
        <w:rPr>
          <w:rFonts w:cs="Arial"/>
        </w:rPr>
        <w:t xml:space="preserve"> </w:t>
      </w:r>
      <w:r w:rsidR="005A349D" w:rsidRPr="00AC7C2C">
        <w:rPr>
          <w:rFonts w:cs="Arial"/>
        </w:rPr>
        <w:t xml:space="preserve">outlining its views in relation to </w:t>
      </w:r>
      <w:r>
        <w:rPr>
          <w:rFonts w:cs="Arial"/>
        </w:rPr>
        <w:t>key aspects of LRBAs as discussed</w:t>
      </w:r>
      <w:r w:rsidR="005A349D" w:rsidRPr="00AC7C2C">
        <w:rPr>
          <w:rFonts w:cs="Arial"/>
        </w:rPr>
        <w:t xml:space="preserve"> below. </w:t>
      </w:r>
    </w:p>
    <w:p w14:paraId="578CEFEF" w14:textId="77777777" w:rsidR="005A349D" w:rsidRPr="00AC7C2C" w:rsidRDefault="005A349D" w:rsidP="00F86219">
      <w:pPr>
        <w:adjustRightInd w:val="0"/>
        <w:snapToGrid w:val="0"/>
        <w:spacing w:line="276" w:lineRule="auto"/>
        <w:rPr>
          <w:rFonts w:cs="Arial"/>
        </w:rPr>
      </w:pPr>
    </w:p>
    <w:p w14:paraId="54DD8501" w14:textId="77777777" w:rsidR="00F7114C" w:rsidRPr="00C8462A" w:rsidRDefault="00702DC6" w:rsidP="00F86219">
      <w:pPr>
        <w:adjustRightInd w:val="0"/>
        <w:snapToGrid w:val="0"/>
        <w:spacing w:line="276" w:lineRule="auto"/>
        <w:rPr>
          <w:rFonts w:cs="Arial"/>
          <w:i/>
        </w:rPr>
      </w:pPr>
      <w:r w:rsidRPr="00C8462A">
        <w:rPr>
          <w:rFonts w:cs="Arial"/>
          <w:i/>
        </w:rPr>
        <w:t>LRBA where borrowing is from related party – Practical Compliance Guideline PCG 2016/5</w:t>
      </w:r>
    </w:p>
    <w:p w14:paraId="514467C1" w14:textId="77777777" w:rsidR="005A349D" w:rsidRPr="00AC7C2C" w:rsidRDefault="005A349D" w:rsidP="00F86219">
      <w:pPr>
        <w:adjustRightInd w:val="0"/>
        <w:snapToGrid w:val="0"/>
        <w:spacing w:line="276" w:lineRule="auto"/>
        <w:rPr>
          <w:rFonts w:cs="Arial"/>
        </w:rPr>
      </w:pPr>
    </w:p>
    <w:p w14:paraId="484D42A3" w14:textId="77777777" w:rsidR="00702DC6" w:rsidRPr="00702DC6" w:rsidRDefault="001A121D" w:rsidP="00F86219">
      <w:pPr>
        <w:adjustRightInd w:val="0"/>
        <w:snapToGrid w:val="0"/>
        <w:spacing w:line="276" w:lineRule="auto"/>
        <w:rPr>
          <w:rFonts w:cs="Arial"/>
        </w:rPr>
      </w:pPr>
      <w:r>
        <w:rPr>
          <w:rFonts w:cs="Arial"/>
        </w:rPr>
        <w:t xml:space="preserve">The </w:t>
      </w:r>
      <w:r w:rsidR="00702DC6" w:rsidRPr="00702DC6">
        <w:rPr>
          <w:rFonts w:cs="Arial"/>
        </w:rPr>
        <w:t>ATO</w:t>
      </w:r>
      <w:r>
        <w:rPr>
          <w:rFonts w:cs="Arial"/>
        </w:rPr>
        <w:t xml:space="preserve"> </w:t>
      </w:r>
      <w:r w:rsidR="00702DC6" w:rsidRPr="00702DC6">
        <w:rPr>
          <w:rFonts w:cs="Arial"/>
        </w:rPr>
        <w:t>released Practical Compliance Guideline PCG 2016/</w:t>
      </w:r>
      <w:r>
        <w:rPr>
          <w:rFonts w:cs="Arial"/>
        </w:rPr>
        <w:t>5 to assist trustees of SMSFs</w:t>
      </w:r>
      <w:r w:rsidR="00702DC6" w:rsidRPr="00702DC6">
        <w:rPr>
          <w:rFonts w:cs="Arial"/>
        </w:rPr>
        <w:t xml:space="preserve"> </w:t>
      </w:r>
      <w:r>
        <w:rPr>
          <w:rFonts w:cs="Arial"/>
        </w:rPr>
        <w:t>to structure</w:t>
      </w:r>
      <w:r w:rsidR="00702DC6" w:rsidRPr="00702DC6">
        <w:rPr>
          <w:rFonts w:cs="Arial"/>
        </w:rPr>
        <w:t xml:space="preserve"> </w:t>
      </w:r>
      <w:r>
        <w:rPr>
          <w:rFonts w:cs="Arial"/>
        </w:rPr>
        <w:t>effective LR</w:t>
      </w:r>
      <w:r w:rsidR="00702DC6" w:rsidRPr="00702DC6">
        <w:rPr>
          <w:rFonts w:cs="Arial"/>
        </w:rPr>
        <w:t>BAs where the borrowing is provided by a related party.</w:t>
      </w:r>
    </w:p>
    <w:p w14:paraId="570233CA" w14:textId="77777777" w:rsidR="00702DC6" w:rsidRPr="00702DC6" w:rsidRDefault="00702DC6" w:rsidP="00F86219">
      <w:pPr>
        <w:adjustRightInd w:val="0"/>
        <w:snapToGrid w:val="0"/>
        <w:spacing w:line="276" w:lineRule="auto"/>
        <w:rPr>
          <w:rFonts w:cs="Arial"/>
        </w:rPr>
      </w:pPr>
    </w:p>
    <w:p w14:paraId="0A89BEA7" w14:textId="6944BFB7" w:rsidR="00702DC6" w:rsidRPr="00702DC6" w:rsidRDefault="00702DC6" w:rsidP="00F86219">
      <w:pPr>
        <w:adjustRightInd w:val="0"/>
        <w:snapToGrid w:val="0"/>
        <w:spacing w:line="276" w:lineRule="auto"/>
        <w:rPr>
          <w:rFonts w:cs="Arial"/>
        </w:rPr>
      </w:pPr>
      <w:r w:rsidRPr="00702DC6">
        <w:rPr>
          <w:rFonts w:cs="Arial"/>
        </w:rPr>
        <w:t xml:space="preserve">Where an LRBA with a related party lender is established and the loan is not on commercial terms, the ATO may classify the income from the arrangement as non-arm’s length income </w:t>
      </w:r>
      <w:r w:rsidR="0019225B">
        <w:rPr>
          <w:rFonts w:cs="Arial"/>
        </w:rPr>
        <w:t>(</w:t>
      </w:r>
      <w:r w:rsidR="0019225B" w:rsidRPr="00CF3868">
        <w:rPr>
          <w:rFonts w:cs="Arial"/>
          <w:b/>
          <w:bCs/>
        </w:rPr>
        <w:t>NALI</w:t>
      </w:r>
      <w:r w:rsidR="0019225B">
        <w:rPr>
          <w:rFonts w:cs="Arial"/>
        </w:rPr>
        <w:t xml:space="preserve">) </w:t>
      </w:r>
      <w:r w:rsidRPr="00702DC6">
        <w:rPr>
          <w:rFonts w:cs="Arial"/>
        </w:rPr>
        <w:t xml:space="preserve">under section </w:t>
      </w:r>
      <w:r w:rsidR="005333ED" w:rsidRPr="00702DC6">
        <w:rPr>
          <w:rFonts w:cs="Arial"/>
        </w:rPr>
        <w:t>29</w:t>
      </w:r>
      <w:r w:rsidR="005333ED">
        <w:rPr>
          <w:rFonts w:cs="Arial"/>
        </w:rPr>
        <w:t>5</w:t>
      </w:r>
      <w:r w:rsidRPr="00702DC6">
        <w:rPr>
          <w:rFonts w:cs="Arial"/>
        </w:rPr>
        <w:t xml:space="preserve">-550 of the </w:t>
      </w:r>
      <w:r w:rsidRPr="00CD04FE">
        <w:rPr>
          <w:rFonts w:cs="Arial"/>
          <w:i/>
        </w:rPr>
        <w:t>Income Tax Assessment Act</w:t>
      </w:r>
      <w:r w:rsidR="001A121D">
        <w:rPr>
          <w:rFonts w:cs="Arial"/>
        </w:rPr>
        <w:t xml:space="preserve"> </w:t>
      </w:r>
      <w:r w:rsidRPr="00702DC6">
        <w:rPr>
          <w:rFonts w:cs="Arial"/>
        </w:rPr>
        <w:t>1997</w:t>
      </w:r>
      <w:r w:rsidR="004D481A">
        <w:rPr>
          <w:rFonts w:cs="Arial"/>
        </w:rPr>
        <w:t>,</w:t>
      </w:r>
      <w:r w:rsidR="00F86219">
        <w:rPr>
          <w:rFonts w:cs="Arial"/>
        </w:rPr>
        <w:t xml:space="preserve"> which is subject to tax at 45</w:t>
      </w:r>
      <w:r w:rsidRPr="00702DC6">
        <w:rPr>
          <w:rFonts w:cs="Arial"/>
        </w:rPr>
        <w:t xml:space="preserve">%. </w:t>
      </w:r>
    </w:p>
    <w:p w14:paraId="6163C038" w14:textId="77777777" w:rsidR="00702DC6" w:rsidRPr="00702DC6" w:rsidRDefault="00702DC6" w:rsidP="00F86219">
      <w:pPr>
        <w:adjustRightInd w:val="0"/>
        <w:snapToGrid w:val="0"/>
        <w:spacing w:line="276" w:lineRule="auto"/>
        <w:rPr>
          <w:rFonts w:cs="Arial"/>
        </w:rPr>
      </w:pPr>
    </w:p>
    <w:p w14:paraId="4AD1FCFC" w14:textId="49B1584E" w:rsidR="00F7114C" w:rsidRDefault="00702DC6" w:rsidP="00F86219">
      <w:pPr>
        <w:adjustRightInd w:val="0"/>
        <w:snapToGrid w:val="0"/>
        <w:spacing w:line="276" w:lineRule="auto"/>
        <w:rPr>
          <w:rFonts w:cs="Arial"/>
        </w:rPr>
      </w:pPr>
      <w:r w:rsidRPr="00702DC6">
        <w:rPr>
          <w:rFonts w:cs="Arial"/>
        </w:rPr>
        <w:t>However, if an LRBA is structured in accordance with the terms of certain safe harbours for assets comprising real estate or listed securities set out in PCG 2016/5</w:t>
      </w:r>
      <w:r w:rsidR="007E30CD">
        <w:rPr>
          <w:rFonts w:cs="Arial"/>
        </w:rPr>
        <w:t>,</w:t>
      </w:r>
      <w:r w:rsidRPr="00702DC6">
        <w:rPr>
          <w:rFonts w:cs="Arial"/>
        </w:rPr>
        <w:t xml:space="preserve"> the ATO accepts that the terms of the LRBA will be consistent with an arm’s length dealing as </w:t>
      </w:r>
      <w:r w:rsidR="001A121D">
        <w:rPr>
          <w:rFonts w:cs="Arial"/>
        </w:rPr>
        <w:t xml:space="preserve">effectively </w:t>
      </w:r>
      <w:r w:rsidRPr="00702DC6">
        <w:rPr>
          <w:rFonts w:cs="Arial"/>
        </w:rPr>
        <w:t xml:space="preserve">required in </w:t>
      </w:r>
      <w:r w:rsidR="001A121D">
        <w:rPr>
          <w:rFonts w:cs="Arial"/>
        </w:rPr>
        <w:t>Taxation Determination TD</w:t>
      </w:r>
      <w:r w:rsidR="008A3B03">
        <w:rPr>
          <w:rFonts w:cs="Arial"/>
        </w:rPr>
        <w:t xml:space="preserve"> </w:t>
      </w:r>
      <w:r w:rsidR="001A121D">
        <w:rPr>
          <w:rFonts w:cs="Arial"/>
        </w:rPr>
        <w:t>2016/16</w:t>
      </w:r>
      <w:r>
        <w:rPr>
          <w:rFonts w:cs="Arial"/>
        </w:rPr>
        <w:t>.</w:t>
      </w:r>
    </w:p>
    <w:p w14:paraId="478D58CF" w14:textId="77777777" w:rsidR="007E30CD" w:rsidRDefault="007E30CD" w:rsidP="00F86219">
      <w:pPr>
        <w:adjustRightInd w:val="0"/>
        <w:snapToGrid w:val="0"/>
        <w:spacing w:line="276" w:lineRule="auto"/>
        <w:rPr>
          <w:rFonts w:cs="Arial"/>
        </w:rPr>
      </w:pPr>
    </w:p>
    <w:p w14:paraId="70C03B82" w14:textId="77777777" w:rsidR="007E30CD" w:rsidRDefault="007E30CD" w:rsidP="00F86219">
      <w:pPr>
        <w:adjustRightInd w:val="0"/>
        <w:snapToGrid w:val="0"/>
        <w:spacing w:line="276" w:lineRule="auto"/>
        <w:rPr>
          <w:rFonts w:cs="Arial"/>
        </w:rPr>
      </w:pPr>
    </w:p>
    <w:p w14:paraId="74E324D0" w14:textId="77777777" w:rsidR="0075704A" w:rsidRDefault="0075704A" w:rsidP="00F86219">
      <w:pPr>
        <w:adjustRightInd w:val="0"/>
        <w:snapToGrid w:val="0"/>
        <w:spacing w:line="276" w:lineRule="auto"/>
        <w:ind w:left="360"/>
        <w:rPr>
          <w:rFonts w:cs="Arial"/>
        </w:rPr>
      </w:pPr>
    </w:p>
    <w:p w14:paraId="49083486" w14:textId="77777777" w:rsidR="0075704A" w:rsidRDefault="00702DC6" w:rsidP="00F86219">
      <w:pPr>
        <w:adjustRightInd w:val="0"/>
        <w:snapToGrid w:val="0"/>
        <w:spacing w:line="276" w:lineRule="auto"/>
        <w:rPr>
          <w:rFonts w:cs="Arial"/>
        </w:rPr>
      </w:pPr>
      <w:r w:rsidRPr="00702DC6">
        <w:rPr>
          <w:rFonts w:cs="Arial"/>
        </w:rPr>
        <w:t>Where the SMSF uses the LRBA to acquire real property it must be made on the following terms</w:t>
      </w:r>
      <w:r w:rsidR="0075704A">
        <w:rPr>
          <w:rFonts w:cs="Arial"/>
        </w:rPr>
        <w:t>:</w:t>
      </w:r>
    </w:p>
    <w:p w14:paraId="5AD3E759" w14:textId="77777777" w:rsidR="0045190F" w:rsidRDefault="0045190F" w:rsidP="00F86219">
      <w:pPr>
        <w:adjustRightInd w:val="0"/>
        <w:snapToGrid w:val="0"/>
        <w:spacing w:line="276" w:lineRule="auto"/>
        <w:rPr>
          <w:rFonts w:cs="Arial"/>
        </w:rPr>
      </w:pPr>
    </w:p>
    <w:p w14:paraId="0E5F260A" w14:textId="62568797" w:rsidR="00702DC6" w:rsidRPr="00702DC6" w:rsidRDefault="00DF1999" w:rsidP="00F86219">
      <w:pPr>
        <w:pStyle w:val="ListParagraph"/>
        <w:numPr>
          <w:ilvl w:val="0"/>
          <w:numId w:val="1"/>
        </w:numPr>
        <w:adjustRightInd w:val="0"/>
        <w:snapToGrid w:val="0"/>
        <w:spacing w:line="276" w:lineRule="auto"/>
        <w:ind w:left="786" w:hanging="426"/>
        <w:contextualSpacing w:val="0"/>
        <w:rPr>
          <w:rFonts w:cs="Arial"/>
        </w:rPr>
      </w:pPr>
      <w:r>
        <w:rPr>
          <w:rFonts w:cs="Arial"/>
        </w:rPr>
        <w:t xml:space="preserve">interest rate must be </w:t>
      </w:r>
      <w:r w:rsidR="00F3047D">
        <w:rPr>
          <w:rFonts w:cs="Arial"/>
        </w:rPr>
        <w:t>5.</w:t>
      </w:r>
      <w:r w:rsidR="000317F5">
        <w:rPr>
          <w:rFonts w:cs="Arial"/>
        </w:rPr>
        <w:t>35</w:t>
      </w:r>
      <w:r w:rsidR="00F3047D">
        <w:rPr>
          <w:rFonts w:cs="Arial"/>
        </w:rPr>
        <w:t>% for the year end</w:t>
      </w:r>
      <w:r w:rsidR="001A3E4E">
        <w:rPr>
          <w:rFonts w:cs="Arial"/>
        </w:rPr>
        <w:t>ed</w:t>
      </w:r>
      <w:r w:rsidR="00F3047D">
        <w:rPr>
          <w:rFonts w:cs="Arial"/>
        </w:rPr>
        <w:t xml:space="preserve"> 30 June </w:t>
      </w:r>
      <w:r w:rsidR="008A3B03">
        <w:rPr>
          <w:rFonts w:cs="Arial"/>
        </w:rPr>
        <w:t>202</w:t>
      </w:r>
      <w:r w:rsidR="000317F5">
        <w:rPr>
          <w:rFonts w:cs="Arial"/>
        </w:rPr>
        <w:t>3</w:t>
      </w:r>
      <w:r w:rsidR="008A3B03">
        <w:rPr>
          <w:rFonts w:cs="Arial"/>
        </w:rPr>
        <w:t xml:space="preserve"> </w:t>
      </w:r>
      <w:r w:rsidR="00702DC6" w:rsidRPr="00702DC6">
        <w:rPr>
          <w:rFonts w:cs="Arial"/>
        </w:rPr>
        <w:t>and may be variable o</w:t>
      </w:r>
      <w:r w:rsidR="00CD04FE">
        <w:rPr>
          <w:rFonts w:cs="Arial"/>
        </w:rPr>
        <w:t>r fixed depending on loan term</w:t>
      </w:r>
    </w:p>
    <w:p w14:paraId="734305E7" w14:textId="77777777"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l</w:t>
      </w:r>
      <w:r w:rsidR="00CD04FE">
        <w:rPr>
          <w:rFonts w:cs="Arial"/>
        </w:rPr>
        <w:t>oan term cannot exceed 15 years</w:t>
      </w:r>
    </w:p>
    <w:p w14:paraId="6D465890" w14:textId="77777777"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loan-to-value ratio is capped to 70%</w:t>
      </w:r>
    </w:p>
    <w:p w14:paraId="3EC09103" w14:textId="20A87AC7"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 xml:space="preserve">repayments of interest and </w:t>
      </w:r>
      <w:r w:rsidR="00CD04FE">
        <w:rPr>
          <w:rFonts w:cs="Arial"/>
        </w:rPr>
        <w:t>principal must be made monthly</w:t>
      </w:r>
    </w:p>
    <w:p w14:paraId="7C87EDF0" w14:textId="34544AF2"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registered mortgage ov</w:t>
      </w:r>
      <w:r w:rsidR="00CD04FE">
        <w:rPr>
          <w:rFonts w:cs="Arial"/>
        </w:rPr>
        <w:t>er the property is required</w:t>
      </w:r>
    </w:p>
    <w:p w14:paraId="05C005D4" w14:textId="77777777" w:rsid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loan agreement must be in writing and properly executed.</w:t>
      </w:r>
    </w:p>
    <w:p w14:paraId="32AC5063" w14:textId="77777777" w:rsidR="00702DC6" w:rsidRDefault="00702DC6" w:rsidP="00F86219">
      <w:pPr>
        <w:adjustRightInd w:val="0"/>
        <w:snapToGrid w:val="0"/>
        <w:spacing w:line="276" w:lineRule="auto"/>
        <w:rPr>
          <w:rFonts w:cs="Arial"/>
        </w:rPr>
      </w:pPr>
    </w:p>
    <w:p w14:paraId="1794AC8D" w14:textId="77777777" w:rsidR="00702DC6" w:rsidRPr="00702DC6" w:rsidRDefault="00702DC6" w:rsidP="00F86219">
      <w:pPr>
        <w:adjustRightInd w:val="0"/>
        <w:snapToGrid w:val="0"/>
        <w:spacing w:line="276" w:lineRule="auto"/>
        <w:rPr>
          <w:rFonts w:cs="Arial"/>
        </w:rPr>
      </w:pPr>
      <w:r w:rsidRPr="00702DC6">
        <w:rPr>
          <w:rFonts w:cs="Arial"/>
        </w:rPr>
        <w:t>By contrast, where the SMSF uses the LRBA to acquire listed securities it must be made on the following basis:</w:t>
      </w:r>
    </w:p>
    <w:p w14:paraId="3DAC54BF" w14:textId="77777777" w:rsidR="00702DC6" w:rsidRPr="00702DC6" w:rsidRDefault="00702DC6" w:rsidP="00F86219">
      <w:pPr>
        <w:adjustRightInd w:val="0"/>
        <w:snapToGrid w:val="0"/>
        <w:spacing w:line="276" w:lineRule="auto"/>
        <w:rPr>
          <w:rFonts w:cs="Arial"/>
        </w:rPr>
      </w:pPr>
    </w:p>
    <w:p w14:paraId="173BEDB8" w14:textId="0C2C2A8E" w:rsidR="00702DC6" w:rsidRPr="00702DC6" w:rsidRDefault="00F86219" w:rsidP="00F86219">
      <w:pPr>
        <w:pStyle w:val="ListParagraph"/>
        <w:numPr>
          <w:ilvl w:val="0"/>
          <w:numId w:val="1"/>
        </w:numPr>
        <w:adjustRightInd w:val="0"/>
        <w:snapToGrid w:val="0"/>
        <w:spacing w:line="276" w:lineRule="auto"/>
        <w:ind w:left="786" w:hanging="426"/>
        <w:contextualSpacing w:val="0"/>
        <w:rPr>
          <w:rFonts w:cs="Arial"/>
        </w:rPr>
      </w:pPr>
      <w:r>
        <w:rPr>
          <w:rFonts w:cs="Arial"/>
        </w:rPr>
        <w:t xml:space="preserve">interest rate must be </w:t>
      </w:r>
      <w:r w:rsidR="001F1E9E">
        <w:rPr>
          <w:rFonts w:cs="Arial"/>
        </w:rPr>
        <w:t>7.</w:t>
      </w:r>
      <w:r w:rsidR="0073258C">
        <w:rPr>
          <w:rFonts w:cs="Arial"/>
        </w:rPr>
        <w:t>35</w:t>
      </w:r>
      <w:r w:rsidR="001F1E9E">
        <w:rPr>
          <w:rFonts w:cs="Arial"/>
        </w:rPr>
        <w:t>% for the year end</w:t>
      </w:r>
      <w:r w:rsidR="001A3E4E">
        <w:rPr>
          <w:rFonts w:cs="Arial"/>
        </w:rPr>
        <w:t>ed</w:t>
      </w:r>
      <w:r w:rsidR="001F1E9E">
        <w:rPr>
          <w:rFonts w:cs="Arial"/>
        </w:rPr>
        <w:t xml:space="preserve"> 30 June </w:t>
      </w:r>
      <w:r w:rsidR="008A3B03">
        <w:rPr>
          <w:rFonts w:cs="Arial"/>
        </w:rPr>
        <w:t>202</w:t>
      </w:r>
      <w:r w:rsidR="0073258C">
        <w:rPr>
          <w:rFonts w:cs="Arial"/>
        </w:rPr>
        <w:t>3</w:t>
      </w:r>
      <w:r w:rsidR="001F1E9E">
        <w:rPr>
          <w:rFonts w:cs="Arial"/>
        </w:rPr>
        <w:t xml:space="preserve"> </w:t>
      </w:r>
      <w:r w:rsidR="00702DC6" w:rsidRPr="00702DC6">
        <w:rPr>
          <w:rFonts w:cs="Arial"/>
        </w:rPr>
        <w:t>and may be variable or fixed depe</w:t>
      </w:r>
      <w:r w:rsidR="00CD04FE">
        <w:rPr>
          <w:rFonts w:cs="Arial"/>
        </w:rPr>
        <w:t>nding on certain factors</w:t>
      </w:r>
    </w:p>
    <w:p w14:paraId="711B6683" w14:textId="0A0531DD" w:rsidR="00702DC6" w:rsidRPr="00702DC6" w:rsidRDefault="00CD04FE" w:rsidP="00F86219">
      <w:pPr>
        <w:pStyle w:val="ListParagraph"/>
        <w:numPr>
          <w:ilvl w:val="0"/>
          <w:numId w:val="1"/>
        </w:numPr>
        <w:adjustRightInd w:val="0"/>
        <w:snapToGrid w:val="0"/>
        <w:spacing w:line="276" w:lineRule="auto"/>
        <w:ind w:left="786" w:hanging="426"/>
        <w:contextualSpacing w:val="0"/>
        <w:rPr>
          <w:rFonts w:cs="Arial"/>
        </w:rPr>
      </w:pPr>
      <w:r>
        <w:rPr>
          <w:rFonts w:cs="Arial"/>
        </w:rPr>
        <w:t xml:space="preserve">loan term cannot exceed </w:t>
      </w:r>
      <w:r w:rsidR="00CF3868">
        <w:rPr>
          <w:rFonts w:cs="Arial"/>
        </w:rPr>
        <w:t>seven</w:t>
      </w:r>
      <w:r>
        <w:rPr>
          <w:rFonts w:cs="Arial"/>
        </w:rPr>
        <w:t xml:space="preserve"> years</w:t>
      </w:r>
    </w:p>
    <w:p w14:paraId="4338920C" w14:textId="77777777"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loan-</w:t>
      </w:r>
      <w:r w:rsidR="00CD04FE">
        <w:rPr>
          <w:rFonts w:cs="Arial"/>
        </w:rPr>
        <w:t>to-value ratio is capped to 50%</w:t>
      </w:r>
    </w:p>
    <w:p w14:paraId="6C47A3E8" w14:textId="77777777"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 xml:space="preserve">repayments of interest and </w:t>
      </w:r>
      <w:r w:rsidR="00CD04FE">
        <w:rPr>
          <w:rFonts w:cs="Arial"/>
        </w:rPr>
        <w:t>principal must be made monthly</w:t>
      </w:r>
    </w:p>
    <w:p w14:paraId="1367FB69" w14:textId="3240A9B0"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registered mortgage or s</w:t>
      </w:r>
      <w:r w:rsidR="00CD04FE">
        <w:rPr>
          <w:rFonts w:cs="Arial"/>
        </w:rPr>
        <w:t>imilar security is required</w:t>
      </w:r>
    </w:p>
    <w:p w14:paraId="1724B600" w14:textId="77777777"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loan agreement must be in writing and properly executed.</w:t>
      </w:r>
    </w:p>
    <w:p w14:paraId="7666E315" w14:textId="1EF876CE" w:rsidR="005A349D" w:rsidRDefault="005A349D" w:rsidP="00F86219">
      <w:pPr>
        <w:keepNext/>
        <w:adjustRightInd w:val="0"/>
        <w:snapToGrid w:val="0"/>
        <w:spacing w:line="276" w:lineRule="auto"/>
        <w:rPr>
          <w:rFonts w:cs="Arial"/>
        </w:rPr>
      </w:pPr>
    </w:p>
    <w:p w14:paraId="3CF282E5" w14:textId="4B0E4B89" w:rsidR="00663F20" w:rsidRPr="001E6467" w:rsidRDefault="00BE7289" w:rsidP="00F86219">
      <w:pPr>
        <w:keepNext/>
        <w:adjustRightInd w:val="0"/>
        <w:snapToGrid w:val="0"/>
        <w:spacing w:line="276" w:lineRule="auto"/>
        <w:rPr>
          <w:rFonts w:cs="Arial"/>
          <w:i/>
        </w:rPr>
      </w:pPr>
      <w:r w:rsidRPr="001E6467">
        <w:rPr>
          <w:rFonts w:cs="Arial"/>
          <w:i/>
        </w:rPr>
        <w:t>Practical Compliance Guideline PCG 2020/5</w:t>
      </w:r>
    </w:p>
    <w:p w14:paraId="7E74B3F0" w14:textId="5E27F0FA" w:rsidR="00BE7289" w:rsidRDefault="00BE7289" w:rsidP="00F86219">
      <w:pPr>
        <w:keepNext/>
        <w:adjustRightInd w:val="0"/>
        <w:snapToGrid w:val="0"/>
        <w:spacing w:line="276" w:lineRule="auto"/>
        <w:rPr>
          <w:rFonts w:cs="Arial"/>
        </w:rPr>
      </w:pPr>
    </w:p>
    <w:p w14:paraId="739B8D14" w14:textId="05697E61" w:rsidR="00633BB4" w:rsidRDefault="00BE7289" w:rsidP="00F86219">
      <w:pPr>
        <w:keepNext/>
        <w:adjustRightInd w:val="0"/>
        <w:snapToGrid w:val="0"/>
        <w:spacing w:line="276" w:lineRule="auto"/>
        <w:rPr>
          <w:rFonts w:cs="Arial"/>
        </w:rPr>
      </w:pPr>
      <w:r>
        <w:rPr>
          <w:rFonts w:cs="Arial"/>
        </w:rPr>
        <w:t xml:space="preserve">To be read in conjunction with </w:t>
      </w:r>
      <w:r w:rsidRPr="001E6467">
        <w:rPr>
          <w:rFonts w:cs="Arial"/>
          <w:i/>
        </w:rPr>
        <w:t xml:space="preserve">Law Companion Ruling LCR </w:t>
      </w:r>
      <w:r w:rsidR="00DD4745">
        <w:rPr>
          <w:rFonts w:cs="Arial"/>
          <w:i/>
        </w:rPr>
        <w:t>2021/2</w:t>
      </w:r>
      <w:r>
        <w:rPr>
          <w:rFonts w:cs="Arial"/>
        </w:rPr>
        <w:t xml:space="preserve">, PCG 2020/5 </w:t>
      </w:r>
      <w:r w:rsidR="00633BB4">
        <w:rPr>
          <w:rFonts w:cs="Arial"/>
        </w:rPr>
        <w:t xml:space="preserve">provides guidance on amounts the ATO will consider NALI where LRBAs are not entered into on complying terms, or within the relevant safe harbours identified by PCG 2016/5. </w:t>
      </w:r>
      <w:r w:rsidR="0019225B">
        <w:rPr>
          <w:rFonts w:cs="Arial"/>
        </w:rPr>
        <w:t>As mentioned above, t</w:t>
      </w:r>
      <w:r w:rsidR="00633BB4">
        <w:rPr>
          <w:rFonts w:cs="Arial"/>
        </w:rPr>
        <w:t>o the extent an amount of income is NALI, this income will be taxed at the top marginal tax rate</w:t>
      </w:r>
      <w:r w:rsidR="00703E13">
        <w:rPr>
          <w:rFonts w:cs="Arial"/>
        </w:rPr>
        <w:t xml:space="preserve"> rather than the SMSF concessional rate of 15%</w:t>
      </w:r>
      <w:r w:rsidR="00633BB4">
        <w:rPr>
          <w:rFonts w:cs="Arial"/>
        </w:rPr>
        <w:t>.</w:t>
      </w:r>
    </w:p>
    <w:p w14:paraId="1CB2FFFC" w14:textId="77777777" w:rsidR="00633BB4" w:rsidRDefault="00633BB4" w:rsidP="00F86219">
      <w:pPr>
        <w:keepNext/>
        <w:adjustRightInd w:val="0"/>
        <w:snapToGrid w:val="0"/>
        <w:spacing w:line="276" w:lineRule="auto"/>
        <w:rPr>
          <w:rFonts w:cs="Arial"/>
        </w:rPr>
      </w:pPr>
    </w:p>
    <w:p w14:paraId="3D548B26" w14:textId="2C0B2B1D" w:rsidR="00BE7289" w:rsidRDefault="00703E13" w:rsidP="00F86219">
      <w:pPr>
        <w:keepNext/>
        <w:adjustRightInd w:val="0"/>
        <w:snapToGrid w:val="0"/>
        <w:spacing w:line="276" w:lineRule="auto"/>
        <w:rPr>
          <w:rFonts w:cs="Arial"/>
        </w:rPr>
      </w:pPr>
      <w:r>
        <w:rPr>
          <w:rFonts w:cs="Arial"/>
        </w:rPr>
        <w:t xml:space="preserve">In accordance with the draft Ruling, NALI may also be identified by reference to </w:t>
      </w:r>
      <w:r w:rsidR="00C7419D">
        <w:rPr>
          <w:rFonts w:cs="Arial"/>
        </w:rPr>
        <w:t>non-a</w:t>
      </w:r>
      <w:r w:rsidR="00804A74">
        <w:rPr>
          <w:rFonts w:cs="Arial"/>
        </w:rPr>
        <w:t xml:space="preserve">rm’s </w:t>
      </w:r>
      <w:r w:rsidR="00C7419D">
        <w:rPr>
          <w:rFonts w:cs="Arial"/>
        </w:rPr>
        <w:t xml:space="preserve">length expenditure </w:t>
      </w:r>
      <w:r w:rsidR="00804A74">
        <w:rPr>
          <w:rFonts w:cs="Arial"/>
        </w:rPr>
        <w:t>(</w:t>
      </w:r>
      <w:r w:rsidR="00804A74" w:rsidRPr="00CF3868">
        <w:rPr>
          <w:rFonts w:cs="Arial"/>
          <w:b/>
          <w:bCs/>
        </w:rPr>
        <w:t>NALE</w:t>
      </w:r>
      <w:r w:rsidR="00804A74">
        <w:rPr>
          <w:rFonts w:cs="Arial"/>
        </w:rPr>
        <w:t>)</w:t>
      </w:r>
      <w:r w:rsidR="00CF3EBD">
        <w:rPr>
          <w:rFonts w:cs="Arial"/>
        </w:rPr>
        <w:t>, particularly where the SMSF accepts discounted services</w:t>
      </w:r>
      <w:r>
        <w:rPr>
          <w:rFonts w:cs="Arial"/>
        </w:rPr>
        <w:t>. To the extent that the expenditure results in the SMSF incurring a loss, outgoing or expenditure (or the absence of such things in certain circumstances), the related income may also be assessed as NALI at the punitive marginal tax rate.</w:t>
      </w:r>
    </w:p>
    <w:p w14:paraId="07F2C47F" w14:textId="0768E5F3" w:rsidR="00C7419D" w:rsidRDefault="00C7419D" w:rsidP="00F86219">
      <w:pPr>
        <w:keepNext/>
        <w:adjustRightInd w:val="0"/>
        <w:snapToGrid w:val="0"/>
        <w:spacing w:line="276" w:lineRule="auto"/>
        <w:rPr>
          <w:rFonts w:cs="Arial"/>
        </w:rPr>
      </w:pPr>
    </w:p>
    <w:p w14:paraId="5E4A5C63" w14:textId="15693D97" w:rsidR="00C7419D" w:rsidRDefault="00C7419D" w:rsidP="00F86219">
      <w:pPr>
        <w:keepNext/>
        <w:adjustRightInd w:val="0"/>
        <w:snapToGrid w:val="0"/>
        <w:spacing w:line="276" w:lineRule="auto"/>
        <w:rPr>
          <w:rFonts w:cs="Arial"/>
        </w:rPr>
      </w:pPr>
      <w:r>
        <w:rPr>
          <w:rFonts w:cs="Arial"/>
        </w:rPr>
        <w:t xml:space="preserve">The ATO has announced that the transitional compliance approach in PCG 2020/5 </w:t>
      </w:r>
      <w:r w:rsidR="00501574">
        <w:rPr>
          <w:rFonts w:cs="Arial"/>
        </w:rPr>
        <w:t>will be</w:t>
      </w:r>
      <w:r w:rsidR="0011416F">
        <w:rPr>
          <w:rFonts w:cs="Arial"/>
        </w:rPr>
        <w:t xml:space="preserve"> available for</w:t>
      </w:r>
      <w:r w:rsidR="00501574">
        <w:rPr>
          <w:rFonts w:cs="Arial"/>
        </w:rPr>
        <w:t xml:space="preserve"> the income years from 2018-19</w:t>
      </w:r>
      <w:r w:rsidR="0000564D">
        <w:rPr>
          <w:rFonts w:cs="Arial"/>
        </w:rPr>
        <w:t xml:space="preserve"> to </w:t>
      </w:r>
      <w:r w:rsidR="00501574">
        <w:rPr>
          <w:rFonts w:cs="Arial"/>
        </w:rPr>
        <w:t>2022-23</w:t>
      </w:r>
      <w:r w:rsidR="0011416F">
        <w:rPr>
          <w:rFonts w:cs="Arial"/>
        </w:rPr>
        <w:t>.</w:t>
      </w:r>
      <w:r w:rsidR="0052742E">
        <w:rPr>
          <w:rFonts w:cs="Arial"/>
        </w:rPr>
        <w:t xml:space="preserve"> </w:t>
      </w:r>
      <w:r w:rsidR="008F6203">
        <w:rPr>
          <w:rFonts w:cs="Arial"/>
        </w:rPr>
        <w:t>.</w:t>
      </w:r>
      <w:r w:rsidR="00464B00">
        <w:rPr>
          <w:rFonts w:cs="Arial"/>
        </w:rPr>
        <w:t xml:space="preserve"> </w:t>
      </w:r>
    </w:p>
    <w:p w14:paraId="5D006092" w14:textId="77777777" w:rsidR="00663F20" w:rsidRDefault="00663F20" w:rsidP="00F86219">
      <w:pPr>
        <w:keepNext/>
        <w:adjustRightInd w:val="0"/>
        <w:snapToGrid w:val="0"/>
        <w:spacing w:line="276" w:lineRule="auto"/>
        <w:rPr>
          <w:rFonts w:cs="Arial"/>
        </w:rPr>
      </w:pPr>
    </w:p>
    <w:p w14:paraId="33374F46" w14:textId="391B85E7" w:rsidR="00911EDC" w:rsidRPr="001E6467" w:rsidRDefault="00911EDC" w:rsidP="00F86219">
      <w:pPr>
        <w:keepNext/>
        <w:adjustRightInd w:val="0"/>
        <w:snapToGrid w:val="0"/>
        <w:spacing w:line="276" w:lineRule="auto"/>
        <w:rPr>
          <w:rFonts w:cs="Arial"/>
          <w:i/>
        </w:rPr>
      </w:pPr>
      <w:r w:rsidRPr="001E6467">
        <w:rPr>
          <w:rFonts w:cs="Arial"/>
          <w:i/>
        </w:rPr>
        <w:t xml:space="preserve">SMSF Regulator’s Bulletin </w:t>
      </w:r>
      <w:r>
        <w:rPr>
          <w:rFonts w:cs="Arial"/>
          <w:i/>
        </w:rPr>
        <w:t xml:space="preserve">SMSFRB </w:t>
      </w:r>
      <w:r w:rsidRPr="001E6467">
        <w:rPr>
          <w:rFonts w:cs="Arial"/>
          <w:i/>
        </w:rPr>
        <w:t>2020/1</w:t>
      </w:r>
    </w:p>
    <w:p w14:paraId="647B5EE9" w14:textId="3E1CEE40" w:rsidR="00911EDC" w:rsidRDefault="00911EDC" w:rsidP="00F86219">
      <w:pPr>
        <w:keepNext/>
        <w:adjustRightInd w:val="0"/>
        <w:snapToGrid w:val="0"/>
        <w:spacing w:line="276" w:lineRule="auto"/>
        <w:rPr>
          <w:rFonts w:cs="Arial"/>
        </w:rPr>
      </w:pPr>
    </w:p>
    <w:p w14:paraId="20BF92CF" w14:textId="6441D8F4" w:rsidR="00911EDC" w:rsidRDefault="00911EDC" w:rsidP="00F86219">
      <w:pPr>
        <w:keepNext/>
        <w:adjustRightInd w:val="0"/>
        <w:snapToGrid w:val="0"/>
        <w:spacing w:line="276" w:lineRule="auto"/>
        <w:rPr>
          <w:rFonts w:cs="Arial"/>
        </w:rPr>
      </w:pPr>
      <w:r>
        <w:rPr>
          <w:rFonts w:cs="Arial"/>
        </w:rPr>
        <w:t xml:space="preserve">The ATO has outlined its concerns for SMSFs entering into certain arrangements involving the purchase and development of real property for subsequent disposal or leasing. </w:t>
      </w:r>
      <w:r w:rsidR="00391124">
        <w:rPr>
          <w:rFonts w:cs="Arial"/>
        </w:rPr>
        <w:t>While the Bulletin considers a variety of issues, in this context</w:t>
      </w:r>
      <w:r>
        <w:rPr>
          <w:rFonts w:cs="Arial"/>
        </w:rPr>
        <w:t>, the ATO request</w:t>
      </w:r>
      <w:r w:rsidR="00391124">
        <w:rPr>
          <w:rFonts w:cs="Arial"/>
        </w:rPr>
        <w:t>s</w:t>
      </w:r>
      <w:r>
        <w:rPr>
          <w:rFonts w:cs="Arial"/>
        </w:rPr>
        <w:t xml:space="preserve"> that SMSF trustee</w:t>
      </w:r>
      <w:r w:rsidR="00391124">
        <w:rPr>
          <w:rFonts w:cs="Arial"/>
        </w:rPr>
        <w:t>s</w:t>
      </w:r>
      <w:r>
        <w:rPr>
          <w:rFonts w:cs="Arial"/>
        </w:rPr>
        <w:t xml:space="preserve"> regularly review arrangement</w:t>
      </w:r>
      <w:r w:rsidR="004D1863">
        <w:rPr>
          <w:rFonts w:cs="Arial"/>
        </w:rPr>
        <w:t>s</w:t>
      </w:r>
      <w:r>
        <w:rPr>
          <w:rFonts w:cs="Arial"/>
        </w:rPr>
        <w:t xml:space="preserve"> to ensure that there are no breaches of various </w:t>
      </w:r>
      <w:r w:rsidR="00616426" w:rsidRPr="00616426">
        <w:rPr>
          <w:rFonts w:cs="Arial"/>
          <w:i/>
          <w:iCs/>
        </w:rPr>
        <w:t>SIS Act</w:t>
      </w:r>
      <w:r>
        <w:rPr>
          <w:rFonts w:cs="Arial"/>
        </w:rPr>
        <w:t xml:space="preserve"> provisions, including</w:t>
      </w:r>
      <w:r w:rsidR="001B76CA">
        <w:rPr>
          <w:rFonts w:cs="Arial"/>
        </w:rPr>
        <w:t xml:space="preserve"> whether the arrangement satisfies the LRBA borrowing requirement conditions as set out above.</w:t>
      </w:r>
    </w:p>
    <w:p w14:paraId="353D7278" w14:textId="77777777" w:rsidR="00911EDC" w:rsidRDefault="00911EDC" w:rsidP="00911EDC">
      <w:pPr>
        <w:keepNext/>
        <w:adjustRightInd w:val="0"/>
        <w:snapToGrid w:val="0"/>
        <w:spacing w:line="276" w:lineRule="auto"/>
        <w:rPr>
          <w:rFonts w:cs="Arial"/>
        </w:rPr>
      </w:pPr>
    </w:p>
    <w:p w14:paraId="64228899" w14:textId="77777777" w:rsidR="00F7114C" w:rsidRPr="00DF1999" w:rsidRDefault="00F7114C" w:rsidP="00F86219">
      <w:pPr>
        <w:keepNext/>
        <w:adjustRightInd w:val="0"/>
        <w:snapToGrid w:val="0"/>
        <w:spacing w:line="276" w:lineRule="auto"/>
        <w:rPr>
          <w:rFonts w:cs="Arial"/>
          <w:i/>
        </w:rPr>
      </w:pPr>
      <w:r w:rsidRPr="00DF1999">
        <w:rPr>
          <w:rFonts w:cs="Arial"/>
          <w:i/>
        </w:rPr>
        <w:t>Refinancing - ATO ID 2010/169</w:t>
      </w:r>
    </w:p>
    <w:p w14:paraId="1BDF4C0C" w14:textId="77777777" w:rsidR="005A349D" w:rsidRDefault="005A349D" w:rsidP="00F86219">
      <w:pPr>
        <w:adjustRightInd w:val="0"/>
        <w:snapToGrid w:val="0"/>
        <w:spacing w:line="276" w:lineRule="auto"/>
        <w:rPr>
          <w:rFonts w:cs="Arial"/>
        </w:rPr>
      </w:pPr>
    </w:p>
    <w:p w14:paraId="60752281" w14:textId="50749DC6" w:rsidR="005A349D" w:rsidRDefault="005A349D" w:rsidP="00F86219">
      <w:pPr>
        <w:adjustRightInd w:val="0"/>
        <w:snapToGrid w:val="0"/>
        <w:spacing w:line="276" w:lineRule="auto"/>
        <w:rPr>
          <w:rFonts w:cs="Arial"/>
        </w:rPr>
      </w:pPr>
      <w:r>
        <w:rPr>
          <w:rFonts w:cs="Arial"/>
        </w:rPr>
        <w:t xml:space="preserve">Arrangements entered into by SMSF trustees before 7 July 2010 can be refinanced </w:t>
      </w:r>
      <w:r w:rsidR="00702DC6">
        <w:rPr>
          <w:rFonts w:cs="Arial"/>
        </w:rPr>
        <w:t xml:space="preserve">as </w:t>
      </w:r>
      <w:r w:rsidR="009E1CCD">
        <w:rPr>
          <w:rFonts w:cs="Arial"/>
        </w:rPr>
        <w:t xml:space="preserve">an LRBA </w:t>
      </w:r>
      <w:r>
        <w:rPr>
          <w:rFonts w:cs="Arial"/>
        </w:rPr>
        <w:t xml:space="preserve">after this date without contravening the general borrowing prohibition rules </w:t>
      </w:r>
      <w:r w:rsidR="004D481A">
        <w:rPr>
          <w:rFonts w:cs="Arial"/>
        </w:rPr>
        <w:t xml:space="preserve">under section 67 of the </w:t>
      </w:r>
      <w:r w:rsidR="00616426" w:rsidRPr="00616426">
        <w:rPr>
          <w:rFonts w:cs="Arial"/>
          <w:i/>
          <w:iCs/>
        </w:rPr>
        <w:t>SIS Act</w:t>
      </w:r>
      <w:r w:rsidR="00702DC6">
        <w:rPr>
          <w:rFonts w:cs="Arial"/>
        </w:rPr>
        <w:t xml:space="preserve"> </w:t>
      </w:r>
      <w:r>
        <w:rPr>
          <w:rFonts w:cs="Arial"/>
        </w:rPr>
        <w:t>provided that:</w:t>
      </w:r>
    </w:p>
    <w:p w14:paraId="08B986E8" w14:textId="77777777" w:rsidR="005A349D" w:rsidRDefault="005A349D" w:rsidP="00F86219">
      <w:pPr>
        <w:adjustRightInd w:val="0"/>
        <w:snapToGrid w:val="0"/>
        <w:spacing w:line="276" w:lineRule="auto"/>
        <w:rPr>
          <w:rFonts w:cs="Arial"/>
        </w:rPr>
      </w:pPr>
    </w:p>
    <w:p w14:paraId="5079362A" w14:textId="77777777" w:rsidR="005A349D" w:rsidRDefault="005A349D" w:rsidP="00F86219">
      <w:pPr>
        <w:pStyle w:val="ListParagraph"/>
        <w:numPr>
          <w:ilvl w:val="0"/>
          <w:numId w:val="1"/>
        </w:numPr>
        <w:adjustRightInd w:val="0"/>
        <w:snapToGrid w:val="0"/>
        <w:spacing w:line="276" w:lineRule="auto"/>
        <w:ind w:left="786" w:hanging="426"/>
        <w:contextualSpacing w:val="0"/>
        <w:rPr>
          <w:rFonts w:cs="Arial"/>
        </w:rPr>
      </w:pPr>
      <w:r>
        <w:rPr>
          <w:rFonts w:cs="Arial"/>
        </w:rPr>
        <w:lastRenderedPageBreak/>
        <w:t>the money borrowed under the refinance</w:t>
      </w:r>
      <w:r w:rsidR="00DF1999">
        <w:rPr>
          <w:rFonts w:cs="Arial"/>
        </w:rPr>
        <w:t>d</w:t>
      </w:r>
      <w:r>
        <w:rPr>
          <w:rFonts w:cs="Arial"/>
        </w:rPr>
        <w:t xml:space="preserve"> arrangement is applied solely for the purpose of replacing the initial financing arrangement</w:t>
      </w:r>
    </w:p>
    <w:p w14:paraId="551FD8D3" w14:textId="313FFCD1" w:rsidR="005A349D" w:rsidRDefault="005A349D" w:rsidP="00F86219">
      <w:pPr>
        <w:pStyle w:val="ListParagraph"/>
        <w:numPr>
          <w:ilvl w:val="0"/>
          <w:numId w:val="1"/>
        </w:numPr>
        <w:adjustRightInd w:val="0"/>
        <w:snapToGrid w:val="0"/>
        <w:spacing w:line="276" w:lineRule="auto"/>
        <w:ind w:left="786" w:hanging="426"/>
        <w:contextualSpacing w:val="0"/>
        <w:rPr>
          <w:rFonts w:cs="Arial"/>
        </w:rPr>
      </w:pPr>
      <w:r>
        <w:rPr>
          <w:rFonts w:cs="Arial"/>
        </w:rPr>
        <w:t>the refinanced arrangement meets the require</w:t>
      </w:r>
      <w:r w:rsidR="00DF1999">
        <w:rPr>
          <w:rFonts w:cs="Arial"/>
        </w:rPr>
        <w:t xml:space="preserve">ments of section 67A of the </w:t>
      </w:r>
      <w:r w:rsidR="00616426" w:rsidRPr="00616426">
        <w:rPr>
          <w:rFonts w:cs="Arial"/>
          <w:i/>
          <w:iCs/>
        </w:rPr>
        <w:t>SIS Act</w:t>
      </w:r>
    </w:p>
    <w:p w14:paraId="41CE0240" w14:textId="77777777" w:rsidR="005A349D" w:rsidRDefault="005A349D" w:rsidP="00F86219">
      <w:pPr>
        <w:pStyle w:val="ListParagraph"/>
        <w:numPr>
          <w:ilvl w:val="0"/>
          <w:numId w:val="1"/>
        </w:numPr>
        <w:adjustRightInd w:val="0"/>
        <w:snapToGrid w:val="0"/>
        <w:spacing w:line="276" w:lineRule="auto"/>
        <w:ind w:left="786" w:hanging="426"/>
        <w:contextualSpacing w:val="0"/>
        <w:rPr>
          <w:rFonts w:cs="Arial"/>
        </w:rPr>
      </w:pPr>
      <w:r>
        <w:rPr>
          <w:rFonts w:cs="Arial"/>
        </w:rPr>
        <w:t>when changing to the new arrangement, the SMSF trustee does not temporarily acquire the legal ownership of the asset.</w:t>
      </w:r>
    </w:p>
    <w:p w14:paraId="173924CC" w14:textId="77777777" w:rsidR="005A349D" w:rsidRPr="00AC7C2C" w:rsidRDefault="005A349D" w:rsidP="00F86219">
      <w:pPr>
        <w:adjustRightInd w:val="0"/>
        <w:snapToGrid w:val="0"/>
        <w:spacing w:line="276" w:lineRule="auto"/>
        <w:rPr>
          <w:rFonts w:cs="Arial"/>
        </w:rPr>
      </w:pPr>
    </w:p>
    <w:p w14:paraId="06456DE5" w14:textId="77777777" w:rsidR="00F7114C" w:rsidRPr="00DF1999" w:rsidRDefault="00F7114C" w:rsidP="00F86219">
      <w:pPr>
        <w:adjustRightInd w:val="0"/>
        <w:snapToGrid w:val="0"/>
        <w:spacing w:line="276" w:lineRule="auto"/>
        <w:rPr>
          <w:rFonts w:cs="Arial"/>
        </w:rPr>
      </w:pPr>
      <w:r w:rsidRPr="00DF1999">
        <w:rPr>
          <w:rFonts w:cs="Arial"/>
          <w:i/>
        </w:rPr>
        <w:t>In-house assets exemption – Self Managed Superannuation Funds (Limited Recourse Borrowing Arrangements – In-house Asset Exclusion) Determination 2014</w:t>
      </w:r>
    </w:p>
    <w:p w14:paraId="30959E1E" w14:textId="77777777" w:rsidR="005A349D" w:rsidRDefault="005A349D" w:rsidP="00F86219">
      <w:pPr>
        <w:adjustRightInd w:val="0"/>
        <w:snapToGrid w:val="0"/>
        <w:spacing w:line="276" w:lineRule="auto"/>
        <w:rPr>
          <w:rFonts w:cs="Arial"/>
        </w:rPr>
      </w:pPr>
    </w:p>
    <w:p w14:paraId="76DFBA04" w14:textId="037C3657" w:rsidR="00F7114C" w:rsidRDefault="005A349D" w:rsidP="00F86219">
      <w:pPr>
        <w:adjustRightInd w:val="0"/>
        <w:snapToGrid w:val="0"/>
        <w:spacing w:line="276" w:lineRule="auto"/>
        <w:rPr>
          <w:rFonts w:cs="Arial"/>
        </w:rPr>
      </w:pPr>
      <w:r>
        <w:rPr>
          <w:rFonts w:cs="Arial"/>
        </w:rPr>
        <w:t xml:space="preserve">This Determination ensures that an SMSF investment in a holding trust in </w:t>
      </w:r>
      <w:r w:rsidR="0026160C">
        <w:rPr>
          <w:rFonts w:cs="Arial"/>
        </w:rPr>
        <w:t xml:space="preserve">an </w:t>
      </w:r>
      <w:r w:rsidR="009E1CCD">
        <w:rPr>
          <w:rFonts w:cs="Arial"/>
        </w:rPr>
        <w:t>LRBA</w:t>
      </w:r>
      <w:r>
        <w:rPr>
          <w:rFonts w:cs="Arial"/>
        </w:rPr>
        <w:t xml:space="preserve"> will not be an in-house asset of the SMSF. The release of this Determination was to address the concern that an asset held by </w:t>
      </w:r>
      <w:r w:rsidR="0026160C">
        <w:rPr>
          <w:rFonts w:cs="Arial"/>
        </w:rPr>
        <w:t xml:space="preserve">an </w:t>
      </w:r>
      <w:r w:rsidR="009E1CCD">
        <w:rPr>
          <w:rFonts w:cs="Arial"/>
        </w:rPr>
        <w:t>LRBA</w:t>
      </w:r>
      <w:r>
        <w:rPr>
          <w:rFonts w:cs="Arial"/>
        </w:rPr>
        <w:t xml:space="preserve"> trust would </w:t>
      </w:r>
      <w:r w:rsidR="003D201B">
        <w:rPr>
          <w:rFonts w:cs="Arial"/>
        </w:rPr>
        <w:t xml:space="preserve">be </w:t>
      </w:r>
      <w:r>
        <w:rPr>
          <w:rFonts w:cs="Arial"/>
        </w:rPr>
        <w:t>considered an in-house asset and potentially breach the 5</w:t>
      </w:r>
      <w:r w:rsidR="0026160C">
        <w:rPr>
          <w:rFonts w:cs="Arial"/>
        </w:rPr>
        <w:t xml:space="preserve">% </w:t>
      </w:r>
      <w:r>
        <w:rPr>
          <w:rFonts w:cs="Arial"/>
        </w:rPr>
        <w:t>in</w:t>
      </w:r>
      <w:r w:rsidR="006F7AF3">
        <w:rPr>
          <w:rFonts w:cs="Arial"/>
        </w:rPr>
        <w:t>-</w:t>
      </w:r>
      <w:r>
        <w:rPr>
          <w:rFonts w:cs="Arial"/>
        </w:rPr>
        <w:t xml:space="preserve">house asset </w:t>
      </w:r>
      <w:proofErr w:type="gramStart"/>
      <w:r>
        <w:rPr>
          <w:rFonts w:cs="Arial"/>
        </w:rPr>
        <w:t>limit, if</w:t>
      </w:r>
      <w:proofErr w:type="gramEnd"/>
      <w:r>
        <w:rPr>
          <w:rFonts w:cs="Arial"/>
        </w:rPr>
        <w:t xml:space="preserve"> it was not immediately transferred from the trust to the SMSF upon final repayment of the loan.</w:t>
      </w:r>
    </w:p>
    <w:p w14:paraId="7FF0127A" w14:textId="77777777" w:rsidR="00F7114C" w:rsidRDefault="00F7114C" w:rsidP="00F86219">
      <w:pPr>
        <w:adjustRightInd w:val="0"/>
        <w:snapToGrid w:val="0"/>
        <w:spacing w:line="276" w:lineRule="auto"/>
        <w:ind w:left="360"/>
        <w:rPr>
          <w:rFonts w:cs="Arial"/>
        </w:rPr>
      </w:pPr>
    </w:p>
    <w:p w14:paraId="3801C93B" w14:textId="77777777" w:rsidR="00B4123B" w:rsidRPr="0045190F" w:rsidRDefault="005A349D" w:rsidP="00F86219">
      <w:pPr>
        <w:adjustRightInd w:val="0"/>
        <w:snapToGrid w:val="0"/>
        <w:spacing w:line="276" w:lineRule="auto"/>
        <w:rPr>
          <w:rFonts w:cs="Arial"/>
        </w:rPr>
      </w:pPr>
      <w:r>
        <w:rPr>
          <w:rFonts w:cs="Arial"/>
        </w:rPr>
        <w:t>This means that SMSF trustees are now able to keep the asset in the LRBA trust, even after the loan is repaid, without breaching the in-house asset rules.  However, we recommend that you consider whether this will necessarily provide the best tax outcome.</w:t>
      </w:r>
    </w:p>
    <w:p w14:paraId="3791C077" w14:textId="77777777" w:rsidR="005A349D" w:rsidRDefault="005A349D" w:rsidP="00F86219">
      <w:pPr>
        <w:adjustRightInd w:val="0"/>
        <w:snapToGrid w:val="0"/>
        <w:spacing w:line="276" w:lineRule="auto"/>
        <w:rPr>
          <w:rFonts w:cs="Arial"/>
          <w:b/>
        </w:rPr>
      </w:pPr>
    </w:p>
    <w:p w14:paraId="6D915B83" w14:textId="77777777" w:rsidR="00F7114C" w:rsidRPr="00DF1999" w:rsidRDefault="00F7114C" w:rsidP="00F86219">
      <w:pPr>
        <w:adjustRightInd w:val="0"/>
        <w:snapToGrid w:val="0"/>
        <w:spacing w:line="276" w:lineRule="auto"/>
        <w:rPr>
          <w:rFonts w:cs="Arial"/>
          <w:i/>
        </w:rPr>
      </w:pPr>
      <w:r w:rsidRPr="00DF1999">
        <w:rPr>
          <w:rFonts w:cs="Arial"/>
          <w:i/>
        </w:rPr>
        <w:t>Risk of non-compliance</w:t>
      </w:r>
    </w:p>
    <w:p w14:paraId="7C7098F6" w14:textId="77777777" w:rsidR="005A349D" w:rsidRPr="00AC7C2C" w:rsidRDefault="005A349D" w:rsidP="00F86219">
      <w:pPr>
        <w:adjustRightInd w:val="0"/>
        <w:snapToGrid w:val="0"/>
        <w:spacing w:line="276" w:lineRule="auto"/>
        <w:rPr>
          <w:rFonts w:cs="Arial"/>
        </w:rPr>
      </w:pPr>
    </w:p>
    <w:p w14:paraId="06A9169F" w14:textId="7D9D202A" w:rsidR="00F7114C" w:rsidRDefault="005A349D" w:rsidP="00F86219">
      <w:pPr>
        <w:adjustRightInd w:val="0"/>
        <w:snapToGrid w:val="0"/>
        <w:spacing w:line="276" w:lineRule="auto"/>
        <w:rPr>
          <w:rFonts w:cs="Arial"/>
        </w:rPr>
      </w:pPr>
      <w:r w:rsidRPr="00AC7C2C">
        <w:rPr>
          <w:rFonts w:cs="Arial"/>
        </w:rPr>
        <w:t xml:space="preserve">In order for a SMSF to be able to borrow funds using </w:t>
      </w:r>
      <w:r w:rsidR="009E1CCD">
        <w:rPr>
          <w:rFonts w:cs="Arial"/>
        </w:rPr>
        <w:t>an LRBA</w:t>
      </w:r>
      <w:r w:rsidRPr="00AC7C2C">
        <w:rPr>
          <w:rFonts w:cs="Arial"/>
        </w:rPr>
        <w:t xml:space="preserve">, it is important to ensure the conditions of drawing down or additional borrowings are appropriately addressed in the terms and conditions under the loan. </w:t>
      </w:r>
    </w:p>
    <w:p w14:paraId="1FD591FA" w14:textId="77777777" w:rsidR="00F7114C" w:rsidRDefault="00F7114C" w:rsidP="00F86219">
      <w:pPr>
        <w:adjustRightInd w:val="0"/>
        <w:snapToGrid w:val="0"/>
        <w:spacing w:line="276" w:lineRule="auto"/>
        <w:ind w:left="360"/>
        <w:rPr>
          <w:rFonts w:cs="Arial"/>
        </w:rPr>
      </w:pPr>
    </w:p>
    <w:p w14:paraId="5F4DF0D8" w14:textId="494C0AC1" w:rsidR="00F7114C" w:rsidRDefault="005A349D" w:rsidP="00F86219">
      <w:pPr>
        <w:adjustRightInd w:val="0"/>
        <w:snapToGrid w:val="0"/>
        <w:spacing w:line="276" w:lineRule="auto"/>
        <w:rPr>
          <w:rFonts w:cs="Arial"/>
        </w:rPr>
      </w:pPr>
      <w:r w:rsidRPr="00AC7C2C">
        <w:rPr>
          <w:rFonts w:cs="Arial"/>
        </w:rPr>
        <w:t>Where the terms of the original loan are silent on additional drawings, but additional borrowings are in practice made</w:t>
      </w:r>
      <w:r>
        <w:rPr>
          <w:rFonts w:cs="Arial"/>
        </w:rPr>
        <w:t xml:space="preserve"> available </w:t>
      </w:r>
      <w:proofErr w:type="spellStart"/>
      <w:r w:rsidR="003D201B" w:rsidRPr="00AC7C2C">
        <w:rPr>
          <w:rFonts w:cs="Arial"/>
        </w:rPr>
        <w:t>some</w:t>
      </w:r>
      <w:r w:rsidR="000C7E50">
        <w:rPr>
          <w:rFonts w:cs="Arial"/>
        </w:rPr>
        <w:t xml:space="preserve"> </w:t>
      </w:r>
      <w:r w:rsidR="003D201B" w:rsidRPr="00AC7C2C">
        <w:rPr>
          <w:rFonts w:cs="Arial"/>
        </w:rPr>
        <w:t>time</w:t>
      </w:r>
      <w:proofErr w:type="spellEnd"/>
      <w:r w:rsidRPr="00AC7C2C">
        <w:rPr>
          <w:rFonts w:cs="Arial"/>
        </w:rPr>
        <w:t xml:space="preserve"> after the establishment of the arrangement, it is likely that the arrangement </w:t>
      </w:r>
      <w:r w:rsidR="00702DC6">
        <w:rPr>
          <w:rFonts w:cs="Arial"/>
        </w:rPr>
        <w:t>will not meet the conditions of</w:t>
      </w:r>
      <w:r w:rsidRPr="00AC7C2C">
        <w:rPr>
          <w:rFonts w:cs="Arial"/>
        </w:rPr>
        <w:t xml:space="preserve"> section 67A. This consequence is likely to arise because the additional borrowings were not provi</w:t>
      </w:r>
      <w:r w:rsidR="00DF1999">
        <w:rPr>
          <w:rFonts w:cs="Arial"/>
        </w:rPr>
        <w:t>ded for the acquisition, maintenance</w:t>
      </w:r>
      <w:r w:rsidRPr="00AC7C2C">
        <w:rPr>
          <w:rFonts w:cs="Arial"/>
        </w:rPr>
        <w:t xml:space="preserve"> or repai</w:t>
      </w:r>
      <w:r w:rsidR="00DF1999">
        <w:rPr>
          <w:rFonts w:cs="Arial"/>
        </w:rPr>
        <w:t>r</w:t>
      </w:r>
      <w:r w:rsidRPr="00AC7C2C">
        <w:rPr>
          <w:rFonts w:cs="Arial"/>
        </w:rPr>
        <w:t xml:space="preserve"> of a single acquirable asset under the terms of the arrangement entered into.</w:t>
      </w:r>
    </w:p>
    <w:p w14:paraId="4C1D842E" w14:textId="77777777" w:rsidR="00F7114C" w:rsidRDefault="00F7114C" w:rsidP="00F86219">
      <w:pPr>
        <w:adjustRightInd w:val="0"/>
        <w:snapToGrid w:val="0"/>
        <w:spacing w:line="276" w:lineRule="auto"/>
        <w:ind w:left="360"/>
        <w:rPr>
          <w:rFonts w:cs="Arial"/>
        </w:rPr>
      </w:pPr>
    </w:p>
    <w:p w14:paraId="2364C044" w14:textId="77777777" w:rsidR="00F7114C" w:rsidRDefault="005A349D" w:rsidP="00F86219">
      <w:pPr>
        <w:adjustRightInd w:val="0"/>
        <w:snapToGrid w:val="0"/>
        <w:spacing w:line="276" w:lineRule="auto"/>
        <w:rPr>
          <w:rFonts w:cs="Arial"/>
        </w:rPr>
      </w:pPr>
      <w:r w:rsidRPr="00AC7C2C">
        <w:rPr>
          <w:rFonts w:cs="Arial"/>
        </w:rPr>
        <w:t>By way of further explanation, where a trustee of the SMSF maintains an existing loan with the original lender and is able to obtain a separate loan for repairs which is unsecured, the requirements of section 67A to limit the rights of the lender or any other person on default to the acquirable asset will not be satisfied as the loan is unsecured.</w:t>
      </w:r>
    </w:p>
    <w:p w14:paraId="6B30A53A" w14:textId="77777777" w:rsidR="006F7AF3" w:rsidRDefault="006F7AF3" w:rsidP="00F86219">
      <w:pPr>
        <w:adjustRightInd w:val="0"/>
        <w:snapToGrid w:val="0"/>
        <w:spacing w:line="276" w:lineRule="auto"/>
        <w:rPr>
          <w:rFonts w:cs="Arial"/>
        </w:rPr>
      </w:pPr>
    </w:p>
    <w:p w14:paraId="443F8893" w14:textId="77777777" w:rsidR="006F7AF3" w:rsidRPr="006F7AF3" w:rsidRDefault="006F7AF3" w:rsidP="00F86219">
      <w:pPr>
        <w:adjustRightInd w:val="0"/>
        <w:snapToGrid w:val="0"/>
        <w:spacing w:line="276" w:lineRule="auto"/>
        <w:rPr>
          <w:rFonts w:cs="Arial"/>
          <w:b/>
        </w:rPr>
      </w:pPr>
      <w:r w:rsidRPr="006F7AF3">
        <w:rPr>
          <w:rFonts w:cs="Arial"/>
          <w:b/>
        </w:rPr>
        <w:t>Transfer balance credit for LRBA repayments</w:t>
      </w:r>
    </w:p>
    <w:p w14:paraId="54673576" w14:textId="77777777" w:rsidR="006F7AF3" w:rsidRPr="006F7AF3" w:rsidRDefault="006F7AF3" w:rsidP="00F86219">
      <w:pPr>
        <w:adjustRightInd w:val="0"/>
        <w:snapToGrid w:val="0"/>
        <w:spacing w:line="276" w:lineRule="auto"/>
        <w:rPr>
          <w:rFonts w:cs="Arial"/>
          <w:b/>
        </w:rPr>
      </w:pPr>
    </w:p>
    <w:p w14:paraId="7EA4A16A" w14:textId="32BF4F99" w:rsidR="005A349D" w:rsidRDefault="00DA0D2D" w:rsidP="00F86219">
      <w:pPr>
        <w:adjustRightInd w:val="0"/>
        <w:snapToGrid w:val="0"/>
        <w:spacing w:line="276" w:lineRule="auto"/>
        <w:rPr>
          <w:rFonts w:cs="Arial"/>
        </w:rPr>
      </w:pPr>
      <w:r>
        <w:rPr>
          <w:rFonts w:cs="Arial"/>
        </w:rPr>
        <w:t>I</w:t>
      </w:r>
      <w:r w:rsidR="006F7AF3">
        <w:rPr>
          <w:rFonts w:cs="Arial"/>
        </w:rPr>
        <w:t>ndividual</w:t>
      </w:r>
      <w:r>
        <w:rPr>
          <w:rFonts w:cs="Arial"/>
        </w:rPr>
        <w:t>s</w:t>
      </w:r>
      <w:r w:rsidR="006F7AF3">
        <w:rPr>
          <w:rFonts w:cs="Arial"/>
        </w:rPr>
        <w:t xml:space="preserve"> receive a credit to their transfer balance account where a superannuation provider makes a payment in respect of </w:t>
      </w:r>
      <w:r w:rsidR="009E1CCD">
        <w:rPr>
          <w:rFonts w:cs="Arial"/>
        </w:rPr>
        <w:t>an LRBA</w:t>
      </w:r>
      <w:r w:rsidR="006F7AF3">
        <w:rPr>
          <w:rFonts w:cs="Arial"/>
        </w:rPr>
        <w:t xml:space="preserve"> that increases the value of a superannuation interest supporting a retirement income stream. This only appl</w:t>
      </w:r>
      <w:r>
        <w:rPr>
          <w:rFonts w:cs="Arial"/>
        </w:rPr>
        <w:t>ies</w:t>
      </w:r>
      <w:r w:rsidR="006F7AF3">
        <w:rPr>
          <w:rFonts w:cs="Arial"/>
        </w:rPr>
        <w:t xml:space="preserve"> to LRBAs </w:t>
      </w:r>
      <w:r>
        <w:rPr>
          <w:rFonts w:cs="Arial"/>
        </w:rPr>
        <w:t>entered into on or after</w:t>
      </w:r>
      <w:r w:rsidR="006F7AF3">
        <w:rPr>
          <w:rFonts w:cs="Arial"/>
        </w:rPr>
        <w:t xml:space="preserve"> 1 July 2017.</w:t>
      </w:r>
    </w:p>
    <w:p w14:paraId="4E3BE682" w14:textId="77777777" w:rsidR="00703E13" w:rsidRPr="00AC7C2C" w:rsidRDefault="00703E13" w:rsidP="00F86219">
      <w:pPr>
        <w:adjustRightInd w:val="0"/>
        <w:snapToGrid w:val="0"/>
        <w:spacing w:line="276" w:lineRule="auto"/>
        <w:rPr>
          <w:rFonts w:cs="Arial"/>
        </w:rPr>
      </w:pPr>
    </w:p>
    <w:p w14:paraId="0CD16449" w14:textId="77777777" w:rsidR="005A349D" w:rsidRPr="00AC7C2C" w:rsidRDefault="00DF1999" w:rsidP="00F86219">
      <w:pPr>
        <w:adjustRightInd w:val="0"/>
        <w:snapToGrid w:val="0"/>
        <w:spacing w:line="276" w:lineRule="auto"/>
        <w:rPr>
          <w:rFonts w:cs="Arial"/>
        </w:rPr>
      </w:pPr>
      <w:r>
        <w:rPr>
          <w:rFonts w:cs="Arial"/>
        </w:rPr>
        <w:t>Should you wish to discuss any of the above matters please contact our licensed financial planning adviser who can resolve any queries you may have concerning LRBAs.</w:t>
      </w:r>
      <w:r w:rsidR="005A349D" w:rsidRPr="00AC7C2C">
        <w:rPr>
          <w:rFonts w:cs="Arial"/>
        </w:rPr>
        <w:t xml:space="preserve"> [</w:t>
      </w:r>
      <w:r w:rsidR="005A349D" w:rsidRPr="00AC7C2C">
        <w:rPr>
          <w:rFonts w:cs="Arial"/>
          <w:highlight w:val="lightGray"/>
        </w:rPr>
        <w:t xml:space="preserve">insert telephone number of </w:t>
      </w:r>
      <w:r>
        <w:rPr>
          <w:rFonts w:cs="Arial"/>
          <w:highlight w:val="lightGray"/>
        </w:rPr>
        <w:t>adviser</w:t>
      </w:r>
      <w:r w:rsidR="005A349D" w:rsidRPr="00AC7C2C">
        <w:rPr>
          <w:rFonts w:cs="Arial"/>
        </w:rPr>
        <w:t>]</w:t>
      </w:r>
    </w:p>
    <w:p w14:paraId="5800F2E6" w14:textId="77777777" w:rsidR="005A349D" w:rsidRDefault="005A349D" w:rsidP="00F86219">
      <w:pPr>
        <w:adjustRightInd w:val="0"/>
        <w:snapToGrid w:val="0"/>
        <w:spacing w:line="276" w:lineRule="auto"/>
        <w:rPr>
          <w:rFonts w:cs="Arial"/>
        </w:rPr>
      </w:pPr>
    </w:p>
    <w:p w14:paraId="37734C1B" w14:textId="77777777" w:rsidR="0045190F" w:rsidRDefault="0045190F" w:rsidP="00F86219">
      <w:pPr>
        <w:adjustRightInd w:val="0"/>
        <w:snapToGrid w:val="0"/>
        <w:spacing w:line="276" w:lineRule="auto"/>
        <w:rPr>
          <w:rFonts w:cs="Arial"/>
        </w:rPr>
      </w:pPr>
    </w:p>
    <w:p w14:paraId="5D3B6686" w14:textId="77777777" w:rsidR="005A349D" w:rsidRPr="00AC7C2C" w:rsidRDefault="005A349D" w:rsidP="00F86219">
      <w:pPr>
        <w:adjustRightInd w:val="0"/>
        <w:snapToGrid w:val="0"/>
        <w:spacing w:line="276" w:lineRule="auto"/>
        <w:rPr>
          <w:rFonts w:cs="Arial"/>
        </w:rPr>
      </w:pPr>
      <w:bookmarkStart w:id="10" w:name="Signoff"/>
      <w:bookmarkEnd w:id="10"/>
      <w:r w:rsidRPr="00AC7C2C">
        <w:rPr>
          <w:rFonts w:cs="Arial"/>
        </w:rPr>
        <w:t>Yours faithfully</w:t>
      </w:r>
    </w:p>
    <w:p w14:paraId="4AD8FDCB" w14:textId="77777777" w:rsidR="005A349D" w:rsidRDefault="005A349D" w:rsidP="00F86219">
      <w:pPr>
        <w:adjustRightInd w:val="0"/>
        <w:snapToGrid w:val="0"/>
        <w:spacing w:line="276" w:lineRule="auto"/>
        <w:rPr>
          <w:rFonts w:cs="Arial"/>
        </w:rPr>
      </w:pPr>
    </w:p>
    <w:p w14:paraId="018D29CB" w14:textId="77777777" w:rsidR="00F86219" w:rsidRDefault="00F86219" w:rsidP="00F86219">
      <w:pPr>
        <w:adjustRightInd w:val="0"/>
        <w:snapToGrid w:val="0"/>
        <w:spacing w:line="276" w:lineRule="auto"/>
        <w:rPr>
          <w:rFonts w:cs="Arial"/>
        </w:rPr>
      </w:pPr>
    </w:p>
    <w:p w14:paraId="1F890A71" w14:textId="77777777" w:rsidR="00F86219" w:rsidRDefault="00F86219" w:rsidP="00F86219">
      <w:pPr>
        <w:adjustRightInd w:val="0"/>
        <w:snapToGrid w:val="0"/>
        <w:spacing w:line="276" w:lineRule="auto"/>
        <w:rPr>
          <w:rFonts w:cs="Arial"/>
        </w:rPr>
      </w:pPr>
    </w:p>
    <w:p w14:paraId="676265A5" w14:textId="77777777" w:rsidR="005A349D" w:rsidRDefault="005A349D" w:rsidP="00F86219">
      <w:pPr>
        <w:adjustRightInd w:val="0"/>
        <w:snapToGrid w:val="0"/>
        <w:spacing w:line="276" w:lineRule="auto"/>
        <w:rPr>
          <w:rFonts w:cs="Arial"/>
        </w:rPr>
      </w:pPr>
    </w:p>
    <w:p w14:paraId="44E2530E" w14:textId="77777777" w:rsidR="005A349D" w:rsidRPr="00AC7C2C" w:rsidRDefault="005A349D" w:rsidP="00F86219">
      <w:pPr>
        <w:adjustRightInd w:val="0"/>
        <w:snapToGrid w:val="0"/>
        <w:spacing w:line="276" w:lineRule="auto"/>
      </w:pPr>
      <w:bookmarkStart w:id="11" w:name="Partner"/>
      <w:bookmarkEnd w:id="11"/>
      <w:r w:rsidRPr="00AC7C2C">
        <w:rPr>
          <w:rFonts w:cs="Arial"/>
          <w:b/>
          <w:bCs/>
        </w:rPr>
        <w:t>[</w:t>
      </w:r>
      <w:r w:rsidRPr="00AC7C2C">
        <w:rPr>
          <w:rFonts w:cs="Arial"/>
          <w:b/>
          <w:bCs/>
          <w:highlight w:val="lightGray"/>
        </w:rPr>
        <w:t>Insert name of Partner</w:t>
      </w:r>
      <w:r w:rsidRPr="00AC7C2C">
        <w:rPr>
          <w:rFonts w:cs="Arial"/>
          <w:b/>
          <w:bCs/>
        </w:rPr>
        <w:t>]</w:t>
      </w:r>
    </w:p>
    <w:p w14:paraId="399915A8" w14:textId="77777777" w:rsidR="00357511" w:rsidRDefault="00357511" w:rsidP="00F86219">
      <w:pPr>
        <w:adjustRightInd w:val="0"/>
        <w:snapToGrid w:val="0"/>
        <w:spacing w:line="276" w:lineRule="auto"/>
      </w:pPr>
    </w:p>
    <w:sectPr w:rsidR="00357511" w:rsidSect="0060405B">
      <w:pgSz w:w="11909" w:h="16834" w:code="9"/>
      <w:pgMar w:top="1152" w:right="1440" w:bottom="1152" w:left="1440" w:header="720" w:footer="720"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0E382" w14:textId="77777777" w:rsidR="00166BB2" w:rsidRDefault="00166BB2" w:rsidP="005A349D">
      <w:r>
        <w:separator/>
      </w:r>
    </w:p>
  </w:endnote>
  <w:endnote w:type="continuationSeparator" w:id="0">
    <w:p w14:paraId="6B916527" w14:textId="77777777" w:rsidR="00166BB2" w:rsidRDefault="00166BB2" w:rsidP="005A349D">
      <w:r>
        <w:continuationSeparator/>
      </w:r>
    </w:p>
  </w:endnote>
  <w:endnote w:type="continuationNotice" w:id="1">
    <w:p w14:paraId="6397A073" w14:textId="77777777" w:rsidR="00166BB2" w:rsidRDefault="00166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9EF7" w14:textId="77777777" w:rsidR="00166BB2" w:rsidRDefault="00166BB2" w:rsidP="005A349D">
      <w:r>
        <w:separator/>
      </w:r>
    </w:p>
  </w:footnote>
  <w:footnote w:type="continuationSeparator" w:id="0">
    <w:p w14:paraId="6649B6D4" w14:textId="77777777" w:rsidR="00166BB2" w:rsidRDefault="00166BB2" w:rsidP="005A349D">
      <w:r>
        <w:continuationSeparator/>
      </w:r>
    </w:p>
  </w:footnote>
  <w:footnote w:type="continuationNotice" w:id="1">
    <w:p w14:paraId="20D55B0F" w14:textId="77777777" w:rsidR="00166BB2" w:rsidRDefault="00166B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D400C"/>
    <w:multiLevelType w:val="hybridMultilevel"/>
    <w:tmpl w:val="8A1E0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E31852"/>
    <w:multiLevelType w:val="hybridMultilevel"/>
    <w:tmpl w:val="6AB2B65E"/>
    <w:lvl w:ilvl="0" w:tplc="EA344CE6">
      <w:start w:val="1"/>
      <w:numFmt w:val="lowerLetter"/>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6212686"/>
    <w:multiLevelType w:val="hybridMultilevel"/>
    <w:tmpl w:val="69B4902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75E28FF"/>
    <w:multiLevelType w:val="hybridMultilevel"/>
    <w:tmpl w:val="0EE23E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96173A6"/>
    <w:multiLevelType w:val="hybridMultilevel"/>
    <w:tmpl w:val="CC2ADE96"/>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3960" w:hanging="360"/>
      </w:pPr>
      <w:rPr>
        <w:rFonts w:ascii="Courier New" w:hAnsi="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5" w15:restartNumberingAfterBreak="0">
    <w:nsid w:val="617F1D34"/>
    <w:multiLevelType w:val="hybridMultilevel"/>
    <w:tmpl w:val="F594CD4E"/>
    <w:lvl w:ilvl="0" w:tplc="072A4526">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3A9232E"/>
    <w:multiLevelType w:val="multilevel"/>
    <w:tmpl w:val="7A4ADE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45B52FC"/>
    <w:multiLevelType w:val="hybridMultilevel"/>
    <w:tmpl w:val="CE74C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10229141">
    <w:abstractNumId w:val="4"/>
  </w:num>
  <w:num w:numId="2" w16cid:durableId="29696499">
    <w:abstractNumId w:val="7"/>
  </w:num>
  <w:num w:numId="3" w16cid:durableId="60445639">
    <w:abstractNumId w:val="6"/>
  </w:num>
  <w:num w:numId="4" w16cid:durableId="386489284">
    <w:abstractNumId w:val="1"/>
  </w:num>
  <w:num w:numId="5" w16cid:durableId="393505197">
    <w:abstractNumId w:val="5"/>
  </w:num>
  <w:num w:numId="6" w16cid:durableId="1159662288">
    <w:abstractNumId w:val="2"/>
  </w:num>
  <w:num w:numId="7" w16cid:durableId="875773872">
    <w:abstractNumId w:val="3"/>
  </w:num>
  <w:num w:numId="8" w16cid:durableId="479008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C29F96E-7E62-4DF9-8915-A8BE486CE8C7}"/>
    <w:docVar w:name="dgnword-eventsink" w:val="2184835921600"/>
  </w:docVars>
  <w:rsids>
    <w:rsidRoot w:val="005A349D"/>
    <w:rsid w:val="0000564D"/>
    <w:rsid w:val="00012501"/>
    <w:rsid w:val="00027F54"/>
    <w:rsid w:val="000317F5"/>
    <w:rsid w:val="00041550"/>
    <w:rsid w:val="000669C0"/>
    <w:rsid w:val="000C7E50"/>
    <w:rsid w:val="0011416F"/>
    <w:rsid w:val="00116181"/>
    <w:rsid w:val="00135A30"/>
    <w:rsid w:val="00141C5B"/>
    <w:rsid w:val="00166BB2"/>
    <w:rsid w:val="0018646C"/>
    <w:rsid w:val="0019225B"/>
    <w:rsid w:val="001929F1"/>
    <w:rsid w:val="00193BBF"/>
    <w:rsid w:val="0019450B"/>
    <w:rsid w:val="001961F3"/>
    <w:rsid w:val="001A121D"/>
    <w:rsid w:val="001A3E4E"/>
    <w:rsid w:val="001A4465"/>
    <w:rsid w:val="001B3AE4"/>
    <w:rsid w:val="001B42DA"/>
    <w:rsid w:val="001B76CA"/>
    <w:rsid w:val="001E3B0B"/>
    <w:rsid w:val="001E6467"/>
    <w:rsid w:val="001F1E9E"/>
    <w:rsid w:val="00220574"/>
    <w:rsid w:val="0026160C"/>
    <w:rsid w:val="0026457C"/>
    <w:rsid w:val="00285558"/>
    <w:rsid w:val="002B4DC8"/>
    <w:rsid w:val="002E4C12"/>
    <w:rsid w:val="002F7A7F"/>
    <w:rsid w:val="0031379C"/>
    <w:rsid w:val="0035108B"/>
    <w:rsid w:val="00356BB9"/>
    <w:rsid w:val="00357511"/>
    <w:rsid w:val="003769A7"/>
    <w:rsid w:val="00380B78"/>
    <w:rsid w:val="00391124"/>
    <w:rsid w:val="003B0269"/>
    <w:rsid w:val="003D201B"/>
    <w:rsid w:val="003D4478"/>
    <w:rsid w:val="003F0497"/>
    <w:rsid w:val="003F346E"/>
    <w:rsid w:val="003F4D2A"/>
    <w:rsid w:val="0044495A"/>
    <w:rsid w:val="0045190F"/>
    <w:rsid w:val="00464B00"/>
    <w:rsid w:val="004B01A7"/>
    <w:rsid w:val="004D1863"/>
    <w:rsid w:val="004D2111"/>
    <w:rsid w:val="004D481A"/>
    <w:rsid w:val="00501574"/>
    <w:rsid w:val="00525427"/>
    <w:rsid w:val="0052742E"/>
    <w:rsid w:val="00531D8C"/>
    <w:rsid w:val="005333ED"/>
    <w:rsid w:val="00560C98"/>
    <w:rsid w:val="0057200A"/>
    <w:rsid w:val="00594A00"/>
    <w:rsid w:val="005A349D"/>
    <w:rsid w:val="005B59B1"/>
    <w:rsid w:val="005B61CF"/>
    <w:rsid w:val="0060282B"/>
    <w:rsid w:val="00616426"/>
    <w:rsid w:val="00633BB4"/>
    <w:rsid w:val="00637EF2"/>
    <w:rsid w:val="00663F20"/>
    <w:rsid w:val="00693A84"/>
    <w:rsid w:val="006A7022"/>
    <w:rsid w:val="006E0116"/>
    <w:rsid w:val="006F4AF6"/>
    <w:rsid w:val="006F7AF3"/>
    <w:rsid w:val="00702DC6"/>
    <w:rsid w:val="00703E13"/>
    <w:rsid w:val="007105CD"/>
    <w:rsid w:val="00726BB9"/>
    <w:rsid w:val="0073258C"/>
    <w:rsid w:val="0075704A"/>
    <w:rsid w:val="00760C37"/>
    <w:rsid w:val="00793144"/>
    <w:rsid w:val="007B096D"/>
    <w:rsid w:val="007C3716"/>
    <w:rsid w:val="007E2FF6"/>
    <w:rsid w:val="007E30CD"/>
    <w:rsid w:val="00804A74"/>
    <w:rsid w:val="00806D62"/>
    <w:rsid w:val="008124F2"/>
    <w:rsid w:val="008171EE"/>
    <w:rsid w:val="00827586"/>
    <w:rsid w:val="0086263A"/>
    <w:rsid w:val="0087290E"/>
    <w:rsid w:val="008A3B03"/>
    <w:rsid w:val="008D0D48"/>
    <w:rsid w:val="008D4CE4"/>
    <w:rsid w:val="008F6203"/>
    <w:rsid w:val="00911EDC"/>
    <w:rsid w:val="009541E3"/>
    <w:rsid w:val="00957D79"/>
    <w:rsid w:val="009D59D1"/>
    <w:rsid w:val="009E1CCD"/>
    <w:rsid w:val="00A03DD6"/>
    <w:rsid w:val="00A17C95"/>
    <w:rsid w:val="00A21AF4"/>
    <w:rsid w:val="00A65975"/>
    <w:rsid w:val="00A7176C"/>
    <w:rsid w:val="00A72F8D"/>
    <w:rsid w:val="00AA1FE7"/>
    <w:rsid w:val="00AB1998"/>
    <w:rsid w:val="00B4123B"/>
    <w:rsid w:val="00B50056"/>
    <w:rsid w:val="00B61345"/>
    <w:rsid w:val="00B70E0C"/>
    <w:rsid w:val="00B72C24"/>
    <w:rsid w:val="00BE2D3C"/>
    <w:rsid w:val="00BE7289"/>
    <w:rsid w:val="00C3742E"/>
    <w:rsid w:val="00C44BF2"/>
    <w:rsid w:val="00C72A3B"/>
    <w:rsid w:val="00C7419D"/>
    <w:rsid w:val="00C8462A"/>
    <w:rsid w:val="00C9112C"/>
    <w:rsid w:val="00C91ABE"/>
    <w:rsid w:val="00CA2B99"/>
    <w:rsid w:val="00CB1B45"/>
    <w:rsid w:val="00CC2E57"/>
    <w:rsid w:val="00CD04FE"/>
    <w:rsid w:val="00CF3868"/>
    <w:rsid w:val="00CF3EBD"/>
    <w:rsid w:val="00D07D48"/>
    <w:rsid w:val="00D1711C"/>
    <w:rsid w:val="00D23A91"/>
    <w:rsid w:val="00D60200"/>
    <w:rsid w:val="00D714BB"/>
    <w:rsid w:val="00D90917"/>
    <w:rsid w:val="00DA0D2D"/>
    <w:rsid w:val="00DD4745"/>
    <w:rsid w:val="00DF1999"/>
    <w:rsid w:val="00DF567B"/>
    <w:rsid w:val="00E43966"/>
    <w:rsid w:val="00E5253D"/>
    <w:rsid w:val="00E533DE"/>
    <w:rsid w:val="00EC2EC8"/>
    <w:rsid w:val="00EF539E"/>
    <w:rsid w:val="00F02DBB"/>
    <w:rsid w:val="00F3047D"/>
    <w:rsid w:val="00F35B9B"/>
    <w:rsid w:val="00F51D88"/>
    <w:rsid w:val="00F65F3D"/>
    <w:rsid w:val="00F7114C"/>
    <w:rsid w:val="00F86219"/>
    <w:rsid w:val="00F94596"/>
    <w:rsid w:val="00FB3BA2"/>
    <w:rsid w:val="00FD1FE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6DF0"/>
  <w15:docId w15:val="{E8C8FD76-5D8B-415E-B3CF-4C333133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49D"/>
    <w:pPr>
      <w:spacing w:after="0" w:line="240" w:lineRule="auto"/>
    </w:pPr>
    <w:rPr>
      <w:rFonts w:ascii="Arial" w:eastAsia="Calibri"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A349D"/>
    <w:pPr>
      <w:ind w:left="720"/>
      <w:contextualSpacing/>
    </w:pPr>
  </w:style>
  <w:style w:type="paragraph" w:styleId="FootnoteText">
    <w:name w:val="footnote text"/>
    <w:basedOn w:val="Normal"/>
    <w:link w:val="FootnoteTextChar"/>
    <w:rsid w:val="005A349D"/>
    <w:rPr>
      <w:rFonts w:eastAsia="Times New Roman"/>
    </w:rPr>
  </w:style>
  <w:style w:type="character" w:customStyle="1" w:styleId="FootnoteTextChar">
    <w:name w:val="Footnote Text Char"/>
    <w:basedOn w:val="DefaultParagraphFont"/>
    <w:link w:val="FootnoteText"/>
    <w:rsid w:val="005A349D"/>
    <w:rPr>
      <w:rFonts w:ascii="Arial" w:eastAsia="Times New Roman" w:hAnsi="Arial" w:cs="Times New Roman"/>
      <w:sz w:val="20"/>
      <w:szCs w:val="20"/>
    </w:rPr>
  </w:style>
  <w:style w:type="character" w:styleId="FootnoteReference">
    <w:name w:val="footnote reference"/>
    <w:rsid w:val="005A349D"/>
    <w:rPr>
      <w:rFonts w:cs="Times New Roman"/>
      <w:vertAlign w:val="superscript"/>
    </w:rPr>
  </w:style>
  <w:style w:type="paragraph" w:styleId="BalloonText">
    <w:name w:val="Balloon Text"/>
    <w:basedOn w:val="Normal"/>
    <w:link w:val="BalloonTextChar"/>
    <w:uiPriority w:val="99"/>
    <w:semiHidden/>
    <w:unhideWhenUsed/>
    <w:rsid w:val="005A349D"/>
    <w:rPr>
      <w:rFonts w:ascii="Tahoma" w:hAnsi="Tahoma" w:cs="Tahoma"/>
      <w:sz w:val="16"/>
      <w:szCs w:val="16"/>
    </w:rPr>
  </w:style>
  <w:style w:type="character" w:customStyle="1" w:styleId="BalloonTextChar">
    <w:name w:val="Balloon Text Char"/>
    <w:basedOn w:val="DefaultParagraphFont"/>
    <w:link w:val="BalloonText"/>
    <w:uiPriority w:val="99"/>
    <w:semiHidden/>
    <w:rsid w:val="005A349D"/>
    <w:rPr>
      <w:rFonts w:ascii="Tahoma" w:eastAsia="Calibri" w:hAnsi="Tahoma" w:cs="Tahoma"/>
      <w:sz w:val="16"/>
      <w:szCs w:val="16"/>
    </w:rPr>
  </w:style>
  <w:style w:type="character" w:styleId="CommentReference">
    <w:name w:val="annotation reference"/>
    <w:basedOn w:val="DefaultParagraphFont"/>
    <w:uiPriority w:val="99"/>
    <w:semiHidden/>
    <w:unhideWhenUsed/>
    <w:rsid w:val="00726BB9"/>
    <w:rPr>
      <w:sz w:val="16"/>
      <w:szCs w:val="16"/>
    </w:rPr>
  </w:style>
  <w:style w:type="paragraph" w:styleId="CommentText">
    <w:name w:val="annotation text"/>
    <w:basedOn w:val="Normal"/>
    <w:link w:val="CommentTextChar"/>
    <w:uiPriority w:val="99"/>
    <w:unhideWhenUsed/>
    <w:rsid w:val="00726BB9"/>
  </w:style>
  <w:style w:type="character" w:customStyle="1" w:styleId="CommentTextChar">
    <w:name w:val="Comment Text Char"/>
    <w:basedOn w:val="DefaultParagraphFont"/>
    <w:link w:val="CommentText"/>
    <w:uiPriority w:val="99"/>
    <w:rsid w:val="00726BB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26BB9"/>
    <w:rPr>
      <w:b/>
      <w:bCs/>
    </w:rPr>
  </w:style>
  <w:style w:type="character" w:customStyle="1" w:styleId="CommentSubjectChar">
    <w:name w:val="Comment Subject Char"/>
    <w:basedOn w:val="CommentTextChar"/>
    <w:link w:val="CommentSubject"/>
    <w:uiPriority w:val="99"/>
    <w:semiHidden/>
    <w:rsid w:val="00726BB9"/>
    <w:rPr>
      <w:rFonts w:ascii="Arial" w:eastAsia="Calibri" w:hAnsi="Arial" w:cs="Times New Roman"/>
      <w:b/>
      <w:bCs/>
      <w:sz w:val="20"/>
      <w:szCs w:val="20"/>
    </w:rPr>
  </w:style>
  <w:style w:type="character" w:styleId="Hyperlink">
    <w:name w:val="Hyperlink"/>
    <w:basedOn w:val="DefaultParagraphFont"/>
    <w:uiPriority w:val="99"/>
    <w:unhideWhenUsed/>
    <w:rsid w:val="00726BB9"/>
    <w:rPr>
      <w:color w:val="0000FF"/>
      <w:u w:val="single"/>
    </w:rPr>
  </w:style>
  <w:style w:type="character" w:styleId="FollowedHyperlink">
    <w:name w:val="FollowedHyperlink"/>
    <w:basedOn w:val="DefaultParagraphFont"/>
    <w:uiPriority w:val="99"/>
    <w:semiHidden/>
    <w:unhideWhenUsed/>
    <w:rsid w:val="00AA1FE7"/>
    <w:rPr>
      <w:color w:val="800080" w:themeColor="followedHyperlink"/>
      <w:u w:val="single"/>
    </w:rPr>
  </w:style>
  <w:style w:type="paragraph" w:styleId="Revision">
    <w:name w:val="Revision"/>
    <w:hidden/>
    <w:uiPriority w:val="99"/>
    <w:semiHidden/>
    <w:rsid w:val="00A7176C"/>
    <w:pPr>
      <w:spacing w:after="0" w:line="240" w:lineRule="auto"/>
    </w:pPr>
    <w:rPr>
      <w:rFonts w:ascii="Arial" w:eastAsia="Calibri" w:hAnsi="Arial" w:cs="Times New Roman"/>
      <w:sz w:val="20"/>
      <w:szCs w:val="20"/>
    </w:rPr>
  </w:style>
  <w:style w:type="character" w:styleId="UnresolvedMention">
    <w:name w:val="Unresolved Mention"/>
    <w:basedOn w:val="DefaultParagraphFont"/>
    <w:uiPriority w:val="99"/>
    <w:semiHidden/>
    <w:unhideWhenUsed/>
    <w:rsid w:val="0087290E"/>
    <w:rPr>
      <w:color w:val="605E5C"/>
      <w:shd w:val="clear" w:color="auto" w:fill="E1DFDD"/>
    </w:rPr>
  </w:style>
  <w:style w:type="paragraph" w:styleId="Header">
    <w:name w:val="header"/>
    <w:basedOn w:val="Normal"/>
    <w:link w:val="HeaderChar"/>
    <w:uiPriority w:val="99"/>
    <w:semiHidden/>
    <w:unhideWhenUsed/>
    <w:rsid w:val="00041550"/>
    <w:pPr>
      <w:tabs>
        <w:tab w:val="center" w:pos="4513"/>
        <w:tab w:val="right" w:pos="9026"/>
      </w:tabs>
    </w:pPr>
  </w:style>
  <w:style w:type="character" w:customStyle="1" w:styleId="HeaderChar">
    <w:name w:val="Header Char"/>
    <w:basedOn w:val="DefaultParagraphFont"/>
    <w:link w:val="Header"/>
    <w:uiPriority w:val="99"/>
    <w:semiHidden/>
    <w:rsid w:val="00041550"/>
    <w:rPr>
      <w:rFonts w:ascii="Arial" w:eastAsia="Calibri" w:hAnsi="Arial" w:cs="Times New Roman"/>
      <w:sz w:val="20"/>
      <w:szCs w:val="20"/>
    </w:rPr>
  </w:style>
  <w:style w:type="paragraph" w:styleId="Footer">
    <w:name w:val="footer"/>
    <w:basedOn w:val="Normal"/>
    <w:link w:val="FooterChar"/>
    <w:uiPriority w:val="99"/>
    <w:semiHidden/>
    <w:unhideWhenUsed/>
    <w:rsid w:val="00041550"/>
    <w:pPr>
      <w:tabs>
        <w:tab w:val="center" w:pos="4513"/>
        <w:tab w:val="right" w:pos="9026"/>
      </w:tabs>
    </w:pPr>
  </w:style>
  <w:style w:type="character" w:customStyle="1" w:styleId="FooterChar">
    <w:name w:val="Footer Char"/>
    <w:basedOn w:val="DefaultParagraphFont"/>
    <w:link w:val="Footer"/>
    <w:uiPriority w:val="99"/>
    <w:semiHidden/>
    <w:rsid w:val="00041550"/>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Sent xmlns="149a938d-5178-4880-bee6-c99a533f2b62">false</Sent>
    <SharedWithUsers xmlns="70302223-c54b-4550-8ee9-092c6b9c08d4">
      <UserInfo>
        <DisplayName>Daren Yeoh</DisplayName>
        <AccountId>111</AccountId>
        <AccountType/>
      </UserInfo>
      <UserInfo>
        <DisplayName>Dominic Lam</DisplayName>
        <AccountId>14</AccountId>
        <AccountType/>
      </UserInfo>
      <UserInfo>
        <DisplayName>Ned Galloway</DisplayName>
        <AccountId>416</AccountId>
        <AccountType/>
      </UserInfo>
      <UserInfo>
        <DisplayName>Ophelia Katrivessis</DisplayName>
        <AccountId>1771</AccountId>
        <AccountType/>
      </UserInfo>
      <UserInfo>
        <DisplayName>Olivia Hua</DisplayName>
        <AccountId>1969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DC88EF-0E08-40D7-ACC3-E398EACFF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FA7DF-FA0D-41ED-9092-90A3F32E5510}">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149a938d-5178-4880-bee6-c99a533f2b62"/>
    <ds:schemaRef ds:uri="http://purl.org/dc/dcmitype/"/>
    <ds:schemaRef ds:uri="http://purl.org/dc/elements/1.1/"/>
    <ds:schemaRef ds:uri="http://schemas.microsoft.com/office/infopath/2007/PartnerControls"/>
    <ds:schemaRef ds:uri="70302223-c54b-4550-8ee9-092c6b9c08d4"/>
    <ds:schemaRef ds:uri="http://www.w3.org/XML/1998/namespace"/>
  </ds:schemaRefs>
</ds:datastoreItem>
</file>

<file path=customXml/itemProps3.xml><?xml version="1.0" encoding="utf-8"?>
<ds:datastoreItem xmlns:ds="http://schemas.openxmlformats.org/officeDocument/2006/customXml" ds:itemID="{3684BAE9-F530-4809-AE12-3F1994D716BD}">
  <ds:schemaRefs>
    <ds:schemaRef ds:uri="http://schemas.openxmlformats.org/officeDocument/2006/bibliography"/>
  </ds:schemaRefs>
</ds:datastoreItem>
</file>

<file path=customXml/itemProps4.xml><?xml version="1.0" encoding="utf-8"?>
<ds:datastoreItem xmlns:ds="http://schemas.openxmlformats.org/officeDocument/2006/customXml" ds:itemID="{15589867-5E8F-49DD-AB09-AED11EB56A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Superannuation limited recourse borrowing client letter</vt:lpstr>
    </vt:vector>
  </TitlesOfParts>
  <Company>CPA Australia</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limited recourse borrowing client letter</dc:title>
  <dc:creator>Michelle Webb</dc:creator>
  <cp:keywords>SMSFs, self managed superannuation funds, limited recourse borrowing arrangement, client letters, borrowing long-term funds</cp:keywords>
  <cp:lastModifiedBy>Kristen Beadle</cp:lastModifiedBy>
  <cp:revision>6</cp:revision>
  <cp:lastPrinted>2019-06-01T11:15:00Z</cp:lastPrinted>
  <dcterms:created xsi:type="dcterms:W3CDTF">2023-05-02T07:03:00Z</dcterms:created>
  <dcterms:modified xsi:type="dcterms:W3CDTF">2023-05-02T07:05:00Z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