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20FE" w14:textId="77777777" w:rsidR="00C23C26" w:rsidRPr="008B7F8E" w:rsidRDefault="00C23C26" w:rsidP="007B2267">
      <w:pPr>
        <w:spacing w:line="23" w:lineRule="atLeast"/>
        <w:rPr>
          <w:rFonts w:cs="Arial"/>
        </w:rPr>
      </w:pPr>
      <w:bookmarkStart w:id="0" w:name="Date1"/>
      <w:bookmarkEnd w:id="0"/>
      <w:r w:rsidRPr="008B7F8E">
        <w:rPr>
          <w:rFonts w:cs="Arial"/>
        </w:rPr>
        <w:t>[</w:t>
      </w:r>
      <w:r w:rsidR="00407DCF" w:rsidRPr="008B7F8E">
        <w:rPr>
          <w:rFonts w:cs="Arial"/>
          <w:highlight w:val="lightGray"/>
        </w:rPr>
        <w:t>Insert DD Month YYYY</w:t>
      </w:r>
      <w:r w:rsidRPr="008B7F8E">
        <w:rPr>
          <w:rFonts w:cs="Arial"/>
        </w:rPr>
        <w:t>]</w:t>
      </w:r>
    </w:p>
    <w:p w14:paraId="27AB90A2" w14:textId="77777777" w:rsidR="00C23C26" w:rsidRPr="008B7F8E" w:rsidRDefault="00C23C26" w:rsidP="007B2267">
      <w:pPr>
        <w:spacing w:line="23"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C23C26" w:rsidRPr="008B7F8E" w14:paraId="370C6322" w14:textId="77777777" w:rsidTr="00994F2D">
        <w:tc>
          <w:tcPr>
            <w:tcW w:w="9289" w:type="dxa"/>
            <w:tcBorders>
              <w:top w:val="nil"/>
              <w:left w:val="nil"/>
              <w:bottom w:val="nil"/>
              <w:right w:val="nil"/>
            </w:tcBorders>
          </w:tcPr>
          <w:p w14:paraId="7BD860F4" w14:textId="77777777" w:rsidR="00C23C26" w:rsidRPr="008B7F8E" w:rsidRDefault="00C23C26" w:rsidP="007B2267">
            <w:pPr>
              <w:spacing w:line="23" w:lineRule="atLeast"/>
              <w:rPr>
                <w:rFonts w:cs="Arial"/>
                <w:b/>
                <w:bCs/>
              </w:rPr>
            </w:pPr>
            <w:bookmarkStart w:id="1" w:name="Confidential"/>
            <w:bookmarkEnd w:id="1"/>
          </w:p>
        </w:tc>
      </w:tr>
    </w:tbl>
    <w:p w14:paraId="7143D7CE" w14:textId="77777777" w:rsidR="00C23C26" w:rsidRPr="008B7F8E" w:rsidRDefault="00C23C26" w:rsidP="007B2267">
      <w:pPr>
        <w:spacing w:line="23" w:lineRule="atLeast"/>
        <w:rPr>
          <w:rFonts w:cs="Arial"/>
        </w:rPr>
      </w:pPr>
      <w:bookmarkStart w:id="2" w:name="Name1"/>
      <w:bookmarkEnd w:id="2"/>
      <w:r w:rsidRPr="008B7F8E">
        <w:rPr>
          <w:rFonts w:cs="Arial"/>
        </w:rPr>
        <w:t>[</w:t>
      </w:r>
      <w:r w:rsidR="00407DCF" w:rsidRPr="008B7F8E">
        <w:rPr>
          <w:rFonts w:cs="Arial"/>
          <w:highlight w:val="lightGray"/>
        </w:rPr>
        <w:t>Insert Client Name</w:t>
      </w:r>
      <w:r w:rsidRPr="008B7F8E">
        <w:rPr>
          <w:rFonts w:cs="Arial"/>
        </w:rPr>
        <w:t>]</w:t>
      </w:r>
    </w:p>
    <w:p w14:paraId="52BAEC7A" w14:textId="77777777" w:rsidR="00C23C26" w:rsidRPr="008B7F8E" w:rsidRDefault="00C23C26" w:rsidP="007B2267">
      <w:pPr>
        <w:spacing w:line="23" w:lineRule="atLeast"/>
        <w:rPr>
          <w:rFonts w:cs="Arial"/>
        </w:rPr>
      </w:pPr>
      <w:bookmarkStart w:id="3" w:name="Position"/>
      <w:bookmarkEnd w:id="3"/>
      <w:r w:rsidRPr="008B7F8E">
        <w:rPr>
          <w:rFonts w:cs="Arial"/>
        </w:rPr>
        <w:t>[</w:t>
      </w:r>
      <w:r w:rsidR="00407DCF" w:rsidRPr="008B7F8E">
        <w:rPr>
          <w:rFonts w:cs="Arial"/>
          <w:highlight w:val="lightGray"/>
        </w:rPr>
        <w:t>Insert Client Position</w:t>
      </w:r>
      <w:r w:rsidRPr="008B7F8E">
        <w:rPr>
          <w:rFonts w:cs="Arial"/>
        </w:rPr>
        <w:t>]</w:t>
      </w:r>
    </w:p>
    <w:p w14:paraId="680EDADC" w14:textId="77777777" w:rsidR="00C23C26" w:rsidRPr="008B7F8E" w:rsidRDefault="00C23C26" w:rsidP="007B2267">
      <w:pPr>
        <w:spacing w:line="23" w:lineRule="atLeast"/>
        <w:rPr>
          <w:rFonts w:cs="Arial"/>
        </w:rPr>
      </w:pPr>
      <w:bookmarkStart w:id="4" w:name="Company1"/>
      <w:bookmarkEnd w:id="4"/>
      <w:r w:rsidRPr="008B7F8E">
        <w:rPr>
          <w:rFonts w:cs="Arial"/>
        </w:rPr>
        <w:t>[</w:t>
      </w:r>
      <w:r w:rsidR="00407DCF" w:rsidRPr="008B7F8E">
        <w:rPr>
          <w:rFonts w:cs="Arial"/>
          <w:highlight w:val="lightGray"/>
        </w:rPr>
        <w:t>Insert Company Name</w:t>
      </w:r>
      <w:r w:rsidRPr="008B7F8E">
        <w:rPr>
          <w:rFonts w:cs="Arial"/>
        </w:rPr>
        <w:t>]</w:t>
      </w:r>
    </w:p>
    <w:p w14:paraId="1CEF2242" w14:textId="77777777" w:rsidR="00C23C26" w:rsidRPr="008B7F8E" w:rsidRDefault="00C23C26" w:rsidP="007B2267">
      <w:pPr>
        <w:spacing w:line="23" w:lineRule="atLeast"/>
        <w:rPr>
          <w:rFonts w:cs="Arial"/>
        </w:rPr>
      </w:pPr>
      <w:bookmarkStart w:id="5" w:name="Address1"/>
      <w:bookmarkEnd w:id="5"/>
      <w:r w:rsidRPr="008B7F8E">
        <w:rPr>
          <w:rFonts w:cs="Arial"/>
        </w:rPr>
        <w:t>[</w:t>
      </w:r>
      <w:r w:rsidR="00407DCF" w:rsidRPr="008B7F8E">
        <w:rPr>
          <w:rFonts w:cs="Arial"/>
          <w:highlight w:val="lightGray"/>
        </w:rPr>
        <w:t>Insert Company Address</w:t>
      </w:r>
      <w:r w:rsidRPr="008B7F8E">
        <w:rPr>
          <w:rFonts w:cs="Arial"/>
        </w:rPr>
        <w:t>]</w:t>
      </w:r>
    </w:p>
    <w:p w14:paraId="1D020CE1" w14:textId="77777777" w:rsidR="00C23C26" w:rsidRPr="008B7F8E" w:rsidRDefault="00C23C26" w:rsidP="007B2267">
      <w:pPr>
        <w:spacing w:line="23" w:lineRule="atLeast"/>
        <w:rPr>
          <w:rFonts w:cs="Arial"/>
        </w:rPr>
      </w:pPr>
      <w:bookmarkStart w:id="6" w:name="Suburb"/>
      <w:bookmarkEnd w:id="6"/>
      <w:r w:rsidRPr="008B7F8E">
        <w:rPr>
          <w:rFonts w:cs="Arial"/>
        </w:rPr>
        <w:t>[</w:t>
      </w:r>
      <w:r w:rsidR="00407DCF" w:rsidRPr="008B7F8E">
        <w:rPr>
          <w:rFonts w:cs="Arial"/>
          <w:highlight w:val="lightGray"/>
        </w:rPr>
        <w:t xml:space="preserve">Suburb  </w:t>
      </w:r>
      <w:bookmarkStart w:id="7" w:name="State"/>
      <w:bookmarkEnd w:id="7"/>
      <w:r w:rsidR="00407DCF" w:rsidRPr="008B7F8E">
        <w:rPr>
          <w:rFonts w:cs="Arial"/>
          <w:highlight w:val="lightGray"/>
        </w:rPr>
        <w:t xml:space="preserve">State  </w:t>
      </w:r>
      <w:bookmarkStart w:id="8" w:name="PostCode"/>
      <w:bookmarkEnd w:id="8"/>
      <w:r w:rsidR="00407DCF" w:rsidRPr="008B7F8E">
        <w:rPr>
          <w:rFonts w:cs="Arial"/>
          <w:highlight w:val="lightGray"/>
        </w:rPr>
        <w:t>Post Code</w:t>
      </w:r>
      <w:r w:rsidRPr="008B7F8E">
        <w:rPr>
          <w:rFonts w:cs="Arial"/>
        </w:rPr>
        <w:t>]</w:t>
      </w:r>
    </w:p>
    <w:p w14:paraId="72B4D17A" w14:textId="77777777" w:rsidR="00C23C26" w:rsidRPr="008B7F8E" w:rsidRDefault="00C23C26" w:rsidP="007B2267">
      <w:pPr>
        <w:spacing w:line="23" w:lineRule="atLeast"/>
        <w:rPr>
          <w:rFonts w:cs="Arial"/>
        </w:rPr>
      </w:pPr>
    </w:p>
    <w:p w14:paraId="1DD528F0" w14:textId="77777777" w:rsidR="00C23C26" w:rsidRPr="008B7F8E" w:rsidRDefault="00C23C26" w:rsidP="007B2267">
      <w:pPr>
        <w:spacing w:line="23" w:lineRule="atLeast"/>
        <w:rPr>
          <w:rFonts w:cs="Arial"/>
          <w:bCs/>
        </w:rPr>
      </w:pPr>
    </w:p>
    <w:p w14:paraId="15903D28" w14:textId="77777777" w:rsidR="00C23C26" w:rsidRPr="008B7F8E" w:rsidRDefault="00C23C26" w:rsidP="007B2267">
      <w:pPr>
        <w:spacing w:line="23" w:lineRule="atLeast"/>
        <w:rPr>
          <w:rFonts w:cs="Arial"/>
        </w:rPr>
      </w:pPr>
      <w:r w:rsidRPr="008B7F8E">
        <w:rPr>
          <w:rFonts w:cs="Arial"/>
        </w:rPr>
        <w:t xml:space="preserve">Dear </w:t>
      </w:r>
      <w:bookmarkStart w:id="9" w:name="Salutation"/>
      <w:bookmarkEnd w:id="9"/>
      <w:r w:rsidRPr="008B7F8E">
        <w:rPr>
          <w:rFonts w:cs="Arial"/>
        </w:rPr>
        <w:t>[</w:t>
      </w:r>
      <w:r w:rsidR="00407DCF" w:rsidRPr="008B7F8E">
        <w:rPr>
          <w:rFonts w:cs="Arial"/>
          <w:highlight w:val="lightGray"/>
        </w:rPr>
        <w:t>Insert Client Name</w:t>
      </w:r>
      <w:r w:rsidRPr="008B7F8E">
        <w:rPr>
          <w:rFonts w:cs="Arial"/>
        </w:rPr>
        <w:t>]</w:t>
      </w:r>
    </w:p>
    <w:p w14:paraId="5986E353" w14:textId="77777777" w:rsidR="00C23C26" w:rsidRPr="008B7F8E" w:rsidRDefault="00C23C26" w:rsidP="007B2267">
      <w:pPr>
        <w:spacing w:line="23" w:lineRule="atLeast"/>
        <w:rPr>
          <w:rFonts w:cs="Arial"/>
          <w:bCs/>
        </w:rPr>
      </w:pPr>
    </w:p>
    <w:p w14:paraId="26CBBF0C" w14:textId="77777777" w:rsidR="00C23C26" w:rsidRPr="008B7F8E" w:rsidRDefault="00C23C26" w:rsidP="007B2267">
      <w:pPr>
        <w:spacing w:line="23" w:lineRule="atLeast"/>
        <w:rPr>
          <w:rFonts w:cs="Arial"/>
          <w:bCs/>
        </w:rPr>
      </w:pPr>
    </w:p>
    <w:p w14:paraId="716CE54E" w14:textId="6B650159" w:rsidR="00C23C26" w:rsidRPr="00FB665D" w:rsidRDefault="00C23C26" w:rsidP="007B2267">
      <w:pPr>
        <w:spacing w:line="23" w:lineRule="atLeast"/>
        <w:rPr>
          <w:rFonts w:cs="Arial"/>
          <w:b/>
          <w:bCs/>
          <w:sz w:val="21"/>
          <w:szCs w:val="21"/>
        </w:rPr>
      </w:pPr>
      <w:bookmarkStart w:id="10" w:name="Subject"/>
      <w:bookmarkEnd w:id="10"/>
      <w:r w:rsidRPr="00FB665D">
        <w:rPr>
          <w:rFonts w:cs="Arial"/>
          <w:b/>
          <w:bCs/>
          <w:sz w:val="21"/>
          <w:szCs w:val="21"/>
        </w:rPr>
        <w:t>Re:</w:t>
      </w:r>
      <w:r w:rsidRPr="00FB665D">
        <w:rPr>
          <w:rFonts w:cs="Arial"/>
          <w:b/>
          <w:bCs/>
          <w:sz w:val="21"/>
          <w:szCs w:val="21"/>
        </w:rPr>
        <w:tab/>
      </w:r>
      <w:r w:rsidR="00FB0DB2" w:rsidRPr="00FB665D">
        <w:rPr>
          <w:rFonts w:cs="Arial"/>
          <w:b/>
          <w:bCs/>
          <w:sz w:val="21"/>
          <w:szCs w:val="21"/>
        </w:rPr>
        <w:t>T</w:t>
      </w:r>
      <w:r w:rsidR="00FB665D">
        <w:rPr>
          <w:rFonts w:cs="Arial"/>
          <w:b/>
          <w:bCs/>
          <w:sz w:val="21"/>
          <w:szCs w:val="21"/>
        </w:rPr>
        <w:t>he</w:t>
      </w:r>
      <w:r w:rsidR="00FB0DB2" w:rsidRPr="00FB665D">
        <w:rPr>
          <w:rFonts w:cs="Arial"/>
          <w:b/>
          <w:bCs/>
          <w:sz w:val="21"/>
          <w:szCs w:val="21"/>
        </w:rPr>
        <w:t xml:space="preserve"> </w:t>
      </w:r>
      <w:r w:rsidRPr="00FB665D">
        <w:rPr>
          <w:rFonts w:cs="Arial"/>
          <w:b/>
          <w:bCs/>
          <w:sz w:val="21"/>
          <w:szCs w:val="21"/>
        </w:rPr>
        <w:t>R&amp;D</w:t>
      </w:r>
      <w:r w:rsidR="00CE048C">
        <w:rPr>
          <w:rFonts w:cs="Arial"/>
          <w:b/>
          <w:bCs/>
          <w:sz w:val="21"/>
          <w:szCs w:val="21"/>
        </w:rPr>
        <w:t xml:space="preserve"> </w:t>
      </w:r>
      <w:r w:rsidR="000B2C4A">
        <w:rPr>
          <w:rFonts w:cs="Arial"/>
          <w:b/>
          <w:bCs/>
          <w:sz w:val="21"/>
          <w:szCs w:val="21"/>
        </w:rPr>
        <w:t xml:space="preserve">Tax </w:t>
      </w:r>
      <w:r w:rsidR="00FB665D">
        <w:rPr>
          <w:rFonts w:cs="Arial"/>
          <w:b/>
          <w:bCs/>
          <w:sz w:val="21"/>
          <w:szCs w:val="21"/>
        </w:rPr>
        <w:t xml:space="preserve">Incentive </w:t>
      </w:r>
    </w:p>
    <w:p w14:paraId="79A5D925" w14:textId="77777777" w:rsidR="00C23C26" w:rsidRPr="008B7F8E" w:rsidRDefault="00C23C26" w:rsidP="007B2267">
      <w:pPr>
        <w:spacing w:line="23" w:lineRule="atLeast"/>
        <w:rPr>
          <w:rFonts w:cs="Arial"/>
        </w:rPr>
      </w:pPr>
    </w:p>
    <w:p w14:paraId="6A884B5D" w14:textId="322A2F87" w:rsidR="00C23C26" w:rsidRDefault="004903AB" w:rsidP="007B2267">
      <w:pPr>
        <w:spacing w:line="23" w:lineRule="atLeast"/>
        <w:rPr>
          <w:rFonts w:cs="Arial"/>
        </w:rPr>
      </w:pPr>
      <w:r w:rsidRPr="004903AB">
        <w:rPr>
          <w:rFonts w:cs="Arial"/>
        </w:rPr>
        <w:t xml:space="preserve">The R&amp;D Tax Incentive provides Australian resident companies and </w:t>
      </w:r>
      <w:r w:rsidR="00A57F0C">
        <w:rPr>
          <w:rFonts w:cs="Arial"/>
        </w:rPr>
        <w:t xml:space="preserve">corporate trustees of </w:t>
      </w:r>
      <w:r w:rsidRPr="004903AB">
        <w:rPr>
          <w:rFonts w:cs="Arial"/>
        </w:rPr>
        <w:t xml:space="preserve">public trading trusts (and foreign companies operating </w:t>
      </w:r>
      <w:r w:rsidR="00A57F0C">
        <w:rPr>
          <w:rFonts w:cs="Arial"/>
        </w:rPr>
        <w:t xml:space="preserve">a business </w:t>
      </w:r>
      <w:r w:rsidRPr="004903AB">
        <w:rPr>
          <w:rFonts w:cs="Arial"/>
        </w:rPr>
        <w:t xml:space="preserve">via an Australian permanent establishment) with a tax offset in respect of qualifying expenditure incurred on R&amp;D activities that have been registered with </w:t>
      </w:r>
      <w:proofErr w:type="spellStart"/>
      <w:r w:rsidRPr="004903AB">
        <w:rPr>
          <w:rFonts w:cs="Arial"/>
        </w:rPr>
        <w:t>AusIndustry</w:t>
      </w:r>
      <w:proofErr w:type="spellEnd"/>
      <w:r w:rsidRPr="004903AB">
        <w:rPr>
          <w:rFonts w:cs="Arial"/>
        </w:rPr>
        <w:t>. These rules also apply to partnerships of eligible R&amp;D entities where each partner is entitled to an R&amp;D tax offset based on the partner’s proportional entitlement to qualifying expenditure in respect of eligible R&amp;D activities.</w:t>
      </w:r>
    </w:p>
    <w:p w14:paraId="7CCB0DD2" w14:textId="77777777" w:rsidR="003A572D" w:rsidRDefault="003A572D" w:rsidP="007B2267">
      <w:pPr>
        <w:spacing w:line="23" w:lineRule="atLeast"/>
        <w:rPr>
          <w:rFonts w:cs="Arial"/>
        </w:rPr>
      </w:pPr>
    </w:p>
    <w:p w14:paraId="2842A659" w14:textId="118DA99D" w:rsidR="00C23C26" w:rsidRPr="00FB665D" w:rsidRDefault="003A572D" w:rsidP="007B2267">
      <w:pPr>
        <w:spacing w:line="23" w:lineRule="atLeast"/>
        <w:rPr>
          <w:rFonts w:cs="Arial"/>
          <w:bCs/>
        </w:rPr>
      </w:pPr>
      <w:r>
        <w:rPr>
          <w:rFonts w:cs="Arial"/>
        </w:rPr>
        <w:t xml:space="preserve">This letter </w:t>
      </w:r>
      <w:r w:rsidR="00BC3432">
        <w:rPr>
          <w:rFonts w:cs="Arial"/>
        </w:rPr>
        <w:t>outlines</w:t>
      </w:r>
      <w:r>
        <w:rPr>
          <w:rFonts w:cs="Arial"/>
        </w:rPr>
        <w:t xml:space="preserve"> the </w:t>
      </w:r>
      <w:r w:rsidR="001C3AF7" w:rsidRPr="00FB665D">
        <w:rPr>
          <w:rFonts w:cs="Arial"/>
          <w:bCs/>
        </w:rPr>
        <w:t xml:space="preserve">key features </w:t>
      </w:r>
      <w:r w:rsidR="00C23C26" w:rsidRPr="00FB665D">
        <w:rPr>
          <w:rFonts w:cs="Arial"/>
          <w:bCs/>
        </w:rPr>
        <w:t xml:space="preserve">of the </w:t>
      </w:r>
      <w:r w:rsidR="00F13D2C" w:rsidRPr="00FB665D">
        <w:rPr>
          <w:rFonts w:cs="Arial"/>
          <w:bCs/>
        </w:rPr>
        <w:t xml:space="preserve">current </w:t>
      </w:r>
      <w:r w:rsidR="002E1C20" w:rsidRPr="00FB665D">
        <w:rPr>
          <w:rFonts w:cs="Arial"/>
          <w:bCs/>
        </w:rPr>
        <w:t xml:space="preserve">R&amp;D </w:t>
      </w:r>
      <w:r w:rsidR="000B2C4A">
        <w:rPr>
          <w:rFonts w:cs="Arial"/>
          <w:bCs/>
        </w:rPr>
        <w:t>Tax I</w:t>
      </w:r>
      <w:r w:rsidR="002E1C20" w:rsidRPr="00FB665D">
        <w:rPr>
          <w:rFonts w:cs="Arial"/>
          <w:bCs/>
        </w:rPr>
        <w:t>ncentive</w:t>
      </w:r>
      <w:r w:rsidR="00916A49">
        <w:rPr>
          <w:rFonts w:cs="Arial"/>
          <w:bCs/>
        </w:rPr>
        <w:t xml:space="preserve">, applicable </w:t>
      </w:r>
      <w:r w:rsidR="005709F3">
        <w:rPr>
          <w:rFonts w:cs="Arial"/>
          <w:bCs/>
        </w:rPr>
        <w:t>for income years commencing on or after 1 July 2021.</w:t>
      </w:r>
    </w:p>
    <w:p w14:paraId="1FF47721" w14:textId="77777777" w:rsidR="00C23C26" w:rsidRPr="008B7F8E" w:rsidRDefault="00C23C26" w:rsidP="007B2267">
      <w:pPr>
        <w:spacing w:line="23" w:lineRule="atLeast"/>
        <w:rPr>
          <w:rFonts w:cs="Arial"/>
          <w:b/>
          <w:bCs/>
        </w:rPr>
      </w:pPr>
    </w:p>
    <w:p w14:paraId="52BE60B4" w14:textId="3FD73D69" w:rsidR="00E07945" w:rsidRDefault="004903AB" w:rsidP="007B2267">
      <w:pPr>
        <w:spacing w:line="23" w:lineRule="atLeast"/>
        <w:rPr>
          <w:rFonts w:cs="Arial"/>
        </w:rPr>
      </w:pPr>
      <w:r w:rsidRPr="00FB665D">
        <w:rPr>
          <w:rFonts w:cs="Arial"/>
          <w:b/>
        </w:rPr>
        <w:t>Compan</w:t>
      </w:r>
      <w:r w:rsidR="000B2C4A">
        <w:rPr>
          <w:rFonts w:cs="Arial"/>
          <w:b/>
        </w:rPr>
        <w:t>ies</w:t>
      </w:r>
      <w:r w:rsidR="00407DCF" w:rsidRPr="00FB665D">
        <w:rPr>
          <w:rFonts w:cs="Arial"/>
          <w:b/>
        </w:rPr>
        <w:t xml:space="preserve"> </w:t>
      </w:r>
      <w:r w:rsidRPr="00FB665D">
        <w:rPr>
          <w:rFonts w:cs="Arial"/>
          <w:b/>
        </w:rPr>
        <w:t xml:space="preserve">with aggregated turnover of </w:t>
      </w:r>
      <w:r w:rsidR="00407DCF" w:rsidRPr="00FB665D">
        <w:rPr>
          <w:rFonts w:cs="Arial"/>
          <w:b/>
        </w:rPr>
        <w:t>less than $20 million</w:t>
      </w:r>
      <w:r w:rsidR="00407DCF" w:rsidRPr="00FB665D">
        <w:rPr>
          <w:rFonts w:cs="Arial"/>
          <w:b/>
        </w:rPr>
        <w:br/>
      </w:r>
    </w:p>
    <w:p w14:paraId="4A4A2628" w14:textId="6BC14EF7" w:rsidR="00E07945" w:rsidRDefault="00E07945" w:rsidP="007B2267">
      <w:pPr>
        <w:spacing w:line="23" w:lineRule="atLeast"/>
        <w:rPr>
          <w:rFonts w:cs="Arial"/>
        </w:rPr>
      </w:pPr>
      <w:r>
        <w:rPr>
          <w:rFonts w:cs="Arial"/>
        </w:rPr>
        <w:t xml:space="preserve">A company with an aggregated turnover of less than $20 million per annum is entitled to a refundable R&amp;D tax offset </w:t>
      </w:r>
      <w:r>
        <w:t>at a rate of 18.5% above the claimant’s company tax rate for income years starting on or after 1 July 2021.</w:t>
      </w:r>
    </w:p>
    <w:p w14:paraId="50C49F66" w14:textId="77777777" w:rsidR="004903AB" w:rsidRPr="004903AB" w:rsidRDefault="004903AB" w:rsidP="003E521A">
      <w:pPr>
        <w:spacing w:line="23" w:lineRule="atLeast"/>
      </w:pPr>
    </w:p>
    <w:p w14:paraId="2223FB7A" w14:textId="77777777" w:rsidR="004903AB" w:rsidRPr="004903AB" w:rsidRDefault="007B2267" w:rsidP="007B2267">
      <w:pPr>
        <w:spacing w:line="23" w:lineRule="atLeast"/>
        <w:rPr>
          <w:rFonts w:cs="Arial"/>
        </w:rPr>
      </w:pPr>
      <w:r>
        <w:rPr>
          <w:rFonts w:cs="Arial"/>
        </w:rPr>
        <w:t>A</w:t>
      </w:r>
      <w:r w:rsidR="004903AB" w:rsidRPr="004903AB">
        <w:rPr>
          <w:rFonts w:cs="Arial"/>
        </w:rPr>
        <w:t xml:space="preserve"> company’s aggregated turnover will comprise the annual turnover of the company derived in the ordinary course of carrying on its business during the year (excluding GST) and the annual turnover of any affiliate or entity connected with that company for that year.      </w:t>
      </w:r>
    </w:p>
    <w:p w14:paraId="59732E9E" w14:textId="77777777" w:rsidR="004903AB" w:rsidRPr="004903AB" w:rsidRDefault="004903AB" w:rsidP="007B2267">
      <w:pPr>
        <w:spacing w:line="23" w:lineRule="atLeast"/>
        <w:ind w:left="720"/>
        <w:rPr>
          <w:rFonts w:cs="Arial"/>
        </w:rPr>
      </w:pPr>
    </w:p>
    <w:p w14:paraId="7A14DB77" w14:textId="0E2E3CB6" w:rsidR="00A265C2" w:rsidRDefault="00BA4383" w:rsidP="00A229F8">
      <w:pPr>
        <w:spacing w:line="23" w:lineRule="atLeast"/>
        <w:rPr>
          <w:rFonts w:cs="Arial"/>
        </w:rPr>
      </w:pPr>
      <w:r>
        <w:rPr>
          <w:rFonts w:cs="Arial"/>
        </w:rPr>
        <w:t>C</w:t>
      </w:r>
      <w:r w:rsidR="00C23C26" w:rsidRPr="008B7F8E">
        <w:rPr>
          <w:rFonts w:cs="Arial"/>
        </w:rPr>
        <w:t xml:space="preserve">ompanies in a tax loss position for an income year </w:t>
      </w:r>
      <w:r w:rsidR="000D5E0A" w:rsidRPr="008B7F8E">
        <w:rPr>
          <w:rFonts w:cs="Arial"/>
        </w:rPr>
        <w:t>are entitled to</w:t>
      </w:r>
      <w:r w:rsidR="00A919F6" w:rsidRPr="008B7F8E">
        <w:rPr>
          <w:rFonts w:cs="Arial"/>
        </w:rPr>
        <w:t xml:space="preserve"> </w:t>
      </w:r>
      <w:r w:rsidR="00C23C26" w:rsidRPr="008B7F8E">
        <w:rPr>
          <w:rFonts w:cs="Arial"/>
        </w:rPr>
        <w:t xml:space="preserve">receive a refundable tax offset (i.e. </w:t>
      </w:r>
      <w:r w:rsidR="004903AB">
        <w:rPr>
          <w:rFonts w:cs="Arial"/>
        </w:rPr>
        <w:t xml:space="preserve">obtain </w:t>
      </w:r>
      <w:r w:rsidR="00C23C26" w:rsidRPr="008B7F8E">
        <w:rPr>
          <w:rFonts w:cs="Arial"/>
        </w:rPr>
        <w:t xml:space="preserve">a cash rebate </w:t>
      </w:r>
      <w:r w:rsidR="004903AB">
        <w:rPr>
          <w:rFonts w:cs="Arial"/>
        </w:rPr>
        <w:t>in lieu of the tax loss for</w:t>
      </w:r>
      <w:r w:rsidR="00C23C26" w:rsidRPr="008B7F8E">
        <w:rPr>
          <w:rFonts w:cs="Arial"/>
        </w:rPr>
        <w:t xml:space="preserve"> that year)</w:t>
      </w:r>
      <w:r w:rsidR="00D224A5">
        <w:rPr>
          <w:rFonts w:cs="Arial"/>
        </w:rPr>
        <w:t xml:space="preserve"> if they are otherwise eligible for that offset</w:t>
      </w:r>
      <w:r w:rsidR="00C23C26" w:rsidRPr="008B7F8E">
        <w:rPr>
          <w:rFonts w:cs="Arial"/>
        </w:rPr>
        <w:t>.</w:t>
      </w:r>
    </w:p>
    <w:p w14:paraId="2F1D3B24" w14:textId="5AFFE425" w:rsidR="004903AB" w:rsidRPr="008B7F8E" w:rsidRDefault="004903AB" w:rsidP="007B2267">
      <w:pPr>
        <w:spacing w:line="23" w:lineRule="atLeast"/>
        <w:ind w:left="720"/>
        <w:rPr>
          <w:rFonts w:cs="Arial"/>
        </w:rPr>
      </w:pPr>
    </w:p>
    <w:p w14:paraId="0F7297F7" w14:textId="25E03E74" w:rsidR="00C23C26" w:rsidRPr="00FB665D" w:rsidRDefault="004903AB" w:rsidP="007B2267">
      <w:pPr>
        <w:spacing w:line="23" w:lineRule="atLeast"/>
        <w:rPr>
          <w:rFonts w:cs="Arial"/>
          <w:b/>
        </w:rPr>
      </w:pPr>
      <w:r w:rsidRPr="00FB665D">
        <w:rPr>
          <w:rFonts w:cs="Arial"/>
          <w:b/>
        </w:rPr>
        <w:t>Compan</w:t>
      </w:r>
      <w:r w:rsidR="003C3AF3">
        <w:rPr>
          <w:rFonts w:cs="Arial"/>
          <w:b/>
        </w:rPr>
        <w:t>ies</w:t>
      </w:r>
      <w:r w:rsidRPr="00FB665D">
        <w:rPr>
          <w:rFonts w:cs="Arial"/>
          <w:b/>
        </w:rPr>
        <w:t xml:space="preserve"> with aggregated turnover </w:t>
      </w:r>
      <w:r w:rsidR="00C7773B" w:rsidRPr="00FB665D">
        <w:rPr>
          <w:rFonts w:cs="Arial"/>
          <w:b/>
        </w:rPr>
        <w:t>of</w:t>
      </w:r>
      <w:r w:rsidR="00407DCF" w:rsidRPr="00FB665D">
        <w:rPr>
          <w:rFonts w:cs="Arial"/>
          <w:b/>
        </w:rPr>
        <w:t xml:space="preserve"> $20 million or more</w:t>
      </w:r>
    </w:p>
    <w:p w14:paraId="77657121" w14:textId="352F8575" w:rsidR="00CB60FF" w:rsidRDefault="00CB60FF" w:rsidP="007B2267">
      <w:pPr>
        <w:spacing w:line="23" w:lineRule="atLeast"/>
        <w:rPr>
          <w:rFonts w:cs="Arial"/>
        </w:rPr>
      </w:pPr>
    </w:p>
    <w:p w14:paraId="5D0D0831" w14:textId="7B1F9DFC" w:rsidR="00B84AEF" w:rsidRDefault="00CB60FF" w:rsidP="007B2267">
      <w:pPr>
        <w:spacing w:line="23" w:lineRule="atLeast"/>
        <w:rPr>
          <w:rFonts w:cs="Arial"/>
        </w:rPr>
      </w:pPr>
      <w:r>
        <w:rPr>
          <w:rFonts w:cs="Arial"/>
        </w:rPr>
        <w:t>A company with an aggregated turnover of $20 million or more is entitled to</w:t>
      </w:r>
      <w:r w:rsidR="00A21898">
        <w:rPr>
          <w:rFonts w:cs="Arial"/>
        </w:rPr>
        <w:t xml:space="preserve"> a non-refundable tax offset </w:t>
      </w:r>
      <w:r w:rsidR="0003175D">
        <w:rPr>
          <w:rFonts w:cs="Arial"/>
        </w:rPr>
        <w:t>equal to the claimant’s company</w:t>
      </w:r>
      <w:r w:rsidR="0097416E">
        <w:rPr>
          <w:rFonts w:cs="Arial"/>
        </w:rPr>
        <w:t xml:space="preserve"> tax</w:t>
      </w:r>
      <w:r w:rsidR="0003175D">
        <w:rPr>
          <w:rFonts w:cs="Arial"/>
        </w:rPr>
        <w:t xml:space="preserve"> rate </w:t>
      </w:r>
      <w:r w:rsidR="00C23012">
        <w:rPr>
          <w:rFonts w:cs="Arial"/>
        </w:rPr>
        <w:t xml:space="preserve">plus </w:t>
      </w:r>
      <w:r w:rsidR="00870EE4">
        <w:rPr>
          <w:rFonts w:cs="Arial"/>
        </w:rPr>
        <w:t>a premium based on the level of their incremental R&amp;D intensity for their R&amp;D expenditure</w:t>
      </w:r>
      <w:r w:rsidR="00150129">
        <w:rPr>
          <w:rFonts w:cs="Arial"/>
        </w:rPr>
        <w:t>.</w:t>
      </w:r>
      <w:r w:rsidR="00FA5B00">
        <w:rPr>
          <w:rFonts w:cs="Arial"/>
        </w:rPr>
        <w:t xml:space="preserve"> </w:t>
      </w:r>
    </w:p>
    <w:p w14:paraId="4ECF7757" w14:textId="77777777" w:rsidR="00B84AEF" w:rsidRDefault="00B84AEF" w:rsidP="007B2267">
      <w:pPr>
        <w:spacing w:line="23" w:lineRule="atLeast"/>
        <w:rPr>
          <w:rFonts w:cs="Arial"/>
        </w:rPr>
      </w:pPr>
    </w:p>
    <w:p w14:paraId="4953E2D4" w14:textId="63885EDD" w:rsidR="008349F3" w:rsidRDefault="00FA5B00" w:rsidP="007B2267">
      <w:pPr>
        <w:spacing w:line="23" w:lineRule="atLeast"/>
        <w:rPr>
          <w:rFonts w:cs="Arial"/>
        </w:rPr>
      </w:pPr>
      <w:r w:rsidRPr="00FA5B00">
        <w:rPr>
          <w:rFonts w:cs="Arial"/>
        </w:rPr>
        <w:t xml:space="preserve">The intensity premiums </w:t>
      </w:r>
      <w:r>
        <w:rPr>
          <w:rFonts w:cs="Arial"/>
        </w:rPr>
        <w:t xml:space="preserve">apply to notional deductions within </w:t>
      </w:r>
      <w:r w:rsidR="00F8463A">
        <w:rPr>
          <w:rFonts w:cs="Arial"/>
        </w:rPr>
        <w:t>a range of R&amp;D intensity for R&amp;D expenditure where notional deductions are expressed as a proportion of the R&amp;D entity’s total expenses:</w:t>
      </w:r>
    </w:p>
    <w:p w14:paraId="2BC8AC39" w14:textId="77777777" w:rsidR="008349F3" w:rsidRDefault="008349F3" w:rsidP="007B2267">
      <w:pPr>
        <w:spacing w:line="23" w:lineRule="atLeast"/>
        <w:rPr>
          <w:rFonts w:cs="Arial"/>
        </w:rPr>
      </w:pPr>
    </w:p>
    <w:p w14:paraId="43ED2C8F" w14:textId="3EF37115" w:rsidR="008349F3" w:rsidRDefault="00151578" w:rsidP="00845005">
      <w:pPr>
        <w:pStyle w:val="ListParagraph"/>
        <w:numPr>
          <w:ilvl w:val="0"/>
          <w:numId w:val="11"/>
        </w:numPr>
        <w:spacing w:line="23" w:lineRule="atLeast"/>
        <w:rPr>
          <w:rFonts w:cs="Arial"/>
        </w:rPr>
      </w:pPr>
      <w:r>
        <w:rPr>
          <w:rFonts w:cs="Arial"/>
        </w:rPr>
        <w:t xml:space="preserve">Notional deductions representing up to and including </w:t>
      </w:r>
      <w:r w:rsidR="00F8463A">
        <w:rPr>
          <w:rFonts w:cs="Arial"/>
        </w:rPr>
        <w:t xml:space="preserve">2% of total expenses </w:t>
      </w:r>
      <w:r w:rsidR="00894E74">
        <w:rPr>
          <w:rFonts w:cs="Arial"/>
        </w:rPr>
        <w:t>will receive a non-refundable R&amp;D tax offset equal to the corporate tax rate plus 8.5% premium.</w:t>
      </w:r>
    </w:p>
    <w:p w14:paraId="5CEC6371" w14:textId="2BCF6CC3" w:rsidR="00894E74" w:rsidRPr="008349F3" w:rsidRDefault="001B3491" w:rsidP="003E521A">
      <w:pPr>
        <w:pStyle w:val="ListParagraph"/>
        <w:numPr>
          <w:ilvl w:val="0"/>
          <w:numId w:val="11"/>
        </w:numPr>
        <w:spacing w:line="23" w:lineRule="atLeast"/>
        <w:rPr>
          <w:rFonts w:cs="Arial"/>
        </w:rPr>
      </w:pPr>
      <w:r>
        <w:rPr>
          <w:rFonts w:cs="Arial"/>
        </w:rPr>
        <w:t>Notional deductions representing greater than 2% of total expenses will receive a non-refundable R&amp;D tax offset equal to the corporate tax rate plus 16.5% premium.</w:t>
      </w:r>
    </w:p>
    <w:p w14:paraId="51A36DC7" w14:textId="77777777" w:rsidR="00575CBD" w:rsidRDefault="00575CBD" w:rsidP="007B2267">
      <w:pPr>
        <w:spacing w:line="23" w:lineRule="atLeast"/>
        <w:rPr>
          <w:rFonts w:cs="Arial"/>
        </w:rPr>
      </w:pPr>
    </w:p>
    <w:p w14:paraId="05B75971" w14:textId="7ADE38DC" w:rsidR="00C23C26" w:rsidRPr="008B7F8E" w:rsidRDefault="004903AB" w:rsidP="007B2267">
      <w:pPr>
        <w:spacing w:line="23" w:lineRule="atLeast"/>
        <w:rPr>
          <w:rFonts w:cs="Arial"/>
        </w:rPr>
      </w:pPr>
      <w:r w:rsidRPr="004903AB">
        <w:rPr>
          <w:rFonts w:cs="Arial"/>
        </w:rPr>
        <w:t>Any unutilised tax offset is</w:t>
      </w:r>
      <w:r w:rsidR="003C3AF3">
        <w:rPr>
          <w:rFonts w:cs="Arial"/>
        </w:rPr>
        <w:t xml:space="preserve"> non-refundable but is</w:t>
      </w:r>
      <w:r w:rsidRPr="004903AB">
        <w:rPr>
          <w:rFonts w:cs="Arial"/>
        </w:rPr>
        <w:t xml:space="preserve"> able to be carried forward to future income years.</w:t>
      </w:r>
    </w:p>
    <w:p w14:paraId="31930C37" w14:textId="7A106088" w:rsidR="00575CBD" w:rsidRDefault="00575CBD" w:rsidP="007B2267">
      <w:pPr>
        <w:spacing w:line="23" w:lineRule="atLeast"/>
        <w:rPr>
          <w:rFonts w:cs="Arial"/>
          <w:b/>
        </w:rPr>
      </w:pPr>
    </w:p>
    <w:p w14:paraId="71486A73" w14:textId="77777777" w:rsidR="00C23C26" w:rsidRPr="00FB665D" w:rsidRDefault="004903AB" w:rsidP="007B2267">
      <w:pPr>
        <w:spacing w:line="23" w:lineRule="atLeast"/>
        <w:rPr>
          <w:rFonts w:cs="Arial"/>
          <w:b/>
        </w:rPr>
      </w:pPr>
      <w:r w:rsidRPr="00FB665D">
        <w:rPr>
          <w:rFonts w:cs="Arial"/>
          <w:b/>
        </w:rPr>
        <w:t>Rate of offset if notional deductions are less than $20,000</w:t>
      </w:r>
    </w:p>
    <w:p w14:paraId="0228C121" w14:textId="77777777" w:rsidR="00FB665D" w:rsidRDefault="00FB665D" w:rsidP="007B2267">
      <w:pPr>
        <w:spacing w:line="23" w:lineRule="atLeast"/>
        <w:rPr>
          <w:rFonts w:cs="Arial"/>
        </w:rPr>
      </w:pPr>
    </w:p>
    <w:p w14:paraId="7085D27F" w14:textId="470A1AC9" w:rsidR="00C23C26" w:rsidRDefault="004903AB" w:rsidP="007B2267">
      <w:pPr>
        <w:spacing w:line="23" w:lineRule="atLeast"/>
        <w:rPr>
          <w:rFonts w:cs="Arial"/>
        </w:rPr>
      </w:pPr>
      <w:r w:rsidRPr="004903AB">
        <w:rPr>
          <w:rFonts w:cs="Arial"/>
        </w:rPr>
        <w:t>Where an R&amp;D entity’s total notional deductions are less than $20,000</w:t>
      </w:r>
      <w:r w:rsidR="00BE628A">
        <w:rPr>
          <w:rFonts w:cs="Arial"/>
        </w:rPr>
        <w:t>,</w:t>
      </w:r>
      <w:r w:rsidRPr="004903AB">
        <w:rPr>
          <w:rFonts w:cs="Arial"/>
        </w:rPr>
        <w:t xml:space="preserve"> it is only entitled to the applicable rate of R&amp;D offset to the extent </w:t>
      </w:r>
      <w:r w:rsidR="00BA4383">
        <w:rPr>
          <w:rFonts w:cs="Arial"/>
        </w:rPr>
        <w:t xml:space="preserve">the </w:t>
      </w:r>
      <w:r w:rsidRPr="004903AB">
        <w:rPr>
          <w:rFonts w:cs="Arial"/>
        </w:rPr>
        <w:t xml:space="preserve">expenditure is incurred in relation </w:t>
      </w:r>
      <w:r w:rsidR="00C775D1">
        <w:rPr>
          <w:rFonts w:cs="Arial"/>
        </w:rPr>
        <w:t>to a non-associated registered Research Se</w:t>
      </w:r>
      <w:r w:rsidRPr="004903AB">
        <w:rPr>
          <w:rFonts w:cs="Arial"/>
        </w:rPr>
        <w:t xml:space="preserve">rvice </w:t>
      </w:r>
      <w:r w:rsidR="00C775D1">
        <w:rPr>
          <w:rFonts w:cs="Arial"/>
        </w:rPr>
        <w:t>Provider or under the C</w:t>
      </w:r>
      <w:r w:rsidRPr="004903AB">
        <w:rPr>
          <w:rFonts w:cs="Arial"/>
        </w:rPr>
        <w:t>o</w:t>
      </w:r>
      <w:r w:rsidR="00C775D1">
        <w:rPr>
          <w:rFonts w:cs="Arial"/>
        </w:rPr>
        <w:t>-</w:t>
      </w:r>
      <w:r w:rsidRPr="004903AB">
        <w:rPr>
          <w:rFonts w:cs="Arial"/>
        </w:rPr>
        <w:t xml:space="preserve">operative </w:t>
      </w:r>
      <w:r w:rsidR="00C775D1">
        <w:rPr>
          <w:rFonts w:cs="Arial"/>
        </w:rPr>
        <w:t>Research C</w:t>
      </w:r>
      <w:r w:rsidRPr="004903AB">
        <w:rPr>
          <w:rFonts w:cs="Arial"/>
        </w:rPr>
        <w:t xml:space="preserve">entres </w:t>
      </w:r>
      <w:r w:rsidR="00C775D1">
        <w:rPr>
          <w:rFonts w:cs="Arial"/>
        </w:rPr>
        <w:t xml:space="preserve">(CRC) </w:t>
      </w:r>
      <w:r w:rsidRPr="004903AB">
        <w:rPr>
          <w:rFonts w:cs="Arial"/>
        </w:rPr>
        <w:t>program.</w:t>
      </w:r>
    </w:p>
    <w:p w14:paraId="58E9453A" w14:textId="77777777" w:rsidR="004903AB" w:rsidRPr="008B7F8E" w:rsidRDefault="004903AB" w:rsidP="007B2267">
      <w:pPr>
        <w:spacing w:line="23" w:lineRule="atLeast"/>
        <w:ind w:left="720"/>
        <w:rPr>
          <w:rFonts w:cs="Arial"/>
        </w:rPr>
      </w:pPr>
    </w:p>
    <w:p w14:paraId="0811B2FE" w14:textId="0E353DEA" w:rsidR="00C23C26" w:rsidRPr="00FB665D" w:rsidRDefault="004903AB" w:rsidP="007B2267">
      <w:pPr>
        <w:keepNext/>
        <w:spacing w:line="23" w:lineRule="atLeast"/>
        <w:rPr>
          <w:rFonts w:cs="Arial"/>
          <w:b/>
        </w:rPr>
      </w:pPr>
      <w:r w:rsidRPr="00FB665D">
        <w:rPr>
          <w:rFonts w:cs="Arial"/>
          <w:b/>
        </w:rPr>
        <w:t>Tax offset where notional deductions exceed $1</w:t>
      </w:r>
      <w:r w:rsidR="00D347C2">
        <w:rPr>
          <w:rFonts w:cs="Arial"/>
          <w:b/>
        </w:rPr>
        <w:t>5</w:t>
      </w:r>
      <w:r w:rsidRPr="00FB665D">
        <w:rPr>
          <w:rFonts w:cs="Arial"/>
          <w:b/>
        </w:rPr>
        <w:t>0 million</w:t>
      </w:r>
    </w:p>
    <w:p w14:paraId="2A0C637C" w14:textId="77777777" w:rsidR="00FB665D" w:rsidRDefault="00FB665D" w:rsidP="007B2267">
      <w:pPr>
        <w:keepNext/>
        <w:spacing w:line="23" w:lineRule="atLeast"/>
        <w:rPr>
          <w:rFonts w:cs="Arial"/>
        </w:rPr>
      </w:pPr>
    </w:p>
    <w:p w14:paraId="750676AD" w14:textId="52228F93" w:rsidR="00B30B7E" w:rsidRDefault="007B2267" w:rsidP="007B2267">
      <w:pPr>
        <w:keepNext/>
        <w:spacing w:line="23" w:lineRule="atLeast"/>
        <w:rPr>
          <w:rFonts w:cs="Arial"/>
        </w:rPr>
      </w:pPr>
      <w:r>
        <w:rPr>
          <w:rFonts w:cs="Arial"/>
        </w:rPr>
        <w:t>W</w:t>
      </w:r>
      <w:r w:rsidR="004903AB" w:rsidRPr="004903AB">
        <w:rPr>
          <w:rFonts w:cs="Arial"/>
        </w:rPr>
        <w:t>here an R&amp;D entity’s notional deductions are in excess of $</w:t>
      </w:r>
      <w:r w:rsidR="00E05D27">
        <w:rPr>
          <w:rFonts w:cs="Arial"/>
        </w:rPr>
        <w:t>150</w:t>
      </w:r>
      <w:r w:rsidR="00E05D27" w:rsidRPr="004903AB">
        <w:rPr>
          <w:rFonts w:cs="Arial"/>
        </w:rPr>
        <w:t xml:space="preserve"> </w:t>
      </w:r>
      <w:r w:rsidR="004903AB" w:rsidRPr="004903AB">
        <w:rPr>
          <w:rFonts w:cs="Arial"/>
        </w:rPr>
        <w:t xml:space="preserve">million for </w:t>
      </w:r>
      <w:r w:rsidR="008D08EF">
        <w:rPr>
          <w:rFonts w:cs="Arial"/>
        </w:rPr>
        <w:t>income years starting on or after 1 July 2021</w:t>
      </w:r>
      <w:r w:rsidR="00D401E9">
        <w:rPr>
          <w:rFonts w:cs="Arial"/>
        </w:rPr>
        <w:t>,</w:t>
      </w:r>
      <w:r w:rsidR="004903AB" w:rsidRPr="004903AB">
        <w:rPr>
          <w:rFonts w:cs="Arial"/>
        </w:rPr>
        <w:t xml:space="preserve"> </w:t>
      </w:r>
      <w:r w:rsidR="000D686A">
        <w:rPr>
          <w:rFonts w:cs="Arial"/>
        </w:rPr>
        <w:t>the applicable R&amp;D tax offset rate will only apply</w:t>
      </w:r>
      <w:r w:rsidR="004903AB" w:rsidRPr="004903AB">
        <w:rPr>
          <w:rFonts w:cs="Arial"/>
        </w:rPr>
        <w:t xml:space="preserve"> up to $</w:t>
      </w:r>
      <w:r w:rsidR="00E05D27">
        <w:rPr>
          <w:rFonts w:cs="Arial"/>
        </w:rPr>
        <w:t>150</w:t>
      </w:r>
      <w:r w:rsidR="00E05D27" w:rsidRPr="004903AB">
        <w:rPr>
          <w:rFonts w:cs="Arial"/>
        </w:rPr>
        <w:t xml:space="preserve"> </w:t>
      </w:r>
      <w:r w:rsidR="004903AB" w:rsidRPr="004903AB">
        <w:rPr>
          <w:rFonts w:cs="Arial"/>
        </w:rPr>
        <w:t>million of qualifying expenditure on eligible R&amp;D activities. To the extent that the company has notional deductions in excess of $</w:t>
      </w:r>
      <w:r w:rsidR="00E05D27">
        <w:rPr>
          <w:rFonts w:cs="Arial"/>
        </w:rPr>
        <w:t>150</w:t>
      </w:r>
      <w:r w:rsidR="00E05D27" w:rsidRPr="004903AB">
        <w:rPr>
          <w:rFonts w:cs="Arial"/>
        </w:rPr>
        <w:t xml:space="preserve"> </w:t>
      </w:r>
      <w:r w:rsidR="004903AB" w:rsidRPr="004903AB">
        <w:rPr>
          <w:rFonts w:cs="Arial"/>
        </w:rPr>
        <w:t>million</w:t>
      </w:r>
      <w:r w:rsidR="00D401E9">
        <w:rPr>
          <w:rFonts w:cs="Arial"/>
        </w:rPr>
        <w:t>,</w:t>
      </w:r>
      <w:r w:rsidR="004903AB" w:rsidRPr="004903AB">
        <w:rPr>
          <w:rFonts w:cs="Arial"/>
        </w:rPr>
        <w:t xml:space="preserve"> that amount will only be eligible for the tax offset at the</w:t>
      </w:r>
      <w:r w:rsidR="00C775D1">
        <w:rPr>
          <w:rFonts w:cs="Arial"/>
        </w:rPr>
        <w:t xml:space="preserve"> </w:t>
      </w:r>
      <w:r w:rsidR="00BC3432">
        <w:rPr>
          <w:rFonts w:cs="Arial"/>
        </w:rPr>
        <w:t xml:space="preserve">entity’s </w:t>
      </w:r>
      <w:r w:rsidR="00C775D1">
        <w:rPr>
          <w:rFonts w:cs="Arial"/>
        </w:rPr>
        <w:t>prevailing company tax rate</w:t>
      </w:r>
      <w:r w:rsidR="004903AB">
        <w:rPr>
          <w:rFonts w:cs="Arial"/>
        </w:rPr>
        <w:t xml:space="preserve">. </w:t>
      </w:r>
    </w:p>
    <w:p w14:paraId="252ECD9B" w14:textId="77777777" w:rsidR="00C23C26" w:rsidRPr="008B7F8E" w:rsidRDefault="00C23C26" w:rsidP="003E521A">
      <w:pPr>
        <w:keepNext/>
        <w:spacing w:line="23" w:lineRule="atLeast"/>
        <w:rPr>
          <w:rFonts w:cs="Arial"/>
        </w:rPr>
      </w:pPr>
    </w:p>
    <w:p w14:paraId="0F927493" w14:textId="77777777" w:rsidR="00C23C26" w:rsidRPr="00FB665D" w:rsidRDefault="00407DCF" w:rsidP="007B2267">
      <w:pPr>
        <w:keepNext/>
        <w:spacing w:line="23" w:lineRule="atLeast"/>
        <w:rPr>
          <w:rFonts w:cs="Arial"/>
          <w:b/>
        </w:rPr>
      </w:pPr>
      <w:r w:rsidRPr="00FB665D">
        <w:rPr>
          <w:rFonts w:cs="Arial"/>
          <w:b/>
        </w:rPr>
        <w:t>R&amp;D activities</w:t>
      </w:r>
    </w:p>
    <w:p w14:paraId="008EE6E6" w14:textId="77777777" w:rsidR="00FB665D" w:rsidRDefault="00FB665D" w:rsidP="007B2267">
      <w:pPr>
        <w:keepNext/>
        <w:spacing w:line="23" w:lineRule="atLeast"/>
        <w:rPr>
          <w:rFonts w:cs="Arial"/>
        </w:rPr>
      </w:pPr>
    </w:p>
    <w:p w14:paraId="0EFC80A9" w14:textId="606C9863" w:rsidR="00AA076C" w:rsidRPr="008B7F8E" w:rsidRDefault="00C23C26" w:rsidP="007B2267">
      <w:pPr>
        <w:keepNext/>
        <w:spacing w:line="23" w:lineRule="atLeast"/>
        <w:rPr>
          <w:rFonts w:cs="Arial"/>
        </w:rPr>
      </w:pPr>
      <w:r w:rsidRPr="008B7F8E">
        <w:rPr>
          <w:rFonts w:cs="Arial"/>
        </w:rPr>
        <w:t>Eligible R&amp;D activities continue to be categorised as either core or supporting R&amp;D activities.</w:t>
      </w:r>
      <w:r w:rsidR="001963DF">
        <w:rPr>
          <w:rFonts w:cs="Arial"/>
        </w:rPr>
        <w:t xml:space="preserve"> </w:t>
      </w:r>
      <w:r w:rsidR="00AA076C">
        <w:rPr>
          <w:rFonts w:cs="Arial"/>
        </w:rPr>
        <w:t xml:space="preserve">However, an activity will only be regarded as an eligible supporting activity if it relates to a core R&amp;D activity. </w:t>
      </w:r>
    </w:p>
    <w:p w14:paraId="06DAEAD7" w14:textId="77777777" w:rsidR="00FB665D" w:rsidRDefault="00FB665D" w:rsidP="007B2267">
      <w:pPr>
        <w:spacing w:line="23" w:lineRule="atLeast"/>
        <w:rPr>
          <w:rFonts w:cs="Arial"/>
        </w:rPr>
      </w:pPr>
    </w:p>
    <w:p w14:paraId="176FEF31" w14:textId="77777777" w:rsidR="004903AB" w:rsidRPr="004903AB" w:rsidRDefault="004903AB" w:rsidP="007B2267">
      <w:pPr>
        <w:spacing w:line="23" w:lineRule="atLeast"/>
        <w:rPr>
          <w:rFonts w:cs="Arial"/>
        </w:rPr>
      </w:pPr>
      <w:r w:rsidRPr="004903AB">
        <w:rPr>
          <w:rFonts w:cs="Arial"/>
        </w:rPr>
        <w:t>Core R&amp;D activities are experimental activities carried out systematically applying established scientific principles which proceed from hypothesis to experiment, observation and evaluation until logical conclusions are reached. It is also necessary that the activities be undertaken for the purp</w:t>
      </w:r>
      <w:r w:rsidR="00C50658">
        <w:rPr>
          <w:rFonts w:cs="Arial"/>
        </w:rPr>
        <w:t>ose of generating new knowledge</w:t>
      </w:r>
      <w:r w:rsidRPr="004903AB">
        <w:rPr>
          <w:rFonts w:cs="Arial"/>
        </w:rPr>
        <w:t xml:space="preserve"> (including new knowledge in the form of new or improved materials, products, devices, processes or services).</w:t>
      </w:r>
    </w:p>
    <w:p w14:paraId="3C37DE09" w14:textId="77777777" w:rsidR="004903AB" w:rsidRPr="004903AB" w:rsidRDefault="004903AB" w:rsidP="007B2267">
      <w:pPr>
        <w:spacing w:line="23" w:lineRule="atLeast"/>
        <w:ind w:left="720"/>
        <w:rPr>
          <w:rFonts w:cs="Arial"/>
        </w:rPr>
      </w:pPr>
    </w:p>
    <w:p w14:paraId="464DC3E3" w14:textId="3215035F" w:rsidR="00C23C26" w:rsidRPr="008B7F8E" w:rsidRDefault="004903AB" w:rsidP="007B2267">
      <w:pPr>
        <w:spacing w:line="23" w:lineRule="atLeast"/>
        <w:rPr>
          <w:rFonts w:cs="Arial"/>
        </w:rPr>
      </w:pPr>
      <w:r w:rsidRPr="004903AB">
        <w:rPr>
          <w:rFonts w:cs="Arial"/>
        </w:rPr>
        <w:t xml:space="preserve">That is, in order for a taxpayer to qualify for the R&amp;D </w:t>
      </w:r>
      <w:r w:rsidR="0063738F">
        <w:rPr>
          <w:rFonts w:cs="Arial"/>
        </w:rPr>
        <w:t>offset,</w:t>
      </w:r>
      <w:r w:rsidR="0063738F" w:rsidRPr="004903AB">
        <w:rPr>
          <w:rFonts w:cs="Arial"/>
        </w:rPr>
        <w:t xml:space="preserve"> </w:t>
      </w:r>
      <w:r w:rsidRPr="004903AB">
        <w:rPr>
          <w:rFonts w:cs="Arial"/>
        </w:rPr>
        <w:t xml:space="preserve">the R&amp;D must be focussed on the pursuit of new knowledge and the taxpayer needs to systematically undertake experiments to discover that knowledge. </w:t>
      </w:r>
      <w:r w:rsidR="00C23C26" w:rsidRPr="008B7F8E">
        <w:rPr>
          <w:rFonts w:cs="Arial"/>
        </w:rPr>
        <w:t xml:space="preserve">  </w:t>
      </w:r>
    </w:p>
    <w:p w14:paraId="2C359EDD" w14:textId="4A826670" w:rsidR="007C79C0" w:rsidRDefault="007C79C0" w:rsidP="007B2267">
      <w:pPr>
        <w:spacing w:line="23" w:lineRule="atLeast"/>
        <w:rPr>
          <w:rFonts w:cs="Arial"/>
        </w:rPr>
      </w:pPr>
    </w:p>
    <w:p w14:paraId="27AFA78F" w14:textId="5B25E339" w:rsidR="007C79C0" w:rsidRPr="008B7F8E" w:rsidRDefault="007C79C0" w:rsidP="007B2267">
      <w:pPr>
        <w:spacing w:line="23" w:lineRule="atLeast"/>
        <w:rPr>
          <w:rFonts w:cs="Arial"/>
        </w:rPr>
      </w:pPr>
      <w:r>
        <w:rPr>
          <w:rFonts w:cs="Arial"/>
        </w:rPr>
        <w:t xml:space="preserve">In addition, activities </w:t>
      </w:r>
      <w:r w:rsidR="002D5F3A">
        <w:rPr>
          <w:rFonts w:cs="Arial"/>
        </w:rPr>
        <w:t xml:space="preserve">that </w:t>
      </w:r>
      <w:r>
        <w:rPr>
          <w:rFonts w:cs="Arial"/>
        </w:rPr>
        <w:t xml:space="preserve">directly relate to </w:t>
      </w:r>
      <w:r w:rsidR="001916A9">
        <w:rPr>
          <w:rFonts w:cs="Arial"/>
        </w:rPr>
        <w:t xml:space="preserve">the </w:t>
      </w:r>
      <w:r>
        <w:rPr>
          <w:rFonts w:cs="Arial"/>
        </w:rPr>
        <w:t xml:space="preserve">core R&amp;D activities </w:t>
      </w:r>
      <w:r w:rsidR="002B343E">
        <w:rPr>
          <w:rFonts w:cs="Arial"/>
        </w:rPr>
        <w:t xml:space="preserve">or </w:t>
      </w:r>
      <w:r w:rsidR="00006CBB">
        <w:rPr>
          <w:rFonts w:cs="Arial"/>
        </w:rPr>
        <w:t xml:space="preserve">are undertaken for the dominant purpose of supporting core R&amp;D activities </w:t>
      </w:r>
      <w:r w:rsidR="00AA4564">
        <w:rPr>
          <w:rFonts w:cs="Arial"/>
        </w:rPr>
        <w:t>may be</w:t>
      </w:r>
      <w:r>
        <w:rPr>
          <w:rFonts w:cs="Arial"/>
        </w:rPr>
        <w:t xml:space="preserve"> classified as supporting </w:t>
      </w:r>
      <w:r w:rsidR="009754FD">
        <w:rPr>
          <w:rFonts w:cs="Arial"/>
        </w:rPr>
        <w:t xml:space="preserve">R&amp;D </w:t>
      </w:r>
      <w:r>
        <w:rPr>
          <w:rFonts w:cs="Arial"/>
        </w:rPr>
        <w:t xml:space="preserve">activities and </w:t>
      </w:r>
      <w:r w:rsidR="008E5431">
        <w:rPr>
          <w:rFonts w:cs="Arial"/>
        </w:rPr>
        <w:t>are</w:t>
      </w:r>
      <w:r w:rsidR="001916A9">
        <w:rPr>
          <w:rFonts w:cs="Arial"/>
        </w:rPr>
        <w:t xml:space="preserve"> also</w:t>
      </w:r>
      <w:r w:rsidR="008E5431">
        <w:rPr>
          <w:rFonts w:cs="Arial"/>
        </w:rPr>
        <w:t xml:space="preserve"> </w:t>
      </w:r>
      <w:r>
        <w:rPr>
          <w:rFonts w:cs="Arial"/>
        </w:rPr>
        <w:t xml:space="preserve">eligible for </w:t>
      </w:r>
      <w:r w:rsidR="008E5431">
        <w:rPr>
          <w:rFonts w:cs="Arial"/>
        </w:rPr>
        <w:t>the</w:t>
      </w:r>
      <w:r w:rsidR="00015798">
        <w:rPr>
          <w:rFonts w:cs="Arial"/>
        </w:rPr>
        <w:t xml:space="preserve"> offset</w:t>
      </w:r>
      <w:r>
        <w:rPr>
          <w:rFonts w:cs="Arial"/>
        </w:rPr>
        <w:t xml:space="preserve">. </w:t>
      </w:r>
      <w:r w:rsidR="001916A9">
        <w:rPr>
          <w:rFonts w:cs="Arial"/>
        </w:rPr>
        <w:t>Activities</w:t>
      </w:r>
      <w:r>
        <w:rPr>
          <w:rFonts w:cs="Arial"/>
        </w:rPr>
        <w:t xml:space="preserve"> which are conducted predominantly for other purposes </w:t>
      </w:r>
      <w:r w:rsidR="00AA4564">
        <w:rPr>
          <w:rFonts w:cs="Arial"/>
        </w:rPr>
        <w:t>(</w:t>
      </w:r>
      <w:r w:rsidR="00174A3E">
        <w:rPr>
          <w:rFonts w:cs="Arial"/>
        </w:rPr>
        <w:t>e.g.,</w:t>
      </w:r>
      <w:r w:rsidR="00AA4564">
        <w:rPr>
          <w:rFonts w:cs="Arial"/>
        </w:rPr>
        <w:t xml:space="preserve"> sales promotion, internal administration, </w:t>
      </w:r>
      <w:r w:rsidR="00174A3E">
        <w:rPr>
          <w:rFonts w:cs="Arial"/>
        </w:rPr>
        <w:t xml:space="preserve">goods and services production, etc.) </w:t>
      </w:r>
      <w:r>
        <w:rPr>
          <w:rFonts w:cs="Arial"/>
        </w:rPr>
        <w:t xml:space="preserve">rather than supporting the initiation and </w:t>
      </w:r>
      <w:r w:rsidR="001916A9">
        <w:rPr>
          <w:rFonts w:cs="Arial"/>
        </w:rPr>
        <w:t>conduct</w:t>
      </w:r>
      <w:r>
        <w:rPr>
          <w:rFonts w:cs="Arial"/>
        </w:rPr>
        <w:t xml:space="preserve"> of experimental activities will not be </w:t>
      </w:r>
      <w:r w:rsidR="00174A3E">
        <w:rPr>
          <w:rFonts w:cs="Arial"/>
        </w:rPr>
        <w:t>supporting R&amp;D activities</w:t>
      </w:r>
      <w:r>
        <w:rPr>
          <w:rFonts w:cs="Arial"/>
        </w:rPr>
        <w:t>.</w:t>
      </w:r>
    </w:p>
    <w:p w14:paraId="1EC63630" w14:textId="77777777" w:rsidR="00C23C26" w:rsidRPr="008B7F8E" w:rsidRDefault="00C23C26" w:rsidP="007B2267">
      <w:pPr>
        <w:spacing w:line="23" w:lineRule="atLeast"/>
        <w:ind w:left="720"/>
        <w:rPr>
          <w:rFonts w:cs="Arial"/>
        </w:rPr>
      </w:pPr>
    </w:p>
    <w:p w14:paraId="35199B57" w14:textId="6B2F1BAA" w:rsidR="007E0455" w:rsidRPr="00FB665D" w:rsidRDefault="00C775D1" w:rsidP="007B2267">
      <w:pPr>
        <w:spacing w:line="23" w:lineRule="atLeast"/>
        <w:rPr>
          <w:rFonts w:cs="Arial"/>
          <w:b/>
        </w:rPr>
      </w:pPr>
      <w:r>
        <w:rPr>
          <w:rFonts w:cs="Arial"/>
          <w:b/>
        </w:rPr>
        <w:t>Advance</w:t>
      </w:r>
      <w:r w:rsidR="00407DCF" w:rsidRPr="00FB665D">
        <w:rPr>
          <w:rFonts w:cs="Arial"/>
          <w:b/>
        </w:rPr>
        <w:t xml:space="preserve"> </w:t>
      </w:r>
      <w:r w:rsidR="00783CE2">
        <w:rPr>
          <w:rFonts w:cs="Arial"/>
          <w:b/>
        </w:rPr>
        <w:t>f</w:t>
      </w:r>
      <w:r w:rsidR="00407DCF" w:rsidRPr="00FB665D">
        <w:rPr>
          <w:rFonts w:cs="Arial"/>
          <w:b/>
        </w:rPr>
        <w:t>inding</w:t>
      </w:r>
    </w:p>
    <w:p w14:paraId="32693285" w14:textId="77777777" w:rsidR="00330AEF" w:rsidRPr="008B7F8E" w:rsidRDefault="00330AEF" w:rsidP="007B2267">
      <w:pPr>
        <w:spacing w:line="23" w:lineRule="atLeast"/>
        <w:ind w:left="720"/>
        <w:rPr>
          <w:rFonts w:cs="Arial"/>
        </w:rPr>
      </w:pPr>
    </w:p>
    <w:p w14:paraId="08C3F0F6" w14:textId="11B3C7B2" w:rsidR="00330AEF" w:rsidRPr="008B7F8E" w:rsidRDefault="007E0455" w:rsidP="007B2267">
      <w:pPr>
        <w:spacing w:line="23" w:lineRule="atLeast"/>
        <w:rPr>
          <w:rFonts w:cs="Arial"/>
        </w:rPr>
      </w:pPr>
      <w:r w:rsidRPr="008B7F8E">
        <w:rPr>
          <w:rFonts w:cs="Arial"/>
        </w:rPr>
        <w:t xml:space="preserve">Under the R&amp;D </w:t>
      </w:r>
      <w:r w:rsidR="004422A1">
        <w:rPr>
          <w:rFonts w:cs="Arial"/>
        </w:rPr>
        <w:t>Tax I</w:t>
      </w:r>
      <w:r w:rsidRPr="008B7F8E">
        <w:rPr>
          <w:rFonts w:cs="Arial"/>
        </w:rPr>
        <w:t>ncentive</w:t>
      </w:r>
      <w:r w:rsidR="008D2DE9" w:rsidRPr="008B7F8E">
        <w:rPr>
          <w:rFonts w:cs="Arial"/>
        </w:rPr>
        <w:t>,</w:t>
      </w:r>
      <w:r w:rsidRPr="008B7F8E">
        <w:rPr>
          <w:rFonts w:cs="Arial"/>
        </w:rPr>
        <w:t xml:space="preserve"> applicants can obtain an advance finding of whether their activities are eligible R&amp;D activities</w:t>
      </w:r>
      <w:r w:rsidR="00A0143C" w:rsidRPr="008B7F8E">
        <w:rPr>
          <w:rFonts w:cs="Arial"/>
        </w:rPr>
        <w:t xml:space="preserve"> by submitting a completed </w:t>
      </w:r>
      <w:r w:rsidRPr="008B7F8E">
        <w:rPr>
          <w:rFonts w:cs="Arial"/>
        </w:rPr>
        <w:t xml:space="preserve">Advance Finding </w:t>
      </w:r>
      <w:r w:rsidR="0063738F">
        <w:rPr>
          <w:rFonts w:cs="Arial"/>
        </w:rPr>
        <w:t>Application</w:t>
      </w:r>
      <w:r w:rsidRPr="008B7F8E">
        <w:rPr>
          <w:rFonts w:cs="Arial"/>
        </w:rPr>
        <w:t>.</w:t>
      </w:r>
      <w:r w:rsidR="002C6F8E" w:rsidRPr="008B7F8E">
        <w:rPr>
          <w:rFonts w:cs="Arial"/>
        </w:rPr>
        <w:t xml:space="preserve"> </w:t>
      </w:r>
      <w:r w:rsidR="001E0A20">
        <w:rPr>
          <w:rFonts w:cs="Arial"/>
        </w:rPr>
        <w:t xml:space="preserve">The advance finding </w:t>
      </w:r>
      <w:r w:rsidR="00CD250A">
        <w:rPr>
          <w:rFonts w:cs="Arial"/>
        </w:rPr>
        <w:t>can be</w:t>
      </w:r>
      <w:r w:rsidR="001E0A20">
        <w:rPr>
          <w:rFonts w:cs="Arial"/>
        </w:rPr>
        <w:t xml:space="preserve"> applied </w:t>
      </w:r>
      <w:r w:rsidR="00BC3432">
        <w:rPr>
          <w:rFonts w:cs="Arial"/>
        </w:rPr>
        <w:t xml:space="preserve">for </w:t>
      </w:r>
      <w:r w:rsidR="002C6F8E" w:rsidRPr="008B7F8E">
        <w:rPr>
          <w:rFonts w:cs="Arial"/>
        </w:rPr>
        <w:t xml:space="preserve">prior to the </w:t>
      </w:r>
      <w:r w:rsidR="001E0A20">
        <w:rPr>
          <w:rFonts w:cs="Arial"/>
        </w:rPr>
        <w:t xml:space="preserve">commencement of R&amp;D </w:t>
      </w:r>
      <w:r w:rsidR="002C6F8E" w:rsidRPr="008B7F8E">
        <w:rPr>
          <w:rFonts w:cs="Arial"/>
        </w:rPr>
        <w:t>activities</w:t>
      </w:r>
      <w:r w:rsidR="00DD7135">
        <w:rPr>
          <w:rFonts w:cs="Arial"/>
        </w:rPr>
        <w:t xml:space="preserve"> </w:t>
      </w:r>
      <w:r w:rsidR="002C6F8E" w:rsidRPr="008B7F8E">
        <w:rPr>
          <w:rFonts w:cs="Arial"/>
        </w:rPr>
        <w:t xml:space="preserve">and will determine whether an activity is a core R&amp;D activity, a supporting R&amp;D activity or neither of the two. The finding </w:t>
      </w:r>
      <w:r w:rsidR="00A0143C" w:rsidRPr="008B7F8E">
        <w:rPr>
          <w:rFonts w:cs="Arial"/>
        </w:rPr>
        <w:t xml:space="preserve">will </w:t>
      </w:r>
      <w:r w:rsidR="007B2267">
        <w:rPr>
          <w:rFonts w:cs="Arial"/>
        </w:rPr>
        <w:t xml:space="preserve">bind </w:t>
      </w:r>
      <w:proofErr w:type="spellStart"/>
      <w:r w:rsidR="007B2267">
        <w:rPr>
          <w:rFonts w:cs="Arial"/>
        </w:rPr>
        <w:t>AusIndustry</w:t>
      </w:r>
      <w:proofErr w:type="spellEnd"/>
      <w:r w:rsidR="002C6F8E" w:rsidRPr="008B7F8E">
        <w:rPr>
          <w:rFonts w:cs="Arial"/>
        </w:rPr>
        <w:t xml:space="preserve"> to register </w:t>
      </w:r>
      <w:r w:rsidR="0099449B" w:rsidRPr="008B7F8E">
        <w:rPr>
          <w:rFonts w:cs="Arial"/>
        </w:rPr>
        <w:t>activities</w:t>
      </w:r>
      <w:r w:rsidR="002C6F8E" w:rsidRPr="008B7F8E">
        <w:rPr>
          <w:rFonts w:cs="Arial"/>
        </w:rPr>
        <w:t xml:space="preserve"> that the finding has determined as eligible and </w:t>
      </w:r>
      <w:r w:rsidR="00A0143C" w:rsidRPr="008B7F8E">
        <w:rPr>
          <w:rFonts w:cs="Arial"/>
        </w:rPr>
        <w:t xml:space="preserve">(if favourable) also </w:t>
      </w:r>
      <w:r w:rsidR="002C6F8E" w:rsidRPr="008B7F8E">
        <w:rPr>
          <w:rFonts w:cs="Arial"/>
        </w:rPr>
        <w:t xml:space="preserve">binds the ATO to treat the activities as R&amp;D activities </w:t>
      </w:r>
      <w:r w:rsidR="00B40BD8" w:rsidRPr="008B7F8E">
        <w:rPr>
          <w:rFonts w:cs="Arial"/>
        </w:rPr>
        <w:t xml:space="preserve">when making a decision whether expenditure is </w:t>
      </w:r>
      <w:r w:rsidR="00A0143C" w:rsidRPr="008B7F8E">
        <w:rPr>
          <w:rFonts w:cs="Arial"/>
        </w:rPr>
        <w:t xml:space="preserve">eligible </w:t>
      </w:r>
      <w:r w:rsidR="00B40BD8" w:rsidRPr="008B7F8E">
        <w:rPr>
          <w:rFonts w:cs="Arial"/>
        </w:rPr>
        <w:t>R&amp;D expenditure.</w:t>
      </w:r>
    </w:p>
    <w:p w14:paraId="5FFFBC45" w14:textId="77777777" w:rsidR="00330AEF" w:rsidRPr="008B7F8E" w:rsidRDefault="00330AEF" w:rsidP="007B2267">
      <w:pPr>
        <w:spacing w:line="23" w:lineRule="atLeast"/>
        <w:ind w:left="709" w:hanging="709"/>
        <w:rPr>
          <w:rFonts w:cs="Arial"/>
        </w:rPr>
      </w:pPr>
    </w:p>
    <w:p w14:paraId="70E69807" w14:textId="77777777" w:rsidR="00330AEF" w:rsidRPr="008B7F8E" w:rsidRDefault="00B40BD8" w:rsidP="007B2267">
      <w:pPr>
        <w:spacing w:line="23" w:lineRule="atLeast"/>
        <w:rPr>
          <w:rFonts w:cs="Arial"/>
        </w:rPr>
      </w:pPr>
      <w:r w:rsidRPr="008B7F8E">
        <w:rPr>
          <w:rFonts w:cs="Arial"/>
        </w:rPr>
        <w:t xml:space="preserve">Applications are due before the end of the income year in which the R&amp;D activity was </w:t>
      </w:r>
      <w:r w:rsidR="007B2267">
        <w:rPr>
          <w:rFonts w:cs="Arial"/>
        </w:rPr>
        <w:t xml:space="preserve">first conducted or commenced </w:t>
      </w:r>
      <w:r w:rsidRPr="008B7F8E">
        <w:rPr>
          <w:rFonts w:cs="Arial"/>
        </w:rPr>
        <w:t xml:space="preserve">and will apply to that income year and the next two income years. </w:t>
      </w:r>
    </w:p>
    <w:p w14:paraId="59633323" w14:textId="77777777" w:rsidR="00330AEF" w:rsidRPr="008B7F8E" w:rsidRDefault="00330AEF" w:rsidP="007B2267">
      <w:pPr>
        <w:spacing w:line="23" w:lineRule="atLeast"/>
        <w:rPr>
          <w:rFonts w:cs="Arial"/>
        </w:rPr>
      </w:pPr>
    </w:p>
    <w:p w14:paraId="4DADA373" w14:textId="77777777" w:rsidR="00B40BD8" w:rsidRPr="00FB665D" w:rsidRDefault="00407DCF" w:rsidP="007B2267">
      <w:pPr>
        <w:spacing w:line="23" w:lineRule="atLeast"/>
        <w:rPr>
          <w:rFonts w:cs="Arial"/>
          <w:b/>
        </w:rPr>
      </w:pPr>
      <w:r w:rsidRPr="00FB665D">
        <w:rPr>
          <w:rFonts w:cs="Arial"/>
          <w:b/>
        </w:rPr>
        <w:t>Overseas R&amp;D</w:t>
      </w:r>
    </w:p>
    <w:p w14:paraId="19645589" w14:textId="77777777" w:rsidR="00330AEF" w:rsidRPr="008B7F8E" w:rsidRDefault="00330AEF" w:rsidP="007B2267">
      <w:pPr>
        <w:spacing w:line="23" w:lineRule="atLeast"/>
        <w:ind w:left="720"/>
        <w:rPr>
          <w:rFonts w:cs="Arial"/>
        </w:rPr>
      </w:pPr>
    </w:p>
    <w:p w14:paraId="39322BAE" w14:textId="32D5FBD0" w:rsidR="00330AEF" w:rsidRDefault="008D2DE9" w:rsidP="007B2267">
      <w:pPr>
        <w:spacing w:line="23" w:lineRule="atLeast"/>
        <w:rPr>
          <w:rFonts w:cs="Arial"/>
        </w:rPr>
      </w:pPr>
      <w:r w:rsidRPr="008B7F8E">
        <w:rPr>
          <w:rFonts w:cs="Arial"/>
        </w:rPr>
        <w:t xml:space="preserve">Applicants can </w:t>
      </w:r>
      <w:r w:rsidR="00B83098">
        <w:rPr>
          <w:rFonts w:cs="Arial"/>
        </w:rPr>
        <w:t>access the</w:t>
      </w:r>
      <w:r w:rsidRPr="008B7F8E">
        <w:rPr>
          <w:rFonts w:cs="Arial"/>
        </w:rPr>
        <w:t xml:space="preserve"> R&amp;D</w:t>
      </w:r>
      <w:r w:rsidR="0063738F">
        <w:rPr>
          <w:rFonts w:cs="Arial"/>
        </w:rPr>
        <w:t xml:space="preserve"> Tax</w:t>
      </w:r>
      <w:r w:rsidRPr="008B7F8E">
        <w:rPr>
          <w:rFonts w:cs="Arial"/>
        </w:rPr>
        <w:t xml:space="preserve"> </w:t>
      </w:r>
      <w:r w:rsidR="0063738F">
        <w:rPr>
          <w:rFonts w:cs="Arial"/>
        </w:rPr>
        <w:t>I</w:t>
      </w:r>
      <w:r w:rsidRPr="008B7F8E">
        <w:rPr>
          <w:rFonts w:cs="Arial"/>
        </w:rPr>
        <w:t xml:space="preserve">ncentive where </w:t>
      </w:r>
      <w:r w:rsidR="00326D0B" w:rsidRPr="008B7F8E">
        <w:rPr>
          <w:rFonts w:cs="Arial"/>
        </w:rPr>
        <w:t>parts of the R&amp;D activities are</w:t>
      </w:r>
      <w:r w:rsidRPr="008B7F8E">
        <w:rPr>
          <w:rFonts w:cs="Arial"/>
        </w:rPr>
        <w:t xml:space="preserve"> conducted overseas, subject to the following conditions</w:t>
      </w:r>
      <w:r w:rsidR="00A0143C" w:rsidRPr="008B7F8E">
        <w:rPr>
          <w:rFonts w:cs="Arial"/>
        </w:rPr>
        <w:t xml:space="preserve"> being met</w:t>
      </w:r>
      <w:r w:rsidRPr="008B7F8E">
        <w:rPr>
          <w:rFonts w:cs="Arial"/>
        </w:rPr>
        <w:t>:</w:t>
      </w:r>
    </w:p>
    <w:p w14:paraId="54C293EB" w14:textId="77777777" w:rsidR="00B83098" w:rsidRPr="008B7F8E" w:rsidRDefault="00B83098" w:rsidP="007B2267">
      <w:pPr>
        <w:spacing w:line="23" w:lineRule="atLeast"/>
        <w:ind w:left="709"/>
        <w:rPr>
          <w:rFonts w:cs="Arial"/>
        </w:rPr>
      </w:pPr>
    </w:p>
    <w:p w14:paraId="47B172D1" w14:textId="10645ABD" w:rsidR="00330AEF" w:rsidRPr="00C775D1" w:rsidRDefault="00C50658" w:rsidP="007B2267">
      <w:pPr>
        <w:pStyle w:val="ListParagraph"/>
        <w:numPr>
          <w:ilvl w:val="0"/>
          <w:numId w:val="5"/>
        </w:numPr>
        <w:spacing w:line="23" w:lineRule="atLeast"/>
        <w:contextualSpacing w:val="0"/>
        <w:rPr>
          <w:rFonts w:cs="Arial"/>
        </w:rPr>
      </w:pPr>
      <w:r>
        <w:rPr>
          <w:rFonts w:cs="Arial"/>
        </w:rPr>
        <w:t>the company received</w:t>
      </w:r>
      <w:r w:rsidR="008D2DE9" w:rsidRPr="00C775D1">
        <w:rPr>
          <w:rFonts w:cs="Arial"/>
        </w:rPr>
        <w:t xml:space="preserve"> an advance finding that the a</w:t>
      </w:r>
      <w:r w:rsidR="008B7F8E" w:rsidRPr="00C775D1">
        <w:rPr>
          <w:rFonts w:cs="Arial"/>
        </w:rPr>
        <w:t>ctivity is an eligible activity</w:t>
      </w:r>
      <w:r w:rsidR="004422A1">
        <w:rPr>
          <w:rFonts w:cs="Arial"/>
        </w:rPr>
        <w:t>;</w:t>
      </w:r>
    </w:p>
    <w:p w14:paraId="7D8E8A99" w14:textId="74F9CD43" w:rsidR="00330AEF" w:rsidRPr="00C775D1" w:rsidRDefault="008D2DE9" w:rsidP="007B2267">
      <w:pPr>
        <w:pStyle w:val="ListParagraph"/>
        <w:numPr>
          <w:ilvl w:val="0"/>
          <w:numId w:val="5"/>
        </w:numPr>
        <w:spacing w:line="23" w:lineRule="atLeast"/>
        <w:contextualSpacing w:val="0"/>
        <w:rPr>
          <w:rFonts w:cs="Arial"/>
        </w:rPr>
      </w:pPr>
      <w:r w:rsidRPr="00C775D1">
        <w:rPr>
          <w:rFonts w:cs="Arial"/>
        </w:rPr>
        <w:t>the overseas activity must have a significant scientific link to one or more core R&amp;D ac</w:t>
      </w:r>
      <w:r w:rsidR="008B7F8E" w:rsidRPr="00C775D1">
        <w:rPr>
          <w:rFonts w:cs="Arial"/>
        </w:rPr>
        <w:t xml:space="preserve">tivities </w:t>
      </w:r>
      <w:r w:rsidR="00B83098" w:rsidRPr="00C775D1">
        <w:rPr>
          <w:rFonts w:cs="Arial"/>
        </w:rPr>
        <w:t xml:space="preserve">solely </w:t>
      </w:r>
      <w:r w:rsidR="008B7F8E" w:rsidRPr="00C775D1">
        <w:rPr>
          <w:rFonts w:cs="Arial"/>
        </w:rPr>
        <w:t>conducted in Australia</w:t>
      </w:r>
      <w:r w:rsidR="00C775D1" w:rsidRPr="00C775D1">
        <w:rPr>
          <w:rFonts w:cs="Arial"/>
        </w:rPr>
        <w:t>, which are registered or reasonably likely to be conducted and registered in the future</w:t>
      </w:r>
      <w:r w:rsidR="004422A1">
        <w:rPr>
          <w:rFonts w:cs="Arial"/>
        </w:rPr>
        <w:t>;</w:t>
      </w:r>
    </w:p>
    <w:p w14:paraId="60680525" w14:textId="5734D506" w:rsidR="00330AEF" w:rsidRPr="00C775D1" w:rsidRDefault="008D2DE9" w:rsidP="007B2267">
      <w:pPr>
        <w:pStyle w:val="ListParagraph"/>
        <w:numPr>
          <w:ilvl w:val="0"/>
          <w:numId w:val="5"/>
        </w:numPr>
        <w:spacing w:line="23" w:lineRule="atLeast"/>
        <w:contextualSpacing w:val="0"/>
        <w:rPr>
          <w:rFonts w:cs="Arial"/>
        </w:rPr>
      </w:pPr>
      <w:r w:rsidRPr="00C775D1">
        <w:rPr>
          <w:rFonts w:cs="Arial"/>
        </w:rPr>
        <w:t>the overseas activity cannot be conducted solely in Australia because conducting it requires access to a facility,</w:t>
      </w:r>
      <w:r w:rsidR="00A919F6" w:rsidRPr="00C775D1">
        <w:rPr>
          <w:rFonts w:cs="Arial"/>
        </w:rPr>
        <w:t xml:space="preserve"> </w:t>
      </w:r>
      <w:r w:rsidRPr="00C775D1">
        <w:rPr>
          <w:rFonts w:cs="Arial"/>
        </w:rPr>
        <w:t xml:space="preserve">expertise or equipment not available in Australia, would contravene a law relating to quarantine, requires access to a population (of living things) not available in Australia </w:t>
      </w:r>
      <w:r w:rsidR="0063738F">
        <w:rPr>
          <w:rFonts w:cs="Arial"/>
        </w:rPr>
        <w:t>or</w:t>
      </w:r>
      <w:r w:rsidR="0063738F" w:rsidRPr="00C775D1">
        <w:rPr>
          <w:rFonts w:cs="Arial"/>
        </w:rPr>
        <w:t xml:space="preserve"> </w:t>
      </w:r>
      <w:r w:rsidRPr="00C775D1">
        <w:rPr>
          <w:rFonts w:cs="Arial"/>
        </w:rPr>
        <w:t xml:space="preserve">requires access to </w:t>
      </w:r>
      <w:r w:rsidR="00B203A9" w:rsidRPr="00C775D1">
        <w:rPr>
          <w:rFonts w:cs="Arial"/>
        </w:rPr>
        <w:t xml:space="preserve">a </w:t>
      </w:r>
      <w:r w:rsidRPr="00C775D1">
        <w:rPr>
          <w:rFonts w:cs="Arial"/>
        </w:rPr>
        <w:t>geograph</w:t>
      </w:r>
      <w:r w:rsidR="00B203A9" w:rsidRPr="00C775D1">
        <w:rPr>
          <w:rFonts w:cs="Arial"/>
        </w:rPr>
        <w:t xml:space="preserve">ical or geological feature not </w:t>
      </w:r>
      <w:r w:rsidR="008B7F8E" w:rsidRPr="00C775D1">
        <w:rPr>
          <w:rFonts w:cs="Arial"/>
        </w:rPr>
        <w:t>available in Australia</w:t>
      </w:r>
      <w:r w:rsidR="004422A1">
        <w:rPr>
          <w:rFonts w:cs="Arial"/>
        </w:rPr>
        <w:t>; and</w:t>
      </w:r>
    </w:p>
    <w:p w14:paraId="119A3622" w14:textId="77777777" w:rsidR="00330AEF" w:rsidRPr="00C775D1" w:rsidRDefault="008D2DE9" w:rsidP="007B2267">
      <w:pPr>
        <w:pStyle w:val="ListParagraph"/>
        <w:numPr>
          <w:ilvl w:val="0"/>
          <w:numId w:val="5"/>
        </w:numPr>
        <w:spacing w:line="23" w:lineRule="atLeast"/>
        <w:contextualSpacing w:val="0"/>
        <w:rPr>
          <w:rFonts w:cs="Arial"/>
        </w:rPr>
      </w:pPr>
      <w:r w:rsidRPr="00C775D1">
        <w:rPr>
          <w:rFonts w:cs="Arial"/>
        </w:rPr>
        <w:t xml:space="preserve">the total amount to be spent in all income years on the </w:t>
      </w:r>
      <w:r w:rsidR="00C775D1" w:rsidRPr="00C775D1">
        <w:rPr>
          <w:rFonts w:cs="Arial"/>
        </w:rPr>
        <w:t xml:space="preserve">R&amp;D </w:t>
      </w:r>
      <w:r w:rsidRPr="00C775D1">
        <w:rPr>
          <w:rFonts w:cs="Arial"/>
        </w:rPr>
        <w:t>overseas activities is less than the total amount to be spent on R&amp;D in Australia.</w:t>
      </w:r>
    </w:p>
    <w:p w14:paraId="641B7A16" w14:textId="77777777" w:rsidR="00330AEF" w:rsidRPr="008B7F8E" w:rsidRDefault="00330AEF" w:rsidP="007B2267">
      <w:pPr>
        <w:spacing w:line="23" w:lineRule="atLeast"/>
        <w:ind w:left="360"/>
        <w:rPr>
          <w:rFonts w:cs="Arial"/>
        </w:rPr>
      </w:pPr>
    </w:p>
    <w:p w14:paraId="0D277FA1" w14:textId="2926C7C0" w:rsidR="00C23C26" w:rsidRPr="00FB665D" w:rsidRDefault="00407DCF" w:rsidP="007B2267">
      <w:pPr>
        <w:keepNext/>
        <w:spacing w:line="23" w:lineRule="atLeast"/>
        <w:rPr>
          <w:rFonts w:cs="Arial"/>
          <w:b/>
        </w:rPr>
      </w:pPr>
      <w:r w:rsidRPr="00FB665D">
        <w:rPr>
          <w:rFonts w:cs="Arial"/>
          <w:b/>
        </w:rPr>
        <w:t xml:space="preserve">Computer </w:t>
      </w:r>
      <w:r w:rsidR="00783CE2">
        <w:rPr>
          <w:rFonts w:cs="Arial"/>
          <w:b/>
        </w:rPr>
        <w:t>s</w:t>
      </w:r>
      <w:r w:rsidRPr="00FB665D">
        <w:rPr>
          <w:rFonts w:cs="Arial"/>
          <w:b/>
        </w:rPr>
        <w:t>oftware</w:t>
      </w:r>
    </w:p>
    <w:p w14:paraId="3F57EA9A" w14:textId="77777777" w:rsidR="00C23C26" w:rsidRPr="008B7F8E" w:rsidRDefault="00C23C26" w:rsidP="007B2267">
      <w:pPr>
        <w:keepNext/>
        <w:tabs>
          <w:tab w:val="left" w:pos="2160"/>
        </w:tabs>
        <w:spacing w:line="23" w:lineRule="atLeast"/>
        <w:ind w:left="720"/>
        <w:rPr>
          <w:rFonts w:cs="Arial"/>
        </w:rPr>
      </w:pPr>
    </w:p>
    <w:p w14:paraId="2ACFE8BE" w14:textId="77777777" w:rsidR="00896945" w:rsidRDefault="00C23C26" w:rsidP="007B2267">
      <w:pPr>
        <w:keepNext/>
        <w:tabs>
          <w:tab w:val="left" w:pos="2160"/>
        </w:tabs>
        <w:spacing w:line="23" w:lineRule="atLeast"/>
        <w:rPr>
          <w:rFonts w:cs="Arial"/>
        </w:rPr>
      </w:pPr>
      <w:r w:rsidRPr="008B7F8E">
        <w:rPr>
          <w:rFonts w:cs="Arial"/>
        </w:rPr>
        <w:t>In-house software development is excluded from be</w:t>
      </w:r>
      <w:r w:rsidR="00C775D1">
        <w:rPr>
          <w:rFonts w:cs="Arial"/>
        </w:rPr>
        <w:t>ing a core R&amp;D activity if it is being developed for th</w:t>
      </w:r>
      <w:r w:rsidRPr="008B7F8E">
        <w:rPr>
          <w:rFonts w:cs="Arial"/>
        </w:rPr>
        <w:t>e internal administration of business functions</w:t>
      </w:r>
      <w:r w:rsidR="00B83098" w:rsidRPr="00B83098">
        <w:t xml:space="preserve"> </w:t>
      </w:r>
      <w:r w:rsidR="00B83098" w:rsidRPr="00B83098">
        <w:rPr>
          <w:rFonts w:cs="Arial"/>
        </w:rPr>
        <w:t>of the software developer or an affiliate of the developer or an entity connected with the developer</w:t>
      </w:r>
      <w:r w:rsidRPr="008B7F8E">
        <w:rPr>
          <w:rFonts w:cs="Arial"/>
        </w:rPr>
        <w:t xml:space="preserve">. </w:t>
      </w:r>
    </w:p>
    <w:p w14:paraId="05208FDA" w14:textId="77777777" w:rsidR="00C775D1" w:rsidRDefault="00C775D1" w:rsidP="007B2267">
      <w:pPr>
        <w:keepNext/>
        <w:tabs>
          <w:tab w:val="left" w:pos="2160"/>
        </w:tabs>
        <w:spacing w:line="23" w:lineRule="atLeast"/>
        <w:rPr>
          <w:rFonts w:cs="Arial"/>
        </w:rPr>
      </w:pPr>
    </w:p>
    <w:p w14:paraId="4D3B54F8" w14:textId="578AECC7" w:rsidR="00C775D1" w:rsidRPr="008B7F8E" w:rsidRDefault="00C775D1" w:rsidP="007B2267">
      <w:pPr>
        <w:keepNext/>
        <w:tabs>
          <w:tab w:val="left" w:pos="2160"/>
        </w:tabs>
        <w:spacing w:line="23" w:lineRule="atLeast"/>
        <w:rPr>
          <w:rFonts w:cs="Arial"/>
        </w:rPr>
      </w:pPr>
      <w:r>
        <w:rPr>
          <w:rFonts w:cs="Arial"/>
        </w:rPr>
        <w:t>However, in-house software development may be regarded as a supporting R&amp;D activity if it is undertaken for the dominant purpose of supporting an eligible core R&amp;D activity.</w:t>
      </w:r>
    </w:p>
    <w:p w14:paraId="78377F76" w14:textId="77777777" w:rsidR="00C23C26" w:rsidRPr="008B7F8E" w:rsidRDefault="00C23C26" w:rsidP="007B2267">
      <w:pPr>
        <w:tabs>
          <w:tab w:val="left" w:pos="2160"/>
        </w:tabs>
        <w:spacing w:line="23" w:lineRule="atLeast"/>
        <w:ind w:left="720"/>
        <w:rPr>
          <w:rFonts w:cs="Arial"/>
        </w:rPr>
      </w:pPr>
    </w:p>
    <w:p w14:paraId="0421DC1D" w14:textId="025CF3FA" w:rsidR="00330AEF" w:rsidRPr="00FB665D" w:rsidRDefault="00A657A3" w:rsidP="007B2267">
      <w:pPr>
        <w:keepNext/>
        <w:spacing w:line="23" w:lineRule="atLeast"/>
        <w:rPr>
          <w:rFonts w:cs="Arial"/>
          <w:b/>
        </w:rPr>
      </w:pPr>
      <w:r>
        <w:rPr>
          <w:rFonts w:cs="Arial"/>
          <w:b/>
        </w:rPr>
        <w:t>Clawback adjustment rules</w:t>
      </w:r>
    </w:p>
    <w:p w14:paraId="2205FCF5" w14:textId="77777777" w:rsidR="00330AEF" w:rsidRPr="008B7F8E" w:rsidRDefault="00330AEF" w:rsidP="007B2267">
      <w:pPr>
        <w:keepNext/>
        <w:spacing w:line="23" w:lineRule="atLeast"/>
        <w:rPr>
          <w:rFonts w:cs="Arial"/>
        </w:rPr>
      </w:pPr>
    </w:p>
    <w:p w14:paraId="207A9EC6" w14:textId="3F24F372" w:rsidR="00166BA7" w:rsidRDefault="00E20D6D" w:rsidP="007B2267">
      <w:pPr>
        <w:keepNext/>
        <w:tabs>
          <w:tab w:val="left" w:pos="2160"/>
        </w:tabs>
        <w:spacing w:line="23" w:lineRule="atLeast"/>
        <w:rPr>
          <w:rFonts w:cs="Arial"/>
        </w:rPr>
      </w:pPr>
      <w:r>
        <w:rPr>
          <w:rFonts w:cs="Arial"/>
        </w:rPr>
        <w:t xml:space="preserve">Starting from 1 July 2021, the uniform clawback </w:t>
      </w:r>
      <w:r w:rsidR="00F97167">
        <w:rPr>
          <w:rFonts w:cs="Arial"/>
        </w:rPr>
        <w:t xml:space="preserve">rule </w:t>
      </w:r>
      <w:r w:rsidR="005C5804">
        <w:rPr>
          <w:rFonts w:cs="Arial"/>
        </w:rPr>
        <w:t xml:space="preserve">applies </w:t>
      </w:r>
      <w:r w:rsidR="004C72F2">
        <w:rPr>
          <w:rFonts w:cs="Arial"/>
        </w:rPr>
        <w:t>in</w:t>
      </w:r>
      <w:r w:rsidR="005C5804">
        <w:rPr>
          <w:rFonts w:cs="Arial"/>
        </w:rPr>
        <w:t xml:space="preserve"> the following scenarios</w:t>
      </w:r>
      <w:r w:rsidR="00B83098" w:rsidRPr="00B83098">
        <w:rPr>
          <w:rFonts w:cs="Arial"/>
        </w:rPr>
        <w:t xml:space="preserve"> to include an amount in an R&amp;D entity’s assessable income where</w:t>
      </w:r>
      <w:r w:rsidR="00166BA7">
        <w:rPr>
          <w:rFonts w:cs="Arial"/>
        </w:rPr>
        <w:t>:</w:t>
      </w:r>
      <w:r w:rsidR="00B83098" w:rsidRPr="00B83098">
        <w:rPr>
          <w:rFonts w:cs="Arial"/>
        </w:rPr>
        <w:t xml:space="preserve"> </w:t>
      </w:r>
    </w:p>
    <w:p w14:paraId="5AC6143A" w14:textId="079C3881" w:rsidR="00B83098" w:rsidRDefault="00166BA7" w:rsidP="00166BA7">
      <w:pPr>
        <w:pStyle w:val="ListParagraph"/>
        <w:keepNext/>
        <w:numPr>
          <w:ilvl w:val="0"/>
          <w:numId w:val="14"/>
        </w:numPr>
        <w:tabs>
          <w:tab w:val="left" w:pos="2160"/>
        </w:tabs>
        <w:spacing w:line="23" w:lineRule="atLeast"/>
        <w:rPr>
          <w:rFonts w:cs="Arial"/>
        </w:rPr>
      </w:pPr>
      <w:r w:rsidRPr="00166BA7">
        <w:rPr>
          <w:rFonts w:cs="Arial"/>
        </w:rPr>
        <w:t>I</w:t>
      </w:r>
      <w:r w:rsidR="00B83098" w:rsidRPr="00166BA7">
        <w:rPr>
          <w:rFonts w:cs="Arial"/>
        </w:rPr>
        <w:t>t has obtained the R&amp;D tax offset in respect of goods, materials or energy which have been transformed or processed by the R&amp;D activities into feedstock outputs</w:t>
      </w:r>
      <w:r w:rsidR="007B447C" w:rsidRPr="00166BA7">
        <w:rPr>
          <w:rFonts w:cs="Arial"/>
        </w:rPr>
        <w:t>,</w:t>
      </w:r>
      <w:r w:rsidR="00B83098" w:rsidRPr="00166BA7">
        <w:rPr>
          <w:rFonts w:cs="Arial"/>
        </w:rPr>
        <w:t xml:space="preserve"> being tangible product(s) which are either sold or applied for the R&amp;D entity’s own use</w:t>
      </w:r>
      <w:r w:rsidR="00C775D1" w:rsidRPr="00166BA7">
        <w:rPr>
          <w:rFonts w:cs="Arial"/>
        </w:rPr>
        <w:t xml:space="preserve"> (or that of an affiliate or connected entity)</w:t>
      </w:r>
      <w:r w:rsidR="00B83098" w:rsidRPr="00166BA7">
        <w:rPr>
          <w:rFonts w:cs="Arial"/>
        </w:rPr>
        <w:t>.</w:t>
      </w:r>
    </w:p>
    <w:p w14:paraId="10E71351" w14:textId="39EA7140" w:rsidR="00166BA7" w:rsidRDefault="00075176" w:rsidP="00166BA7">
      <w:pPr>
        <w:pStyle w:val="ListParagraph"/>
        <w:keepNext/>
        <w:numPr>
          <w:ilvl w:val="0"/>
          <w:numId w:val="14"/>
        </w:numPr>
        <w:tabs>
          <w:tab w:val="left" w:pos="2160"/>
        </w:tabs>
        <w:spacing w:line="23" w:lineRule="atLeast"/>
        <w:rPr>
          <w:rFonts w:cs="Arial"/>
        </w:rPr>
      </w:pPr>
      <w:r>
        <w:rPr>
          <w:rFonts w:cs="Arial"/>
        </w:rPr>
        <w:t>It has received or is entitled to receive government recoupment for eligible R&amp;D activities.</w:t>
      </w:r>
    </w:p>
    <w:p w14:paraId="2B796392" w14:textId="200132C7" w:rsidR="00075176" w:rsidRDefault="00950DC7" w:rsidP="004334B6">
      <w:pPr>
        <w:pStyle w:val="ListParagraph"/>
        <w:keepNext/>
        <w:numPr>
          <w:ilvl w:val="0"/>
          <w:numId w:val="14"/>
        </w:numPr>
        <w:tabs>
          <w:tab w:val="left" w:pos="2160"/>
        </w:tabs>
        <w:spacing w:line="23" w:lineRule="atLeast"/>
        <w:rPr>
          <w:rFonts w:cs="Arial"/>
        </w:rPr>
      </w:pPr>
      <w:r>
        <w:rPr>
          <w:rFonts w:cs="Arial"/>
        </w:rPr>
        <w:t xml:space="preserve">It disposes </w:t>
      </w:r>
      <w:r w:rsidR="002135C3">
        <w:rPr>
          <w:rFonts w:cs="Arial"/>
        </w:rPr>
        <w:t xml:space="preserve">depreciating tangible </w:t>
      </w:r>
      <w:r>
        <w:rPr>
          <w:rFonts w:cs="Arial"/>
        </w:rPr>
        <w:t>asset</w:t>
      </w:r>
      <w:r w:rsidR="00DC1CD6">
        <w:rPr>
          <w:rFonts w:cs="Arial"/>
        </w:rPr>
        <w:t>s</w:t>
      </w:r>
      <w:r w:rsidR="00ED6BB2">
        <w:rPr>
          <w:rFonts w:cs="Arial"/>
        </w:rPr>
        <w:t xml:space="preserve"> of</w:t>
      </w:r>
      <w:r w:rsidR="00DC1CD6">
        <w:rPr>
          <w:rFonts w:cs="Arial"/>
        </w:rPr>
        <w:t xml:space="preserve"> which </w:t>
      </w:r>
      <w:r w:rsidR="006A6C21">
        <w:rPr>
          <w:rFonts w:cs="Arial"/>
        </w:rPr>
        <w:t>their</w:t>
      </w:r>
      <w:r w:rsidR="00ED6BB2">
        <w:rPr>
          <w:rFonts w:cs="Arial"/>
        </w:rPr>
        <w:t xml:space="preserve"> decline in value </w:t>
      </w:r>
      <w:r w:rsidR="00DC1CD6">
        <w:rPr>
          <w:rFonts w:cs="Arial"/>
        </w:rPr>
        <w:t xml:space="preserve">were </w:t>
      </w:r>
      <w:r w:rsidR="006A6C21">
        <w:rPr>
          <w:rFonts w:cs="Arial"/>
        </w:rPr>
        <w:t xml:space="preserve">included in </w:t>
      </w:r>
      <w:r w:rsidR="002135C3">
        <w:rPr>
          <w:rFonts w:cs="Arial"/>
        </w:rPr>
        <w:t xml:space="preserve">calculating </w:t>
      </w:r>
      <w:r w:rsidR="006A6C21">
        <w:rPr>
          <w:rFonts w:cs="Arial"/>
        </w:rPr>
        <w:t>the</w:t>
      </w:r>
      <w:r w:rsidR="002135C3">
        <w:rPr>
          <w:rFonts w:cs="Arial"/>
        </w:rPr>
        <w:t xml:space="preserve"> </w:t>
      </w:r>
      <w:r w:rsidR="006A6C21">
        <w:rPr>
          <w:rFonts w:cs="Arial"/>
        </w:rPr>
        <w:t>R&amp;D tax offset</w:t>
      </w:r>
      <w:r w:rsidR="00DC1CD6">
        <w:rPr>
          <w:rFonts w:cs="Arial"/>
        </w:rPr>
        <w:t xml:space="preserve">. </w:t>
      </w:r>
    </w:p>
    <w:p w14:paraId="6905B3BD" w14:textId="192CE1DF" w:rsidR="00491638" w:rsidRPr="004334B6" w:rsidRDefault="00491638" w:rsidP="00304F47">
      <w:pPr>
        <w:pStyle w:val="ListParagraph"/>
        <w:keepNext/>
        <w:numPr>
          <w:ilvl w:val="1"/>
          <w:numId w:val="14"/>
        </w:numPr>
        <w:tabs>
          <w:tab w:val="left" w:pos="2160"/>
        </w:tabs>
        <w:spacing w:line="23" w:lineRule="atLeast"/>
        <w:rPr>
          <w:rFonts w:cs="Arial"/>
        </w:rPr>
      </w:pPr>
      <w:r>
        <w:rPr>
          <w:rFonts w:cs="Arial"/>
        </w:rPr>
        <w:t xml:space="preserve">Note that in opposite of </w:t>
      </w:r>
      <w:r w:rsidR="00544399">
        <w:rPr>
          <w:rFonts w:cs="Arial"/>
        </w:rPr>
        <w:t xml:space="preserve">assessable balancing adjustment, if the disposal is for less than the written-down value of the asset depreciated in calculating the R&amp;D tax offset, </w:t>
      </w:r>
      <w:r w:rsidR="0006029F">
        <w:rPr>
          <w:rFonts w:cs="Arial"/>
        </w:rPr>
        <w:t xml:space="preserve">the net loss amount on the disposal can </w:t>
      </w:r>
      <w:r w:rsidR="001C4CB0">
        <w:rPr>
          <w:rFonts w:cs="Arial"/>
        </w:rPr>
        <w:t>increase the deduction for</w:t>
      </w:r>
      <w:r w:rsidR="00471E5D">
        <w:rPr>
          <w:rFonts w:cs="Arial"/>
        </w:rPr>
        <w:t xml:space="preserve"> </w:t>
      </w:r>
      <w:r w:rsidR="001C4CB0">
        <w:rPr>
          <w:rFonts w:cs="Arial"/>
        </w:rPr>
        <w:t xml:space="preserve">a balancing adjustment event. </w:t>
      </w:r>
    </w:p>
    <w:p w14:paraId="7C02CB02" w14:textId="77777777" w:rsidR="00B83098" w:rsidRPr="00B83098" w:rsidRDefault="00B83098" w:rsidP="007B2267">
      <w:pPr>
        <w:keepNext/>
        <w:tabs>
          <w:tab w:val="left" w:pos="2160"/>
        </w:tabs>
        <w:spacing w:line="23" w:lineRule="atLeast"/>
        <w:ind w:left="720"/>
        <w:rPr>
          <w:rFonts w:cs="Arial"/>
        </w:rPr>
      </w:pPr>
    </w:p>
    <w:p w14:paraId="1233190B" w14:textId="7DFBC25F" w:rsidR="00B83098" w:rsidRPr="00B83098" w:rsidRDefault="00B83098" w:rsidP="007B2267">
      <w:pPr>
        <w:keepNext/>
        <w:tabs>
          <w:tab w:val="left" w:pos="2160"/>
        </w:tabs>
        <w:spacing w:line="23" w:lineRule="atLeast"/>
        <w:rPr>
          <w:rFonts w:cs="Arial"/>
        </w:rPr>
      </w:pPr>
      <w:r w:rsidRPr="00B83098">
        <w:rPr>
          <w:rFonts w:cs="Arial"/>
        </w:rPr>
        <w:t xml:space="preserve">The purpose of these rules is to clawback the R&amp;D </w:t>
      </w:r>
      <w:r w:rsidR="007B447C">
        <w:rPr>
          <w:rFonts w:cs="Arial"/>
        </w:rPr>
        <w:t>T</w:t>
      </w:r>
      <w:r w:rsidR="007B447C" w:rsidRPr="00B83098">
        <w:rPr>
          <w:rFonts w:cs="Arial"/>
        </w:rPr>
        <w:t xml:space="preserve">ax </w:t>
      </w:r>
      <w:r w:rsidR="007B447C">
        <w:rPr>
          <w:rFonts w:cs="Arial"/>
        </w:rPr>
        <w:t>I</w:t>
      </w:r>
      <w:r w:rsidR="007B447C" w:rsidRPr="00B83098">
        <w:rPr>
          <w:rFonts w:cs="Arial"/>
        </w:rPr>
        <w:t xml:space="preserve">ncentive </w:t>
      </w:r>
      <w:r w:rsidRPr="00B83098">
        <w:rPr>
          <w:rFonts w:cs="Arial"/>
        </w:rPr>
        <w:t xml:space="preserve">where  expenditure has been effectively recouped as a result of the </w:t>
      </w:r>
      <w:r w:rsidR="00E100FF">
        <w:rPr>
          <w:rFonts w:cs="Arial"/>
        </w:rPr>
        <w:t xml:space="preserve">consumption or sale of </w:t>
      </w:r>
      <w:r w:rsidRPr="00B83098">
        <w:rPr>
          <w:rFonts w:cs="Arial"/>
        </w:rPr>
        <w:t>feedstock outputs</w:t>
      </w:r>
      <w:r w:rsidR="00E100FF">
        <w:rPr>
          <w:rFonts w:cs="Arial"/>
        </w:rPr>
        <w:t xml:space="preserve">, receipt of government grant, or </w:t>
      </w:r>
      <w:r w:rsidR="00BA2AFA">
        <w:rPr>
          <w:rFonts w:cs="Arial"/>
        </w:rPr>
        <w:t>disposal of depreciating assets,</w:t>
      </w:r>
      <w:r w:rsidRPr="00B83098">
        <w:rPr>
          <w:rFonts w:cs="Arial"/>
        </w:rPr>
        <w:t xml:space="preserve"> regardless of whether </w:t>
      </w:r>
      <w:r w:rsidR="004334B6">
        <w:rPr>
          <w:rFonts w:cs="Arial"/>
        </w:rPr>
        <w:t>these clawback events occur</w:t>
      </w:r>
      <w:r w:rsidRPr="00B83098">
        <w:rPr>
          <w:rFonts w:cs="Arial"/>
        </w:rPr>
        <w:t xml:space="preserve"> in the same year as the expenditure is incurred or in a subsequent year. </w:t>
      </w:r>
    </w:p>
    <w:p w14:paraId="4D5484A6" w14:textId="77777777" w:rsidR="00B83098" w:rsidRPr="00B83098" w:rsidRDefault="00B83098" w:rsidP="007B2267">
      <w:pPr>
        <w:keepNext/>
        <w:tabs>
          <w:tab w:val="left" w:pos="2160"/>
        </w:tabs>
        <w:spacing w:line="23" w:lineRule="atLeast"/>
        <w:ind w:left="720"/>
        <w:rPr>
          <w:rFonts w:cs="Arial"/>
        </w:rPr>
      </w:pPr>
    </w:p>
    <w:p w14:paraId="5EB848D2" w14:textId="1637B739" w:rsidR="007C23E5" w:rsidRDefault="00FC3AE7" w:rsidP="007B2267">
      <w:pPr>
        <w:keepNext/>
        <w:tabs>
          <w:tab w:val="left" w:pos="2160"/>
        </w:tabs>
        <w:spacing w:line="23" w:lineRule="atLeast"/>
        <w:rPr>
          <w:rFonts w:cs="Arial"/>
        </w:rPr>
      </w:pPr>
      <w:r w:rsidRPr="00383718">
        <w:rPr>
          <w:rFonts w:cs="Arial"/>
        </w:rPr>
        <w:t>Under the uniform clawback rule</w:t>
      </w:r>
      <w:r w:rsidR="00330079" w:rsidRPr="00383718">
        <w:rPr>
          <w:rFonts w:cs="Arial"/>
        </w:rPr>
        <w:t xml:space="preserve"> and balancing adjustment changes</w:t>
      </w:r>
      <w:r>
        <w:rPr>
          <w:rFonts w:cs="Arial"/>
        </w:rPr>
        <w:t xml:space="preserve">, </w:t>
      </w:r>
      <w:r w:rsidR="00330079">
        <w:rPr>
          <w:rFonts w:cs="Arial"/>
        </w:rPr>
        <w:t xml:space="preserve">the R&amp;D entity’s </w:t>
      </w:r>
      <w:r w:rsidR="004F2DD6" w:rsidRPr="004F2DD6">
        <w:rPr>
          <w:rFonts w:cs="Arial"/>
        </w:rPr>
        <w:t>assessable income is increased by an amount equal to the grossed-up value of the incentive component of the associated</w:t>
      </w:r>
      <w:r w:rsidR="004F2DD6">
        <w:rPr>
          <w:rFonts w:cs="Arial"/>
        </w:rPr>
        <w:t xml:space="preserve"> amounts of R&amp;D tax offset. </w:t>
      </w:r>
      <w:r w:rsidR="00CA76A4">
        <w:rPr>
          <w:rFonts w:cs="Arial"/>
        </w:rPr>
        <w:t xml:space="preserve">An amount is included in the assessable income of the R&amp;D entity that received or is entitled to the R&amp;D tax offset in relation to a </w:t>
      </w:r>
      <w:r w:rsidR="00F103EE">
        <w:rPr>
          <w:rFonts w:cs="Arial"/>
        </w:rPr>
        <w:t>recoupment amount or feedstock revenue.</w:t>
      </w:r>
    </w:p>
    <w:p w14:paraId="2D4250F0" w14:textId="21FCE181" w:rsidR="007C23E5" w:rsidRDefault="007C23E5" w:rsidP="007B2267">
      <w:pPr>
        <w:keepNext/>
        <w:tabs>
          <w:tab w:val="left" w:pos="2160"/>
        </w:tabs>
        <w:spacing w:line="23" w:lineRule="atLeast"/>
        <w:rPr>
          <w:rFonts w:cs="Arial"/>
        </w:rPr>
      </w:pPr>
    </w:p>
    <w:p w14:paraId="5919A7FB" w14:textId="3900BEC6" w:rsidR="007B2267" w:rsidRPr="007B2267" w:rsidRDefault="00A52DCD" w:rsidP="007B2267">
      <w:pPr>
        <w:keepNext/>
        <w:tabs>
          <w:tab w:val="left" w:pos="2160"/>
        </w:tabs>
        <w:spacing w:line="23" w:lineRule="atLeast"/>
        <w:rPr>
          <w:b/>
        </w:rPr>
      </w:pPr>
      <w:r w:rsidRPr="009D17C2">
        <w:rPr>
          <w:b/>
        </w:rPr>
        <w:t xml:space="preserve">Federal Budget </w:t>
      </w:r>
      <w:r w:rsidR="007B2267" w:rsidRPr="009D17C2">
        <w:rPr>
          <w:b/>
        </w:rPr>
        <w:t>amendments</w:t>
      </w:r>
    </w:p>
    <w:p w14:paraId="484E33B5" w14:textId="77777777" w:rsidR="007B2267" w:rsidRDefault="007B2267" w:rsidP="007B2267">
      <w:pPr>
        <w:keepNext/>
        <w:tabs>
          <w:tab w:val="left" w:pos="2160"/>
        </w:tabs>
        <w:spacing w:line="23" w:lineRule="atLeast"/>
      </w:pPr>
    </w:p>
    <w:p w14:paraId="324EDBC5" w14:textId="55F74E4F" w:rsidR="00DC2162" w:rsidRDefault="0098395F" w:rsidP="00CF7514">
      <w:pPr>
        <w:keepNext/>
        <w:tabs>
          <w:tab w:val="left" w:pos="2160"/>
        </w:tabs>
        <w:spacing w:line="23" w:lineRule="atLeast"/>
        <w:rPr>
          <w:rFonts w:cs="Arial"/>
          <w:color w:val="000000"/>
        </w:rPr>
      </w:pPr>
      <w:r>
        <w:rPr>
          <w:rFonts w:cs="Arial"/>
          <w:color w:val="000000"/>
        </w:rPr>
        <w:t xml:space="preserve">It should be noted that the </w:t>
      </w:r>
      <w:r w:rsidR="004662CD">
        <w:rPr>
          <w:rFonts w:cs="Arial"/>
          <w:color w:val="000000"/>
        </w:rPr>
        <w:t xml:space="preserve">previous </w:t>
      </w:r>
      <w:r w:rsidR="00774318">
        <w:rPr>
          <w:rFonts w:cs="Arial"/>
          <w:color w:val="000000"/>
        </w:rPr>
        <w:t xml:space="preserve">Federal Government </w:t>
      </w:r>
      <w:r w:rsidR="009417F9">
        <w:rPr>
          <w:rFonts w:cs="Arial"/>
          <w:color w:val="000000"/>
        </w:rPr>
        <w:t xml:space="preserve">introduced a patent box regime </w:t>
      </w:r>
      <w:r w:rsidR="00C37DE9">
        <w:rPr>
          <w:rFonts w:cs="Arial"/>
          <w:color w:val="000000"/>
        </w:rPr>
        <w:t xml:space="preserve">available for </w:t>
      </w:r>
      <w:r w:rsidR="00073B3B">
        <w:rPr>
          <w:rFonts w:cs="Arial"/>
          <w:color w:val="000000"/>
        </w:rPr>
        <w:t>medical and biotechnology sectors</w:t>
      </w:r>
      <w:r w:rsidR="00D6374D">
        <w:rPr>
          <w:rFonts w:cs="Arial"/>
          <w:color w:val="000000"/>
        </w:rPr>
        <w:t xml:space="preserve"> in the 2021-22 Budget</w:t>
      </w:r>
      <w:r w:rsidR="00887868">
        <w:rPr>
          <w:rFonts w:cs="Arial"/>
          <w:color w:val="000000"/>
        </w:rPr>
        <w:t>, taxing income derived from eligible Australian patents at a concessional rate of 17%</w:t>
      </w:r>
      <w:r w:rsidR="00073B3B">
        <w:rPr>
          <w:rFonts w:cs="Arial"/>
          <w:color w:val="000000"/>
        </w:rPr>
        <w:t xml:space="preserve">. </w:t>
      </w:r>
      <w:r w:rsidR="007E5B68">
        <w:rPr>
          <w:rFonts w:cs="Arial"/>
          <w:color w:val="000000"/>
        </w:rPr>
        <w:t>T</w:t>
      </w:r>
      <w:r w:rsidR="00CF7514">
        <w:rPr>
          <w:rFonts w:cs="Arial"/>
          <w:color w:val="000000"/>
        </w:rPr>
        <w:t xml:space="preserve">he drafted </w:t>
      </w:r>
      <w:r w:rsidR="0000339A">
        <w:rPr>
          <w:rStyle w:val="Emphasis"/>
          <w:rFonts w:ascii="Helvetica" w:hAnsi="Helvetica" w:cs="Helvetica"/>
          <w:color w:val="333333"/>
          <w:shd w:val="clear" w:color="auto" w:fill="FFFFFF"/>
        </w:rPr>
        <w:t>Treasury Laws Amendment (Tax Concession for Australian Medical Innovations) Bill 2022</w:t>
      </w:r>
      <w:r w:rsidR="00CF7514">
        <w:rPr>
          <w:rFonts w:cs="Arial"/>
          <w:color w:val="000000"/>
        </w:rPr>
        <w:t xml:space="preserve"> introduced into Parliament on 10 February 2022 has not come into law as of</w:t>
      </w:r>
      <w:r w:rsidR="00DC2162">
        <w:rPr>
          <w:rFonts w:cs="Arial"/>
          <w:color w:val="000000"/>
        </w:rPr>
        <w:t xml:space="preserve"> 31 December 2022</w:t>
      </w:r>
      <w:r w:rsidR="00CF7514">
        <w:rPr>
          <w:rFonts w:cs="Arial"/>
          <w:color w:val="000000"/>
        </w:rPr>
        <w:t xml:space="preserve">. </w:t>
      </w:r>
    </w:p>
    <w:p w14:paraId="7DD261AF" w14:textId="76F1B8E3" w:rsidR="00CF7514" w:rsidRDefault="00CF7514" w:rsidP="00CF7514">
      <w:pPr>
        <w:keepNext/>
        <w:tabs>
          <w:tab w:val="left" w:pos="2160"/>
        </w:tabs>
        <w:spacing w:line="23" w:lineRule="atLeast"/>
        <w:rPr>
          <w:rFonts w:cs="Arial"/>
          <w:color w:val="000000"/>
        </w:rPr>
      </w:pPr>
      <w:r>
        <w:rPr>
          <w:rFonts w:cs="Arial"/>
          <w:color w:val="000000"/>
        </w:rPr>
        <w:t xml:space="preserve"> </w:t>
      </w:r>
    </w:p>
    <w:p w14:paraId="0D654A71" w14:textId="0B4CEBDE" w:rsidR="0098395F" w:rsidRDefault="00D6374D" w:rsidP="007B2267">
      <w:pPr>
        <w:keepNext/>
        <w:tabs>
          <w:tab w:val="left" w:pos="2160"/>
        </w:tabs>
        <w:spacing w:line="23" w:lineRule="atLeast"/>
        <w:rPr>
          <w:rFonts w:cs="Arial"/>
          <w:color w:val="000000"/>
        </w:rPr>
      </w:pPr>
      <w:r>
        <w:rPr>
          <w:rFonts w:cs="Arial"/>
          <w:color w:val="000000"/>
        </w:rPr>
        <w:t xml:space="preserve">It was further proposed in the </w:t>
      </w:r>
      <w:r w:rsidR="008E7A46">
        <w:rPr>
          <w:rFonts w:cs="Arial"/>
          <w:color w:val="000000"/>
        </w:rPr>
        <w:t xml:space="preserve">March </w:t>
      </w:r>
      <w:r w:rsidR="0098395F">
        <w:rPr>
          <w:rFonts w:cs="Arial"/>
          <w:color w:val="000000"/>
        </w:rPr>
        <w:t xml:space="preserve">2022-23 Budget </w:t>
      </w:r>
      <w:r>
        <w:rPr>
          <w:rFonts w:cs="Arial"/>
          <w:color w:val="000000"/>
        </w:rPr>
        <w:t xml:space="preserve">that </w:t>
      </w:r>
      <w:r w:rsidR="00BE2D5D">
        <w:rPr>
          <w:rFonts w:cs="Arial"/>
          <w:color w:val="000000"/>
        </w:rPr>
        <w:t xml:space="preserve">the patent box measures </w:t>
      </w:r>
      <w:r w:rsidR="004662CD">
        <w:rPr>
          <w:rFonts w:cs="Arial"/>
          <w:color w:val="000000"/>
        </w:rPr>
        <w:t xml:space="preserve">would expand </w:t>
      </w:r>
      <w:r w:rsidR="00BE2D5D">
        <w:rPr>
          <w:rFonts w:cs="Arial"/>
          <w:color w:val="000000"/>
        </w:rPr>
        <w:t xml:space="preserve">to support </w:t>
      </w:r>
      <w:r w:rsidR="00B345B7">
        <w:rPr>
          <w:rFonts w:cs="Arial"/>
          <w:color w:val="000000"/>
        </w:rPr>
        <w:t>agricultural and low emission technology sectors</w:t>
      </w:r>
      <w:r w:rsidR="007D3758">
        <w:rPr>
          <w:rFonts w:cs="Arial"/>
          <w:color w:val="000000"/>
        </w:rPr>
        <w:t>,</w:t>
      </w:r>
      <w:r w:rsidR="00DF464B">
        <w:rPr>
          <w:rFonts w:cs="Arial"/>
          <w:color w:val="000000"/>
        </w:rPr>
        <w:t xml:space="preserve"> effective from 1 July 20</w:t>
      </w:r>
      <w:r w:rsidR="00BB7A30">
        <w:rPr>
          <w:rFonts w:cs="Arial"/>
          <w:color w:val="000000"/>
        </w:rPr>
        <w:t xml:space="preserve">23. </w:t>
      </w:r>
      <w:r w:rsidR="007E5B68">
        <w:rPr>
          <w:rFonts w:cs="Arial"/>
          <w:color w:val="000000"/>
        </w:rPr>
        <w:t>However, t</w:t>
      </w:r>
      <w:r w:rsidR="00B345B7">
        <w:rPr>
          <w:rFonts w:cs="Arial"/>
          <w:color w:val="000000"/>
        </w:rPr>
        <w:t xml:space="preserve">he </w:t>
      </w:r>
      <w:r w:rsidR="00CF7514">
        <w:rPr>
          <w:rFonts w:cs="Arial"/>
          <w:color w:val="000000"/>
        </w:rPr>
        <w:t>October 2022-23</w:t>
      </w:r>
      <w:r w:rsidR="00B345B7">
        <w:rPr>
          <w:rFonts w:cs="Arial"/>
          <w:color w:val="000000"/>
        </w:rPr>
        <w:t xml:space="preserve"> Federal Budget </w:t>
      </w:r>
      <w:r w:rsidR="00EE07DF">
        <w:rPr>
          <w:rFonts w:cs="Arial"/>
          <w:color w:val="000000"/>
        </w:rPr>
        <w:t xml:space="preserve">did not suggest </w:t>
      </w:r>
      <w:r w:rsidR="00687A6A">
        <w:rPr>
          <w:rFonts w:cs="Arial"/>
          <w:color w:val="000000"/>
        </w:rPr>
        <w:t xml:space="preserve">updates on the proposed </w:t>
      </w:r>
      <w:r w:rsidR="000D02E0">
        <w:rPr>
          <w:rFonts w:cs="Arial"/>
          <w:color w:val="000000"/>
        </w:rPr>
        <w:t xml:space="preserve">measures nor other </w:t>
      </w:r>
      <w:r w:rsidR="00EE07DF">
        <w:rPr>
          <w:rFonts w:cs="Arial"/>
          <w:color w:val="000000"/>
        </w:rPr>
        <w:t>changes to the R&amp;D Tax Incentive program</w:t>
      </w:r>
      <w:r w:rsidR="00B345B7">
        <w:rPr>
          <w:rFonts w:cs="Arial"/>
          <w:color w:val="000000"/>
        </w:rPr>
        <w:t xml:space="preserve">. </w:t>
      </w:r>
    </w:p>
    <w:p w14:paraId="294C377D" w14:textId="77777777" w:rsidR="000B1D3C" w:rsidRDefault="000B1D3C" w:rsidP="007B2267">
      <w:pPr>
        <w:keepNext/>
        <w:tabs>
          <w:tab w:val="left" w:pos="2160"/>
        </w:tabs>
        <w:spacing w:line="23" w:lineRule="atLeast"/>
        <w:rPr>
          <w:rFonts w:cs="Arial"/>
          <w:color w:val="000000"/>
        </w:rPr>
      </w:pPr>
    </w:p>
    <w:p w14:paraId="18459D60" w14:textId="23413DF6" w:rsidR="00151DB6" w:rsidRPr="002F1974" w:rsidRDefault="00CB3755" w:rsidP="00151DB6">
      <w:pPr>
        <w:keepNext/>
        <w:spacing w:line="23" w:lineRule="atLeast"/>
        <w:rPr>
          <w:rFonts w:cs="Arial"/>
          <w:b/>
          <w:bCs/>
        </w:rPr>
      </w:pPr>
      <w:r>
        <w:rPr>
          <w:rFonts w:cs="Arial"/>
          <w:b/>
          <w:bCs/>
        </w:rPr>
        <w:t>Guidance</w:t>
      </w:r>
    </w:p>
    <w:p w14:paraId="3D8AFE2B" w14:textId="77777777" w:rsidR="00151DB6" w:rsidRPr="002F1974" w:rsidRDefault="00151DB6" w:rsidP="00BC6FAC">
      <w:pPr>
        <w:tabs>
          <w:tab w:val="left" w:pos="2160"/>
        </w:tabs>
        <w:spacing w:line="23" w:lineRule="atLeast"/>
        <w:rPr>
          <w:b/>
          <w:bCs/>
        </w:rPr>
      </w:pPr>
    </w:p>
    <w:p w14:paraId="550F764F" w14:textId="36683BC2" w:rsidR="000777C0" w:rsidRDefault="00151DB6" w:rsidP="00BC6FAC">
      <w:pPr>
        <w:tabs>
          <w:tab w:val="left" w:pos="2160"/>
        </w:tabs>
        <w:spacing w:line="23" w:lineRule="atLeast"/>
      </w:pPr>
      <w:proofErr w:type="spellStart"/>
      <w:r>
        <w:t>AusIndustry</w:t>
      </w:r>
      <w:proofErr w:type="spellEnd"/>
      <w:r>
        <w:t xml:space="preserve"> </w:t>
      </w:r>
      <w:r w:rsidR="00DE6097">
        <w:t>published a</w:t>
      </w:r>
      <w:r w:rsidRPr="002F1974">
        <w:t xml:space="preserve"> Guide to Interpretation in November 2020. </w:t>
      </w:r>
      <w:r w:rsidR="00DE6097" w:rsidRPr="000F4A26">
        <w:t>The refreshed Guide</w:t>
      </w:r>
      <w:r w:rsidR="00405079">
        <w:t xml:space="preserve"> uses</w:t>
      </w:r>
      <w:r w:rsidR="00DE6097" w:rsidRPr="000F4A26">
        <w:t xml:space="preserve"> clear</w:t>
      </w:r>
      <w:r w:rsidR="00405079">
        <w:t xml:space="preserve">er </w:t>
      </w:r>
      <w:r w:rsidR="00DE6097" w:rsidRPr="000F4A26">
        <w:t>language</w:t>
      </w:r>
      <w:r w:rsidR="00DE6097">
        <w:t>,</w:t>
      </w:r>
      <w:r w:rsidR="00DE6097" w:rsidRPr="000F4A26">
        <w:t xml:space="preserve"> </w:t>
      </w:r>
      <w:r w:rsidR="00405079">
        <w:t xml:space="preserve">has </w:t>
      </w:r>
      <w:r w:rsidR="00DE6097" w:rsidRPr="000F4A26">
        <w:t>less duplication</w:t>
      </w:r>
      <w:r w:rsidR="00DE6097">
        <w:t xml:space="preserve"> and is designed to help R&amp;D claimants plan, conduct and register eligible R&amp;D.</w:t>
      </w:r>
      <w:r w:rsidR="00405079">
        <w:t xml:space="preserve"> </w:t>
      </w:r>
    </w:p>
    <w:p w14:paraId="6D74A0E0" w14:textId="77777777" w:rsidR="000777C0" w:rsidRDefault="000777C0" w:rsidP="00BC6FAC">
      <w:pPr>
        <w:tabs>
          <w:tab w:val="left" w:pos="2160"/>
        </w:tabs>
        <w:spacing w:line="23" w:lineRule="atLeast"/>
      </w:pPr>
    </w:p>
    <w:p w14:paraId="61565CC7" w14:textId="6AC1CFEF" w:rsidR="00CF31E3" w:rsidRDefault="00CF31E3" w:rsidP="00BC6FAC">
      <w:pPr>
        <w:tabs>
          <w:tab w:val="left" w:pos="2160"/>
        </w:tabs>
        <w:spacing w:line="23" w:lineRule="atLeast"/>
      </w:pPr>
      <w:r>
        <w:t xml:space="preserve">In addition to the general Guide, </w:t>
      </w:r>
      <w:proofErr w:type="spellStart"/>
      <w:r w:rsidR="007729DC">
        <w:t>AusIndustry</w:t>
      </w:r>
      <w:proofErr w:type="spellEnd"/>
      <w:r w:rsidR="007729DC">
        <w:t xml:space="preserve"> </w:t>
      </w:r>
      <w:r w:rsidR="003B7472">
        <w:t>has also released sector guides for R&amp;D applicants in the following industries:</w:t>
      </w:r>
    </w:p>
    <w:p w14:paraId="4ECCF081" w14:textId="77777777" w:rsidR="003B7472" w:rsidRDefault="003B7472" w:rsidP="00BC6FAC">
      <w:pPr>
        <w:tabs>
          <w:tab w:val="left" w:pos="2160"/>
        </w:tabs>
        <w:spacing w:line="23" w:lineRule="atLeast"/>
      </w:pPr>
    </w:p>
    <w:p w14:paraId="7B346471" w14:textId="4BAEBBD3" w:rsidR="003B7472" w:rsidRDefault="003B7472" w:rsidP="003B7472">
      <w:pPr>
        <w:pStyle w:val="ListParagraph"/>
        <w:numPr>
          <w:ilvl w:val="0"/>
          <w:numId w:val="12"/>
        </w:numPr>
        <w:tabs>
          <w:tab w:val="left" w:pos="2160"/>
        </w:tabs>
        <w:spacing w:line="23" w:lineRule="atLeast"/>
      </w:pPr>
      <w:r>
        <w:t>Agrifood</w:t>
      </w:r>
      <w:r w:rsidR="002160E4">
        <w:t>.</w:t>
      </w:r>
    </w:p>
    <w:p w14:paraId="3FFC7057" w14:textId="0CA3F2E9" w:rsidR="003B7472" w:rsidRDefault="003B7472" w:rsidP="003B7472">
      <w:pPr>
        <w:pStyle w:val="ListParagraph"/>
        <w:numPr>
          <w:ilvl w:val="0"/>
          <w:numId w:val="12"/>
        </w:numPr>
        <w:tabs>
          <w:tab w:val="left" w:pos="2160"/>
        </w:tabs>
        <w:spacing w:line="23" w:lineRule="atLeast"/>
      </w:pPr>
      <w:r>
        <w:lastRenderedPageBreak/>
        <w:t>Biotechnology.</w:t>
      </w:r>
    </w:p>
    <w:p w14:paraId="0BB0112A" w14:textId="1F30754F" w:rsidR="003B7472" w:rsidRDefault="003B7472" w:rsidP="003B7472">
      <w:pPr>
        <w:pStyle w:val="ListParagraph"/>
        <w:numPr>
          <w:ilvl w:val="0"/>
          <w:numId w:val="12"/>
        </w:numPr>
        <w:tabs>
          <w:tab w:val="left" w:pos="2160"/>
        </w:tabs>
        <w:spacing w:line="23" w:lineRule="atLeast"/>
      </w:pPr>
      <w:r>
        <w:t>Built environments</w:t>
      </w:r>
      <w:r w:rsidR="002160E4">
        <w:t>.</w:t>
      </w:r>
    </w:p>
    <w:p w14:paraId="684E943A" w14:textId="4AE2B5CD" w:rsidR="002160E4" w:rsidRDefault="002160E4" w:rsidP="003B7472">
      <w:pPr>
        <w:pStyle w:val="ListParagraph"/>
        <w:numPr>
          <w:ilvl w:val="0"/>
          <w:numId w:val="12"/>
        </w:numPr>
        <w:tabs>
          <w:tab w:val="left" w:pos="2160"/>
        </w:tabs>
        <w:spacing w:line="23" w:lineRule="atLeast"/>
      </w:pPr>
      <w:r>
        <w:t>Energy.</w:t>
      </w:r>
    </w:p>
    <w:p w14:paraId="0F530BCF" w14:textId="0DF97289" w:rsidR="002160E4" w:rsidRDefault="002160E4" w:rsidP="003B7472">
      <w:pPr>
        <w:pStyle w:val="ListParagraph"/>
        <w:numPr>
          <w:ilvl w:val="0"/>
          <w:numId w:val="12"/>
        </w:numPr>
        <w:tabs>
          <w:tab w:val="left" w:pos="2160"/>
        </w:tabs>
        <w:spacing w:line="23" w:lineRule="atLeast"/>
      </w:pPr>
      <w:r>
        <w:t>Manufacturing.</w:t>
      </w:r>
    </w:p>
    <w:p w14:paraId="0C788AEA" w14:textId="654095F8" w:rsidR="002160E4" w:rsidRPr="00151DB6" w:rsidRDefault="002160E4" w:rsidP="003E521A">
      <w:pPr>
        <w:pStyle w:val="ListParagraph"/>
        <w:numPr>
          <w:ilvl w:val="0"/>
          <w:numId w:val="12"/>
        </w:numPr>
        <w:tabs>
          <w:tab w:val="left" w:pos="2160"/>
        </w:tabs>
        <w:spacing w:line="23" w:lineRule="atLeast"/>
      </w:pPr>
      <w:r>
        <w:t>Software development.</w:t>
      </w:r>
    </w:p>
    <w:p w14:paraId="6E663378" w14:textId="77777777" w:rsidR="00151DB6" w:rsidRDefault="00151DB6" w:rsidP="007B2267">
      <w:pPr>
        <w:keepNext/>
        <w:spacing w:line="23" w:lineRule="atLeast"/>
        <w:rPr>
          <w:rFonts w:cs="Arial"/>
        </w:rPr>
      </w:pPr>
    </w:p>
    <w:p w14:paraId="050F4104" w14:textId="43A364FE" w:rsidR="00DC2644" w:rsidRDefault="00C50658" w:rsidP="007B2267">
      <w:pPr>
        <w:keepNext/>
        <w:spacing w:line="23" w:lineRule="atLeast"/>
        <w:rPr>
          <w:rFonts w:cs="Arial"/>
        </w:rPr>
      </w:pPr>
      <w:r>
        <w:rPr>
          <w:rFonts w:cs="Arial"/>
          <w:b/>
        </w:rPr>
        <w:t>In conclusion</w:t>
      </w:r>
    </w:p>
    <w:p w14:paraId="353DEA0B" w14:textId="77777777" w:rsidR="00FB665D" w:rsidRPr="008B7F8E" w:rsidRDefault="00FB665D" w:rsidP="007B2267">
      <w:pPr>
        <w:tabs>
          <w:tab w:val="left" w:pos="2160"/>
        </w:tabs>
        <w:spacing w:line="23" w:lineRule="atLeast"/>
        <w:ind w:left="720"/>
        <w:rPr>
          <w:rFonts w:cs="Arial"/>
        </w:rPr>
      </w:pPr>
    </w:p>
    <w:p w14:paraId="234870F1" w14:textId="58C2962D" w:rsidR="00B83098" w:rsidRPr="00B83098" w:rsidRDefault="00B83098" w:rsidP="007B2267">
      <w:pPr>
        <w:spacing w:line="23" w:lineRule="atLeast"/>
        <w:rPr>
          <w:rFonts w:cs="Arial"/>
        </w:rPr>
      </w:pPr>
      <w:bookmarkStart w:id="11" w:name="top"/>
      <w:bookmarkEnd w:id="11"/>
      <w:r w:rsidRPr="00B83098">
        <w:rPr>
          <w:rFonts w:cs="Arial"/>
        </w:rPr>
        <w:t xml:space="preserve">Whilst the eligibility criteria to claim the R&amp;D </w:t>
      </w:r>
      <w:r w:rsidR="00E72C4B">
        <w:rPr>
          <w:rFonts w:cs="Arial"/>
        </w:rPr>
        <w:t>T</w:t>
      </w:r>
      <w:r w:rsidR="00E72C4B" w:rsidRPr="00B83098">
        <w:rPr>
          <w:rFonts w:cs="Arial"/>
        </w:rPr>
        <w:t xml:space="preserve">ax </w:t>
      </w:r>
      <w:r w:rsidR="00E72C4B">
        <w:rPr>
          <w:rFonts w:cs="Arial"/>
        </w:rPr>
        <w:t>I</w:t>
      </w:r>
      <w:r w:rsidR="00E72C4B" w:rsidRPr="00B83098">
        <w:rPr>
          <w:rFonts w:cs="Arial"/>
        </w:rPr>
        <w:t xml:space="preserve">ncentive </w:t>
      </w:r>
      <w:r w:rsidRPr="00B83098">
        <w:rPr>
          <w:rFonts w:cs="Arial"/>
        </w:rPr>
        <w:t>are reasonably complex</w:t>
      </w:r>
      <w:r w:rsidR="00B33636">
        <w:rPr>
          <w:rFonts w:cs="Arial"/>
        </w:rPr>
        <w:t>,</w:t>
      </w:r>
      <w:r w:rsidRPr="00B83098">
        <w:rPr>
          <w:rFonts w:cs="Arial"/>
        </w:rPr>
        <w:t xml:space="preserve"> the incremental benefits for eligible R&amp;D entities available </w:t>
      </w:r>
      <w:r w:rsidR="00E72C4B">
        <w:rPr>
          <w:rFonts w:cs="Arial"/>
        </w:rPr>
        <w:t>via</w:t>
      </w:r>
      <w:r w:rsidR="00E72C4B" w:rsidRPr="00B83098">
        <w:rPr>
          <w:rFonts w:cs="Arial"/>
        </w:rPr>
        <w:t xml:space="preserve"> </w:t>
      </w:r>
      <w:r w:rsidRPr="00B83098">
        <w:rPr>
          <w:rFonts w:cs="Arial"/>
        </w:rPr>
        <w:t>the R&amp;D tax offset are considerable</w:t>
      </w:r>
      <w:r w:rsidR="00B33636">
        <w:rPr>
          <w:rFonts w:cs="Arial"/>
        </w:rPr>
        <w:t>,</w:t>
      </w:r>
      <w:r w:rsidRPr="00B83098">
        <w:rPr>
          <w:rFonts w:cs="Arial"/>
        </w:rPr>
        <w:t xml:space="preserve"> especially for small to medium sized claimants whose aggregated tur</w:t>
      </w:r>
      <w:r>
        <w:rPr>
          <w:rFonts w:cs="Arial"/>
        </w:rPr>
        <w:t>nover is less than $20 million</w:t>
      </w:r>
      <w:r w:rsidR="006A62A5">
        <w:rPr>
          <w:rFonts w:cs="Arial"/>
        </w:rPr>
        <w:t xml:space="preserve"> per annum</w:t>
      </w:r>
      <w:r>
        <w:rPr>
          <w:rFonts w:cs="Arial"/>
        </w:rPr>
        <w:t>.</w:t>
      </w:r>
    </w:p>
    <w:p w14:paraId="2D218D94" w14:textId="77777777" w:rsidR="00B83098" w:rsidRDefault="00B83098" w:rsidP="007B2267">
      <w:pPr>
        <w:spacing w:line="23" w:lineRule="atLeast"/>
        <w:rPr>
          <w:rFonts w:cs="Arial"/>
        </w:rPr>
      </w:pPr>
    </w:p>
    <w:p w14:paraId="7B41358D" w14:textId="6FE55366" w:rsidR="000D5E0A" w:rsidRPr="008B7F8E" w:rsidRDefault="006A62A5" w:rsidP="007B2267">
      <w:pPr>
        <w:spacing w:line="23" w:lineRule="atLeast"/>
        <w:rPr>
          <w:rFonts w:cs="Arial"/>
        </w:rPr>
      </w:pPr>
      <w:r>
        <w:rPr>
          <w:rFonts w:cs="Arial"/>
        </w:rPr>
        <w:t>W</w:t>
      </w:r>
      <w:r w:rsidR="000D5E0A" w:rsidRPr="008B7F8E">
        <w:rPr>
          <w:rFonts w:cs="Arial"/>
        </w:rPr>
        <w:t>e recommend that</w:t>
      </w:r>
      <w:r w:rsidR="00B83098">
        <w:rPr>
          <w:rFonts w:cs="Arial"/>
        </w:rPr>
        <w:t xml:space="preserve"> all existing R&amp;D claimants </w:t>
      </w:r>
      <w:r w:rsidR="000D5E0A" w:rsidRPr="008B7F8E">
        <w:rPr>
          <w:rFonts w:cs="Arial"/>
        </w:rPr>
        <w:t>revi</w:t>
      </w:r>
      <w:r w:rsidR="00937F52" w:rsidRPr="008B7F8E">
        <w:rPr>
          <w:rFonts w:cs="Arial"/>
        </w:rPr>
        <w:t xml:space="preserve">ew </w:t>
      </w:r>
      <w:r w:rsidR="000D5E0A" w:rsidRPr="008B7F8E">
        <w:rPr>
          <w:rFonts w:cs="Arial"/>
        </w:rPr>
        <w:t>their systems and process</w:t>
      </w:r>
      <w:r w:rsidR="00DB1E7E" w:rsidRPr="008B7F8E">
        <w:rPr>
          <w:rFonts w:cs="Arial"/>
        </w:rPr>
        <w:t>es</w:t>
      </w:r>
      <w:r w:rsidR="000D5E0A" w:rsidRPr="008B7F8E">
        <w:rPr>
          <w:rFonts w:cs="Arial"/>
        </w:rPr>
        <w:t xml:space="preserve"> to ensure that all eligible R&amp;D activities are identified, tracked and documented properly</w:t>
      </w:r>
      <w:r w:rsidR="00DB1E7E" w:rsidRPr="008B7F8E">
        <w:rPr>
          <w:rFonts w:cs="Arial"/>
        </w:rPr>
        <w:t>.</w:t>
      </w:r>
    </w:p>
    <w:p w14:paraId="0FB04F0F" w14:textId="77777777" w:rsidR="000D5E0A" w:rsidRPr="008B7F8E" w:rsidRDefault="000D5E0A" w:rsidP="007B2267">
      <w:pPr>
        <w:spacing w:line="23" w:lineRule="atLeast"/>
        <w:rPr>
          <w:rFonts w:cs="Arial"/>
        </w:rPr>
      </w:pPr>
    </w:p>
    <w:p w14:paraId="79D5B2CF" w14:textId="1AD93D4A" w:rsidR="00C23C26" w:rsidRPr="008B7F8E" w:rsidRDefault="00F353E4" w:rsidP="007B2267">
      <w:pPr>
        <w:spacing w:line="23" w:lineRule="atLeast"/>
        <w:rPr>
          <w:rFonts w:cs="Arial"/>
        </w:rPr>
      </w:pPr>
      <w:r>
        <w:rPr>
          <w:rFonts w:cs="Arial"/>
        </w:rPr>
        <w:t>If you</w:t>
      </w:r>
      <w:r w:rsidR="006A62A5">
        <w:rPr>
          <w:rFonts w:cs="Arial"/>
        </w:rPr>
        <w:t xml:space="preserve"> are </w:t>
      </w:r>
      <w:r>
        <w:rPr>
          <w:rFonts w:cs="Arial"/>
        </w:rPr>
        <w:t xml:space="preserve">currently </w:t>
      </w:r>
      <w:r w:rsidR="006A62A5">
        <w:rPr>
          <w:rFonts w:cs="Arial"/>
        </w:rPr>
        <w:t>conducting R&amp;D or are considering conducting R&amp;D in the future</w:t>
      </w:r>
      <w:r>
        <w:rPr>
          <w:rFonts w:cs="Arial"/>
        </w:rPr>
        <w:t xml:space="preserve"> and have not previously claimed the R&amp;D Tax Incentive</w:t>
      </w:r>
      <w:r w:rsidR="000D5E0A" w:rsidRPr="008B7F8E">
        <w:rPr>
          <w:rFonts w:cs="Arial"/>
        </w:rPr>
        <w:t>,</w:t>
      </w:r>
      <w:r w:rsidR="007E0455" w:rsidRPr="008B7F8E">
        <w:rPr>
          <w:rFonts w:cs="Arial"/>
        </w:rPr>
        <w:t xml:space="preserve"> we would be pleased t</w:t>
      </w:r>
      <w:r w:rsidR="00C23C26" w:rsidRPr="008B7F8E">
        <w:rPr>
          <w:rFonts w:cs="Arial"/>
        </w:rPr>
        <w:t xml:space="preserve">o arrange a meeting to </w:t>
      </w:r>
      <w:r w:rsidR="007E0455" w:rsidRPr="008B7F8E">
        <w:rPr>
          <w:rFonts w:cs="Arial"/>
        </w:rPr>
        <w:t>d</w:t>
      </w:r>
      <w:r w:rsidR="00C23C26" w:rsidRPr="008B7F8E">
        <w:rPr>
          <w:rFonts w:cs="Arial"/>
        </w:rPr>
        <w:t>iscuss any of the above changes or any other tax planning issues</w:t>
      </w:r>
      <w:r w:rsidR="007E0455" w:rsidRPr="008B7F8E">
        <w:rPr>
          <w:rFonts w:cs="Arial"/>
        </w:rPr>
        <w:t>.</w:t>
      </w:r>
      <w:r w:rsidR="00DB2831" w:rsidRPr="008B7F8E">
        <w:rPr>
          <w:rFonts w:cs="Arial"/>
        </w:rPr>
        <w:t xml:space="preserve"> </w:t>
      </w:r>
      <w:r w:rsidR="007E0455" w:rsidRPr="008B7F8E">
        <w:rPr>
          <w:rFonts w:cs="Arial"/>
        </w:rPr>
        <w:t>P</w:t>
      </w:r>
      <w:r w:rsidR="00C23C26" w:rsidRPr="008B7F8E">
        <w:rPr>
          <w:rFonts w:cs="Arial"/>
        </w:rPr>
        <w:t>lease do not hesitate to contact me on [</w:t>
      </w:r>
      <w:r w:rsidR="00407DCF" w:rsidRPr="008B7F8E">
        <w:rPr>
          <w:rFonts w:cs="Arial"/>
          <w:highlight w:val="lightGray"/>
        </w:rPr>
        <w:t>insert telephone number of partner</w:t>
      </w:r>
      <w:r w:rsidR="00C23C26" w:rsidRPr="008B7F8E">
        <w:rPr>
          <w:rFonts w:cs="Arial"/>
        </w:rPr>
        <w:t>].</w:t>
      </w:r>
    </w:p>
    <w:p w14:paraId="1639B087" w14:textId="77777777" w:rsidR="00C23C26" w:rsidRPr="008B7F8E" w:rsidRDefault="00C23C26" w:rsidP="007B2267">
      <w:pPr>
        <w:spacing w:line="23" w:lineRule="atLeast"/>
        <w:rPr>
          <w:rFonts w:cs="Arial"/>
        </w:rPr>
      </w:pPr>
    </w:p>
    <w:p w14:paraId="3E35F24D" w14:textId="77777777" w:rsidR="00C23C26" w:rsidRPr="008B7F8E" w:rsidRDefault="00C23C26" w:rsidP="007B2267">
      <w:pPr>
        <w:spacing w:line="23" w:lineRule="atLeast"/>
        <w:rPr>
          <w:rFonts w:cs="Arial"/>
        </w:rPr>
      </w:pPr>
      <w:bookmarkStart w:id="12" w:name="Signoff"/>
      <w:bookmarkEnd w:id="12"/>
    </w:p>
    <w:p w14:paraId="369D43D9" w14:textId="77777777" w:rsidR="00C23C26" w:rsidRPr="008B7F8E" w:rsidRDefault="00C23C26" w:rsidP="007B2267">
      <w:pPr>
        <w:spacing w:line="23" w:lineRule="atLeast"/>
        <w:rPr>
          <w:rFonts w:cs="Arial"/>
        </w:rPr>
      </w:pPr>
      <w:r w:rsidRPr="008B7F8E">
        <w:rPr>
          <w:rFonts w:cs="Arial"/>
        </w:rPr>
        <w:t>Yours faithfully</w:t>
      </w:r>
    </w:p>
    <w:p w14:paraId="4A40A76F" w14:textId="77777777" w:rsidR="00C23C26" w:rsidRPr="008B7F8E" w:rsidRDefault="00C23C26" w:rsidP="007B2267">
      <w:pPr>
        <w:spacing w:line="23" w:lineRule="atLeast"/>
        <w:rPr>
          <w:rFonts w:cs="Arial"/>
        </w:rPr>
      </w:pPr>
    </w:p>
    <w:p w14:paraId="2D6431BB" w14:textId="77777777" w:rsidR="00C23C26" w:rsidRPr="008B7F8E" w:rsidRDefault="00C23C26" w:rsidP="007B2267">
      <w:pPr>
        <w:spacing w:line="23" w:lineRule="atLeast"/>
        <w:rPr>
          <w:rFonts w:cs="Arial"/>
          <w:b/>
          <w:bCs/>
        </w:rPr>
      </w:pPr>
      <w:bookmarkStart w:id="13" w:name="Partner"/>
      <w:bookmarkEnd w:id="13"/>
    </w:p>
    <w:p w14:paraId="77D495B1" w14:textId="77777777" w:rsidR="00C23C26" w:rsidRPr="008B7F8E" w:rsidRDefault="00C23C26" w:rsidP="007B2267">
      <w:pPr>
        <w:spacing w:line="23" w:lineRule="atLeast"/>
        <w:rPr>
          <w:rFonts w:cs="Arial"/>
          <w:b/>
          <w:bCs/>
        </w:rPr>
      </w:pPr>
    </w:p>
    <w:p w14:paraId="317FA16F" w14:textId="77777777" w:rsidR="00C23C26" w:rsidRPr="008B7F8E" w:rsidRDefault="00C23C26" w:rsidP="007B2267">
      <w:pPr>
        <w:spacing w:line="23" w:lineRule="atLeast"/>
      </w:pPr>
      <w:r w:rsidRPr="008B7F8E">
        <w:rPr>
          <w:rFonts w:cs="Arial"/>
          <w:b/>
          <w:bCs/>
        </w:rPr>
        <w:t>[</w:t>
      </w:r>
      <w:r w:rsidR="00407DCF" w:rsidRPr="008B7F8E">
        <w:rPr>
          <w:rFonts w:cs="Arial"/>
          <w:b/>
          <w:bCs/>
          <w:highlight w:val="lightGray"/>
        </w:rPr>
        <w:t>Insert name of Partner]</w:t>
      </w:r>
    </w:p>
    <w:p w14:paraId="0860FC2A" w14:textId="77777777" w:rsidR="00C23C26" w:rsidRPr="008B7F8E" w:rsidRDefault="00C23C26" w:rsidP="007B2267">
      <w:pPr>
        <w:spacing w:line="23" w:lineRule="atLeast"/>
      </w:pPr>
    </w:p>
    <w:p w14:paraId="0BB68CC3" w14:textId="77777777" w:rsidR="00C23C26" w:rsidRPr="008B7F8E" w:rsidRDefault="00C23C26" w:rsidP="007B2267">
      <w:pPr>
        <w:spacing w:line="23" w:lineRule="atLeast"/>
      </w:pPr>
    </w:p>
    <w:sectPr w:rsidR="00C23C26" w:rsidRPr="008B7F8E" w:rsidSect="00994F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196F" w14:textId="77777777" w:rsidR="00DF4EB0" w:rsidRDefault="00DF4EB0" w:rsidP="001F033D">
      <w:r>
        <w:separator/>
      </w:r>
    </w:p>
  </w:endnote>
  <w:endnote w:type="continuationSeparator" w:id="0">
    <w:p w14:paraId="69CA2D8D" w14:textId="77777777" w:rsidR="00DF4EB0" w:rsidRDefault="00DF4EB0" w:rsidP="001F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1855" w14:textId="77777777" w:rsidR="00DF4EB0" w:rsidRDefault="00DF4EB0" w:rsidP="001F033D">
      <w:r>
        <w:separator/>
      </w:r>
    </w:p>
  </w:footnote>
  <w:footnote w:type="continuationSeparator" w:id="0">
    <w:p w14:paraId="1F4F8D34" w14:textId="77777777" w:rsidR="00DF4EB0" w:rsidRDefault="00DF4EB0" w:rsidP="001F0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1AC"/>
    <w:multiLevelType w:val="hybridMultilevel"/>
    <w:tmpl w:val="97A4E3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161F32"/>
    <w:multiLevelType w:val="hybridMultilevel"/>
    <w:tmpl w:val="72245336"/>
    <w:lvl w:ilvl="0" w:tplc="EBBC172C">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62277"/>
    <w:multiLevelType w:val="hybridMultilevel"/>
    <w:tmpl w:val="B254F44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8671B5"/>
    <w:multiLevelType w:val="hybridMultilevel"/>
    <w:tmpl w:val="FDB8004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3187618"/>
    <w:multiLevelType w:val="hybridMultilevel"/>
    <w:tmpl w:val="6792A86A"/>
    <w:lvl w:ilvl="0" w:tplc="0C09000F">
      <w:start w:val="1"/>
      <w:numFmt w:val="decimal"/>
      <w:lvlText w:val="%1."/>
      <w:lvlJc w:val="left"/>
      <w:pPr>
        <w:ind w:left="363" w:hanging="360"/>
      </w:pPr>
      <w:rPr>
        <w:rFonts w:cs="Times New Roman"/>
      </w:rPr>
    </w:lvl>
    <w:lvl w:ilvl="1" w:tplc="0C090019">
      <w:start w:val="1"/>
      <w:numFmt w:val="decimal"/>
      <w:lvlText w:val="%2."/>
      <w:lvlJc w:val="left"/>
      <w:pPr>
        <w:tabs>
          <w:tab w:val="num" w:pos="1083"/>
        </w:tabs>
        <w:ind w:left="1083" w:hanging="360"/>
      </w:pPr>
      <w:rPr>
        <w:rFonts w:cs="Times New Roman"/>
      </w:rPr>
    </w:lvl>
    <w:lvl w:ilvl="2" w:tplc="0C09001B">
      <w:start w:val="1"/>
      <w:numFmt w:val="decimal"/>
      <w:lvlText w:val="%3."/>
      <w:lvlJc w:val="left"/>
      <w:pPr>
        <w:tabs>
          <w:tab w:val="num" w:pos="1803"/>
        </w:tabs>
        <w:ind w:left="1803" w:hanging="360"/>
      </w:pPr>
      <w:rPr>
        <w:rFonts w:cs="Times New Roman"/>
      </w:rPr>
    </w:lvl>
    <w:lvl w:ilvl="3" w:tplc="0C09000F">
      <w:start w:val="1"/>
      <w:numFmt w:val="decimal"/>
      <w:lvlText w:val="%4."/>
      <w:lvlJc w:val="left"/>
      <w:pPr>
        <w:tabs>
          <w:tab w:val="num" w:pos="2523"/>
        </w:tabs>
        <w:ind w:left="2523" w:hanging="360"/>
      </w:pPr>
      <w:rPr>
        <w:rFonts w:cs="Times New Roman"/>
      </w:rPr>
    </w:lvl>
    <w:lvl w:ilvl="4" w:tplc="0C090019">
      <w:start w:val="1"/>
      <w:numFmt w:val="decimal"/>
      <w:lvlText w:val="%5."/>
      <w:lvlJc w:val="left"/>
      <w:pPr>
        <w:tabs>
          <w:tab w:val="num" w:pos="3243"/>
        </w:tabs>
        <w:ind w:left="3243" w:hanging="360"/>
      </w:pPr>
      <w:rPr>
        <w:rFonts w:cs="Times New Roman"/>
      </w:rPr>
    </w:lvl>
    <w:lvl w:ilvl="5" w:tplc="0C09001B">
      <w:start w:val="1"/>
      <w:numFmt w:val="decimal"/>
      <w:lvlText w:val="%6."/>
      <w:lvlJc w:val="left"/>
      <w:pPr>
        <w:tabs>
          <w:tab w:val="num" w:pos="3963"/>
        </w:tabs>
        <w:ind w:left="3963" w:hanging="360"/>
      </w:pPr>
      <w:rPr>
        <w:rFonts w:cs="Times New Roman"/>
      </w:rPr>
    </w:lvl>
    <w:lvl w:ilvl="6" w:tplc="0C09000F">
      <w:start w:val="1"/>
      <w:numFmt w:val="decimal"/>
      <w:lvlText w:val="%7."/>
      <w:lvlJc w:val="left"/>
      <w:pPr>
        <w:tabs>
          <w:tab w:val="num" w:pos="4683"/>
        </w:tabs>
        <w:ind w:left="4683" w:hanging="360"/>
      </w:pPr>
      <w:rPr>
        <w:rFonts w:cs="Times New Roman"/>
      </w:rPr>
    </w:lvl>
    <w:lvl w:ilvl="7" w:tplc="0C090019">
      <w:start w:val="1"/>
      <w:numFmt w:val="decimal"/>
      <w:lvlText w:val="%8."/>
      <w:lvlJc w:val="left"/>
      <w:pPr>
        <w:tabs>
          <w:tab w:val="num" w:pos="5403"/>
        </w:tabs>
        <w:ind w:left="5403" w:hanging="360"/>
      </w:pPr>
      <w:rPr>
        <w:rFonts w:cs="Times New Roman"/>
      </w:rPr>
    </w:lvl>
    <w:lvl w:ilvl="8" w:tplc="0C09001B">
      <w:start w:val="1"/>
      <w:numFmt w:val="decimal"/>
      <w:lvlText w:val="%9."/>
      <w:lvlJc w:val="left"/>
      <w:pPr>
        <w:tabs>
          <w:tab w:val="num" w:pos="6123"/>
        </w:tabs>
        <w:ind w:left="6123" w:hanging="360"/>
      </w:pPr>
      <w:rPr>
        <w:rFonts w:cs="Times New Roman"/>
      </w:rPr>
    </w:lvl>
  </w:abstractNum>
  <w:abstractNum w:abstractNumId="5" w15:restartNumberingAfterBreak="0">
    <w:nsid w:val="245B6D73"/>
    <w:multiLevelType w:val="hybridMultilevel"/>
    <w:tmpl w:val="E402B0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96424D"/>
    <w:multiLevelType w:val="hybridMultilevel"/>
    <w:tmpl w:val="9BA0D6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344E4E"/>
    <w:multiLevelType w:val="hybridMultilevel"/>
    <w:tmpl w:val="AD006C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3D940BE"/>
    <w:multiLevelType w:val="hybridMultilevel"/>
    <w:tmpl w:val="E85A57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3A4027"/>
    <w:multiLevelType w:val="hybridMultilevel"/>
    <w:tmpl w:val="9BC2D5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468309B"/>
    <w:multiLevelType w:val="hybridMultilevel"/>
    <w:tmpl w:val="E52C47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BBB2258"/>
    <w:multiLevelType w:val="hybridMultilevel"/>
    <w:tmpl w:val="728CC8C2"/>
    <w:lvl w:ilvl="0" w:tplc="EBBC172C">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717081"/>
    <w:multiLevelType w:val="hybridMultilevel"/>
    <w:tmpl w:val="CCA0C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46117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9324168">
    <w:abstractNumId w:val="4"/>
  </w:num>
  <w:num w:numId="3" w16cid:durableId="2105688634">
    <w:abstractNumId w:val="0"/>
  </w:num>
  <w:num w:numId="4" w16cid:durableId="1524321776">
    <w:abstractNumId w:val="9"/>
  </w:num>
  <w:num w:numId="5" w16cid:durableId="1315329248">
    <w:abstractNumId w:val="5"/>
  </w:num>
  <w:num w:numId="6" w16cid:durableId="1733116980">
    <w:abstractNumId w:val="7"/>
  </w:num>
  <w:num w:numId="7" w16cid:durableId="2013796530">
    <w:abstractNumId w:val="3"/>
  </w:num>
  <w:num w:numId="8" w16cid:durableId="398670983">
    <w:abstractNumId w:val="6"/>
  </w:num>
  <w:num w:numId="9" w16cid:durableId="85923357">
    <w:abstractNumId w:val="2"/>
  </w:num>
  <w:num w:numId="10" w16cid:durableId="425805414">
    <w:abstractNumId w:val="1"/>
  </w:num>
  <w:num w:numId="11" w16cid:durableId="1458644590">
    <w:abstractNumId w:val="10"/>
  </w:num>
  <w:num w:numId="12" w16cid:durableId="1973748298">
    <w:abstractNumId w:val="11"/>
  </w:num>
  <w:num w:numId="13" w16cid:durableId="1517843549">
    <w:abstractNumId w:val="12"/>
  </w:num>
  <w:num w:numId="14" w16cid:durableId="6565416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313"/>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33D"/>
    <w:rsid w:val="000004AC"/>
    <w:rsid w:val="0000339A"/>
    <w:rsid w:val="00006CBB"/>
    <w:rsid w:val="00015798"/>
    <w:rsid w:val="00015E20"/>
    <w:rsid w:val="00023BC5"/>
    <w:rsid w:val="00030DF6"/>
    <w:rsid w:val="0003175D"/>
    <w:rsid w:val="00037566"/>
    <w:rsid w:val="00037EFD"/>
    <w:rsid w:val="00047B28"/>
    <w:rsid w:val="0005317D"/>
    <w:rsid w:val="0006029F"/>
    <w:rsid w:val="00064286"/>
    <w:rsid w:val="0006777E"/>
    <w:rsid w:val="00073B3B"/>
    <w:rsid w:val="0007473A"/>
    <w:rsid w:val="00075176"/>
    <w:rsid w:val="000777C0"/>
    <w:rsid w:val="000864C7"/>
    <w:rsid w:val="00094C08"/>
    <w:rsid w:val="000A2216"/>
    <w:rsid w:val="000A2256"/>
    <w:rsid w:val="000A2334"/>
    <w:rsid w:val="000A7E36"/>
    <w:rsid w:val="000B022E"/>
    <w:rsid w:val="000B1D3C"/>
    <w:rsid w:val="000B2C4A"/>
    <w:rsid w:val="000C4667"/>
    <w:rsid w:val="000D02E0"/>
    <w:rsid w:val="000D0815"/>
    <w:rsid w:val="000D5E0A"/>
    <w:rsid w:val="000D686A"/>
    <w:rsid w:val="000E17FF"/>
    <w:rsid w:val="000E4BDC"/>
    <w:rsid w:val="000F0446"/>
    <w:rsid w:val="000F05BB"/>
    <w:rsid w:val="000F30DF"/>
    <w:rsid w:val="000F7322"/>
    <w:rsid w:val="001049D5"/>
    <w:rsid w:val="00115AAE"/>
    <w:rsid w:val="00120007"/>
    <w:rsid w:val="00124DA2"/>
    <w:rsid w:val="001339BA"/>
    <w:rsid w:val="0014108C"/>
    <w:rsid w:val="00147772"/>
    <w:rsid w:val="00150129"/>
    <w:rsid w:val="00151578"/>
    <w:rsid w:val="00151DB6"/>
    <w:rsid w:val="00156B28"/>
    <w:rsid w:val="0016006F"/>
    <w:rsid w:val="00160BC2"/>
    <w:rsid w:val="001631B8"/>
    <w:rsid w:val="00166BA7"/>
    <w:rsid w:val="00174A3E"/>
    <w:rsid w:val="001916A9"/>
    <w:rsid w:val="001925C0"/>
    <w:rsid w:val="00193A4F"/>
    <w:rsid w:val="001963DF"/>
    <w:rsid w:val="001A0203"/>
    <w:rsid w:val="001A280A"/>
    <w:rsid w:val="001B3491"/>
    <w:rsid w:val="001B563B"/>
    <w:rsid w:val="001B7617"/>
    <w:rsid w:val="001C3AF7"/>
    <w:rsid w:val="001C4CB0"/>
    <w:rsid w:val="001C7553"/>
    <w:rsid w:val="001E0A20"/>
    <w:rsid w:val="001E5A30"/>
    <w:rsid w:val="001F033D"/>
    <w:rsid w:val="001F2494"/>
    <w:rsid w:val="001F30BE"/>
    <w:rsid w:val="00212138"/>
    <w:rsid w:val="002135C3"/>
    <w:rsid w:val="002160E4"/>
    <w:rsid w:val="002200AB"/>
    <w:rsid w:val="00225BE5"/>
    <w:rsid w:val="00234B2E"/>
    <w:rsid w:val="002378D3"/>
    <w:rsid w:val="00243FA7"/>
    <w:rsid w:val="002446EC"/>
    <w:rsid w:val="002535BD"/>
    <w:rsid w:val="002572BF"/>
    <w:rsid w:val="00271A65"/>
    <w:rsid w:val="00271D8A"/>
    <w:rsid w:val="00290DC2"/>
    <w:rsid w:val="0029763F"/>
    <w:rsid w:val="002A02DA"/>
    <w:rsid w:val="002A1F26"/>
    <w:rsid w:val="002A667C"/>
    <w:rsid w:val="002B343E"/>
    <w:rsid w:val="002C6F8E"/>
    <w:rsid w:val="002D5F3A"/>
    <w:rsid w:val="002D6A53"/>
    <w:rsid w:val="002D7CC8"/>
    <w:rsid w:val="002E1C20"/>
    <w:rsid w:val="002F1974"/>
    <w:rsid w:val="002F5045"/>
    <w:rsid w:val="00304F47"/>
    <w:rsid w:val="00316079"/>
    <w:rsid w:val="00326D0B"/>
    <w:rsid w:val="00330079"/>
    <w:rsid w:val="00330AEF"/>
    <w:rsid w:val="00332108"/>
    <w:rsid w:val="0033292A"/>
    <w:rsid w:val="003367F5"/>
    <w:rsid w:val="00344492"/>
    <w:rsid w:val="00362B3F"/>
    <w:rsid w:val="00365898"/>
    <w:rsid w:val="00366843"/>
    <w:rsid w:val="00366EAB"/>
    <w:rsid w:val="00372992"/>
    <w:rsid w:val="00377464"/>
    <w:rsid w:val="00383718"/>
    <w:rsid w:val="00385923"/>
    <w:rsid w:val="00386E0F"/>
    <w:rsid w:val="00393283"/>
    <w:rsid w:val="003A3B77"/>
    <w:rsid w:val="003A572D"/>
    <w:rsid w:val="003B7472"/>
    <w:rsid w:val="003C3AF3"/>
    <w:rsid w:val="003D08B6"/>
    <w:rsid w:val="003E3931"/>
    <w:rsid w:val="003E521A"/>
    <w:rsid w:val="003E5B73"/>
    <w:rsid w:val="00402FC8"/>
    <w:rsid w:val="00403FD6"/>
    <w:rsid w:val="00405079"/>
    <w:rsid w:val="00407DCF"/>
    <w:rsid w:val="004334B6"/>
    <w:rsid w:val="0043469E"/>
    <w:rsid w:val="00436813"/>
    <w:rsid w:val="004376D2"/>
    <w:rsid w:val="004422A1"/>
    <w:rsid w:val="0044410C"/>
    <w:rsid w:val="00446F0E"/>
    <w:rsid w:val="004637E7"/>
    <w:rsid w:val="004662CD"/>
    <w:rsid w:val="00471E5D"/>
    <w:rsid w:val="0047724B"/>
    <w:rsid w:val="00482B62"/>
    <w:rsid w:val="00483ED0"/>
    <w:rsid w:val="004903AB"/>
    <w:rsid w:val="00491638"/>
    <w:rsid w:val="004975AD"/>
    <w:rsid w:val="004A03E3"/>
    <w:rsid w:val="004A049C"/>
    <w:rsid w:val="004B2278"/>
    <w:rsid w:val="004C04E7"/>
    <w:rsid w:val="004C6AFD"/>
    <w:rsid w:val="004C72F2"/>
    <w:rsid w:val="004F2DD6"/>
    <w:rsid w:val="005024A0"/>
    <w:rsid w:val="00536482"/>
    <w:rsid w:val="00544399"/>
    <w:rsid w:val="0054749F"/>
    <w:rsid w:val="00560088"/>
    <w:rsid w:val="005709F3"/>
    <w:rsid w:val="00575CBD"/>
    <w:rsid w:val="005936AA"/>
    <w:rsid w:val="0059490D"/>
    <w:rsid w:val="00594C8A"/>
    <w:rsid w:val="0059543E"/>
    <w:rsid w:val="005A23F3"/>
    <w:rsid w:val="005A55F4"/>
    <w:rsid w:val="005C5804"/>
    <w:rsid w:val="005D1C82"/>
    <w:rsid w:val="005D336D"/>
    <w:rsid w:val="005D5826"/>
    <w:rsid w:val="005E457D"/>
    <w:rsid w:val="00600AE5"/>
    <w:rsid w:val="0060137C"/>
    <w:rsid w:val="0061578A"/>
    <w:rsid w:val="0061587B"/>
    <w:rsid w:val="00626461"/>
    <w:rsid w:val="00633D0A"/>
    <w:rsid w:val="00634131"/>
    <w:rsid w:val="006356F0"/>
    <w:rsid w:val="0063738F"/>
    <w:rsid w:val="006440D1"/>
    <w:rsid w:val="00660821"/>
    <w:rsid w:val="006631DF"/>
    <w:rsid w:val="00682641"/>
    <w:rsid w:val="00687A6A"/>
    <w:rsid w:val="00694BC7"/>
    <w:rsid w:val="00695438"/>
    <w:rsid w:val="006A1C9A"/>
    <w:rsid w:val="006A62A5"/>
    <w:rsid w:val="006A6C21"/>
    <w:rsid w:val="006B5BE5"/>
    <w:rsid w:val="006B5DB3"/>
    <w:rsid w:val="006C695E"/>
    <w:rsid w:val="006E6A96"/>
    <w:rsid w:val="0071294D"/>
    <w:rsid w:val="007369E3"/>
    <w:rsid w:val="007374AB"/>
    <w:rsid w:val="00742AEA"/>
    <w:rsid w:val="007547B2"/>
    <w:rsid w:val="00756EEA"/>
    <w:rsid w:val="0076010F"/>
    <w:rsid w:val="0076670C"/>
    <w:rsid w:val="00771F38"/>
    <w:rsid w:val="007729DC"/>
    <w:rsid w:val="00774318"/>
    <w:rsid w:val="00782825"/>
    <w:rsid w:val="00782E3F"/>
    <w:rsid w:val="00783CE2"/>
    <w:rsid w:val="00786182"/>
    <w:rsid w:val="00790BA0"/>
    <w:rsid w:val="00794783"/>
    <w:rsid w:val="0079588B"/>
    <w:rsid w:val="007A6D39"/>
    <w:rsid w:val="007B07F2"/>
    <w:rsid w:val="007B2267"/>
    <w:rsid w:val="007B329B"/>
    <w:rsid w:val="007B447C"/>
    <w:rsid w:val="007B7DDA"/>
    <w:rsid w:val="007C23E5"/>
    <w:rsid w:val="007C79C0"/>
    <w:rsid w:val="007D3758"/>
    <w:rsid w:val="007E0455"/>
    <w:rsid w:val="007E5B68"/>
    <w:rsid w:val="007F6CEB"/>
    <w:rsid w:val="00800BDB"/>
    <w:rsid w:val="00803028"/>
    <w:rsid w:val="00810268"/>
    <w:rsid w:val="00814D58"/>
    <w:rsid w:val="008178B2"/>
    <w:rsid w:val="00832540"/>
    <w:rsid w:val="00833267"/>
    <w:rsid w:val="008349F3"/>
    <w:rsid w:val="00845005"/>
    <w:rsid w:val="00855BB1"/>
    <w:rsid w:val="00870EE4"/>
    <w:rsid w:val="00871A52"/>
    <w:rsid w:val="00875A04"/>
    <w:rsid w:val="00882FFF"/>
    <w:rsid w:val="00887868"/>
    <w:rsid w:val="00891D92"/>
    <w:rsid w:val="008934DD"/>
    <w:rsid w:val="00894E74"/>
    <w:rsid w:val="00896945"/>
    <w:rsid w:val="008A742D"/>
    <w:rsid w:val="008B0633"/>
    <w:rsid w:val="008B06B9"/>
    <w:rsid w:val="008B7F8E"/>
    <w:rsid w:val="008C2F9C"/>
    <w:rsid w:val="008D08EF"/>
    <w:rsid w:val="008D186C"/>
    <w:rsid w:val="008D266E"/>
    <w:rsid w:val="008D2DE9"/>
    <w:rsid w:val="008E5431"/>
    <w:rsid w:val="008E7A46"/>
    <w:rsid w:val="008F0DED"/>
    <w:rsid w:val="008F6B86"/>
    <w:rsid w:val="009021AB"/>
    <w:rsid w:val="00902828"/>
    <w:rsid w:val="00916767"/>
    <w:rsid w:val="00916A49"/>
    <w:rsid w:val="009342B9"/>
    <w:rsid w:val="009350E6"/>
    <w:rsid w:val="00937F52"/>
    <w:rsid w:val="00940503"/>
    <w:rsid w:val="009417F9"/>
    <w:rsid w:val="00944866"/>
    <w:rsid w:val="00950DC7"/>
    <w:rsid w:val="009603DE"/>
    <w:rsid w:val="0097416E"/>
    <w:rsid w:val="009754FD"/>
    <w:rsid w:val="00982656"/>
    <w:rsid w:val="0098395F"/>
    <w:rsid w:val="00985EBD"/>
    <w:rsid w:val="00991E4B"/>
    <w:rsid w:val="009926AD"/>
    <w:rsid w:val="0099449B"/>
    <w:rsid w:val="00994F2D"/>
    <w:rsid w:val="009A0FB7"/>
    <w:rsid w:val="009A2354"/>
    <w:rsid w:val="009B6DA7"/>
    <w:rsid w:val="009C4746"/>
    <w:rsid w:val="009C500D"/>
    <w:rsid w:val="009D17C2"/>
    <w:rsid w:val="009E24B7"/>
    <w:rsid w:val="009F725E"/>
    <w:rsid w:val="00A0143C"/>
    <w:rsid w:val="00A149C8"/>
    <w:rsid w:val="00A14DB2"/>
    <w:rsid w:val="00A21898"/>
    <w:rsid w:val="00A229F8"/>
    <w:rsid w:val="00A265C2"/>
    <w:rsid w:val="00A26CA0"/>
    <w:rsid w:val="00A34223"/>
    <w:rsid w:val="00A42CE1"/>
    <w:rsid w:val="00A47740"/>
    <w:rsid w:val="00A505AA"/>
    <w:rsid w:val="00A52DCD"/>
    <w:rsid w:val="00A57F0C"/>
    <w:rsid w:val="00A6144B"/>
    <w:rsid w:val="00A657A3"/>
    <w:rsid w:val="00A75C2B"/>
    <w:rsid w:val="00A76A91"/>
    <w:rsid w:val="00A83CF5"/>
    <w:rsid w:val="00A919F6"/>
    <w:rsid w:val="00AA076C"/>
    <w:rsid w:val="00AA10DA"/>
    <w:rsid w:val="00AA4564"/>
    <w:rsid w:val="00AB03CF"/>
    <w:rsid w:val="00AD7128"/>
    <w:rsid w:val="00B0259F"/>
    <w:rsid w:val="00B203A9"/>
    <w:rsid w:val="00B23612"/>
    <w:rsid w:val="00B2781D"/>
    <w:rsid w:val="00B30B7E"/>
    <w:rsid w:val="00B312C8"/>
    <w:rsid w:val="00B320A9"/>
    <w:rsid w:val="00B33636"/>
    <w:rsid w:val="00B33D8A"/>
    <w:rsid w:val="00B345B7"/>
    <w:rsid w:val="00B40BD8"/>
    <w:rsid w:val="00B41F01"/>
    <w:rsid w:val="00B51EE2"/>
    <w:rsid w:val="00B56F9E"/>
    <w:rsid w:val="00B6220D"/>
    <w:rsid w:val="00B65476"/>
    <w:rsid w:val="00B71C7B"/>
    <w:rsid w:val="00B83098"/>
    <w:rsid w:val="00B84AEF"/>
    <w:rsid w:val="00B90B36"/>
    <w:rsid w:val="00B93164"/>
    <w:rsid w:val="00B9489B"/>
    <w:rsid w:val="00B95AA2"/>
    <w:rsid w:val="00BA0322"/>
    <w:rsid w:val="00BA107F"/>
    <w:rsid w:val="00BA1C76"/>
    <w:rsid w:val="00BA2AFA"/>
    <w:rsid w:val="00BA4383"/>
    <w:rsid w:val="00BA5484"/>
    <w:rsid w:val="00BA6684"/>
    <w:rsid w:val="00BB2D5C"/>
    <w:rsid w:val="00BB7A30"/>
    <w:rsid w:val="00BC3432"/>
    <w:rsid w:val="00BC68DB"/>
    <w:rsid w:val="00BC6FAC"/>
    <w:rsid w:val="00BD53A0"/>
    <w:rsid w:val="00BD7C13"/>
    <w:rsid w:val="00BE2D5D"/>
    <w:rsid w:val="00BE4BF3"/>
    <w:rsid w:val="00BE628A"/>
    <w:rsid w:val="00BF50F5"/>
    <w:rsid w:val="00C23012"/>
    <w:rsid w:val="00C23C26"/>
    <w:rsid w:val="00C37DE9"/>
    <w:rsid w:val="00C444F6"/>
    <w:rsid w:val="00C44546"/>
    <w:rsid w:val="00C45675"/>
    <w:rsid w:val="00C46B3A"/>
    <w:rsid w:val="00C50658"/>
    <w:rsid w:val="00C514B2"/>
    <w:rsid w:val="00C760A9"/>
    <w:rsid w:val="00C775D1"/>
    <w:rsid w:val="00C7773B"/>
    <w:rsid w:val="00C979C7"/>
    <w:rsid w:val="00CA409D"/>
    <w:rsid w:val="00CA76A4"/>
    <w:rsid w:val="00CB3755"/>
    <w:rsid w:val="00CB4080"/>
    <w:rsid w:val="00CB60FF"/>
    <w:rsid w:val="00CC12CD"/>
    <w:rsid w:val="00CC5E31"/>
    <w:rsid w:val="00CC62F2"/>
    <w:rsid w:val="00CD250A"/>
    <w:rsid w:val="00CD5B8E"/>
    <w:rsid w:val="00CE0304"/>
    <w:rsid w:val="00CE048C"/>
    <w:rsid w:val="00CE4067"/>
    <w:rsid w:val="00CE4B89"/>
    <w:rsid w:val="00CE6198"/>
    <w:rsid w:val="00CF31E3"/>
    <w:rsid w:val="00CF7514"/>
    <w:rsid w:val="00D07C1A"/>
    <w:rsid w:val="00D12FE3"/>
    <w:rsid w:val="00D20790"/>
    <w:rsid w:val="00D224A5"/>
    <w:rsid w:val="00D25791"/>
    <w:rsid w:val="00D271DF"/>
    <w:rsid w:val="00D347C2"/>
    <w:rsid w:val="00D401E9"/>
    <w:rsid w:val="00D61E03"/>
    <w:rsid w:val="00D6374D"/>
    <w:rsid w:val="00D816A5"/>
    <w:rsid w:val="00D87E82"/>
    <w:rsid w:val="00D901A0"/>
    <w:rsid w:val="00DA4DC3"/>
    <w:rsid w:val="00DA7011"/>
    <w:rsid w:val="00DB1E7E"/>
    <w:rsid w:val="00DB2831"/>
    <w:rsid w:val="00DC1CD6"/>
    <w:rsid w:val="00DC2162"/>
    <w:rsid w:val="00DC2644"/>
    <w:rsid w:val="00DD45D0"/>
    <w:rsid w:val="00DD7135"/>
    <w:rsid w:val="00DE56C8"/>
    <w:rsid w:val="00DE6097"/>
    <w:rsid w:val="00DF464B"/>
    <w:rsid w:val="00DF4EB0"/>
    <w:rsid w:val="00E05757"/>
    <w:rsid w:val="00E05D27"/>
    <w:rsid w:val="00E07945"/>
    <w:rsid w:val="00E100FF"/>
    <w:rsid w:val="00E11B37"/>
    <w:rsid w:val="00E20D6D"/>
    <w:rsid w:val="00E3473C"/>
    <w:rsid w:val="00E42850"/>
    <w:rsid w:val="00E43332"/>
    <w:rsid w:val="00E447A6"/>
    <w:rsid w:val="00E5500D"/>
    <w:rsid w:val="00E62738"/>
    <w:rsid w:val="00E658C1"/>
    <w:rsid w:val="00E72C4B"/>
    <w:rsid w:val="00E772D8"/>
    <w:rsid w:val="00E80C0A"/>
    <w:rsid w:val="00E871B6"/>
    <w:rsid w:val="00E95683"/>
    <w:rsid w:val="00E978D4"/>
    <w:rsid w:val="00EA6E5A"/>
    <w:rsid w:val="00EB059A"/>
    <w:rsid w:val="00EB3E3A"/>
    <w:rsid w:val="00EB5508"/>
    <w:rsid w:val="00EC58A5"/>
    <w:rsid w:val="00ED6BB2"/>
    <w:rsid w:val="00ED769C"/>
    <w:rsid w:val="00ED7845"/>
    <w:rsid w:val="00EE07DF"/>
    <w:rsid w:val="00EF62C4"/>
    <w:rsid w:val="00F06870"/>
    <w:rsid w:val="00F07613"/>
    <w:rsid w:val="00F103EE"/>
    <w:rsid w:val="00F13125"/>
    <w:rsid w:val="00F13D2C"/>
    <w:rsid w:val="00F153F3"/>
    <w:rsid w:val="00F227F8"/>
    <w:rsid w:val="00F26965"/>
    <w:rsid w:val="00F33963"/>
    <w:rsid w:val="00F353E4"/>
    <w:rsid w:val="00F36824"/>
    <w:rsid w:val="00F44592"/>
    <w:rsid w:val="00F459FE"/>
    <w:rsid w:val="00F74608"/>
    <w:rsid w:val="00F75746"/>
    <w:rsid w:val="00F75F39"/>
    <w:rsid w:val="00F8463A"/>
    <w:rsid w:val="00F91F88"/>
    <w:rsid w:val="00F9709E"/>
    <w:rsid w:val="00F97167"/>
    <w:rsid w:val="00FA101E"/>
    <w:rsid w:val="00FA227B"/>
    <w:rsid w:val="00FA5B00"/>
    <w:rsid w:val="00FB0DB2"/>
    <w:rsid w:val="00FB665D"/>
    <w:rsid w:val="00FC3AE7"/>
    <w:rsid w:val="00FC7CAF"/>
    <w:rsid w:val="00FD2261"/>
    <w:rsid w:val="00FD3E34"/>
    <w:rsid w:val="00FD69E1"/>
    <w:rsid w:val="00FE1174"/>
    <w:rsid w:val="00FF1803"/>
    <w:rsid w:val="00FF2A2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53F20"/>
  <w15:docId w15:val="{14EC21E2-74DB-45AE-99B6-F673F582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33D"/>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F033D"/>
    <w:rPr>
      <w:rFonts w:eastAsia="Times New Roman"/>
    </w:rPr>
  </w:style>
  <w:style w:type="character" w:customStyle="1" w:styleId="FootnoteTextChar">
    <w:name w:val="Footnote Text Char"/>
    <w:link w:val="FootnoteText"/>
    <w:locked/>
    <w:rsid w:val="001F033D"/>
    <w:rPr>
      <w:rFonts w:eastAsia="Times New Roman" w:cs="Times New Roman"/>
    </w:rPr>
  </w:style>
  <w:style w:type="character" w:styleId="FootnoteReference">
    <w:name w:val="footnote reference"/>
    <w:rsid w:val="001F033D"/>
    <w:rPr>
      <w:rFonts w:cs="Times New Roman"/>
      <w:vertAlign w:val="superscript"/>
    </w:rPr>
  </w:style>
  <w:style w:type="paragraph" w:styleId="BalloonText">
    <w:name w:val="Balloon Text"/>
    <w:basedOn w:val="Normal"/>
    <w:link w:val="BalloonTextChar"/>
    <w:rsid w:val="007E0455"/>
    <w:rPr>
      <w:rFonts w:ascii="Tahoma" w:hAnsi="Tahoma"/>
      <w:sz w:val="16"/>
      <w:szCs w:val="16"/>
    </w:rPr>
  </w:style>
  <w:style w:type="character" w:customStyle="1" w:styleId="BalloonTextChar">
    <w:name w:val="Balloon Text Char"/>
    <w:link w:val="BalloonText"/>
    <w:rsid w:val="007E0455"/>
    <w:rPr>
      <w:rFonts w:ascii="Tahoma" w:hAnsi="Tahoma" w:cs="Tahoma"/>
      <w:sz w:val="16"/>
      <w:szCs w:val="16"/>
      <w:lang w:eastAsia="en-US"/>
    </w:rPr>
  </w:style>
  <w:style w:type="paragraph" w:styleId="NormalWeb">
    <w:name w:val="Normal (Web)"/>
    <w:basedOn w:val="Normal"/>
    <w:uiPriority w:val="99"/>
    <w:unhideWhenUsed/>
    <w:rsid w:val="00DC2644"/>
    <w:rPr>
      <w:rFonts w:ascii="Times New Roman" w:eastAsia="Times New Roman" w:hAnsi="Times New Roman"/>
      <w:sz w:val="24"/>
      <w:szCs w:val="24"/>
      <w:lang w:eastAsia="en-AU"/>
    </w:rPr>
  </w:style>
  <w:style w:type="character" w:styleId="CommentReference">
    <w:name w:val="annotation reference"/>
    <w:rsid w:val="00B203A9"/>
    <w:rPr>
      <w:sz w:val="16"/>
      <w:szCs w:val="16"/>
    </w:rPr>
  </w:style>
  <w:style w:type="paragraph" w:styleId="CommentText">
    <w:name w:val="annotation text"/>
    <w:basedOn w:val="Normal"/>
    <w:link w:val="CommentTextChar"/>
    <w:rsid w:val="00B203A9"/>
  </w:style>
  <w:style w:type="character" w:customStyle="1" w:styleId="CommentTextChar">
    <w:name w:val="Comment Text Char"/>
    <w:link w:val="CommentText"/>
    <w:rsid w:val="00B203A9"/>
    <w:rPr>
      <w:rFonts w:cs="Times New Roman"/>
      <w:lang w:eastAsia="en-US"/>
    </w:rPr>
  </w:style>
  <w:style w:type="paragraph" w:styleId="CommentSubject">
    <w:name w:val="annotation subject"/>
    <w:basedOn w:val="CommentText"/>
    <w:next w:val="CommentText"/>
    <w:link w:val="CommentSubjectChar"/>
    <w:rsid w:val="00B203A9"/>
    <w:rPr>
      <w:b/>
      <w:bCs/>
    </w:rPr>
  </w:style>
  <w:style w:type="character" w:customStyle="1" w:styleId="CommentSubjectChar">
    <w:name w:val="Comment Subject Char"/>
    <w:link w:val="CommentSubject"/>
    <w:rsid w:val="00B203A9"/>
    <w:rPr>
      <w:rFonts w:cs="Times New Roman"/>
      <w:b/>
      <w:bCs/>
      <w:lang w:eastAsia="en-US"/>
    </w:rPr>
  </w:style>
  <w:style w:type="character" w:styleId="Hyperlink">
    <w:name w:val="Hyperlink"/>
    <w:basedOn w:val="DefaultParagraphFont"/>
    <w:rsid w:val="000F05BB"/>
    <w:rPr>
      <w:color w:val="0000FF" w:themeColor="hyperlink"/>
      <w:u w:val="single"/>
    </w:rPr>
  </w:style>
  <w:style w:type="paragraph" w:styleId="Header">
    <w:name w:val="header"/>
    <w:basedOn w:val="Normal"/>
    <w:link w:val="HeaderChar"/>
    <w:rsid w:val="00D224A5"/>
    <w:pPr>
      <w:tabs>
        <w:tab w:val="center" w:pos="4513"/>
        <w:tab w:val="right" w:pos="9026"/>
      </w:tabs>
    </w:pPr>
  </w:style>
  <w:style w:type="character" w:customStyle="1" w:styleId="HeaderChar">
    <w:name w:val="Header Char"/>
    <w:basedOn w:val="DefaultParagraphFont"/>
    <w:link w:val="Header"/>
    <w:rsid w:val="00D224A5"/>
    <w:rPr>
      <w:rFonts w:cs="Times New Roman"/>
      <w:lang w:eastAsia="en-US"/>
    </w:rPr>
  </w:style>
  <w:style w:type="paragraph" w:styleId="Footer">
    <w:name w:val="footer"/>
    <w:basedOn w:val="Normal"/>
    <w:link w:val="FooterChar"/>
    <w:rsid w:val="00D224A5"/>
    <w:pPr>
      <w:tabs>
        <w:tab w:val="center" w:pos="4513"/>
        <w:tab w:val="right" w:pos="9026"/>
      </w:tabs>
    </w:pPr>
  </w:style>
  <w:style w:type="character" w:customStyle="1" w:styleId="FooterChar">
    <w:name w:val="Footer Char"/>
    <w:basedOn w:val="DefaultParagraphFont"/>
    <w:link w:val="Footer"/>
    <w:rsid w:val="00D224A5"/>
    <w:rPr>
      <w:rFonts w:cs="Times New Roman"/>
      <w:lang w:eastAsia="en-US"/>
    </w:rPr>
  </w:style>
  <w:style w:type="paragraph" w:styleId="ListParagraph">
    <w:name w:val="List Paragraph"/>
    <w:basedOn w:val="Normal"/>
    <w:link w:val="ListParagraphChar"/>
    <w:uiPriority w:val="34"/>
    <w:qFormat/>
    <w:rsid w:val="00C775D1"/>
    <w:pPr>
      <w:ind w:left="720"/>
      <w:contextualSpacing/>
    </w:pPr>
  </w:style>
  <w:style w:type="character" w:customStyle="1" w:styleId="ListParagraphChar">
    <w:name w:val="List Paragraph Char"/>
    <w:basedOn w:val="DefaultParagraphFont"/>
    <w:link w:val="ListParagraph"/>
    <w:uiPriority w:val="34"/>
    <w:locked/>
    <w:rsid w:val="008B0633"/>
    <w:rPr>
      <w:rFonts w:cs="Times New Roman"/>
      <w:lang w:eastAsia="en-US"/>
    </w:rPr>
  </w:style>
  <w:style w:type="paragraph" w:styleId="Revision">
    <w:name w:val="Revision"/>
    <w:hidden/>
    <w:uiPriority w:val="99"/>
    <w:semiHidden/>
    <w:rsid w:val="00365898"/>
    <w:rPr>
      <w:rFonts w:cs="Times New Roman"/>
      <w:lang w:eastAsia="en-US"/>
    </w:rPr>
  </w:style>
  <w:style w:type="character" w:styleId="UnresolvedMention">
    <w:name w:val="Unresolved Mention"/>
    <w:basedOn w:val="DefaultParagraphFont"/>
    <w:uiPriority w:val="99"/>
    <w:semiHidden/>
    <w:unhideWhenUsed/>
    <w:rsid w:val="00436813"/>
    <w:rPr>
      <w:color w:val="605E5C"/>
      <w:shd w:val="clear" w:color="auto" w:fill="E1DFDD"/>
    </w:rPr>
  </w:style>
  <w:style w:type="character" w:styleId="Emphasis">
    <w:name w:val="Emphasis"/>
    <w:basedOn w:val="DefaultParagraphFont"/>
    <w:uiPriority w:val="20"/>
    <w:qFormat/>
    <w:locked/>
    <w:rsid w:val="000033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9830455">
      <w:bodyDiv w:val="1"/>
      <w:marLeft w:val="0"/>
      <w:marRight w:val="0"/>
      <w:marTop w:val="0"/>
      <w:marBottom w:val="0"/>
      <w:divBdr>
        <w:top w:val="none" w:sz="0" w:space="0" w:color="auto"/>
        <w:left w:val="none" w:sz="0" w:space="0" w:color="auto"/>
        <w:bottom w:val="none" w:sz="0" w:space="0" w:color="auto"/>
        <w:right w:val="none" w:sz="0" w:space="0" w:color="auto"/>
      </w:divBdr>
    </w:div>
    <w:div w:id="168115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Sent xmlns="149a938d-5178-4880-bee6-c99a533f2b62">false</Sent>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CC0BA-76FF-49C8-B7DD-F7DDB1C8F0A1}">
  <ds:schemaRefs>
    <ds:schemaRef ds:uri="http://schemas.microsoft.com/office/2006/documentManagement/types"/>
    <ds:schemaRef ds:uri="http://purl.org/dc/elements/1.1/"/>
    <ds:schemaRef ds:uri="149a938d-5178-4880-bee6-c99a533f2b62"/>
    <ds:schemaRef ds:uri="http://schemas.microsoft.com/office/infopath/2007/PartnerControls"/>
    <ds:schemaRef ds:uri="http://schemas.openxmlformats.org/package/2006/metadata/core-properties"/>
    <ds:schemaRef ds:uri="http://purl.org/dc/terms/"/>
    <ds:schemaRef ds:uri="http://schemas.microsoft.com/office/2006/metadata/properties"/>
    <ds:schemaRef ds:uri="70302223-c54b-4550-8ee9-092c6b9c08d4"/>
    <ds:schemaRef ds:uri="http://www.w3.org/XML/1998/namespace"/>
    <ds:schemaRef ds:uri="http://purl.org/dc/dcmitype/"/>
  </ds:schemaRefs>
</ds:datastoreItem>
</file>

<file path=customXml/itemProps2.xml><?xml version="1.0" encoding="utf-8"?>
<ds:datastoreItem xmlns:ds="http://schemas.openxmlformats.org/officeDocument/2006/customXml" ds:itemID="{BBC6D558-0253-4758-9238-38D72F9838CA}">
  <ds:schemaRefs>
    <ds:schemaRef ds:uri="http://schemas.openxmlformats.org/officeDocument/2006/bibliography"/>
  </ds:schemaRefs>
</ds:datastoreItem>
</file>

<file path=customXml/itemProps3.xml><?xml version="1.0" encoding="utf-8"?>
<ds:datastoreItem xmlns:ds="http://schemas.openxmlformats.org/officeDocument/2006/customXml" ds:itemID="{9F8E48FA-7C5C-4184-AC27-3460EE3A7DCC}">
  <ds:schemaRefs>
    <ds:schemaRef ds:uri="http://schemas.microsoft.com/sharepoint/v3/contenttype/forms"/>
  </ds:schemaRefs>
</ds:datastoreItem>
</file>

<file path=customXml/itemProps4.xml><?xml version="1.0" encoding="utf-8"?>
<ds:datastoreItem xmlns:ds="http://schemas.openxmlformats.org/officeDocument/2006/customXml" ds:itemID="{7C2E3565-B037-42E3-9491-073F1C244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1714</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Research and Development (R&amp;D) tax incentive client letter</vt:lpstr>
    </vt:vector>
  </TitlesOfParts>
  <Company>CPA Australia</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Development (R&amp;D) tax incentive client letter</dc:title>
  <dc:creator>Michelle Webb</dc:creator>
  <cp:keywords>r&amp;D tax incentive, R&amp;D activities, AusIndustry, tax letter template, research and development</cp:keywords>
  <cp:lastModifiedBy>Kristen Beadle</cp:lastModifiedBy>
  <cp:revision>3</cp:revision>
  <cp:lastPrinted>2019-06-25T07:43:00Z</cp:lastPrinted>
  <dcterms:created xsi:type="dcterms:W3CDTF">2023-05-02T01:28:00Z</dcterms:created>
  <dcterms:modified xsi:type="dcterms:W3CDTF">2023-05-02T01:33:00Z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