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CE33" w14:textId="77777777" w:rsidR="009E3CA2" w:rsidRPr="00AB1385" w:rsidRDefault="009E3CA2" w:rsidP="005279D2">
      <w:pPr>
        <w:adjustRightInd w:val="0"/>
        <w:snapToGrid w:val="0"/>
        <w:spacing w:line="276" w:lineRule="auto"/>
        <w:jc w:val="left"/>
        <w:rPr>
          <w:sz w:val="20"/>
          <w:szCs w:val="20"/>
        </w:rPr>
      </w:pPr>
      <w:r w:rsidRPr="00AB1385">
        <w:rPr>
          <w:sz w:val="20"/>
          <w:szCs w:val="20"/>
          <w:highlight w:val="lightGray"/>
        </w:rPr>
        <w:t>Insert DD Month YYYY</w:t>
      </w:r>
      <w:r w:rsidRPr="00AB138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9E3CA2" w:rsidRPr="00AB1385" w14:paraId="067FD04B" w14:textId="77777777" w:rsidTr="0070223C">
        <w:tc>
          <w:tcPr>
            <w:tcW w:w="9289" w:type="dxa"/>
            <w:tcBorders>
              <w:top w:val="nil"/>
              <w:left w:val="nil"/>
              <w:bottom w:val="nil"/>
              <w:right w:val="nil"/>
            </w:tcBorders>
          </w:tcPr>
          <w:p w14:paraId="384D3F3D" w14:textId="77777777" w:rsidR="009E3CA2" w:rsidRPr="00AB1385" w:rsidRDefault="009E3CA2" w:rsidP="005279D2">
            <w:pPr>
              <w:adjustRightInd w:val="0"/>
              <w:snapToGrid w:val="0"/>
              <w:spacing w:line="276" w:lineRule="auto"/>
              <w:jc w:val="left"/>
              <w:rPr>
                <w:b/>
                <w:bCs/>
                <w:sz w:val="20"/>
                <w:szCs w:val="20"/>
              </w:rPr>
            </w:pPr>
            <w:bookmarkStart w:id="0" w:name="Confidential"/>
            <w:bookmarkEnd w:id="0"/>
          </w:p>
        </w:tc>
      </w:tr>
    </w:tbl>
    <w:p w14:paraId="70668B82" w14:textId="77777777" w:rsidR="009E3CA2" w:rsidRPr="00AB1385" w:rsidRDefault="009E3CA2" w:rsidP="005279D2">
      <w:pPr>
        <w:adjustRightInd w:val="0"/>
        <w:snapToGrid w:val="0"/>
        <w:spacing w:line="276" w:lineRule="auto"/>
        <w:jc w:val="left"/>
        <w:rPr>
          <w:sz w:val="20"/>
          <w:szCs w:val="20"/>
        </w:rPr>
      </w:pPr>
      <w:bookmarkStart w:id="1" w:name="Name1"/>
      <w:bookmarkEnd w:id="1"/>
      <w:r w:rsidRPr="00AB1385">
        <w:rPr>
          <w:sz w:val="20"/>
          <w:szCs w:val="20"/>
        </w:rPr>
        <w:t>[</w:t>
      </w:r>
      <w:r w:rsidRPr="00AB1385">
        <w:rPr>
          <w:sz w:val="20"/>
          <w:szCs w:val="20"/>
          <w:highlight w:val="lightGray"/>
        </w:rPr>
        <w:t>Insert Client Name</w:t>
      </w:r>
      <w:r w:rsidRPr="00AB1385">
        <w:rPr>
          <w:sz w:val="20"/>
          <w:szCs w:val="20"/>
        </w:rPr>
        <w:t>]</w:t>
      </w:r>
    </w:p>
    <w:p w14:paraId="2902F842" w14:textId="77777777" w:rsidR="009E3CA2" w:rsidRPr="00AB1385" w:rsidRDefault="009E3CA2" w:rsidP="005279D2">
      <w:pPr>
        <w:adjustRightInd w:val="0"/>
        <w:snapToGrid w:val="0"/>
        <w:spacing w:line="276" w:lineRule="auto"/>
        <w:jc w:val="left"/>
        <w:rPr>
          <w:sz w:val="20"/>
          <w:szCs w:val="20"/>
        </w:rPr>
      </w:pPr>
      <w:bookmarkStart w:id="2" w:name="Position"/>
      <w:bookmarkEnd w:id="2"/>
      <w:r w:rsidRPr="00AB1385">
        <w:rPr>
          <w:sz w:val="20"/>
          <w:szCs w:val="20"/>
        </w:rPr>
        <w:t>[</w:t>
      </w:r>
      <w:r w:rsidRPr="00AB1385">
        <w:rPr>
          <w:sz w:val="20"/>
          <w:szCs w:val="20"/>
          <w:highlight w:val="lightGray"/>
        </w:rPr>
        <w:t>Insert Client Position</w:t>
      </w:r>
      <w:r w:rsidRPr="00AB1385">
        <w:rPr>
          <w:sz w:val="20"/>
          <w:szCs w:val="20"/>
        </w:rPr>
        <w:t>]</w:t>
      </w:r>
    </w:p>
    <w:p w14:paraId="71FAC388" w14:textId="77777777" w:rsidR="009E3CA2" w:rsidRPr="00AB1385" w:rsidRDefault="009E3CA2" w:rsidP="005279D2">
      <w:pPr>
        <w:adjustRightInd w:val="0"/>
        <w:snapToGrid w:val="0"/>
        <w:spacing w:line="276" w:lineRule="auto"/>
        <w:jc w:val="left"/>
        <w:rPr>
          <w:sz w:val="20"/>
          <w:szCs w:val="20"/>
        </w:rPr>
      </w:pPr>
      <w:bookmarkStart w:id="3" w:name="Company1"/>
      <w:bookmarkEnd w:id="3"/>
      <w:r w:rsidRPr="00AB1385">
        <w:rPr>
          <w:sz w:val="20"/>
          <w:szCs w:val="20"/>
        </w:rPr>
        <w:t>[</w:t>
      </w:r>
      <w:r w:rsidRPr="00AB1385">
        <w:rPr>
          <w:sz w:val="20"/>
          <w:szCs w:val="20"/>
          <w:highlight w:val="lightGray"/>
        </w:rPr>
        <w:t>Insert Company Name</w:t>
      </w:r>
      <w:r w:rsidRPr="00AB1385">
        <w:rPr>
          <w:sz w:val="20"/>
          <w:szCs w:val="20"/>
        </w:rPr>
        <w:t>]</w:t>
      </w:r>
    </w:p>
    <w:p w14:paraId="3C2C2427" w14:textId="77777777" w:rsidR="009E3CA2" w:rsidRPr="00AB1385" w:rsidRDefault="009E3CA2" w:rsidP="005279D2">
      <w:pPr>
        <w:adjustRightInd w:val="0"/>
        <w:snapToGrid w:val="0"/>
        <w:spacing w:line="276" w:lineRule="auto"/>
        <w:jc w:val="left"/>
        <w:rPr>
          <w:sz w:val="20"/>
          <w:szCs w:val="20"/>
        </w:rPr>
      </w:pPr>
      <w:bookmarkStart w:id="4" w:name="Address1"/>
      <w:bookmarkEnd w:id="4"/>
      <w:r w:rsidRPr="00AB1385">
        <w:rPr>
          <w:sz w:val="20"/>
          <w:szCs w:val="20"/>
        </w:rPr>
        <w:t>[</w:t>
      </w:r>
      <w:r w:rsidRPr="00AB1385">
        <w:rPr>
          <w:sz w:val="20"/>
          <w:szCs w:val="20"/>
          <w:highlight w:val="lightGray"/>
        </w:rPr>
        <w:t>Insert Client Address</w:t>
      </w:r>
      <w:r w:rsidRPr="00AB1385">
        <w:rPr>
          <w:sz w:val="20"/>
          <w:szCs w:val="20"/>
        </w:rPr>
        <w:t>]</w:t>
      </w:r>
    </w:p>
    <w:p w14:paraId="0473CDCE" w14:textId="77777777" w:rsidR="009E3CA2" w:rsidRPr="00AB1385" w:rsidRDefault="009E3CA2" w:rsidP="005279D2">
      <w:pPr>
        <w:adjustRightInd w:val="0"/>
        <w:snapToGrid w:val="0"/>
        <w:spacing w:line="276" w:lineRule="auto"/>
        <w:jc w:val="left"/>
        <w:rPr>
          <w:sz w:val="20"/>
          <w:szCs w:val="20"/>
        </w:rPr>
      </w:pPr>
      <w:bookmarkStart w:id="5" w:name="Suburb"/>
      <w:bookmarkEnd w:id="5"/>
      <w:r w:rsidRPr="00AB1385">
        <w:rPr>
          <w:sz w:val="20"/>
          <w:szCs w:val="20"/>
        </w:rPr>
        <w:t>[</w:t>
      </w:r>
      <w:r w:rsidRPr="00AB1385">
        <w:rPr>
          <w:sz w:val="20"/>
          <w:szCs w:val="20"/>
          <w:highlight w:val="lightGray"/>
        </w:rPr>
        <w:t xml:space="preserve">Suburb  </w:t>
      </w:r>
      <w:bookmarkStart w:id="6" w:name="State"/>
      <w:bookmarkEnd w:id="6"/>
      <w:r w:rsidRPr="00AB1385">
        <w:rPr>
          <w:sz w:val="20"/>
          <w:szCs w:val="20"/>
          <w:highlight w:val="lightGray"/>
        </w:rPr>
        <w:t xml:space="preserve">State  </w:t>
      </w:r>
      <w:bookmarkStart w:id="7" w:name="PostCode"/>
      <w:bookmarkEnd w:id="7"/>
      <w:r w:rsidRPr="00AB1385">
        <w:rPr>
          <w:sz w:val="20"/>
          <w:szCs w:val="20"/>
          <w:highlight w:val="lightGray"/>
        </w:rPr>
        <w:t>Post Code</w:t>
      </w:r>
      <w:r w:rsidRPr="00AB1385">
        <w:rPr>
          <w:sz w:val="20"/>
          <w:szCs w:val="20"/>
        </w:rPr>
        <w:t>]</w:t>
      </w:r>
    </w:p>
    <w:p w14:paraId="69AAFEF2" w14:textId="77777777" w:rsidR="009E3CA2" w:rsidRPr="00AB1385" w:rsidRDefault="009E3CA2" w:rsidP="005279D2">
      <w:pPr>
        <w:adjustRightInd w:val="0"/>
        <w:snapToGrid w:val="0"/>
        <w:spacing w:line="276" w:lineRule="auto"/>
        <w:jc w:val="left"/>
        <w:rPr>
          <w:sz w:val="20"/>
          <w:szCs w:val="20"/>
        </w:rPr>
      </w:pPr>
    </w:p>
    <w:p w14:paraId="60038312" w14:textId="77777777" w:rsidR="009E3CA2" w:rsidRPr="00AB1385" w:rsidRDefault="009E3CA2" w:rsidP="005279D2">
      <w:pPr>
        <w:adjustRightInd w:val="0"/>
        <w:snapToGrid w:val="0"/>
        <w:spacing w:line="276" w:lineRule="auto"/>
        <w:jc w:val="left"/>
        <w:rPr>
          <w:bCs/>
          <w:sz w:val="20"/>
          <w:szCs w:val="20"/>
        </w:rPr>
      </w:pPr>
    </w:p>
    <w:p w14:paraId="01C83EBB" w14:textId="77777777" w:rsidR="009E3CA2" w:rsidRPr="00AB1385" w:rsidRDefault="009E3CA2" w:rsidP="005279D2">
      <w:pPr>
        <w:adjustRightInd w:val="0"/>
        <w:snapToGrid w:val="0"/>
        <w:spacing w:line="276" w:lineRule="auto"/>
        <w:jc w:val="left"/>
        <w:rPr>
          <w:sz w:val="20"/>
          <w:szCs w:val="20"/>
        </w:rPr>
      </w:pPr>
      <w:r w:rsidRPr="00AB1385">
        <w:rPr>
          <w:sz w:val="20"/>
          <w:szCs w:val="20"/>
        </w:rPr>
        <w:t xml:space="preserve">Dear </w:t>
      </w:r>
      <w:bookmarkStart w:id="8" w:name="Salutation"/>
      <w:bookmarkEnd w:id="8"/>
      <w:r w:rsidRPr="00AB1385">
        <w:rPr>
          <w:sz w:val="20"/>
          <w:szCs w:val="20"/>
        </w:rPr>
        <w:t>[</w:t>
      </w:r>
      <w:r w:rsidRPr="00AB1385">
        <w:rPr>
          <w:sz w:val="20"/>
          <w:szCs w:val="20"/>
          <w:highlight w:val="lightGray"/>
        </w:rPr>
        <w:t>Insert Client Name</w:t>
      </w:r>
      <w:r w:rsidRPr="00AB1385">
        <w:rPr>
          <w:sz w:val="20"/>
          <w:szCs w:val="20"/>
        </w:rPr>
        <w:t>]</w:t>
      </w:r>
    </w:p>
    <w:p w14:paraId="7A1B42B4" w14:textId="77777777" w:rsidR="009E3CA2" w:rsidRPr="00AB1385" w:rsidRDefault="009E3CA2" w:rsidP="005279D2">
      <w:pPr>
        <w:adjustRightInd w:val="0"/>
        <w:snapToGrid w:val="0"/>
        <w:spacing w:line="276" w:lineRule="auto"/>
        <w:jc w:val="left"/>
        <w:rPr>
          <w:b/>
          <w:bCs/>
          <w:sz w:val="20"/>
          <w:szCs w:val="20"/>
        </w:rPr>
      </w:pPr>
    </w:p>
    <w:p w14:paraId="02DAEB22" w14:textId="77777777" w:rsidR="009E3CA2" w:rsidRPr="00AB1385" w:rsidRDefault="009E3CA2" w:rsidP="005279D2">
      <w:pPr>
        <w:adjustRightInd w:val="0"/>
        <w:snapToGrid w:val="0"/>
        <w:spacing w:line="276" w:lineRule="auto"/>
        <w:jc w:val="left"/>
        <w:rPr>
          <w:b/>
          <w:bCs/>
          <w:sz w:val="20"/>
          <w:szCs w:val="20"/>
        </w:rPr>
      </w:pPr>
    </w:p>
    <w:p w14:paraId="237B2596" w14:textId="77777777" w:rsidR="009E3CA2" w:rsidRPr="002672AE" w:rsidRDefault="009E3CA2" w:rsidP="005279D2">
      <w:pPr>
        <w:adjustRightInd w:val="0"/>
        <w:snapToGrid w:val="0"/>
        <w:spacing w:line="276" w:lineRule="auto"/>
        <w:jc w:val="left"/>
        <w:rPr>
          <w:b/>
          <w:bCs/>
          <w:sz w:val="21"/>
          <w:szCs w:val="21"/>
        </w:rPr>
      </w:pPr>
      <w:r w:rsidRPr="002672AE">
        <w:rPr>
          <w:b/>
          <w:bCs/>
          <w:sz w:val="21"/>
          <w:szCs w:val="21"/>
        </w:rPr>
        <w:t>Re:</w:t>
      </w:r>
      <w:r w:rsidRPr="002672AE">
        <w:rPr>
          <w:b/>
          <w:bCs/>
          <w:sz w:val="21"/>
          <w:szCs w:val="21"/>
        </w:rPr>
        <w:tab/>
      </w:r>
      <w:bookmarkStart w:id="9" w:name="Subject"/>
      <w:bookmarkEnd w:id="9"/>
      <w:r w:rsidR="002672AE" w:rsidRPr="002672AE">
        <w:rPr>
          <w:b/>
          <w:bCs/>
          <w:sz w:val="21"/>
          <w:szCs w:val="21"/>
        </w:rPr>
        <w:t>Part IVA: G</w:t>
      </w:r>
      <w:r w:rsidRPr="002672AE">
        <w:rPr>
          <w:b/>
          <w:bCs/>
          <w:sz w:val="21"/>
          <w:szCs w:val="21"/>
        </w:rPr>
        <w:t xml:space="preserve">eneral </w:t>
      </w:r>
      <w:r w:rsidR="002672AE" w:rsidRPr="002672AE">
        <w:rPr>
          <w:b/>
          <w:bCs/>
          <w:sz w:val="21"/>
          <w:szCs w:val="21"/>
        </w:rPr>
        <w:t>a</w:t>
      </w:r>
      <w:r w:rsidRPr="002672AE">
        <w:rPr>
          <w:b/>
          <w:bCs/>
          <w:sz w:val="21"/>
          <w:szCs w:val="21"/>
        </w:rPr>
        <w:t>nti</w:t>
      </w:r>
      <w:r w:rsidR="002672AE" w:rsidRPr="002672AE">
        <w:rPr>
          <w:b/>
          <w:bCs/>
          <w:sz w:val="21"/>
          <w:szCs w:val="21"/>
        </w:rPr>
        <w:t>-a</w:t>
      </w:r>
      <w:r w:rsidRPr="002672AE">
        <w:rPr>
          <w:b/>
          <w:bCs/>
          <w:sz w:val="21"/>
          <w:szCs w:val="21"/>
        </w:rPr>
        <w:t>voidance</w:t>
      </w:r>
      <w:r w:rsidR="002672AE" w:rsidRPr="002672AE">
        <w:rPr>
          <w:b/>
          <w:bCs/>
          <w:sz w:val="21"/>
          <w:szCs w:val="21"/>
        </w:rPr>
        <w:t xml:space="preserve"> provisions</w:t>
      </w:r>
      <w:r w:rsidRPr="002672AE">
        <w:rPr>
          <w:b/>
          <w:bCs/>
          <w:sz w:val="21"/>
          <w:szCs w:val="21"/>
        </w:rPr>
        <w:t xml:space="preserve"> </w:t>
      </w:r>
    </w:p>
    <w:p w14:paraId="465DA1BE" w14:textId="77777777" w:rsidR="009E3CA2" w:rsidRPr="00AB1385" w:rsidRDefault="009E3CA2" w:rsidP="005279D2">
      <w:pPr>
        <w:adjustRightInd w:val="0"/>
        <w:snapToGrid w:val="0"/>
        <w:spacing w:line="276" w:lineRule="auto"/>
        <w:jc w:val="left"/>
        <w:rPr>
          <w:sz w:val="20"/>
          <w:szCs w:val="20"/>
        </w:rPr>
      </w:pPr>
    </w:p>
    <w:p w14:paraId="1112D3FD" w14:textId="2749C36F" w:rsidR="00BA7E0D" w:rsidRDefault="009E3CA2" w:rsidP="005279D2">
      <w:pPr>
        <w:adjustRightInd w:val="0"/>
        <w:snapToGrid w:val="0"/>
        <w:spacing w:line="276" w:lineRule="auto"/>
        <w:jc w:val="left"/>
        <w:rPr>
          <w:sz w:val="20"/>
          <w:szCs w:val="20"/>
        </w:rPr>
      </w:pPr>
      <w:r>
        <w:rPr>
          <w:sz w:val="20"/>
          <w:szCs w:val="20"/>
        </w:rPr>
        <w:t xml:space="preserve">The general anti-avoidance rules contained in Part IVA of the </w:t>
      </w:r>
      <w:r>
        <w:rPr>
          <w:i/>
          <w:sz w:val="20"/>
          <w:szCs w:val="20"/>
        </w:rPr>
        <w:t>Inco</w:t>
      </w:r>
      <w:r w:rsidR="000528C5">
        <w:rPr>
          <w:i/>
          <w:sz w:val="20"/>
          <w:szCs w:val="20"/>
        </w:rPr>
        <w:t>me Tax Assessment Act 1936</w:t>
      </w:r>
      <w:r w:rsidR="00153F6F">
        <w:rPr>
          <w:i/>
          <w:sz w:val="20"/>
          <w:szCs w:val="20"/>
        </w:rPr>
        <w:t xml:space="preserve"> </w:t>
      </w:r>
      <w:r w:rsidR="00153F6F" w:rsidRPr="00BE7FA4">
        <w:rPr>
          <w:bCs/>
          <w:i/>
          <w:sz w:val="20"/>
          <w:szCs w:val="20"/>
        </w:rPr>
        <w:t>(</w:t>
      </w:r>
      <w:r w:rsidR="00153F6F">
        <w:rPr>
          <w:b/>
          <w:i/>
          <w:sz w:val="20"/>
          <w:szCs w:val="20"/>
        </w:rPr>
        <w:t>ITAA 1936</w:t>
      </w:r>
      <w:r w:rsidR="00153F6F" w:rsidRPr="00BE7FA4">
        <w:rPr>
          <w:bCs/>
          <w:i/>
          <w:sz w:val="20"/>
          <w:szCs w:val="20"/>
        </w:rPr>
        <w:t>)</w:t>
      </w:r>
      <w:r w:rsidR="000528C5">
        <w:rPr>
          <w:i/>
          <w:sz w:val="20"/>
          <w:szCs w:val="20"/>
        </w:rPr>
        <w:t xml:space="preserve"> </w:t>
      </w:r>
      <w:r w:rsidR="00926E92">
        <w:rPr>
          <w:sz w:val="20"/>
          <w:szCs w:val="20"/>
        </w:rPr>
        <w:t>may be applied by the A</w:t>
      </w:r>
      <w:r w:rsidR="00AA5A50">
        <w:rPr>
          <w:sz w:val="20"/>
          <w:szCs w:val="20"/>
        </w:rPr>
        <w:t xml:space="preserve">ustralian </w:t>
      </w:r>
      <w:r w:rsidR="00926E92">
        <w:rPr>
          <w:sz w:val="20"/>
          <w:szCs w:val="20"/>
        </w:rPr>
        <w:t>T</w:t>
      </w:r>
      <w:r w:rsidR="00AA5A50">
        <w:rPr>
          <w:sz w:val="20"/>
          <w:szCs w:val="20"/>
        </w:rPr>
        <w:t xml:space="preserve">axation </w:t>
      </w:r>
      <w:r w:rsidR="00926E92">
        <w:rPr>
          <w:sz w:val="20"/>
          <w:szCs w:val="20"/>
        </w:rPr>
        <w:t>O</w:t>
      </w:r>
      <w:r w:rsidR="00AA5A50">
        <w:rPr>
          <w:sz w:val="20"/>
          <w:szCs w:val="20"/>
        </w:rPr>
        <w:t>ffice (</w:t>
      </w:r>
      <w:r w:rsidR="00AA5A50" w:rsidRPr="00BE7FA4">
        <w:rPr>
          <w:b/>
          <w:bCs/>
          <w:sz w:val="20"/>
          <w:szCs w:val="20"/>
        </w:rPr>
        <w:t>ATO</w:t>
      </w:r>
      <w:r w:rsidR="00AA5A50">
        <w:rPr>
          <w:sz w:val="20"/>
          <w:szCs w:val="20"/>
        </w:rPr>
        <w:t>)</w:t>
      </w:r>
      <w:r w:rsidR="00926E92">
        <w:rPr>
          <w:sz w:val="20"/>
          <w:szCs w:val="20"/>
        </w:rPr>
        <w:t xml:space="preserve"> to deny a taxpayer the tax benefit of a scheme they have entered into</w:t>
      </w:r>
      <w:r w:rsidR="005279D2">
        <w:rPr>
          <w:sz w:val="20"/>
          <w:szCs w:val="20"/>
        </w:rPr>
        <w:t xml:space="preserve"> in certain circumstances</w:t>
      </w:r>
      <w:r w:rsidR="00926E92">
        <w:rPr>
          <w:sz w:val="20"/>
          <w:szCs w:val="20"/>
        </w:rPr>
        <w:t>.</w:t>
      </w:r>
    </w:p>
    <w:p w14:paraId="1A5B3BD9" w14:textId="77777777" w:rsidR="009E3CA2" w:rsidRDefault="009E3CA2" w:rsidP="005279D2">
      <w:pPr>
        <w:adjustRightInd w:val="0"/>
        <w:snapToGrid w:val="0"/>
        <w:spacing w:line="276" w:lineRule="auto"/>
        <w:jc w:val="left"/>
        <w:rPr>
          <w:sz w:val="20"/>
          <w:szCs w:val="20"/>
        </w:rPr>
      </w:pPr>
    </w:p>
    <w:p w14:paraId="3913AA61" w14:textId="77777777" w:rsidR="00926E92" w:rsidRPr="00926E92" w:rsidRDefault="00926E92" w:rsidP="005279D2">
      <w:pPr>
        <w:adjustRightInd w:val="0"/>
        <w:snapToGrid w:val="0"/>
        <w:spacing w:line="276" w:lineRule="auto"/>
        <w:jc w:val="left"/>
        <w:rPr>
          <w:b/>
          <w:sz w:val="20"/>
          <w:szCs w:val="20"/>
        </w:rPr>
      </w:pPr>
      <w:r w:rsidRPr="00926E92">
        <w:rPr>
          <w:b/>
          <w:sz w:val="20"/>
          <w:szCs w:val="20"/>
        </w:rPr>
        <w:t>Executive Summary</w:t>
      </w:r>
    </w:p>
    <w:p w14:paraId="427C2E12" w14:textId="77777777" w:rsidR="00926E92" w:rsidRDefault="00926E92" w:rsidP="005279D2">
      <w:pPr>
        <w:adjustRightInd w:val="0"/>
        <w:snapToGrid w:val="0"/>
        <w:spacing w:line="276" w:lineRule="auto"/>
        <w:jc w:val="left"/>
        <w:rPr>
          <w:b/>
          <w:sz w:val="20"/>
          <w:szCs w:val="20"/>
        </w:rPr>
      </w:pPr>
    </w:p>
    <w:p w14:paraId="3100326B" w14:textId="7E483A9C" w:rsidR="00926E92" w:rsidRPr="00914850" w:rsidRDefault="00722F73" w:rsidP="005279D2">
      <w:pPr>
        <w:adjustRightInd w:val="0"/>
        <w:snapToGrid w:val="0"/>
        <w:spacing w:line="276" w:lineRule="auto"/>
        <w:jc w:val="left"/>
        <w:rPr>
          <w:sz w:val="20"/>
          <w:szCs w:val="20"/>
        </w:rPr>
      </w:pPr>
      <w:r w:rsidRPr="00914850">
        <w:rPr>
          <w:sz w:val="20"/>
          <w:szCs w:val="20"/>
        </w:rPr>
        <w:t>The key features of</w:t>
      </w:r>
      <w:r w:rsidR="005C1C39">
        <w:rPr>
          <w:sz w:val="20"/>
          <w:szCs w:val="20"/>
        </w:rPr>
        <w:t xml:space="preserve"> Part IVA include the following</w:t>
      </w:r>
      <w:r w:rsidR="00153F6F">
        <w:rPr>
          <w:sz w:val="20"/>
          <w:szCs w:val="20"/>
        </w:rPr>
        <w:t>:</w:t>
      </w:r>
    </w:p>
    <w:p w14:paraId="6F9B1074" w14:textId="77777777" w:rsidR="00926E92" w:rsidRDefault="00926E92" w:rsidP="005279D2">
      <w:pPr>
        <w:adjustRightInd w:val="0"/>
        <w:snapToGrid w:val="0"/>
        <w:spacing w:line="276" w:lineRule="auto"/>
        <w:jc w:val="left"/>
        <w:rPr>
          <w:b/>
          <w:sz w:val="20"/>
          <w:szCs w:val="20"/>
        </w:rPr>
      </w:pPr>
    </w:p>
    <w:p w14:paraId="2AD32D53" w14:textId="24D56D5A" w:rsidR="00926E92" w:rsidRPr="00AA5A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Is there a scheme?</w:t>
      </w:r>
    </w:p>
    <w:p w14:paraId="027E944F" w14:textId="77777777" w:rsidR="00BA7E0D" w:rsidRPr="00AA5A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Has a tax benefit been obtained?</w:t>
      </w:r>
    </w:p>
    <w:p w14:paraId="4D0C554B" w14:textId="77777777" w:rsidR="00926E92" w:rsidRPr="009148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 xml:space="preserve">What was the </w:t>
      </w:r>
      <w:r w:rsidR="00AA5A50" w:rsidRPr="00914850">
        <w:rPr>
          <w:sz w:val="20"/>
          <w:szCs w:val="20"/>
        </w:rPr>
        <w:t>taxpayer’s sole</w:t>
      </w:r>
      <w:r w:rsidRPr="00914850">
        <w:rPr>
          <w:sz w:val="20"/>
          <w:szCs w:val="20"/>
        </w:rPr>
        <w:t xml:space="preserve"> or dominant purpose?</w:t>
      </w:r>
    </w:p>
    <w:p w14:paraId="6D30F9BC" w14:textId="77777777" w:rsidR="00926E92" w:rsidRPr="00926E92" w:rsidRDefault="00926E92" w:rsidP="005279D2">
      <w:pPr>
        <w:pStyle w:val="ListParagraph"/>
        <w:numPr>
          <w:ilvl w:val="0"/>
          <w:numId w:val="3"/>
        </w:numPr>
        <w:adjustRightInd w:val="0"/>
        <w:snapToGrid w:val="0"/>
        <w:spacing w:line="276" w:lineRule="auto"/>
        <w:contextualSpacing w:val="0"/>
        <w:jc w:val="left"/>
        <w:rPr>
          <w:sz w:val="20"/>
          <w:szCs w:val="20"/>
        </w:rPr>
      </w:pPr>
      <w:r>
        <w:rPr>
          <w:sz w:val="20"/>
          <w:szCs w:val="20"/>
        </w:rPr>
        <w:t>What happens when Part IVA is applied?</w:t>
      </w:r>
    </w:p>
    <w:p w14:paraId="0AE989D3" w14:textId="77777777" w:rsidR="00BA7E0D" w:rsidRPr="00914850" w:rsidRDefault="00BA7E0D" w:rsidP="005279D2">
      <w:pPr>
        <w:pStyle w:val="ListParagraph"/>
        <w:adjustRightInd w:val="0"/>
        <w:snapToGrid w:val="0"/>
        <w:spacing w:line="276" w:lineRule="auto"/>
        <w:contextualSpacing w:val="0"/>
        <w:jc w:val="left"/>
        <w:rPr>
          <w:b/>
          <w:sz w:val="20"/>
          <w:szCs w:val="20"/>
        </w:rPr>
      </w:pPr>
    </w:p>
    <w:p w14:paraId="3C59261D" w14:textId="54D09823" w:rsidR="00926E92" w:rsidRPr="00914850" w:rsidRDefault="00722F73" w:rsidP="005279D2">
      <w:pPr>
        <w:adjustRightInd w:val="0"/>
        <w:snapToGrid w:val="0"/>
        <w:spacing w:line="276" w:lineRule="auto"/>
        <w:jc w:val="left"/>
        <w:rPr>
          <w:sz w:val="20"/>
          <w:szCs w:val="20"/>
        </w:rPr>
      </w:pPr>
      <w:r w:rsidRPr="00914850">
        <w:rPr>
          <w:sz w:val="20"/>
          <w:szCs w:val="20"/>
        </w:rPr>
        <w:t xml:space="preserve">Each of these issues is explored </w:t>
      </w:r>
      <w:r w:rsidR="000A3C18">
        <w:rPr>
          <w:sz w:val="20"/>
          <w:szCs w:val="20"/>
        </w:rPr>
        <w:t xml:space="preserve">further </w:t>
      </w:r>
      <w:r w:rsidRPr="00914850">
        <w:rPr>
          <w:sz w:val="20"/>
          <w:szCs w:val="20"/>
        </w:rPr>
        <w:t>below.</w:t>
      </w:r>
    </w:p>
    <w:p w14:paraId="431804CC" w14:textId="77777777" w:rsidR="00926E92" w:rsidRDefault="00926E92" w:rsidP="005279D2">
      <w:pPr>
        <w:adjustRightInd w:val="0"/>
        <w:snapToGrid w:val="0"/>
        <w:spacing w:line="276" w:lineRule="auto"/>
        <w:jc w:val="left"/>
        <w:rPr>
          <w:b/>
          <w:sz w:val="20"/>
          <w:szCs w:val="20"/>
        </w:rPr>
      </w:pPr>
    </w:p>
    <w:p w14:paraId="0B7CCCEC" w14:textId="77777777" w:rsidR="00BA7E0D" w:rsidRPr="00914850" w:rsidRDefault="00722F73" w:rsidP="005279D2">
      <w:pPr>
        <w:pStyle w:val="ListParagraph"/>
        <w:numPr>
          <w:ilvl w:val="0"/>
          <w:numId w:val="4"/>
        </w:numPr>
        <w:adjustRightInd w:val="0"/>
        <w:snapToGrid w:val="0"/>
        <w:spacing w:line="276" w:lineRule="auto"/>
        <w:contextualSpacing w:val="0"/>
        <w:jc w:val="left"/>
        <w:rPr>
          <w:sz w:val="20"/>
          <w:szCs w:val="20"/>
        </w:rPr>
      </w:pPr>
      <w:r w:rsidRPr="00914850">
        <w:rPr>
          <w:b/>
          <w:sz w:val="20"/>
          <w:szCs w:val="20"/>
        </w:rPr>
        <w:t>Is there a scheme?</w:t>
      </w:r>
    </w:p>
    <w:p w14:paraId="4DCE1FCC" w14:textId="77777777" w:rsidR="009E3CA2" w:rsidRDefault="009E3CA2" w:rsidP="005279D2">
      <w:pPr>
        <w:adjustRightInd w:val="0"/>
        <w:snapToGrid w:val="0"/>
        <w:spacing w:line="276" w:lineRule="auto"/>
        <w:jc w:val="left"/>
        <w:rPr>
          <w:sz w:val="20"/>
          <w:szCs w:val="20"/>
        </w:rPr>
      </w:pPr>
    </w:p>
    <w:p w14:paraId="77A6B96F" w14:textId="77777777" w:rsidR="009E3CA2" w:rsidRDefault="009E3CA2" w:rsidP="005279D2">
      <w:pPr>
        <w:adjustRightInd w:val="0"/>
        <w:snapToGrid w:val="0"/>
        <w:spacing w:line="276" w:lineRule="auto"/>
        <w:jc w:val="left"/>
        <w:rPr>
          <w:sz w:val="20"/>
          <w:szCs w:val="20"/>
        </w:rPr>
      </w:pPr>
      <w:r>
        <w:rPr>
          <w:sz w:val="20"/>
          <w:szCs w:val="20"/>
        </w:rPr>
        <w:t>It is important to identify the scheme as it sets the framework for determining if a taxpayer has obtained a tax benefit in connection with the scheme, and whether the dominant purpose of the taxpayer of entering into the scheme was to obtain the tax benefit.</w:t>
      </w:r>
    </w:p>
    <w:p w14:paraId="5224DFD8" w14:textId="77777777" w:rsidR="009E3CA2" w:rsidRDefault="009E3CA2" w:rsidP="005279D2">
      <w:pPr>
        <w:adjustRightInd w:val="0"/>
        <w:snapToGrid w:val="0"/>
        <w:spacing w:line="276" w:lineRule="auto"/>
        <w:jc w:val="left"/>
        <w:rPr>
          <w:sz w:val="20"/>
          <w:szCs w:val="20"/>
        </w:rPr>
      </w:pPr>
    </w:p>
    <w:p w14:paraId="6BAC3982" w14:textId="00F6C3B2" w:rsidR="009E3CA2" w:rsidRPr="00734598" w:rsidRDefault="009E3CA2" w:rsidP="005279D2">
      <w:pPr>
        <w:adjustRightInd w:val="0"/>
        <w:snapToGrid w:val="0"/>
        <w:spacing w:line="276" w:lineRule="auto"/>
        <w:jc w:val="left"/>
        <w:rPr>
          <w:sz w:val="20"/>
          <w:szCs w:val="20"/>
        </w:rPr>
      </w:pPr>
      <w:r>
        <w:rPr>
          <w:sz w:val="20"/>
          <w:szCs w:val="20"/>
        </w:rPr>
        <w:t xml:space="preserve">Part IVA provides a broad definition of </w:t>
      </w:r>
      <w:r w:rsidR="00B364F9">
        <w:rPr>
          <w:sz w:val="20"/>
          <w:szCs w:val="20"/>
        </w:rPr>
        <w:t>"</w:t>
      </w:r>
      <w:r>
        <w:rPr>
          <w:sz w:val="20"/>
          <w:szCs w:val="20"/>
        </w:rPr>
        <w:t>scheme”, which includes any agreement, arrangement, promise or undertaking, whether express or implied and whether or not enforceable or intended to be enforceable by legal proceedings. It also includes any unilateral scheme, plan, proposal, course of action or course of conduct.</w:t>
      </w:r>
    </w:p>
    <w:p w14:paraId="49271A7A" w14:textId="77777777" w:rsidR="009E3CA2" w:rsidRDefault="009E3CA2" w:rsidP="005279D2">
      <w:pPr>
        <w:adjustRightInd w:val="0"/>
        <w:snapToGrid w:val="0"/>
        <w:spacing w:line="276" w:lineRule="auto"/>
        <w:jc w:val="left"/>
        <w:rPr>
          <w:sz w:val="20"/>
          <w:szCs w:val="20"/>
        </w:rPr>
      </w:pPr>
    </w:p>
    <w:p w14:paraId="7C2F83AC" w14:textId="77777777" w:rsidR="00926E92" w:rsidRDefault="009E3CA2" w:rsidP="005279D2">
      <w:pPr>
        <w:adjustRightInd w:val="0"/>
        <w:snapToGrid w:val="0"/>
        <w:spacing w:line="276" w:lineRule="auto"/>
        <w:jc w:val="left"/>
        <w:rPr>
          <w:sz w:val="20"/>
          <w:szCs w:val="20"/>
        </w:rPr>
      </w:pPr>
      <w:r>
        <w:rPr>
          <w:sz w:val="20"/>
          <w:szCs w:val="20"/>
        </w:rPr>
        <w:t>As a scheme includes any unilateral action, it is not</w:t>
      </w:r>
      <w:r w:rsidR="005279D2">
        <w:rPr>
          <w:sz w:val="20"/>
          <w:szCs w:val="20"/>
        </w:rPr>
        <w:t xml:space="preserve"> generally</w:t>
      </w:r>
      <w:r>
        <w:rPr>
          <w:sz w:val="20"/>
          <w:szCs w:val="20"/>
        </w:rPr>
        <w:t xml:space="preserve"> difficult to establish the existence of a scheme</w:t>
      </w:r>
      <w:r w:rsidR="005C1C39">
        <w:rPr>
          <w:sz w:val="20"/>
          <w:szCs w:val="20"/>
        </w:rPr>
        <w:t>,</w:t>
      </w:r>
      <w:r>
        <w:rPr>
          <w:sz w:val="20"/>
          <w:szCs w:val="20"/>
        </w:rPr>
        <w:t xml:space="preserve"> however</w:t>
      </w:r>
      <w:r w:rsidR="005C1C39">
        <w:rPr>
          <w:sz w:val="20"/>
          <w:szCs w:val="20"/>
        </w:rPr>
        <w:t>,</w:t>
      </w:r>
      <w:r>
        <w:rPr>
          <w:sz w:val="20"/>
          <w:szCs w:val="20"/>
        </w:rPr>
        <w:t xml:space="preserve"> this must be based on fact and reality and not determined by reference to a desired outcome</w:t>
      </w:r>
      <w:r>
        <w:rPr>
          <w:rStyle w:val="FootnoteReference"/>
          <w:sz w:val="20"/>
          <w:szCs w:val="20"/>
        </w:rPr>
        <w:footnoteReference w:id="1"/>
      </w:r>
      <w:r>
        <w:rPr>
          <w:sz w:val="20"/>
          <w:szCs w:val="20"/>
        </w:rPr>
        <w:t xml:space="preserve">.  </w:t>
      </w:r>
    </w:p>
    <w:p w14:paraId="45DB5705" w14:textId="77777777" w:rsidR="009E3CA2" w:rsidRDefault="009E3CA2" w:rsidP="005279D2">
      <w:pPr>
        <w:adjustRightInd w:val="0"/>
        <w:snapToGrid w:val="0"/>
        <w:spacing w:line="276" w:lineRule="auto"/>
        <w:jc w:val="left"/>
        <w:rPr>
          <w:sz w:val="20"/>
          <w:szCs w:val="20"/>
        </w:rPr>
      </w:pPr>
    </w:p>
    <w:p w14:paraId="0AA62646" w14:textId="77777777" w:rsidR="00BA7E0D" w:rsidRPr="00914850" w:rsidRDefault="00722F73" w:rsidP="005279D2">
      <w:pPr>
        <w:pStyle w:val="ListParagraph"/>
        <w:numPr>
          <w:ilvl w:val="0"/>
          <w:numId w:val="4"/>
        </w:numPr>
        <w:adjustRightInd w:val="0"/>
        <w:snapToGrid w:val="0"/>
        <w:spacing w:line="276" w:lineRule="auto"/>
        <w:contextualSpacing w:val="0"/>
        <w:jc w:val="left"/>
        <w:rPr>
          <w:b/>
          <w:sz w:val="20"/>
          <w:szCs w:val="20"/>
        </w:rPr>
      </w:pPr>
      <w:r w:rsidRPr="00914850">
        <w:rPr>
          <w:b/>
          <w:sz w:val="20"/>
          <w:szCs w:val="20"/>
        </w:rPr>
        <w:t>What is the tax benefit?</w:t>
      </w:r>
    </w:p>
    <w:p w14:paraId="2316FB89" w14:textId="77777777" w:rsidR="009E3CA2" w:rsidRDefault="009E3CA2" w:rsidP="005279D2">
      <w:pPr>
        <w:adjustRightInd w:val="0"/>
        <w:snapToGrid w:val="0"/>
        <w:spacing w:line="276" w:lineRule="auto"/>
        <w:jc w:val="left"/>
        <w:rPr>
          <w:sz w:val="20"/>
          <w:szCs w:val="20"/>
        </w:rPr>
      </w:pPr>
    </w:p>
    <w:p w14:paraId="43BC81C6" w14:textId="28F555D2" w:rsidR="009E3CA2" w:rsidRDefault="00E26092" w:rsidP="005279D2">
      <w:pPr>
        <w:adjustRightInd w:val="0"/>
        <w:snapToGrid w:val="0"/>
        <w:spacing w:line="276" w:lineRule="auto"/>
        <w:jc w:val="left"/>
        <w:rPr>
          <w:sz w:val="20"/>
          <w:szCs w:val="20"/>
        </w:rPr>
      </w:pPr>
      <w:r>
        <w:rPr>
          <w:sz w:val="20"/>
          <w:szCs w:val="20"/>
        </w:rPr>
        <w:t>A</w:t>
      </w:r>
      <w:r w:rsidR="009E3CA2" w:rsidRPr="00AB1385">
        <w:rPr>
          <w:sz w:val="20"/>
          <w:szCs w:val="20"/>
        </w:rPr>
        <w:t xml:space="preserve"> ‘tax benefit’ is defined in section 177C</w:t>
      </w:r>
      <w:r w:rsidR="00153F6F">
        <w:rPr>
          <w:sz w:val="20"/>
          <w:szCs w:val="20"/>
        </w:rPr>
        <w:t xml:space="preserve"> of the </w:t>
      </w:r>
      <w:r w:rsidR="00153F6F">
        <w:rPr>
          <w:i/>
          <w:sz w:val="20"/>
          <w:szCs w:val="20"/>
        </w:rPr>
        <w:t>ITAA 1936</w:t>
      </w:r>
      <w:r w:rsidR="009E3CA2" w:rsidRPr="00AB1385">
        <w:rPr>
          <w:sz w:val="20"/>
          <w:szCs w:val="20"/>
        </w:rPr>
        <w:t xml:space="preserve"> as one of the following amounts:</w:t>
      </w:r>
    </w:p>
    <w:p w14:paraId="31CB5BF4" w14:textId="77777777" w:rsidR="009E3CA2" w:rsidRPr="00AB1385" w:rsidRDefault="009E3CA2" w:rsidP="005279D2">
      <w:pPr>
        <w:adjustRightInd w:val="0"/>
        <w:snapToGrid w:val="0"/>
        <w:spacing w:line="276" w:lineRule="auto"/>
        <w:jc w:val="left"/>
        <w:rPr>
          <w:sz w:val="20"/>
          <w:szCs w:val="20"/>
        </w:rPr>
      </w:pPr>
    </w:p>
    <w:p w14:paraId="61935D01" w14:textId="7E55E955" w:rsidR="009E3CA2" w:rsidRPr="00AB1385" w:rsidRDefault="009E3CA2" w:rsidP="005279D2">
      <w:pPr>
        <w:numPr>
          <w:ilvl w:val="0"/>
          <w:numId w:val="1"/>
        </w:numPr>
        <w:adjustRightInd w:val="0"/>
        <w:snapToGrid w:val="0"/>
        <w:spacing w:line="276" w:lineRule="auto"/>
        <w:ind w:left="777" w:hanging="357"/>
        <w:jc w:val="left"/>
        <w:rPr>
          <w:sz w:val="20"/>
          <w:szCs w:val="20"/>
        </w:rPr>
      </w:pPr>
      <w:r w:rsidRPr="00AB1385">
        <w:rPr>
          <w:sz w:val="20"/>
          <w:szCs w:val="20"/>
        </w:rPr>
        <w:t>an amount no</w:t>
      </w:r>
      <w:r>
        <w:rPr>
          <w:sz w:val="20"/>
          <w:szCs w:val="20"/>
        </w:rPr>
        <w:t xml:space="preserve">t </w:t>
      </w:r>
      <w:r w:rsidR="0066366A">
        <w:rPr>
          <w:sz w:val="20"/>
          <w:szCs w:val="20"/>
        </w:rPr>
        <w:t xml:space="preserve">being </w:t>
      </w:r>
      <w:r>
        <w:rPr>
          <w:sz w:val="20"/>
          <w:szCs w:val="20"/>
        </w:rPr>
        <w:t>included in assessable income</w:t>
      </w:r>
      <w:r w:rsidR="00CE20EE">
        <w:rPr>
          <w:sz w:val="20"/>
          <w:szCs w:val="20"/>
        </w:rPr>
        <w:t>,</w:t>
      </w:r>
    </w:p>
    <w:p w14:paraId="6D63E67F" w14:textId="13EADB46" w:rsidR="009E3CA2" w:rsidRPr="00AB1385" w:rsidRDefault="009E3CA2" w:rsidP="005279D2">
      <w:pPr>
        <w:numPr>
          <w:ilvl w:val="0"/>
          <w:numId w:val="1"/>
        </w:numPr>
        <w:adjustRightInd w:val="0"/>
        <w:snapToGrid w:val="0"/>
        <w:spacing w:line="276" w:lineRule="auto"/>
        <w:ind w:left="777" w:hanging="357"/>
        <w:jc w:val="left"/>
        <w:rPr>
          <w:sz w:val="20"/>
          <w:szCs w:val="20"/>
        </w:rPr>
      </w:pPr>
      <w:r>
        <w:rPr>
          <w:sz w:val="20"/>
          <w:szCs w:val="20"/>
        </w:rPr>
        <w:t>a deduction being claimed</w:t>
      </w:r>
      <w:r w:rsidR="00CE20EE">
        <w:rPr>
          <w:sz w:val="20"/>
          <w:szCs w:val="20"/>
        </w:rPr>
        <w:t>,</w:t>
      </w:r>
    </w:p>
    <w:p w14:paraId="2C8E8EFF" w14:textId="65207091" w:rsidR="009E3CA2" w:rsidRPr="00AB1385" w:rsidRDefault="009E3CA2" w:rsidP="005279D2">
      <w:pPr>
        <w:numPr>
          <w:ilvl w:val="0"/>
          <w:numId w:val="1"/>
        </w:numPr>
        <w:adjustRightInd w:val="0"/>
        <w:snapToGrid w:val="0"/>
        <w:spacing w:line="276" w:lineRule="auto"/>
        <w:ind w:left="777" w:hanging="357"/>
        <w:jc w:val="left"/>
        <w:rPr>
          <w:sz w:val="20"/>
          <w:szCs w:val="20"/>
        </w:rPr>
      </w:pPr>
      <w:r>
        <w:rPr>
          <w:sz w:val="20"/>
          <w:szCs w:val="20"/>
        </w:rPr>
        <w:lastRenderedPageBreak/>
        <w:t>a capital loss</w:t>
      </w:r>
      <w:r w:rsidR="006A17F8">
        <w:rPr>
          <w:sz w:val="20"/>
          <w:szCs w:val="20"/>
        </w:rPr>
        <w:t xml:space="preserve"> being incurred</w:t>
      </w:r>
      <w:r w:rsidR="00CE20EE">
        <w:rPr>
          <w:sz w:val="20"/>
          <w:szCs w:val="20"/>
        </w:rPr>
        <w:t>,</w:t>
      </w:r>
    </w:p>
    <w:p w14:paraId="7CC73BB2" w14:textId="04FF262B" w:rsidR="00177AED" w:rsidRDefault="009E3CA2" w:rsidP="005279D2">
      <w:pPr>
        <w:numPr>
          <w:ilvl w:val="0"/>
          <w:numId w:val="1"/>
        </w:numPr>
        <w:adjustRightInd w:val="0"/>
        <w:snapToGrid w:val="0"/>
        <w:spacing w:line="276" w:lineRule="auto"/>
        <w:ind w:left="777" w:hanging="357"/>
        <w:jc w:val="left"/>
        <w:rPr>
          <w:sz w:val="20"/>
          <w:szCs w:val="20"/>
        </w:rPr>
      </w:pPr>
      <w:r w:rsidRPr="00AB1385">
        <w:rPr>
          <w:sz w:val="20"/>
          <w:szCs w:val="20"/>
        </w:rPr>
        <w:t xml:space="preserve">a foreign income tax </w:t>
      </w:r>
      <w:r w:rsidR="006A17F8">
        <w:rPr>
          <w:sz w:val="20"/>
          <w:szCs w:val="20"/>
        </w:rPr>
        <w:t xml:space="preserve">offset being </w:t>
      </w:r>
      <w:r w:rsidR="0066366A">
        <w:rPr>
          <w:sz w:val="20"/>
          <w:szCs w:val="20"/>
        </w:rPr>
        <w:t>allowable</w:t>
      </w:r>
      <w:r w:rsidR="00CE20EE">
        <w:rPr>
          <w:sz w:val="20"/>
          <w:szCs w:val="20"/>
        </w:rPr>
        <w:t>,</w:t>
      </w:r>
    </w:p>
    <w:p w14:paraId="7410A606" w14:textId="4B67FD49" w:rsidR="009E3CA2" w:rsidRDefault="00177AED" w:rsidP="005279D2">
      <w:pPr>
        <w:numPr>
          <w:ilvl w:val="0"/>
          <w:numId w:val="1"/>
        </w:numPr>
        <w:adjustRightInd w:val="0"/>
        <w:snapToGrid w:val="0"/>
        <w:spacing w:line="276" w:lineRule="auto"/>
        <w:ind w:left="777" w:hanging="357"/>
        <w:jc w:val="left"/>
        <w:rPr>
          <w:sz w:val="20"/>
          <w:szCs w:val="20"/>
        </w:rPr>
      </w:pPr>
      <w:r>
        <w:rPr>
          <w:sz w:val="20"/>
          <w:szCs w:val="20"/>
        </w:rPr>
        <w:t xml:space="preserve">an innovation tax offset being </w:t>
      </w:r>
      <w:r w:rsidR="0066366A">
        <w:rPr>
          <w:sz w:val="20"/>
          <w:szCs w:val="20"/>
        </w:rPr>
        <w:t>allowable</w:t>
      </w:r>
      <w:r w:rsidR="00CE20EE">
        <w:rPr>
          <w:sz w:val="20"/>
          <w:szCs w:val="20"/>
        </w:rPr>
        <w:t>,</w:t>
      </w:r>
      <w:r>
        <w:rPr>
          <w:sz w:val="20"/>
          <w:szCs w:val="20"/>
        </w:rPr>
        <w:t xml:space="preserve"> </w:t>
      </w:r>
    </w:p>
    <w:p w14:paraId="45EF66BD" w14:textId="37DAAAC0" w:rsidR="0066366A" w:rsidRDefault="0066366A" w:rsidP="005279D2">
      <w:pPr>
        <w:numPr>
          <w:ilvl w:val="0"/>
          <w:numId w:val="1"/>
        </w:numPr>
        <w:adjustRightInd w:val="0"/>
        <w:snapToGrid w:val="0"/>
        <w:spacing w:line="276" w:lineRule="auto"/>
        <w:ind w:left="777" w:hanging="357"/>
        <w:jc w:val="left"/>
        <w:rPr>
          <w:sz w:val="20"/>
          <w:szCs w:val="20"/>
        </w:rPr>
      </w:pPr>
      <w:r>
        <w:rPr>
          <w:sz w:val="20"/>
          <w:szCs w:val="20"/>
        </w:rPr>
        <w:t>exploration credits being issued</w:t>
      </w:r>
      <w:r w:rsidR="00CE20EE">
        <w:rPr>
          <w:sz w:val="20"/>
          <w:szCs w:val="20"/>
        </w:rPr>
        <w:t>,</w:t>
      </w:r>
    </w:p>
    <w:p w14:paraId="3DBE28C5" w14:textId="4FF8D5A6" w:rsidR="006A17F8" w:rsidRDefault="006A17F8" w:rsidP="005279D2">
      <w:pPr>
        <w:numPr>
          <w:ilvl w:val="0"/>
          <w:numId w:val="1"/>
        </w:numPr>
        <w:adjustRightInd w:val="0"/>
        <w:snapToGrid w:val="0"/>
        <w:spacing w:line="276" w:lineRule="auto"/>
        <w:ind w:left="777" w:hanging="357"/>
        <w:jc w:val="left"/>
        <w:rPr>
          <w:sz w:val="20"/>
          <w:szCs w:val="20"/>
        </w:rPr>
      </w:pPr>
      <w:r>
        <w:rPr>
          <w:sz w:val="20"/>
          <w:szCs w:val="20"/>
        </w:rPr>
        <w:t>a taxpayer not being liable for withholding tax</w:t>
      </w:r>
      <w:r w:rsidR="00CE20EE">
        <w:rPr>
          <w:sz w:val="20"/>
          <w:szCs w:val="20"/>
        </w:rPr>
        <w:t>,</w:t>
      </w:r>
    </w:p>
    <w:p w14:paraId="7FF89BA9" w14:textId="629DFDB6" w:rsidR="00FC330C" w:rsidRDefault="00FC330C" w:rsidP="005279D2">
      <w:pPr>
        <w:numPr>
          <w:ilvl w:val="0"/>
          <w:numId w:val="1"/>
        </w:numPr>
        <w:adjustRightInd w:val="0"/>
        <w:snapToGrid w:val="0"/>
        <w:spacing w:line="276" w:lineRule="auto"/>
        <w:ind w:left="777" w:hanging="357"/>
        <w:jc w:val="left"/>
        <w:rPr>
          <w:sz w:val="20"/>
          <w:szCs w:val="20"/>
        </w:rPr>
      </w:pPr>
      <w:r>
        <w:rPr>
          <w:sz w:val="20"/>
          <w:szCs w:val="20"/>
        </w:rPr>
        <w:t>a loss carry back offset being allowable</w:t>
      </w:r>
      <w:r w:rsidR="00CE20EE">
        <w:rPr>
          <w:sz w:val="20"/>
          <w:szCs w:val="20"/>
        </w:rPr>
        <w:t>,</w:t>
      </w:r>
      <w:r w:rsidR="00FC6E53">
        <w:rPr>
          <w:rStyle w:val="FootnoteReference"/>
          <w:sz w:val="20"/>
          <w:szCs w:val="20"/>
        </w:rPr>
        <w:footnoteReference w:id="2"/>
      </w:r>
      <w:r w:rsidR="00CE20EE">
        <w:rPr>
          <w:sz w:val="20"/>
          <w:szCs w:val="20"/>
        </w:rPr>
        <w:t xml:space="preserve"> or</w:t>
      </w:r>
    </w:p>
    <w:p w14:paraId="705A0C2F" w14:textId="4992CA5B" w:rsidR="00FC330C" w:rsidRPr="00AB1385" w:rsidRDefault="00FC330C" w:rsidP="005279D2">
      <w:pPr>
        <w:numPr>
          <w:ilvl w:val="0"/>
          <w:numId w:val="1"/>
        </w:numPr>
        <w:adjustRightInd w:val="0"/>
        <w:snapToGrid w:val="0"/>
        <w:spacing w:line="276" w:lineRule="auto"/>
        <w:ind w:left="777" w:hanging="357"/>
        <w:jc w:val="left"/>
        <w:rPr>
          <w:sz w:val="20"/>
          <w:szCs w:val="20"/>
        </w:rPr>
      </w:pPr>
      <w:r>
        <w:rPr>
          <w:sz w:val="20"/>
          <w:szCs w:val="20"/>
        </w:rPr>
        <w:t>a refundable Research &amp; Development tax offset or a non-refundable tax offset</w:t>
      </w:r>
      <w:r w:rsidR="00FC6E53">
        <w:rPr>
          <w:sz w:val="20"/>
          <w:szCs w:val="20"/>
        </w:rPr>
        <w:t xml:space="preserve"> being allowable</w:t>
      </w:r>
      <w:r w:rsidR="00CE20EE">
        <w:rPr>
          <w:sz w:val="20"/>
          <w:szCs w:val="20"/>
        </w:rPr>
        <w:t>.</w:t>
      </w:r>
      <w:r>
        <w:rPr>
          <w:rStyle w:val="FootnoteReference"/>
          <w:sz w:val="20"/>
          <w:szCs w:val="20"/>
        </w:rPr>
        <w:footnoteReference w:id="3"/>
      </w:r>
      <w:r>
        <w:rPr>
          <w:sz w:val="20"/>
          <w:szCs w:val="20"/>
        </w:rPr>
        <w:t xml:space="preserve"> </w:t>
      </w:r>
    </w:p>
    <w:p w14:paraId="432ED952" w14:textId="77777777" w:rsidR="009E3CA2" w:rsidRPr="00AB1385" w:rsidRDefault="009E3CA2" w:rsidP="005279D2">
      <w:pPr>
        <w:adjustRightInd w:val="0"/>
        <w:snapToGrid w:val="0"/>
        <w:spacing w:line="276" w:lineRule="auto"/>
        <w:ind w:left="777"/>
        <w:jc w:val="left"/>
        <w:rPr>
          <w:sz w:val="20"/>
          <w:szCs w:val="20"/>
        </w:rPr>
      </w:pPr>
    </w:p>
    <w:p w14:paraId="7753EAC3" w14:textId="6CA839A4" w:rsidR="009E3CA2" w:rsidRPr="00AB1385" w:rsidRDefault="009E3CA2" w:rsidP="005279D2">
      <w:pPr>
        <w:adjustRightInd w:val="0"/>
        <w:snapToGrid w:val="0"/>
        <w:spacing w:line="276" w:lineRule="auto"/>
        <w:jc w:val="left"/>
        <w:rPr>
          <w:sz w:val="20"/>
          <w:szCs w:val="20"/>
        </w:rPr>
      </w:pPr>
      <w:r w:rsidRPr="00AB1385">
        <w:rPr>
          <w:sz w:val="20"/>
          <w:szCs w:val="20"/>
        </w:rPr>
        <w:t xml:space="preserve">Furthermore, </w:t>
      </w:r>
      <w:r>
        <w:rPr>
          <w:sz w:val="20"/>
          <w:szCs w:val="20"/>
        </w:rPr>
        <w:t xml:space="preserve">section </w:t>
      </w:r>
      <w:r w:rsidRPr="00AB1385">
        <w:rPr>
          <w:sz w:val="20"/>
          <w:szCs w:val="20"/>
        </w:rPr>
        <w:t xml:space="preserve">177C </w:t>
      </w:r>
      <w:r w:rsidR="00153F6F">
        <w:rPr>
          <w:sz w:val="20"/>
          <w:szCs w:val="20"/>
        </w:rPr>
        <w:t xml:space="preserve">of the </w:t>
      </w:r>
      <w:r w:rsidR="00153F6F">
        <w:rPr>
          <w:i/>
          <w:sz w:val="20"/>
          <w:szCs w:val="20"/>
        </w:rPr>
        <w:t xml:space="preserve">ITAA 1936 </w:t>
      </w:r>
      <w:r w:rsidRPr="00AB1385">
        <w:rPr>
          <w:sz w:val="20"/>
          <w:szCs w:val="20"/>
        </w:rPr>
        <w:t>specifies that a taxpayer will have obtained a tax benefit in connection with a scheme if</w:t>
      </w:r>
      <w:r>
        <w:rPr>
          <w:sz w:val="20"/>
          <w:szCs w:val="20"/>
        </w:rPr>
        <w:t xml:space="preserve"> </w:t>
      </w:r>
      <w:r w:rsidRPr="00AB1385">
        <w:rPr>
          <w:sz w:val="20"/>
          <w:szCs w:val="20"/>
        </w:rPr>
        <w:t xml:space="preserve">the tax benefit would not have arisen if the scheme did not </w:t>
      </w:r>
      <w:proofErr w:type="gramStart"/>
      <w:r w:rsidRPr="00AB1385">
        <w:rPr>
          <w:sz w:val="20"/>
          <w:szCs w:val="20"/>
        </w:rPr>
        <w:t>occur, or</w:t>
      </w:r>
      <w:proofErr w:type="gramEnd"/>
      <w:r w:rsidRPr="00AB1385">
        <w:rPr>
          <w:sz w:val="20"/>
          <w:szCs w:val="20"/>
        </w:rPr>
        <w:t xml:space="preserve"> would reasonably not have arisen if the scheme did not occur.</w:t>
      </w:r>
    </w:p>
    <w:p w14:paraId="69624215" w14:textId="77777777" w:rsidR="009E3CA2" w:rsidRDefault="009E3CA2" w:rsidP="005279D2">
      <w:pPr>
        <w:adjustRightInd w:val="0"/>
        <w:snapToGrid w:val="0"/>
        <w:spacing w:line="276" w:lineRule="auto"/>
        <w:jc w:val="left"/>
        <w:rPr>
          <w:sz w:val="20"/>
          <w:szCs w:val="20"/>
        </w:rPr>
      </w:pPr>
    </w:p>
    <w:p w14:paraId="798E1A95" w14:textId="408ADBEE" w:rsidR="009E3CA2" w:rsidRPr="00AB1385" w:rsidRDefault="009E3CA2" w:rsidP="005279D2">
      <w:pPr>
        <w:adjustRightInd w:val="0"/>
        <w:snapToGrid w:val="0"/>
        <w:spacing w:line="276" w:lineRule="auto"/>
        <w:jc w:val="left"/>
        <w:rPr>
          <w:sz w:val="20"/>
          <w:szCs w:val="20"/>
        </w:rPr>
      </w:pPr>
      <w:r>
        <w:rPr>
          <w:sz w:val="20"/>
          <w:szCs w:val="20"/>
        </w:rPr>
        <w:t xml:space="preserve">In 2013, the Federal Government implemented </w:t>
      </w:r>
      <w:r w:rsidRPr="00AB1385">
        <w:rPr>
          <w:sz w:val="20"/>
          <w:szCs w:val="20"/>
        </w:rPr>
        <w:t>amending legislation</w:t>
      </w:r>
      <w:r w:rsidRPr="00AB1385">
        <w:rPr>
          <w:rStyle w:val="FootnoteReference"/>
          <w:sz w:val="20"/>
          <w:szCs w:val="20"/>
        </w:rPr>
        <w:footnoteReference w:id="4"/>
      </w:r>
      <w:r w:rsidRPr="00AB1385">
        <w:rPr>
          <w:sz w:val="20"/>
          <w:szCs w:val="20"/>
        </w:rPr>
        <w:t xml:space="preserve"> </w:t>
      </w:r>
      <w:r>
        <w:rPr>
          <w:sz w:val="20"/>
          <w:szCs w:val="20"/>
        </w:rPr>
        <w:t>to tighten the rules applicable to determining whether a tax benefit has been obtained</w:t>
      </w:r>
      <w:r w:rsidR="002D1F6F">
        <w:rPr>
          <w:sz w:val="20"/>
          <w:szCs w:val="20"/>
        </w:rPr>
        <w:t xml:space="preserve"> under Part IVA</w:t>
      </w:r>
      <w:r>
        <w:rPr>
          <w:sz w:val="20"/>
          <w:szCs w:val="20"/>
        </w:rPr>
        <w:t xml:space="preserve">. </w:t>
      </w:r>
      <w:r w:rsidRPr="00AB1385">
        <w:rPr>
          <w:sz w:val="20"/>
          <w:szCs w:val="20"/>
        </w:rPr>
        <w:t xml:space="preserve">These changes have a retrospective application to schemes entered into from </w:t>
      </w:r>
      <w:proofErr w:type="gramStart"/>
      <w:r w:rsidRPr="00AB1385">
        <w:rPr>
          <w:sz w:val="20"/>
          <w:szCs w:val="20"/>
        </w:rPr>
        <w:t>16 November 2012, and</w:t>
      </w:r>
      <w:proofErr w:type="gramEnd"/>
      <w:r w:rsidRPr="00AB1385">
        <w:rPr>
          <w:sz w:val="20"/>
          <w:szCs w:val="20"/>
        </w:rPr>
        <w:t xml:space="preserve"> </w:t>
      </w:r>
      <w:r w:rsidR="002D1F6F">
        <w:rPr>
          <w:sz w:val="20"/>
          <w:szCs w:val="20"/>
        </w:rPr>
        <w:t xml:space="preserve">may have significant impact on </w:t>
      </w:r>
      <w:r w:rsidRPr="00AB1385">
        <w:rPr>
          <w:sz w:val="20"/>
          <w:szCs w:val="20"/>
        </w:rPr>
        <w:t>business</w:t>
      </w:r>
      <w:r w:rsidR="002D1F6F">
        <w:rPr>
          <w:sz w:val="20"/>
          <w:szCs w:val="20"/>
        </w:rPr>
        <w:t xml:space="preserve"> transactions</w:t>
      </w:r>
      <w:r w:rsidRPr="00AB1385">
        <w:rPr>
          <w:sz w:val="20"/>
          <w:szCs w:val="20"/>
        </w:rPr>
        <w:t>.</w:t>
      </w:r>
    </w:p>
    <w:p w14:paraId="5B9EC91A" w14:textId="77777777" w:rsidR="009E3CA2" w:rsidRDefault="009E3CA2" w:rsidP="005279D2">
      <w:pPr>
        <w:adjustRightInd w:val="0"/>
        <w:snapToGrid w:val="0"/>
        <w:spacing w:line="276" w:lineRule="auto"/>
        <w:jc w:val="left"/>
        <w:rPr>
          <w:sz w:val="20"/>
          <w:szCs w:val="20"/>
        </w:rPr>
      </w:pPr>
    </w:p>
    <w:p w14:paraId="7595D7C3" w14:textId="77777777" w:rsidR="00BA7E0D" w:rsidRPr="00AA5A50" w:rsidRDefault="00722F73" w:rsidP="005279D2">
      <w:pPr>
        <w:pStyle w:val="ListParagraph"/>
        <w:keepNext/>
        <w:numPr>
          <w:ilvl w:val="0"/>
          <w:numId w:val="6"/>
        </w:numPr>
        <w:adjustRightInd w:val="0"/>
        <w:snapToGrid w:val="0"/>
        <w:spacing w:line="276" w:lineRule="auto"/>
        <w:contextualSpacing w:val="0"/>
        <w:jc w:val="left"/>
        <w:rPr>
          <w:sz w:val="20"/>
          <w:szCs w:val="20"/>
        </w:rPr>
      </w:pPr>
      <w:r w:rsidRPr="00AA5A50">
        <w:rPr>
          <w:sz w:val="20"/>
          <w:szCs w:val="20"/>
        </w:rPr>
        <w:t>Schemes entered into before 16 November 2012</w:t>
      </w:r>
    </w:p>
    <w:p w14:paraId="10835492" w14:textId="77777777" w:rsidR="009E3CA2" w:rsidRDefault="009E3CA2" w:rsidP="005279D2">
      <w:pPr>
        <w:keepNext/>
        <w:adjustRightInd w:val="0"/>
        <w:snapToGrid w:val="0"/>
        <w:spacing w:line="276" w:lineRule="auto"/>
        <w:jc w:val="left"/>
        <w:rPr>
          <w:sz w:val="20"/>
          <w:szCs w:val="20"/>
        </w:rPr>
      </w:pPr>
    </w:p>
    <w:p w14:paraId="19501AEA" w14:textId="77777777" w:rsidR="009E3CA2" w:rsidRDefault="009E3CA2" w:rsidP="005279D2">
      <w:pPr>
        <w:keepNext/>
        <w:adjustRightInd w:val="0"/>
        <w:snapToGrid w:val="0"/>
        <w:spacing w:line="276" w:lineRule="auto"/>
        <w:jc w:val="left"/>
        <w:rPr>
          <w:sz w:val="20"/>
          <w:szCs w:val="20"/>
        </w:rPr>
      </w:pPr>
      <w:r w:rsidRPr="00AB1385">
        <w:rPr>
          <w:sz w:val="20"/>
          <w:szCs w:val="20"/>
        </w:rPr>
        <w:t>In making a determination of tax benefit and purpose</w:t>
      </w:r>
      <w:r>
        <w:rPr>
          <w:sz w:val="20"/>
          <w:szCs w:val="20"/>
        </w:rPr>
        <w:t>,</w:t>
      </w:r>
      <w:r w:rsidRPr="00AB1385">
        <w:rPr>
          <w:sz w:val="20"/>
          <w:szCs w:val="20"/>
        </w:rPr>
        <w:t xml:space="preserve"> the Commissioner was required to make a comparison of the tax consequences between the scheme in question and an alternative postulate</w:t>
      </w:r>
      <w:r w:rsidRPr="00AB1385">
        <w:rPr>
          <w:rStyle w:val="FootnoteReference"/>
          <w:sz w:val="20"/>
          <w:szCs w:val="20"/>
        </w:rPr>
        <w:footnoteReference w:id="5"/>
      </w:r>
      <w:r w:rsidRPr="00AB1385">
        <w:rPr>
          <w:sz w:val="20"/>
          <w:szCs w:val="20"/>
        </w:rPr>
        <w:t xml:space="preserve">.  Whilst the alternative postulate </w:t>
      </w:r>
      <w:r>
        <w:rPr>
          <w:sz w:val="20"/>
          <w:szCs w:val="20"/>
        </w:rPr>
        <w:t>was</w:t>
      </w:r>
      <w:r w:rsidRPr="00AB1385">
        <w:rPr>
          <w:sz w:val="20"/>
          <w:szCs w:val="20"/>
        </w:rPr>
        <w:t xml:space="preserve"> not codified in the statu</w:t>
      </w:r>
      <w:r>
        <w:rPr>
          <w:sz w:val="20"/>
          <w:szCs w:val="20"/>
        </w:rPr>
        <w:t>t</w:t>
      </w:r>
      <w:r w:rsidRPr="00AB1385">
        <w:rPr>
          <w:sz w:val="20"/>
          <w:szCs w:val="20"/>
        </w:rPr>
        <w:t>e, it ha</w:t>
      </w:r>
      <w:r>
        <w:rPr>
          <w:sz w:val="20"/>
          <w:szCs w:val="20"/>
        </w:rPr>
        <w:t>d</w:t>
      </w:r>
      <w:r w:rsidRPr="00AB1385">
        <w:rPr>
          <w:sz w:val="20"/>
          <w:szCs w:val="20"/>
        </w:rPr>
        <w:t xml:space="preserve"> been determined by the judiciary to be the most appropriate analysis used in order to reach a conclusion about the purpose(s) of the participants in the scheme and whether </w:t>
      </w:r>
      <w:r w:rsidR="006A17F8">
        <w:rPr>
          <w:sz w:val="20"/>
          <w:szCs w:val="20"/>
        </w:rPr>
        <w:t xml:space="preserve">a </w:t>
      </w:r>
      <w:r w:rsidRPr="00AB1385">
        <w:rPr>
          <w:sz w:val="20"/>
          <w:szCs w:val="20"/>
        </w:rPr>
        <w:t>tax benefit ha</w:t>
      </w:r>
      <w:r w:rsidR="006A17F8">
        <w:rPr>
          <w:sz w:val="20"/>
          <w:szCs w:val="20"/>
        </w:rPr>
        <w:t>d</w:t>
      </w:r>
      <w:r w:rsidRPr="00AB1385">
        <w:rPr>
          <w:sz w:val="20"/>
          <w:szCs w:val="20"/>
        </w:rPr>
        <w:t xml:space="preserve"> arisen in connection with the scheme. </w:t>
      </w:r>
    </w:p>
    <w:p w14:paraId="31254D7D" w14:textId="77777777" w:rsidR="009E3CA2" w:rsidRPr="00AB1385" w:rsidRDefault="009E3CA2" w:rsidP="005279D2">
      <w:pPr>
        <w:keepNext/>
        <w:adjustRightInd w:val="0"/>
        <w:snapToGrid w:val="0"/>
        <w:spacing w:line="276" w:lineRule="auto"/>
        <w:jc w:val="left"/>
        <w:rPr>
          <w:sz w:val="20"/>
          <w:szCs w:val="20"/>
        </w:rPr>
      </w:pPr>
    </w:p>
    <w:p w14:paraId="7F1A7D03" w14:textId="77777777" w:rsidR="009E3CA2" w:rsidRDefault="009E3CA2" w:rsidP="005279D2">
      <w:pPr>
        <w:adjustRightInd w:val="0"/>
        <w:snapToGrid w:val="0"/>
        <w:spacing w:line="276" w:lineRule="auto"/>
        <w:jc w:val="left"/>
        <w:rPr>
          <w:sz w:val="20"/>
          <w:szCs w:val="20"/>
        </w:rPr>
      </w:pPr>
      <w:r w:rsidRPr="00AB1385">
        <w:rPr>
          <w:sz w:val="20"/>
          <w:szCs w:val="20"/>
        </w:rPr>
        <w:t>In light of a</w:t>
      </w:r>
      <w:r>
        <w:rPr>
          <w:sz w:val="20"/>
          <w:szCs w:val="20"/>
        </w:rPr>
        <w:t>n</w:t>
      </w:r>
      <w:r w:rsidRPr="00AB1385">
        <w:rPr>
          <w:sz w:val="20"/>
          <w:szCs w:val="20"/>
        </w:rPr>
        <w:t xml:space="preserve"> </w:t>
      </w:r>
      <w:r>
        <w:rPr>
          <w:sz w:val="20"/>
          <w:szCs w:val="20"/>
        </w:rPr>
        <w:t>increasing trend in</w:t>
      </w:r>
      <w:r w:rsidRPr="00AB1385">
        <w:rPr>
          <w:sz w:val="20"/>
          <w:szCs w:val="20"/>
        </w:rPr>
        <w:t xml:space="preserve"> court decisions in favour of the taxpayer, the </w:t>
      </w:r>
      <w:r w:rsidR="005279D2">
        <w:rPr>
          <w:sz w:val="20"/>
          <w:szCs w:val="20"/>
        </w:rPr>
        <w:t xml:space="preserve">Federal </w:t>
      </w:r>
      <w:r w:rsidRPr="00AB1385">
        <w:rPr>
          <w:sz w:val="20"/>
          <w:szCs w:val="20"/>
        </w:rPr>
        <w:t>Government became concerned that the ‘tax benefit’ test was too easily undermined by an alternative postulate that without the tax benefit the scheme would no</w:t>
      </w:r>
      <w:r w:rsidR="002D1F6F">
        <w:rPr>
          <w:sz w:val="20"/>
          <w:szCs w:val="20"/>
        </w:rPr>
        <w:t>t have been implemented at all (</w:t>
      </w:r>
      <w:r w:rsidRPr="00AB1385">
        <w:rPr>
          <w:sz w:val="20"/>
          <w:szCs w:val="20"/>
        </w:rPr>
        <w:t>i.e. the “do nothing” argument</w:t>
      </w:r>
      <w:r w:rsidR="002D1F6F">
        <w:rPr>
          <w:sz w:val="20"/>
          <w:szCs w:val="20"/>
        </w:rPr>
        <w:t>)</w:t>
      </w:r>
      <w:r w:rsidRPr="00AB1385">
        <w:rPr>
          <w:sz w:val="20"/>
          <w:szCs w:val="20"/>
        </w:rPr>
        <w:t xml:space="preserve">.  As a consequence, revised legislative provisions were introduced to remedy the perceived shortcomings of the law. </w:t>
      </w:r>
    </w:p>
    <w:p w14:paraId="363ADCAB" w14:textId="77777777" w:rsidR="009E3CA2" w:rsidRDefault="009E3CA2" w:rsidP="005279D2">
      <w:pPr>
        <w:adjustRightInd w:val="0"/>
        <w:snapToGrid w:val="0"/>
        <w:spacing w:line="276" w:lineRule="auto"/>
        <w:jc w:val="left"/>
        <w:rPr>
          <w:sz w:val="20"/>
          <w:szCs w:val="20"/>
        </w:rPr>
      </w:pPr>
    </w:p>
    <w:p w14:paraId="0B305A46" w14:textId="62287156" w:rsidR="00BA7E0D" w:rsidRPr="00AA5A50" w:rsidRDefault="00722F73" w:rsidP="005279D2">
      <w:pPr>
        <w:pStyle w:val="ListParagraph"/>
        <w:numPr>
          <w:ilvl w:val="0"/>
          <w:numId w:val="6"/>
        </w:numPr>
        <w:adjustRightInd w:val="0"/>
        <w:snapToGrid w:val="0"/>
        <w:spacing w:line="276" w:lineRule="auto"/>
        <w:contextualSpacing w:val="0"/>
        <w:jc w:val="left"/>
        <w:rPr>
          <w:sz w:val="20"/>
          <w:szCs w:val="20"/>
        </w:rPr>
      </w:pPr>
      <w:r w:rsidRPr="00AA5A50">
        <w:rPr>
          <w:sz w:val="20"/>
          <w:szCs w:val="20"/>
        </w:rPr>
        <w:t xml:space="preserve">Schemes entered into </w:t>
      </w:r>
      <w:r w:rsidR="00153F6F">
        <w:rPr>
          <w:sz w:val="20"/>
          <w:szCs w:val="20"/>
        </w:rPr>
        <w:t xml:space="preserve">on or </w:t>
      </w:r>
      <w:r w:rsidRPr="00AA5A50">
        <w:rPr>
          <w:sz w:val="20"/>
          <w:szCs w:val="20"/>
        </w:rPr>
        <w:t>after 16 November 2012</w:t>
      </w:r>
    </w:p>
    <w:p w14:paraId="5903F436" w14:textId="77777777" w:rsidR="009E3CA2" w:rsidRDefault="009E3CA2" w:rsidP="005279D2">
      <w:pPr>
        <w:adjustRightInd w:val="0"/>
        <w:snapToGrid w:val="0"/>
        <w:spacing w:line="276" w:lineRule="auto"/>
        <w:jc w:val="left"/>
        <w:rPr>
          <w:sz w:val="20"/>
          <w:szCs w:val="20"/>
        </w:rPr>
      </w:pPr>
    </w:p>
    <w:p w14:paraId="07BCB215" w14:textId="6F6CC62A" w:rsidR="009E3CA2" w:rsidRPr="00AB1385" w:rsidRDefault="009E3CA2" w:rsidP="005279D2">
      <w:pPr>
        <w:keepNext/>
        <w:adjustRightInd w:val="0"/>
        <w:snapToGrid w:val="0"/>
        <w:spacing w:line="276" w:lineRule="auto"/>
        <w:jc w:val="left"/>
        <w:rPr>
          <w:sz w:val="20"/>
          <w:szCs w:val="20"/>
        </w:rPr>
      </w:pPr>
      <w:r w:rsidRPr="00AB1385">
        <w:rPr>
          <w:sz w:val="20"/>
          <w:szCs w:val="20"/>
        </w:rPr>
        <w:t>The legislative amendments remodel</w:t>
      </w:r>
      <w:r w:rsidR="0066366A">
        <w:rPr>
          <w:sz w:val="20"/>
          <w:szCs w:val="20"/>
        </w:rPr>
        <w:t>led</w:t>
      </w:r>
      <w:r w:rsidRPr="00AB1385">
        <w:rPr>
          <w:sz w:val="20"/>
          <w:szCs w:val="20"/>
        </w:rPr>
        <w:t xml:space="preserve"> the working of Part IVA and</w:t>
      </w:r>
      <w:r w:rsidR="005C1C39">
        <w:rPr>
          <w:sz w:val="20"/>
          <w:szCs w:val="20"/>
        </w:rPr>
        <w:t>,</w:t>
      </w:r>
      <w:r w:rsidRPr="00AB1385">
        <w:rPr>
          <w:sz w:val="20"/>
          <w:szCs w:val="20"/>
        </w:rPr>
        <w:t xml:space="preserve"> amongst other things, codif</w:t>
      </w:r>
      <w:r w:rsidR="006471B6">
        <w:rPr>
          <w:sz w:val="20"/>
          <w:szCs w:val="20"/>
        </w:rPr>
        <w:t>ied</w:t>
      </w:r>
      <w:r w:rsidRPr="00AB1385">
        <w:rPr>
          <w:sz w:val="20"/>
          <w:szCs w:val="20"/>
        </w:rPr>
        <w:t xml:space="preserve"> </w:t>
      </w:r>
      <w:r w:rsidR="006A17F8">
        <w:rPr>
          <w:sz w:val="20"/>
          <w:szCs w:val="20"/>
        </w:rPr>
        <w:t xml:space="preserve">the </w:t>
      </w:r>
      <w:r w:rsidRPr="00AB1385">
        <w:rPr>
          <w:sz w:val="20"/>
          <w:szCs w:val="20"/>
        </w:rPr>
        <w:t xml:space="preserve">alternative postulate used to determine if there is a tax benefit in connection with </w:t>
      </w:r>
      <w:r w:rsidR="005C1C39">
        <w:rPr>
          <w:sz w:val="20"/>
          <w:szCs w:val="20"/>
        </w:rPr>
        <w:t xml:space="preserve">the </w:t>
      </w:r>
      <w:r w:rsidRPr="00AB1385">
        <w:rPr>
          <w:sz w:val="20"/>
          <w:szCs w:val="20"/>
        </w:rPr>
        <w:t>scheme under two limbs</w:t>
      </w:r>
      <w:r w:rsidR="002D1F6F">
        <w:rPr>
          <w:sz w:val="20"/>
          <w:szCs w:val="20"/>
        </w:rPr>
        <w:t xml:space="preserve"> set out under section 177CB</w:t>
      </w:r>
      <w:r w:rsidR="004F10CE">
        <w:rPr>
          <w:sz w:val="20"/>
          <w:szCs w:val="20"/>
        </w:rPr>
        <w:t xml:space="preserve"> of the </w:t>
      </w:r>
      <w:r w:rsidR="004F10CE">
        <w:rPr>
          <w:i/>
          <w:sz w:val="20"/>
          <w:szCs w:val="20"/>
        </w:rPr>
        <w:t>ITAA 1936</w:t>
      </w:r>
      <w:r w:rsidR="002D1F6F">
        <w:rPr>
          <w:sz w:val="20"/>
          <w:szCs w:val="20"/>
        </w:rPr>
        <w:t xml:space="preserve">. </w:t>
      </w:r>
      <w:r w:rsidRPr="00AB1385">
        <w:rPr>
          <w:sz w:val="20"/>
          <w:szCs w:val="20"/>
        </w:rPr>
        <w:t>Satisfaction of either limb (together with the other requirements of Part IVA</w:t>
      </w:r>
      <w:r w:rsidR="004F10CE">
        <w:rPr>
          <w:sz w:val="20"/>
          <w:szCs w:val="20"/>
        </w:rPr>
        <w:t xml:space="preserve"> of the </w:t>
      </w:r>
      <w:r w:rsidR="004F10CE">
        <w:rPr>
          <w:i/>
          <w:sz w:val="20"/>
          <w:szCs w:val="20"/>
        </w:rPr>
        <w:t>ITAA 1936</w:t>
      </w:r>
      <w:r w:rsidRPr="00AB1385">
        <w:rPr>
          <w:sz w:val="20"/>
          <w:szCs w:val="20"/>
        </w:rPr>
        <w:t>) can trigger the application of Part IVA to deny a tax benefit obtained by a taxpayer.</w:t>
      </w:r>
      <w:r>
        <w:rPr>
          <w:sz w:val="20"/>
          <w:szCs w:val="20"/>
        </w:rPr>
        <w:t xml:space="preserve">  Furthermore, these changes effectively eliminate the ability of a taxpayer to mount a successful Part IVA defence that relies on an argument which is a “do nothing” alternative postulate.</w:t>
      </w:r>
    </w:p>
    <w:p w14:paraId="6D0889C5" w14:textId="77777777" w:rsidR="009E3CA2" w:rsidRPr="00AB1385" w:rsidRDefault="009E3CA2" w:rsidP="005279D2">
      <w:pPr>
        <w:adjustRightInd w:val="0"/>
        <w:snapToGrid w:val="0"/>
        <w:spacing w:line="276" w:lineRule="auto"/>
        <w:jc w:val="left"/>
        <w:rPr>
          <w:sz w:val="20"/>
          <w:szCs w:val="20"/>
        </w:rPr>
      </w:pPr>
    </w:p>
    <w:p w14:paraId="7B9A48F8" w14:textId="327B9E77" w:rsidR="00BA7E0D" w:rsidRPr="00914850" w:rsidRDefault="00722F73" w:rsidP="005279D2">
      <w:pPr>
        <w:pStyle w:val="ListParagraph"/>
        <w:numPr>
          <w:ilvl w:val="0"/>
          <w:numId w:val="5"/>
        </w:numPr>
        <w:adjustRightInd w:val="0"/>
        <w:snapToGrid w:val="0"/>
        <w:spacing w:line="276" w:lineRule="auto"/>
        <w:contextualSpacing w:val="0"/>
        <w:jc w:val="left"/>
        <w:rPr>
          <w:sz w:val="20"/>
          <w:szCs w:val="20"/>
        </w:rPr>
      </w:pPr>
      <w:r w:rsidRPr="00914850">
        <w:rPr>
          <w:sz w:val="20"/>
          <w:szCs w:val="20"/>
        </w:rPr>
        <w:t xml:space="preserve">The </w:t>
      </w:r>
      <w:r w:rsidRPr="002D1F6F">
        <w:rPr>
          <w:sz w:val="20"/>
          <w:szCs w:val="20"/>
        </w:rPr>
        <w:t>first limb</w:t>
      </w:r>
      <w:r w:rsidRPr="00914850">
        <w:rPr>
          <w:sz w:val="20"/>
          <w:szCs w:val="20"/>
        </w:rPr>
        <w:t xml:space="preserve"> is satisfied if the tax effect (e.g. a </w:t>
      </w:r>
      <w:r w:rsidR="005279D2">
        <w:rPr>
          <w:sz w:val="20"/>
          <w:szCs w:val="20"/>
        </w:rPr>
        <w:t xml:space="preserve">denial of a </w:t>
      </w:r>
      <w:r w:rsidRPr="00914850">
        <w:rPr>
          <w:sz w:val="20"/>
          <w:szCs w:val="20"/>
        </w:rPr>
        <w:t xml:space="preserve">deduction or </w:t>
      </w:r>
      <w:r w:rsidR="005279D2">
        <w:rPr>
          <w:sz w:val="20"/>
          <w:szCs w:val="20"/>
        </w:rPr>
        <w:t xml:space="preserve">the </w:t>
      </w:r>
      <w:r w:rsidRPr="00914850">
        <w:rPr>
          <w:sz w:val="20"/>
          <w:szCs w:val="20"/>
        </w:rPr>
        <w:t xml:space="preserve">inclusion of income) </w:t>
      </w:r>
      <w:r w:rsidRPr="00914850">
        <w:rPr>
          <w:i/>
          <w:sz w:val="20"/>
          <w:szCs w:val="20"/>
        </w:rPr>
        <w:t>would not have occurred</w:t>
      </w:r>
      <w:r w:rsidRPr="00914850">
        <w:rPr>
          <w:sz w:val="20"/>
          <w:szCs w:val="20"/>
        </w:rPr>
        <w:t xml:space="preserve"> </w:t>
      </w:r>
      <w:r w:rsidR="002D1F6F">
        <w:rPr>
          <w:sz w:val="20"/>
          <w:szCs w:val="20"/>
        </w:rPr>
        <w:t>but for</w:t>
      </w:r>
      <w:r w:rsidRPr="00914850">
        <w:rPr>
          <w:sz w:val="20"/>
          <w:szCs w:val="20"/>
        </w:rPr>
        <w:t xml:space="preserve"> the scheme. This is determined based on a postulate that comprises only the events and/or circumstances that actually happened or </w:t>
      </w:r>
      <w:r w:rsidRPr="00914850">
        <w:rPr>
          <w:sz w:val="20"/>
          <w:szCs w:val="20"/>
        </w:rPr>
        <w:lastRenderedPageBreak/>
        <w:t xml:space="preserve">existed (excluding those that form part of the scheme). The first limb is described as the </w:t>
      </w:r>
      <w:r w:rsidR="00212A21">
        <w:rPr>
          <w:sz w:val="20"/>
          <w:szCs w:val="20"/>
        </w:rPr>
        <w:t>‘</w:t>
      </w:r>
      <w:r w:rsidRPr="00914850">
        <w:rPr>
          <w:sz w:val="20"/>
          <w:szCs w:val="20"/>
        </w:rPr>
        <w:t>annihilation approach</w:t>
      </w:r>
      <w:r w:rsidR="00212A21">
        <w:rPr>
          <w:sz w:val="20"/>
          <w:szCs w:val="20"/>
        </w:rPr>
        <w:t>’</w:t>
      </w:r>
      <w:r w:rsidRPr="00914850">
        <w:rPr>
          <w:sz w:val="20"/>
          <w:szCs w:val="20"/>
        </w:rPr>
        <w:t xml:space="preserve"> as it requires a postulate that considers what would have occurred in the absence o</w:t>
      </w:r>
      <w:r w:rsidR="005C1C39">
        <w:rPr>
          <w:sz w:val="20"/>
          <w:szCs w:val="20"/>
        </w:rPr>
        <w:t>f the scheme</w:t>
      </w:r>
      <w:r w:rsidRPr="00914850">
        <w:rPr>
          <w:sz w:val="20"/>
          <w:szCs w:val="20"/>
        </w:rPr>
        <w:t xml:space="preserve"> i.e. the scheme must be assumed not to have happened and is annihilated.  </w:t>
      </w:r>
    </w:p>
    <w:p w14:paraId="461B5E58" w14:textId="77777777" w:rsidR="005279D2" w:rsidRDefault="005279D2" w:rsidP="005279D2">
      <w:pPr>
        <w:adjustRightInd w:val="0"/>
        <w:snapToGrid w:val="0"/>
        <w:spacing w:line="276" w:lineRule="auto"/>
        <w:ind w:firstLine="720"/>
        <w:jc w:val="left"/>
        <w:rPr>
          <w:i/>
          <w:sz w:val="20"/>
          <w:szCs w:val="20"/>
        </w:rPr>
      </w:pPr>
    </w:p>
    <w:p w14:paraId="22FF25C5" w14:textId="77777777" w:rsidR="00BA7E0D" w:rsidRDefault="009E3CA2" w:rsidP="005279D2">
      <w:pPr>
        <w:adjustRightInd w:val="0"/>
        <w:snapToGrid w:val="0"/>
        <w:spacing w:line="276" w:lineRule="auto"/>
        <w:ind w:firstLine="720"/>
        <w:jc w:val="left"/>
        <w:rPr>
          <w:sz w:val="20"/>
          <w:szCs w:val="20"/>
        </w:rPr>
      </w:pPr>
      <w:r>
        <w:rPr>
          <w:i/>
          <w:sz w:val="20"/>
          <w:szCs w:val="20"/>
        </w:rPr>
        <w:t>Example</w:t>
      </w:r>
      <w:r>
        <w:rPr>
          <w:rStyle w:val="FootnoteReference"/>
          <w:i/>
          <w:sz w:val="20"/>
          <w:szCs w:val="20"/>
        </w:rPr>
        <w:footnoteReference w:id="6"/>
      </w:r>
      <w:r>
        <w:rPr>
          <w:i/>
          <w:sz w:val="20"/>
          <w:szCs w:val="20"/>
        </w:rPr>
        <w:t xml:space="preserve"> – ‘annihilation approach’</w:t>
      </w:r>
    </w:p>
    <w:p w14:paraId="3158BB34" w14:textId="77777777" w:rsidR="009E3CA2" w:rsidRDefault="009E3CA2" w:rsidP="005279D2">
      <w:pPr>
        <w:adjustRightInd w:val="0"/>
        <w:snapToGrid w:val="0"/>
        <w:spacing w:line="276" w:lineRule="auto"/>
        <w:jc w:val="left"/>
        <w:rPr>
          <w:sz w:val="20"/>
          <w:szCs w:val="20"/>
        </w:rPr>
      </w:pPr>
    </w:p>
    <w:p w14:paraId="34127C0E" w14:textId="77777777" w:rsidR="00BA7E0D" w:rsidRDefault="009E3CA2" w:rsidP="005279D2">
      <w:pPr>
        <w:adjustRightInd w:val="0"/>
        <w:snapToGrid w:val="0"/>
        <w:spacing w:line="276" w:lineRule="auto"/>
        <w:ind w:left="720"/>
        <w:jc w:val="left"/>
        <w:rPr>
          <w:sz w:val="20"/>
          <w:szCs w:val="20"/>
        </w:rPr>
      </w:pPr>
      <w:r>
        <w:rPr>
          <w:sz w:val="20"/>
          <w:szCs w:val="20"/>
        </w:rPr>
        <w:t xml:space="preserve">Junie, a foreign resident, enters into an arrangement under which her assessable </w:t>
      </w:r>
      <w:r w:rsidR="00AA5A50">
        <w:rPr>
          <w:sz w:val="20"/>
          <w:szCs w:val="20"/>
        </w:rPr>
        <w:t>income, which she would otherwise derive from Australian sources,</w:t>
      </w:r>
      <w:r>
        <w:rPr>
          <w:sz w:val="20"/>
          <w:szCs w:val="20"/>
        </w:rPr>
        <w:t xml:space="preserve"> is instead derived from foreign sources. The result of the arrangement is that the income is not assessable to her in Australia. In this regard, the tax benefit is the reduction in Junie’s assessable income. If the arrangement had not been entered into, the income ‘would have’ been included in Junie’s assessable income because the only operation of the scheme was to change the source of income for taxation purposes.  </w:t>
      </w:r>
    </w:p>
    <w:p w14:paraId="442DE779" w14:textId="77777777" w:rsidR="009E3CA2" w:rsidRPr="00AB1385" w:rsidRDefault="009E3CA2" w:rsidP="005279D2">
      <w:pPr>
        <w:adjustRightInd w:val="0"/>
        <w:snapToGrid w:val="0"/>
        <w:spacing w:line="276" w:lineRule="auto"/>
        <w:jc w:val="left"/>
        <w:rPr>
          <w:sz w:val="20"/>
          <w:szCs w:val="20"/>
        </w:rPr>
      </w:pPr>
    </w:p>
    <w:p w14:paraId="4B454EC3" w14:textId="01B667E5" w:rsidR="00BA7E0D" w:rsidRPr="00914850" w:rsidRDefault="00722F73" w:rsidP="005279D2">
      <w:pPr>
        <w:pStyle w:val="ListParagraph"/>
        <w:numPr>
          <w:ilvl w:val="0"/>
          <w:numId w:val="5"/>
        </w:numPr>
        <w:adjustRightInd w:val="0"/>
        <w:snapToGrid w:val="0"/>
        <w:spacing w:line="276" w:lineRule="auto"/>
        <w:contextualSpacing w:val="0"/>
        <w:jc w:val="left"/>
        <w:rPr>
          <w:sz w:val="20"/>
          <w:szCs w:val="20"/>
        </w:rPr>
      </w:pPr>
      <w:r w:rsidRPr="00914850">
        <w:rPr>
          <w:sz w:val="20"/>
          <w:szCs w:val="20"/>
        </w:rPr>
        <w:t xml:space="preserve">The </w:t>
      </w:r>
      <w:r w:rsidRPr="005C1C39">
        <w:rPr>
          <w:sz w:val="20"/>
          <w:szCs w:val="20"/>
        </w:rPr>
        <w:t>second limb</w:t>
      </w:r>
      <w:r w:rsidRPr="00914850">
        <w:rPr>
          <w:sz w:val="20"/>
          <w:szCs w:val="20"/>
        </w:rPr>
        <w:t xml:space="preserve"> is satisfied if the tax effect </w:t>
      </w:r>
      <w:r w:rsidRPr="00914850">
        <w:rPr>
          <w:i/>
          <w:sz w:val="20"/>
          <w:szCs w:val="20"/>
        </w:rPr>
        <w:t>might reasonably be expected to have occurred</w:t>
      </w:r>
      <w:r w:rsidRPr="00914850">
        <w:rPr>
          <w:sz w:val="20"/>
          <w:szCs w:val="20"/>
        </w:rPr>
        <w:t xml:space="preserve"> if the scheme had not been carried out. This is determined based on a postulate th</w:t>
      </w:r>
      <w:r w:rsidR="006A17F8">
        <w:rPr>
          <w:sz w:val="20"/>
          <w:szCs w:val="20"/>
        </w:rPr>
        <w:t>at is a reasonable alternative to</w:t>
      </w:r>
      <w:r w:rsidRPr="00914850">
        <w:rPr>
          <w:sz w:val="20"/>
          <w:szCs w:val="20"/>
        </w:rPr>
        <w:t xml:space="preserve"> carrying out the scheme. The second limb is described as a </w:t>
      </w:r>
      <w:r w:rsidR="00726F11">
        <w:rPr>
          <w:sz w:val="20"/>
          <w:szCs w:val="20"/>
        </w:rPr>
        <w:t>‘</w:t>
      </w:r>
      <w:r w:rsidRPr="00914850">
        <w:rPr>
          <w:sz w:val="20"/>
          <w:szCs w:val="20"/>
        </w:rPr>
        <w:t>reconstructi</w:t>
      </w:r>
      <w:r w:rsidR="002D1F6F">
        <w:rPr>
          <w:sz w:val="20"/>
          <w:szCs w:val="20"/>
        </w:rPr>
        <w:t>on</w:t>
      </w:r>
      <w:r w:rsidRPr="00914850">
        <w:rPr>
          <w:sz w:val="20"/>
          <w:szCs w:val="20"/>
        </w:rPr>
        <w:t xml:space="preserve"> approach</w:t>
      </w:r>
      <w:r w:rsidR="00726F11">
        <w:rPr>
          <w:sz w:val="20"/>
          <w:szCs w:val="20"/>
        </w:rPr>
        <w:t>’</w:t>
      </w:r>
      <w:r w:rsidRPr="00914850">
        <w:rPr>
          <w:sz w:val="20"/>
          <w:szCs w:val="20"/>
        </w:rPr>
        <w:t xml:space="preserve"> as it requires a postulate that could reasonably take the place of the scheme (i.e. this will involve a reconstruction </w:t>
      </w:r>
      <w:r w:rsidR="006A17F8">
        <w:rPr>
          <w:sz w:val="20"/>
          <w:szCs w:val="20"/>
        </w:rPr>
        <w:t xml:space="preserve">of </w:t>
      </w:r>
      <w:r w:rsidRPr="00914850">
        <w:rPr>
          <w:sz w:val="20"/>
          <w:szCs w:val="20"/>
        </w:rPr>
        <w:t xml:space="preserve">the state of affairs that would have existed if the scheme had not been entered into or carried out, such as theoretical modifications of a transaction). Of particular relevance is the requirement that the reasonable alternative must disregard any </w:t>
      </w:r>
      <w:r w:rsidR="006A17F8">
        <w:rPr>
          <w:sz w:val="20"/>
          <w:szCs w:val="20"/>
        </w:rPr>
        <w:t xml:space="preserve">potential </w:t>
      </w:r>
      <w:r w:rsidRPr="00914850">
        <w:rPr>
          <w:sz w:val="20"/>
          <w:szCs w:val="20"/>
        </w:rPr>
        <w:t xml:space="preserve">tax </w:t>
      </w:r>
      <w:r w:rsidR="006A17F8">
        <w:rPr>
          <w:sz w:val="20"/>
          <w:szCs w:val="20"/>
        </w:rPr>
        <w:t xml:space="preserve">results and consequences. As a corollary, </w:t>
      </w:r>
      <w:r w:rsidRPr="00914850">
        <w:rPr>
          <w:sz w:val="20"/>
          <w:szCs w:val="20"/>
        </w:rPr>
        <w:t>it</w:t>
      </w:r>
      <w:r w:rsidR="006A17F8">
        <w:rPr>
          <w:sz w:val="20"/>
          <w:szCs w:val="20"/>
        </w:rPr>
        <w:t xml:space="preserve"> is</w:t>
      </w:r>
      <w:r w:rsidRPr="00914850">
        <w:rPr>
          <w:sz w:val="20"/>
          <w:szCs w:val="20"/>
        </w:rPr>
        <w:t xml:space="preserve"> no</w:t>
      </w:r>
      <w:r w:rsidR="006A17F8">
        <w:rPr>
          <w:sz w:val="20"/>
          <w:szCs w:val="20"/>
        </w:rPr>
        <w:t>t</w:t>
      </w:r>
      <w:r w:rsidRPr="00914850">
        <w:rPr>
          <w:sz w:val="20"/>
          <w:szCs w:val="20"/>
        </w:rPr>
        <w:t xml:space="preserve"> possible for a taxpayer to put forward a “do nothing” postulate to avoid the application of Part IVA</w:t>
      </w:r>
      <w:r w:rsidR="006A17F8">
        <w:rPr>
          <w:sz w:val="20"/>
          <w:szCs w:val="20"/>
        </w:rPr>
        <w:t xml:space="preserve"> where th</w:t>
      </w:r>
      <w:r w:rsidR="002D1F6F">
        <w:rPr>
          <w:sz w:val="20"/>
          <w:szCs w:val="20"/>
        </w:rPr>
        <w:t>e</w:t>
      </w:r>
      <w:r w:rsidR="006A17F8">
        <w:rPr>
          <w:sz w:val="20"/>
          <w:szCs w:val="20"/>
        </w:rPr>
        <w:t xml:space="preserve"> reconstruction approach is applied</w:t>
      </w:r>
      <w:r w:rsidRPr="00914850">
        <w:rPr>
          <w:sz w:val="20"/>
          <w:szCs w:val="20"/>
        </w:rPr>
        <w:t>.</w:t>
      </w:r>
    </w:p>
    <w:p w14:paraId="3CEB76B1" w14:textId="77777777" w:rsidR="009E3CA2" w:rsidRDefault="009E3CA2" w:rsidP="005279D2">
      <w:pPr>
        <w:adjustRightInd w:val="0"/>
        <w:snapToGrid w:val="0"/>
        <w:spacing w:line="276" w:lineRule="auto"/>
        <w:jc w:val="left"/>
        <w:rPr>
          <w:sz w:val="20"/>
          <w:szCs w:val="20"/>
        </w:rPr>
      </w:pPr>
    </w:p>
    <w:p w14:paraId="303534B3" w14:textId="77777777" w:rsidR="00BA7E0D" w:rsidRDefault="009E3CA2" w:rsidP="005279D2">
      <w:pPr>
        <w:keepNext/>
        <w:adjustRightInd w:val="0"/>
        <w:snapToGrid w:val="0"/>
        <w:spacing w:line="276" w:lineRule="auto"/>
        <w:ind w:firstLine="720"/>
        <w:jc w:val="left"/>
        <w:rPr>
          <w:sz w:val="20"/>
          <w:szCs w:val="20"/>
        </w:rPr>
      </w:pPr>
      <w:r>
        <w:rPr>
          <w:i/>
          <w:sz w:val="20"/>
          <w:szCs w:val="20"/>
        </w:rPr>
        <w:t>Example</w:t>
      </w:r>
      <w:r>
        <w:rPr>
          <w:rStyle w:val="FootnoteReference"/>
          <w:i/>
          <w:sz w:val="20"/>
          <w:szCs w:val="20"/>
        </w:rPr>
        <w:footnoteReference w:id="7"/>
      </w:r>
      <w:r>
        <w:rPr>
          <w:i/>
          <w:sz w:val="20"/>
          <w:szCs w:val="20"/>
        </w:rPr>
        <w:t xml:space="preserve"> – ‘reconstruction approach’</w:t>
      </w:r>
    </w:p>
    <w:p w14:paraId="04338D0D" w14:textId="77777777" w:rsidR="009E3CA2" w:rsidRDefault="009E3CA2" w:rsidP="005279D2">
      <w:pPr>
        <w:keepNext/>
        <w:adjustRightInd w:val="0"/>
        <w:snapToGrid w:val="0"/>
        <w:spacing w:line="276" w:lineRule="auto"/>
        <w:jc w:val="left"/>
        <w:rPr>
          <w:sz w:val="20"/>
          <w:szCs w:val="20"/>
        </w:rPr>
      </w:pPr>
    </w:p>
    <w:p w14:paraId="48B6CCEA" w14:textId="5B0417E9" w:rsidR="00BA7E0D" w:rsidRDefault="009E3CA2" w:rsidP="005279D2">
      <w:pPr>
        <w:keepNext/>
        <w:adjustRightInd w:val="0"/>
        <w:snapToGrid w:val="0"/>
        <w:spacing w:line="276" w:lineRule="auto"/>
        <w:ind w:left="720"/>
        <w:jc w:val="left"/>
        <w:rPr>
          <w:sz w:val="20"/>
          <w:szCs w:val="20"/>
        </w:rPr>
      </w:pPr>
      <w:r>
        <w:rPr>
          <w:sz w:val="20"/>
          <w:szCs w:val="20"/>
        </w:rPr>
        <w:t xml:space="preserve">Chloe borrows money to acquire a family home and a property </w:t>
      </w:r>
      <w:r w:rsidR="005279D2">
        <w:rPr>
          <w:sz w:val="20"/>
          <w:szCs w:val="20"/>
        </w:rPr>
        <w:t xml:space="preserve">for use </w:t>
      </w:r>
      <w:r>
        <w:rPr>
          <w:sz w:val="20"/>
          <w:szCs w:val="20"/>
        </w:rPr>
        <w:t xml:space="preserve">in her business. Chloe enters into a borrowing arrangement whereby the repayments are applied exclusively to the borrowings in relation to the family home, so that the deductible interest payments are increased for the business property borrowing and the non-deductible interest payments for the family home borrowing are minimised. If the </w:t>
      </w:r>
      <w:r w:rsidR="00726F11">
        <w:rPr>
          <w:sz w:val="20"/>
          <w:szCs w:val="20"/>
        </w:rPr>
        <w:t>‘</w:t>
      </w:r>
      <w:r>
        <w:rPr>
          <w:sz w:val="20"/>
          <w:szCs w:val="20"/>
        </w:rPr>
        <w:t>annihilation approach</w:t>
      </w:r>
      <w:r w:rsidR="00726F11">
        <w:rPr>
          <w:sz w:val="20"/>
          <w:szCs w:val="20"/>
        </w:rPr>
        <w:t>’</w:t>
      </w:r>
      <w:r>
        <w:rPr>
          <w:sz w:val="20"/>
          <w:szCs w:val="20"/>
        </w:rPr>
        <w:t xml:space="preserve"> is applied, this would not leave a sensible result as there would be no borrowing at all. Therefore, it is necessary to apply the </w:t>
      </w:r>
      <w:r w:rsidR="00726F11">
        <w:rPr>
          <w:sz w:val="20"/>
          <w:szCs w:val="20"/>
        </w:rPr>
        <w:t>‘</w:t>
      </w:r>
      <w:r>
        <w:rPr>
          <w:sz w:val="20"/>
          <w:szCs w:val="20"/>
        </w:rPr>
        <w:t>reconstruction approach</w:t>
      </w:r>
      <w:r w:rsidR="00B75CA3">
        <w:rPr>
          <w:sz w:val="20"/>
          <w:szCs w:val="20"/>
        </w:rPr>
        <w:t>’</w:t>
      </w:r>
      <w:r>
        <w:rPr>
          <w:sz w:val="20"/>
          <w:szCs w:val="20"/>
        </w:rPr>
        <w:t xml:space="preserve"> to consider what might reasonably be expected to have happened if the scheme had not been entered into. In this regard</w:t>
      </w:r>
      <w:r w:rsidR="005279D2">
        <w:rPr>
          <w:sz w:val="20"/>
          <w:szCs w:val="20"/>
        </w:rPr>
        <w:t>,</w:t>
      </w:r>
      <w:r>
        <w:rPr>
          <w:sz w:val="20"/>
          <w:szCs w:val="20"/>
        </w:rPr>
        <w:t xml:space="preserve"> a reasonable alternative for Chloe is that she could have taken out a separate loan for each property under normal commercial terms.</w:t>
      </w:r>
    </w:p>
    <w:p w14:paraId="27E018C2" w14:textId="77777777" w:rsidR="006A17F8" w:rsidRDefault="006A17F8" w:rsidP="005279D2">
      <w:pPr>
        <w:keepNext/>
        <w:adjustRightInd w:val="0"/>
        <w:snapToGrid w:val="0"/>
        <w:spacing w:line="276" w:lineRule="auto"/>
        <w:jc w:val="left"/>
        <w:rPr>
          <w:sz w:val="20"/>
          <w:szCs w:val="20"/>
        </w:rPr>
      </w:pPr>
    </w:p>
    <w:p w14:paraId="566BFE1F" w14:textId="4607CA25" w:rsidR="005279D2" w:rsidRDefault="006A17F8" w:rsidP="005279D2">
      <w:pPr>
        <w:adjustRightInd w:val="0"/>
        <w:snapToGrid w:val="0"/>
        <w:spacing w:line="276" w:lineRule="auto"/>
        <w:jc w:val="left"/>
        <w:rPr>
          <w:sz w:val="20"/>
          <w:szCs w:val="20"/>
        </w:rPr>
      </w:pPr>
      <w:r w:rsidRPr="000138BA">
        <w:rPr>
          <w:rFonts w:eastAsia="Times New Roman" w:cstheme="minorHAnsi"/>
          <w:sz w:val="20"/>
          <w:szCs w:val="20"/>
          <w:lang w:eastAsia="en-AU"/>
        </w:rPr>
        <w:t xml:space="preserve">However, it is important to note that a tax benefit does not arise in connection with a scheme under section 177C(2) </w:t>
      </w:r>
      <w:r w:rsidR="004F10CE">
        <w:rPr>
          <w:rFonts w:eastAsia="Times New Roman" w:cstheme="minorHAnsi"/>
          <w:sz w:val="20"/>
          <w:szCs w:val="20"/>
          <w:lang w:eastAsia="en-AU"/>
        </w:rPr>
        <w:t xml:space="preserve">of the </w:t>
      </w:r>
      <w:r w:rsidR="004F10CE">
        <w:rPr>
          <w:rFonts w:eastAsia="Times New Roman" w:cstheme="minorHAnsi"/>
          <w:i/>
          <w:sz w:val="20"/>
          <w:szCs w:val="20"/>
          <w:lang w:eastAsia="en-AU"/>
        </w:rPr>
        <w:t xml:space="preserve">ITAA 1936 </w:t>
      </w:r>
      <w:r w:rsidRPr="000138BA">
        <w:rPr>
          <w:rFonts w:eastAsia="Times New Roman" w:cstheme="minorHAnsi"/>
          <w:sz w:val="20"/>
          <w:szCs w:val="20"/>
          <w:lang w:eastAsia="en-AU"/>
        </w:rPr>
        <w:t xml:space="preserve">if the tax benefit is attributable to the making of an agreement, choice, declaration, election or selection which is expressly provided for in the income tax legislation unless a scheme was entered into to create the circumstances where the taxpayer was able to make such an agreement, choice, declaration, election or selection. </w:t>
      </w:r>
      <w:r>
        <w:rPr>
          <w:rFonts w:eastAsia="Times New Roman" w:cstheme="minorHAnsi"/>
          <w:sz w:val="20"/>
          <w:szCs w:val="20"/>
          <w:lang w:eastAsia="en-AU"/>
        </w:rPr>
        <w:t>Accordingly, a taxpayer obtaining a deferral of a net capital gain by electing to apply capital gains tax rollover relief will not have received a tax benefit unless that taxpayer had entered into a scheme whereby the taxpayer had become eligible to apply such rollover relief.</w:t>
      </w:r>
    </w:p>
    <w:p w14:paraId="0800C64E" w14:textId="77777777" w:rsidR="009E3CA2" w:rsidRDefault="009E3CA2" w:rsidP="005279D2">
      <w:pPr>
        <w:adjustRightInd w:val="0"/>
        <w:snapToGrid w:val="0"/>
        <w:spacing w:line="276" w:lineRule="auto"/>
        <w:jc w:val="left"/>
        <w:rPr>
          <w:sz w:val="20"/>
          <w:szCs w:val="20"/>
        </w:rPr>
      </w:pPr>
    </w:p>
    <w:p w14:paraId="20C4460D" w14:textId="77777777" w:rsidR="00BA7E0D" w:rsidRPr="00914850" w:rsidRDefault="007A77CB" w:rsidP="005279D2">
      <w:pPr>
        <w:pStyle w:val="ListParagraph"/>
        <w:numPr>
          <w:ilvl w:val="0"/>
          <w:numId w:val="4"/>
        </w:numPr>
        <w:adjustRightInd w:val="0"/>
        <w:snapToGrid w:val="0"/>
        <w:spacing w:line="276" w:lineRule="auto"/>
        <w:contextualSpacing w:val="0"/>
        <w:jc w:val="left"/>
        <w:rPr>
          <w:b/>
          <w:sz w:val="20"/>
          <w:szCs w:val="20"/>
        </w:rPr>
      </w:pPr>
      <w:r>
        <w:rPr>
          <w:b/>
          <w:sz w:val="20"/>
          <w:szCs w:val="20"/>
        </w:rPr>
        <w:lastRenderedPageBreak/>
        <w:t>What was the taxpayer’s sole or dominant purpose?</w:t>
      </w:r>
    </w:p>
    <w:p w14:paraId="24C01E8A" w14:textId="77777777" w:rsidR="009E3CA2" w:rsidRDefault="009E3CA2" w:rsidP="005279D2">
      <w:pPr>
        <w:adjustRightInd w:val="0"/>
        <w:snapToGrid w:val="0"/>
        <w:spacing w:line="276" w:lineRule="auto"/>
        <w:jc w:val="left"/>
        <w:rPr>
          <w:sz w:val="20"/>
          <w:szCs w:val="20"/>
        </w:rPr>
      </w:pPr>
    </w:p>
    <w:p w14:paraId="79606859" w14:textId="77777777" w:rsidR="007A77CB" w:rsidRPr="007A77CB" w:rsidRDefault="007A77CB" w:rsidP="005279D2">
      <w:pPr>
        <w:adjustRightInd w:val="0"/>
        <w:snapToGrid w:val="0"/>
        <w:spacing w:line="276" w:lineRule="auto"/>
        <w:jc w:val="left"/>
        <w:rPr>
          <w:sz w:val="20"/>
          <w:szCs w:val="20"/>
        </w:rPr>
      </w:pPr>
      <w:r w:rsidRPr="007A77CB">
        <w:rPr>
          <w:sz w:val="20"/>
          <w:szCs w:val="20"/>
        </w:rPr>
        <w:t>In determining whether Part IVA applies it is also necessary to determine whether a person entered into or carried out a scheme did so for the sole or dominant ‘purpose’ of enabling a taxpayer to obtain a tax benefit in connection with the scheme.</w:t>
      </w:r>
    </w:p>
    <w:p w14:paraId="029024D5" w14:textId="77777777" w:rsidR="007A77CB" w:rsidRPr="007A77CB" w:rsidRDefault="007A77CB" w:rsidP="005279D2">
      <w:pPr>
        <w:adjustRightInd w:val="0"/>
        <w:snapToGrid w:val="0"/>
        <w:spacing w:line="276" w:lineRule="auto"/>
        <w:jc w:val="left"/>
        <w:rPr>
          <w:sz w:val="20"/>
          <w:szCs w:val="20"/>
        </w:rPr>
      </w:pPr>
    </w:p>
    <w:p w14:paraId="6EE1B4A6" w14:textId="77777777" w:rsidR="007A77CB" w:rsidRPr="007A77CB" w:rsidRDefault="007A77CB" w:rsidP="005279D2">
      <w:pPr>
        <w:adjustRightInd w:val="0"/>
        <w:snapToGrid w:val="0"/>
        <w:spacing w:line="276" w:lineRule="auto"/>
        <w:jc w:val="left"/>
        <w:rPr>
          <w:sz w:val="20"/>
          <w:szCs w:val="20"/>
        </w:rPr>
      </w:pPr>
      <w:r w:rsidRPr="007A77CB">
        <w:rPr>
          <w:sz w:val="20"/>
          <w:szCs w:val="20"/>
        </w:rPr>
        <w:t xml:space="preserve">Accordingly, if obtaining a tax benefit is only an incidental purpose of a taxpayer entering into a scheme, then this is not sufficient for Part IVA to apply. </w:t>
      </w:r>
    </w:p>
    <w:p w14:paraId="63DC4A21" w14:textId="77777777" w:rsidR="007A77CB" w:rsidRPr="007A77CB" w:rsidRDefault="007A77CB" w:rsidP="005279D2">
      <w:pPr>
        <w:adjustRightInd w:val="0"/>
        <w:snapToGrid w:val="0"/>
        <w:spacing w:line="276" w:lineRule="auto"/>
        <w:jc w:val="left"/>
        <w:rPr>
          <w:sz w:val="20"/>
          <w:szCs w:val="20"/>
        </w:rPr>
      </w:pPr>
    </w:p>
    <w:p w14:paraId="1514AE48" w14:textId="01B2B51F" w:rsidR="007A77CB" w:rsidRPr="007A77CB" w:rsidRDefault="007A77CB" w:rsidP="005279D2">
      <w:pPr>
        <w:adjustRightInd w:val="0"/>
        <w:snapToGrid w:val="0"/>
        <w:spacing w:line="276" w:lineRule="auto"/>
        <w:jc w:val="left"/>
        <w:rPr>
          <w:sz w:val="20"/>
          <w:szCs w:val="20"/>
        </w:rPr>
      </w:pPr>
      <w:r w:rsidRPr="007A77CB">
        <w:rPr>
          <w:sz w:val="20"/>
          <w:szCs w:val="20"/>
        </w:rPr>
        <w:t>The purpose motivating the scheme must be determined on a strictly objective basis, taking into consideration the follo</w:t>
      </w:r>
      <w:r w:rsidR="002D1F6F">
        <w:rPr>
          <w:sz w:val="20"/>
          <w:szCs w:val="20"/>
        </w:rPr>
        <w:t xml:space="preserve">wing eight factors listed in </w:t>
      </w:r>
      <w:r w:rsidRPr="007A77CB">
        <w:rPr>
          <w:sz w:val="20"/>
          <w:szCs w:val="20"/>
        </w:rPr>
        <w:t>section 177D(2)</w:t>
      </w:r>
      <w:r w:rsidR="004F10CE">
        <w:rPr>
          <w:sz w:val="20"/>
          <w:szCs w:val="20"/>
        </w:rPr>
        <w:t xml:space="preserve"> of the </w:t>
      </w:r>
      <w:r w:rsidR="004F10CE">
        <w:rPr>
          <w:i/>
          <w:sz w:val="20"/>
          <w:szCs w:val="20"/>
        </w:rPr>
        <w:t>ITAA 1936</w:t>
      </w:r>
      <w:r w:rsidRPr="007A77CB">
        <w:rPr>
          <w:sz w:val="20"/>
          <w:szCs w:val="20"/>
        </w:rPr>
        <w:t>:</w:t>
      </w:r>
    </w:p>
    <w:p w14:paraId="556EAEE9" w14:textId="77777777" w:rsidR="007A77CB" w:rsidRPr="007A77CB" w:rsidRDefault="007A77CB" w:rsidP="005279D2">
      <w:pPr>
        <w:adjustRightInd w:val="0"/>
        <w:snapToGrid w:val="0"/>
        <w:spacing w:line="276" w:lineRule="auto"/>
        <w:jc w:val="left"/>
        <w:rPr>
          <w:sz w:val="20"/>
          <w:szCs w:val="20"/>
        </w:rPr>
      </w:pPr>
    </w:p>
    <w:p w14:paraId="123907AD" w14:textId="1D3F6CE1" w:rsidR="007A77CB" w:rsidRPr="007A77CB" w:rsidRDefault="007A77CB" w:rsidP="005279D2">
      <w:pPr>
        <w:numPr>
          <w:ilvl w:val="0"/>
          <w:numId w:val="7"/>
        </w:numPr>
        <w:adjustRightInd w:val="0"/>
        <w:snapToGrid w:val="0"/>
        <w:spacing w:line="276" w:lineRule="auto"/>
        <w:jc w:val="left"/>
        <w:rPr>
          <w:sz w:val="20"/>
          <w:szCs w:val="20"/>
        </w:rPr>
      </w:pPr>
      <w:r w:rsidRPr="007A77CB">
        <w:rPr>
          <w:sz w:val="20"/>
          <w:szCs w:val="20"/>
        </w:rPr>
        <w:t>the manner in which the scheme w</w:t>
      </w:r>
      <w:r>
        <w:rPr>
          <w:sz w:val="20"/>
          <w:szCs w:val="20"/>
        </w:rPr>
        <w:t>as entered into or carried out</w:t>
      </w:r>
      <w:r w:rsidR="00F43374">
        <w:rPr>
          <w:sz w:val="20"/>
          <w:szCs w:val="20"/>
        </w:rPr>
        <w:t>,</w:t>
      </w:r>
    </w:p>
    <w:p w14:paraId="30E821F5" w14:textId="0DFCE729"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fo</w:t>
      </w:r>
      <w:r>
        <w:rPr>
          <w:sz w:val="20"/>
          <w:szCs w:val="20"/>
        </w:rPr>
        <w:t>rm and substance of the scheme</w:t>
      </w:r>
      <w:r w:rsidR="00F43374">
        <w:rPr>
          <w:sz w:val="20"/>
          <w:szCs w:val="20"/>
        </w:rPr>
        <w:t>,</w:t>
      </w:r>
    </w:p>
    <w:p w14:paraId="546B90FD" w14:textId="0393932E"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time at which the scheme was entered into and the length of the period during wh</w:t>
      </w:r>
      <w:r>
        <w:rPr>
          <w:sz w:val="20"/>
          <w:szCs w:val="20"/>
        </w:rPr>
        <w:t>ich the scheme was carried out</w:t>
      </w:r>
      <w:r w:rsidR="00F43374">
        <w:rPr>
          <w:sz w:val="20"/>
          <w:szCs w:val="20"/>
        </w:rPr>
        <w:t>,</w:t>
      </w:r>
    </w:p>
    <w:p w14:paraId="3DA623B6" w14:textId="7BFAEB27"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result in relation to the operation of th</w:t>
      </w:r>
      <w:r w:rsidR="00684131">
        <w:rPr>
          <w:sz w:val="20"/>
          <w:szCs w:val="20"/>
        </w:rPr>
        <w:t>e Tax</w:t>
      </w:r>
      <w:r w:rsidRPr="007A77CB">
        <w:rPr>
          <w:sz w:val="20"/>
          <w:szCs w:val="20"/>
        </w:rPr>
        <w:t xml:space="preserve"> Act</w:t>
      </w:r>
      <w:r w:rsidR="00684131">
        <w:rPr>
          <w:sz w:val="20"/>
          <w:szCs w:val="20"/>
        </w:rPr>
        <w:t>s</w:t>
      </w:r>
      <w:r w:rsidRPr="007A77CB">
        <w:rPr>
          <w:sz w:val="20"/>
          <w:szCs w:val="20"/>
        </w:rPr>
        <w:t xml:space="preserve"> that, but for this Part, w</w:t>
      </w:r>
      <w:r>
        <w:rPr>
          <w:sz w:val="20"/>
          <w:szCs w:val="20"/>
        </w:rPr>
        <w:t>ould be achieved by the scheme</w:t>
      </w:r>
      <w:r w:rsidR="00F43374">
        <w:rPr>
          <w:sz w:val="20"/>
          <w:szCs w:val="20"/>
        </w:rPr>
        <w:t>,</w:t>
      </w:r>
    </w:p>
    <w:p w14:paraId="29B4C2E1" w14:textId="1ECA60B0"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any change in the financial position of the relevant taxpayer that has resulted, will result, or may reasonably be expec</w:t>
      </w:r>
      <w:r>
        <w:rPr>
          <w:sz w:val="20"/>
          <w:szCs w:val="20"/>
        </w:rPr>
        <w:t>ted to result, from the scheme</w:t>
      </w:r>
      <w:r w:rsidR="00F43374">
        <w:rPr>
          <w:sz w:val="20"/>
          <w:szCs w:val="20"/>
        </w:rPr>
        <w:t>,</w:t>
      </w:r>
    </w:p>
    <w:p w14:paraId="16A4E957" w14:textId="3AFB21A2"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any change in the financial position of any person who has, or has had, any connection (whether of a business, family or other nature) with the relevant taxpayer, being a change that has resulted, will result or may reasonably be expe</w:t>
      </w:r>
      <w:r w:rsidR="0077780B">
        <w:rPr>
          <w:sz w:val="20"/>
          <w:szCs w:val="20"/>
        </w:rPr>
        <w:t>cted to result, from the scheme</w:t>
      </w:r>
      <w:r w:rsidR="00F43374">
        <w:rPr>
          <w:sz w:val="20"/>
          <w:szCs w:val="20"/>
        </w:rPr>
        <w:t>,</w:t>
      </w:r>
    </w:p>
    <w:p w14:paraId="4F98598A" w14:textId="56EC9CFB"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 xml:space="preserve">any other consequence for the relevant taxpayer, or for any person referred to in paragraph (f), of the scheme having been </w:t>
      </w:r>
      <w:r w:rsidR="0077780B">
        <w:rPr>
          <w:sz w:val="20"/>
          <w:szCs w:val="20"/>
        </w:rPr>
        <w:t>entered into or carried out</w:t>
      </w:r>
      <w:r w:rsidR="00F43374">
        <w:rPr>
          <w:sz w:val="20"/>
          <w:szCs w:val="20"/>
        </w:rPr>
        <w:t xml:space="preserve">, </w:t>
      </w:r>
      <w:r w:rsidR="00D64367">
        <w:rPr>
          <w:sz w:val="20"/>
          <w:szCs w:val="20"/>
        </w:rPr>
        <w:t>and</w:t>
      </w:r>
    </w:p>
    <w:p w14:paraId="22AFE00C" w14:textId="77777777" w:rsidR="009E3CA2" w:rsidRPr="0077780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nature of any connection (whether of a business, family or other nature) between the relevant taxpayer and any person referred to in paragraph (f).</w:t>
      </w:r>
    </w:p>
    <w:p w14:paraId="5032E8D3" w14:textId="77777777" w:rsidR="002D1F6F" w:rsidRDefault="002D1F6F" w:rsidP="005279D2">
      <w:pPr>
        <w:adjustRightInd w:val="0"/>
        <w:snapToGrid w:val="0"/>
        <w:spacing w:line="276" w:lineRule="auto"/>
        <w:jc w:val="left"/>
        <w:rPr>
          <w:sz w:val="20"/>
          <w:szCs w:val="20"/>
        </w:rPr>
      </w:pPr>
    </w:p>
    <w:p w14:paraId="4C1AD6E5" w14:textId="77777777" w:rsidR="002D1F6F" w:rsidRPr="002D1F6F" w:rsidRDefault="002D1F6F" w:rsidP="005279D2">
      <w:pPr>
        <w:adjustRightInd w:val="0"/>
        <w:snapToGrid w:val="0"/>
        <w:spacing w:line="276" w:lineRule="auto"/>
        <w:jc w:val="left"/>
        <w:rPr>
          <w:sz w:val="20"/>
          <w:szCs w:val="20"/>
        </w:rPr>
      </w:pPr>
      <w:r>
        <w:rPr>
          <w:sz w:val="20"/>
          <w:szCs w:val="20"/>
        </w:rPr>
        <w:t>Various cases</w:t>
      </w:r>
      <w:r w:rsidRPr="002D1F6F">
        <w:rPr>
          <w:sz w:val="20"/>
          <w:szCs w:val="20"/>
        </w:rPr>
        <w:t xml:space="preserve"> have clarified how the above eight matters are to be interpreted in practice. Some of the key decisions arising under the</w:t>
      </w:r>
      <w:r w:rsidR="005279D2">
        <w:rPr>
          <w:sz w:val="20"/>
          <w:szCs w:val="20"/>
        </w:rPr>
        <w:t>se</w:t>
      </w:r>
      <w:r w:rsidRPr="002D1F6F">
        <w:rPr>
          <w:sz w:val="20"/>
          <w:szCs w:val="20"/>
        </w:rPr>
        <w:t xml:space="preserve"> cases are as follows:</w:t>
      </w:r>
    </w:p>
    <w:p w14:paraId="3CB2ECC7" w14:textId="77777777" w:rsidR="002D1F6F" w:rsidRPr="002D1F6F" w:rsidRDefault="002D1F6F" w:rsidP="005279D2">
      <w:pPr>
        <w:adjustRightInd w:val="0"/>
        <w:snapToGrid w:val="0"/>
        <w:spacing w:line="276" w:lineRule="auto"/>
        <w:jc w:val="left"/>
        <w:rPr>
          <w:sz w:val="20"/>
          <w:szCs w:val="20"/>
        </w:rPr>
      </w:pPr>
    </w:p>
    <w:p w14:paraId="3732631D" w14:textId="6691F584"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t</w:t>
      </w:r>
      <w:r w:rsidRPr="002D1F6F">
        <w:rPr>
          <w:sz w:val="20"/>
          <w:szCs w:val="20"/>
        </w:rPr>
        <w:t>he Commissioner of Taxation must consider all eight factors in weighing up whether a tax avoidance purpose exists (</w:t>
      </w:r>
      <w:r w:rsidRPr="002D1F6F">
        <w:rPr>
          <w:i/>
          <w:sz w:val="20"/>
          <w:szCs w:val="20"/>
        </w:rPr>
        <w:t>Peabody v FCT</w:t>
      </w:r>
      <w:r w:rsidR="005C1C39">
        <w:rPr>
          <w:sz w:val="20"/>
          <w:szCs w:val="20"/>
        </w:rPr>
        <w:t xml:space="preserve">  93 ATC 4104)</w:t>
      </w:r>
      <w:r w:rsidR="00CF63B8">
        <w:rPr>
          <w:sz w:val="20"/>
          <w:szCs w:val="20"/>
        </w:rPr>
        <w:t>,</w:t>
      </w:r>
    </w:p>
    <w:p w14:paraId="23111AB1" w14:textId="2D57C03E"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h</w:t>
      </w:r>
      <w:r w:rsidRPr="002D1F6F">
        <w:rPr>
          <w:sz w:val="20"/>
          <w:szCs w:val="20"/>
        </w:rPr>
        <w:t xml:space="preserve">owever, it is not relevant that every factor be proven in respect of every scheme. Indeed, it was held by </w:t>
      </w:r>
      <w:proofErr w:type="spellStart"/>
      <w:r w:rsidRPr="002D1F6F">
        <w:rPr>
          <w:sz w:val="20"/>
          <w:szCs w:val="20"/>
        </w:rPr>
        <w:t>Callinan</w:t>
      </w:r>
      <w:proofErr w:type="spellEnd"/>
      <w:r w:rsidRPr="002D1F6F">
        <w:rPr>
          <w:sz w:val="20"/>
          <w:szCs w:val="20"/>
        </w:rPr>
        <w:t xml:space="preserve"> J in </w:t>
      </w:r>
      <w:r w:rsidRPr="002D1F6F">
        <w:rPr>
          <w:i/>
          <w:sz w:val="20"/>
          <w:szCs w:val="20"/>
        </w:rPr>
        <w:t>FCT v Hart</w:t>
      </w:r>
      <w:r w:rsidRPr="002D1F6F">
        <w:rPr>
          <w:sz w:val="20"/>
          <w:szCs w:val="20"/>
        </w:rPr>
        <w:t xml:space="preserve"> 2004 ATC 4599 that the presence of one factor alone may be sufficient in itself so as to </w:t>
      </w:r>
      <w:r>
        <w:rPr>
          <w:sz w:val="20"/>
          <w:szCs w:val="20"/>
        </w:rPr>
        <w:t>constitute a dominant purpose</w:t>
      </w:r>
      <w:r w:rsidR="00CF63B8">
        <w:rPr>
          <w:sz w:val="20"/>
          <w:szCs w:val="20"/>
        </w:rPr>
        <w:t>, and</w:t>
      </w:r>
    </w:p>
    <w:p w14:paraId="6239B2E5" w14:textId="77777777"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t</w:t>
      </w:r>
      <w:r w:rsidRPr="002D1F6F">
        <w:rPr>
          <w:sz w:val="20"/>
          <w:szCs w:val="20"/>
        </w:rPr>
        <w:t>he actual subjective purpose of any relevant person is not a relevant matter to be considered in any application of section 177D(2) (</w:t>
      </w:r>
      <w:r w:rsidRPr="002D1F6F">
        <w:rPr>
          <w:i/>
          <w:sz w:val="20"/>
          <w:szCs w:val="20"/>
        </w:rPr>
        <w:t>Peabody v FCT</w:t>
      </w:r>
      <w:r w:rsidRPr="002D1F6F">
        <w:rPr>
          <w:sz w:val="20"/>
          <w:szCs w:val="20"/>
        </w:rPr>
        <w:t xml:space="preserve">  93 ATC 4104).</w:t>
      </w:r>
    </w:p>
    <w:p w14:paraId="5A90D6AD" w14:textId="77777777" w:rsidR="002D1F6F" w:rsidRDefault="002D1F6F" w:rsidP="005279D2">
      <w:pPr>
        <w:adjustRightInd w:val="0"/>
        <w:snapToGrid w:val="0"/>
        <w:spacing w:line="276" w:lineRule="auto"/>
        <w:jc w:val="left"/>
        <w:rPr>
          <w:sz w:val="20"/>
          <w:szCs w:val="20"/>
        </w:rPr>
      </w:pPr>
    </w:p>
    <w:p w14:paraId="0188A2BD" w14:textId="77777777" w:rsidR="009E3CA2" w:rsidRDefault="009E3CA2" w:rsidP="005279D2">
      <w:pPr>
        <w:adjustRightInd w:val="0"/>
        <w:snapToGrid w:val="0"/>
        <w:spacing w:line="276" w:lineRule="auto"/>
        <w:jc w:val="left"/>
        <w:rPr>
          <w:sz w:val="20"/>
          <w:szCs w:val="20"/>
        </w:rPr>
      </w:pPr>
      <w:r>
        <w:rPr>
          <w:sz w:val="20"/>
          <w:szCs w:val="20"/>
        </w:rPr>
        <w:t xml:space="preserve">It is </w:t>
      </w:r>
      <w:r w:rsidR="00755AAE">
        <w:rPr>
          <w:sz w:val="20"/>
          <w:szCs w:val="20"/>
        </w:rPr>
        <w:t xml:space="preserve">also </w:t>
      </w:r>
      <w:r>
        <w:rPr>
          <w:sz w:val="20"/>
          <w:szCs w:val="20"/>
        </w:rPr>
        <w:t xml:space="preserve">worth noting that the relevant purpose does not have to be attributed to the taxpayer who obtained the tax benefit but </w:t>
      </w:r>
      <w:r w:rsidR="00755AAE">
        <w:rPr>
          <w:sz w:val="20"/>
          <w:szCs w:val="20"/>
        </w:rPr>
        <w:t xml:space="preserve">may be </w:t>
      </w:r>
      <w:r>
        <w:rPr>
          <w:sz w:val="20"/>
          <w:szCs w:val="20"/>
        </w:rPr>
        <w:t>that of any person who has entered into or carried out the scheme or any part of the scheme. This means that the purpose of a tax adviser involved in the implementation of a scheme can be taken into account in determining whether Part IVA is applicable</w:t>
      </w:r>
      <w:r>
        <w:rPr>
          <w:rStyle w:val="FootnoteReference"/>
          <w:sz w:val="20"/>
          <w:szCs w:val="20"/>
        </w:rPr>
        <w:footnoteReference w:id="8"/>
      </w:r>
      <w:r>
        <w:rPr>
          <w:sz w:val="20"/>
          <w:szCs w:val="20"/>
        </w:rPr>
        <w:t xml:space="preserve">.  </w:t>
      </w:r>
    </w:p>
    <w:p w14:paraId="71D7D1BF" w14:textId="77777777" w:rsidR="009E3CA2" w:rsidRDefault="009E3CA2" w:rsidP="005279D2">
      <w:pPr>
        <w:adjustRightInd w:val="0"/>
        <w:snapToGrid w:val="0"/>
        <w:spacing w:line="276" w:lineRule="auto"/>
        <w:jc w:val="left"/>
        <w:rPr>
          <w:sz w:val="20"/>
          <w:szCs w:val="20"/>
        </w:rPr>
      </w:pPr>
    </w:p>
    <w:p w14:paraId="7F968937" w14:textId="77777777" w:rsidR="009E3CA2" w:rsidRDefault="009E3CA2" w:rsidP="005279D2">
      <w:pPr>
        <w:adjustRightInd w:val="0"/>
        <w:snapToGrid w:val="0"/>
        <w:spacing w:line="276" w:lineRule="auto"/>
        <w:jc w:val="left"/>
        <w:rPr>
          <w:sz w:val="20"/>
          <w:szCs w:val="20"/>
        </w:rPr>
      </w:pPr>
      <w:r>
        <w:rPr>
          <w:sz w:val="20"/>
          <w:szCs w:val="20"/>
        </w:rPr>
        <w:t xml:space="preserve">Whilst a transaction may be entered into based on a rational commercial </w:t>
      </w:r>
      <w:r w:rsidRPr="00CB265A">
        <w:rPr>
          <w:sz w:val="20"/>
          <w:szCs w:val="20"/>
        </w:rPr>
        <w:t>decision, this does not necessarily mean that</w:t>
      </w:r>
      <w:r w:rsidRPr="000B064C">
        <w:rPr>
          <w:sz w:val="20"/>
          <w:szCs w:val="20"/>
        </w:rPr>
        <w:t xml:space="preserve"> the dominant pur</w:t>
      </w:r>
      <w:r>
        <w:rPr>
          <w:sz w:val="20"/>
          <w:szCs w:val="20"/>
        </w:rPr>
        <w:t xml:space="preserve">pose has not been established. </w:t>
      </w:r>
      <w:r w:rsidRPr="000B064C">
        <w:rPr>
          <w:sz w:val="20"/>
          <w:szCs w:val="20"/>
        </w:rPr>
        <w:t>A decision to enter into a transaction</w:t>
      </w:r>
      <w:r>
        <w:rPr>
          <w:sz w:val="20"/>
          <w:szCs w:val="20"/>
        </w:rPr>
        <w:t xml:space="preserve"> can be both commercially and tax driven, but the relevant purpose will be the one that is the most influential, ruling or prevailing purpose. Therefore</w:t>
      </w:r>
      <w:r w:rsidR="00025A95">
        <w:rPr>
          <w:sz w:val="20"/>
          <w:szCs w:val="20"/>
        </w:rPr>
        <w:t>,</w:t>
      </w:r>
      <w:r>
        <w:rPr>
          <w:sz w:val="20"/>
          <w:szCs w:val="20"/>
        </w:rPr>
        <w:t xml:space="preserve"> it is very important to have proper documentary evidence to </w:t>
      </w:r>
      <w:r w:rsidR="00755AAE">
        <w:rPr>
          <w:sz w:val="20"/>
          <w:szCs w:val="20"/>
        </w:rPr>
        <w:t xml:space="preserve">support </w:t>
      </w:r>
      <w:r>
        <w:rPr>
          <w:sz w:val="20"/>
          <w:szCs w:val="20"/>
        </w:rPr>
        <w:t xml:space="preserve">a taxpayer’s defence </w:t>
      </w:r>
      <w:r w:rsidR="00755AAE">
        <w:rPr>
          <w:sz w:val="20"/>
          <w:szCs w:val="20"/>
        </w:rPr>
        <w:t xml:space="preserve">that the provisions </w:t>
      </w:r>
      <w:r>
        <w:rPr>
          <w:sz w:val="20"/>
          <w:szCs w:val="20"/>
        </w:rPr>
        <w:t>of Part IVA</w:t>
      </w:r>
      <w:r w:rsidR="00755AAE">
        <w:rPr>
          <w:sz w:val="20"/>
          <w:szCs w:val="20"/>
        </w:rPr>
        <w:t xml:space="preserve"> do not apply to a transaction</w:t>
      </w:r>
      <w:r>
        <w:rPr>
          <w:sz w:val="20"/>
          <w:szCs w:val="20"/>
        </w:rPr>
        <w:t>.</w:t>
      </w:r>
    </w:p>
    <w:p w14:paraId="4D1AFFE3" w14:textId="77777777" w:rsidR="009E3CA2" w:rsidRDefault="009E3CA2" w:rsidP="005279D2">
      <w:pPr>
        <w:adjustRightInd w:val="0"/>
        <w:snapToGrid w:val="0"/>
        <w:spacing w:line="276" w:lineRule="auto"/>
        <w:jc w:val="left"/>
        <w:rPr>
          <w:sz w:val="20"/>
          <w:szCs w:val="20"/>
        </w:rPr>
      </w:pPr>
      <w:r>
        <w:rPr>
          <w:sz w:val="20"/>
          <w:szCs w:val="20"/>
        </w:rPr>
        <w:lastRenderedPageBreak/>
        <w:t xml:space="preserve"> </w:t>
      </w:r>
    </w:p>
    <w:p w14:paraId="1FD77983" w14:textId="77777777" w:rsidR="00BA7E0D" w:rsidRPr="00914850" w:rsidRDefault="0077780B" w:rsidP="005279D2">
      <w:pPr>
        <w:pStyle w:val="ListParagraph"/>
        <w:numPr>
          <w:ilvl w:val="0"/>
          <w:numId w:val="4"/>
        </w:numPr>
        <w:adjustRightInd w:val="0"/>
        <w:snapToGrid w:val="0"/>
        <w:spacing w:line="276" w:lineRule="auto"/>
        <w:contextualSpacing w:val="0"/>
        <w:jc w:val="left"/>
        <w:rPr>
          <w:b/>
          <w:sz w:val="20"/>
          <w:szCs w:val="20"/>
        </w:rPr>
      </w:pPr>
      <w:bookmarkStart w:id="10" w:name="io731695sl25500354"/>
      <w:bookmarkStart w:id="11" w:name="io731695sl25500355"/>
      <w:bookmarkStart w:id="12" w:name="io1197299sl164913740"/>
      <w:bookmarkStart w:id="13" w:name="io1197299sl164913741"/>
      <w:bookmarkStart w:id="14" w:name="io1197299sl164860171"/>
      <w:bookmarkStart w:id="15" w:name="io1197299sl164913742"/>
      <w:bookmarkStart w:id="16" w:name="io1197299sl434987928"/>
      <w:bookmarkEnd w:id="10"/>
      <w:bookmarkEnd w:id="11"/>
      <w:bookmarkEnd w:id="12"/>
      <w:bookmarkEnd w:id="13"/>
      <w:bookmarkEnd w:id="14"/>
      <w:bookmarkEnd w:id="15"/>
      <w:bookmarkEnd w:id="16"/>
      <w:r>
        <w:rPr>
          <w:b/>
          <w:sz w:val="20"/>
          <w:szCs w:val="20"/>
        </w:rPr>
        <w:t>What happens when Part IVA is applied?</w:t>
      </w:r>
    </w:p>
    <w:p w14:paraId="285D6C76" w14:textId="77777777" w:rsidR="009E3CA2" w:rsidRPr="00AB1385" w:rsidRDefault="009E3CA2" w:rsidP="005279D2">
      <w:pPr>
        <w:adjustRightInd w:val="0"/>
        <w:snapToGrid w:val="0"/>
        <w:spacing w:line="276" w:lineRule="auto"/>
        <w:jc w:val="left"/>
        <w:rPr>
          <w:b/>
          <w:sz w:val="20"/>
          <w:szCs w:val="20"/>
        </w:rPr>
      </w:pPr>
    </w:p>
    <w:p w14:paraId="2316A47D" w14:textId="58FBFAC1"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Where it is determined that the taxpayer entered into a scheme to obtain a tax benefit </w:t>
      </w:r>
      <w:r>
        <w:rPr>
          <w:rFonts w:cstheme="minorHAnsi"/>
          <w:sz w:val="20"/>
          <w:szCs w:val="20"/>
        </w:rPr>
        <w:t xml:space="preserve">the </w:t>
      </w:r>
      <w:r w:rsidRPr="000138BA">
        <w:rPr>
          <w:rFonts w:cstheme="minorHAnsi"/>
          <w:sz w:val="20"/>
          <w:szCs w:val="20"/>
        </w:rPr>
        <w:t>Commissioner of Taxation has a discretion under section 177F(1)</w:t>
      </w:r>
      <w:r w:rsidR="00E60871">
        <w:rPr>
          <w:rFonts w:cstheme="minorHAnsi"/>
          <w:sz w:val="20"/>
          <w:szCs w:val="20"/>
        </w:rPr>
        <w:t xml:space="preserve"> of the </w:t>
      </w:r>
      <w:r w:rsidR="00E60871">
        <w:rPr>
          <w:rFonts w:cstheme="minorHAnsi"/>
          <w:i/>
          <w:sz w:val="20"/>
          <w:szCs w:val="20"/>
        </w:rPr>
        <w:t>ITAA 1936</w:t>
      </w:r>
      <w:r w:rsidRPr="000138BA">
        <w:rPr>
          <w:rFonts w:cstheme="minorHAnsi"/>
          <w:sz w:val="20"/>
          <w:szCs w:val="20"/>
        </w:rPr>
        <w:t xml:space="preserve"> to cancel the relevant tax benefit.</w:t>
      </w:r>
    </w:p>
    <w:p w14:paraId="36B11D09" w14:textId="77777777" w:rsidR="0077780B" w:rsidRPr="000138BA" w:rsidRDefault="0077780B" w:rsidP="005279D2">
      <w:pPr>
        <w:adjustRightInd w:val="0"/>
        <w:snapToGrid w:val="0"/>
        <w:spacing w:line="276" w:lineRule="auto"/>
        <w:jc w:val="left"/>
        <w:rPr>
          <w:rFonts w:cstheme="minorHAnsi"/>
          <w:sz w:val="20"/>
          <w:szCs w:val="20"/>
        </w:rPr>
      </w:pPr>
    </w:p>
    <w:p w14:paraId="43B3C301" w14:textId="3E28B101"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Accordingly, where the tax benefit </w:t>
      </w:r>
      <w:r w:rsidR="00BE1723">
        <w:rPr>
          <w:rFonts w:cstheme="minorHAnsi"/>
          <w:sz w:val="20"/>
          <w:szCs w:val="20"/>
        </w:rPr>
        <w:t>is in relation to</w:t>
      </w:r>
      <w:r w:rsidR="00BE1723" w:rsidRPr="000138BA">
        <w:rPr>
          <w:rFonts w:cstheme="minorHAnsi"/>
          <w:sz w:val="20"/>
          <w:szCs w:val="20"/>
        </w:rPr>
        <w:t xml:space="preserve"> </w:t>
      </w:r>
      <w:r w:rsidRPr="000138BA">
        <w:rPr>
          <w:rFonts w:cstheme="minorHAnsi"/>
          <w:sz w:val="20"/>
          <w:szCs w:val="20"/>
        </w:rPr>
        <w:t xml:space="preserve">an amount not being included in the assessable income of the taxpayer in </w:t>
      </w:r>
      <w:r>
        <w:rPr>
          <w:rFonts w:cstheme="minorHAnsi"/>
          <w:sz w:val="20"/>
          <w:szCs w:val="20"/>
        </w:rPr>
        <w:t>an</w:t>
      </w:r>
      <w:r w:rsidRPr="000138BA">
        <w:rPr>
          <w:rFonts w:cstheme="minorHAnsi"/>
          <w:sz w:val="20"/>
          <w:szCs w:val="20"/>
        </w:rPr>
        <w:t xml:space="preserve"> income year</w:t>
      </w:r>
      <w:r w:rsidR="00BE1723">
        <w:rPr>
          <w:rFonts w:cstheme="minorHAnsi"/>
          <w:sz w:val="20"/>
          <w:szCs w:val="20"/>
        </w:rPr>
        <w:t>,</w:t>
      </w:r>
      <w:r w:rsidRPr="000138BA">
        <w:rPr>
          <w:rFonts w:cstheme="minorHAnsi"/>
          <w:sz w:val="20"/>
          <w:szCs w:val="20"/>
        </w:rPr>
        <w:t xml:space="preserve">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amount included in assessable income.                </w:t>
      </w:r>
    </w:p>
    <w:p w14:paraId="624CC3F2" w14:textId="77777777" w:rsidR="0077780B" w:rsidRPr="000138BA" w:rsidRDefault="0077780B" w:rsidP="005279D2">
      <w:pPr>
        <w:adjustRightInd w:val="0"/>
        <w:snapToGrid w:val="0"/>
        <w:spacing w:line="276" w:lineRule="auto"/>
        <w:jc w:val="left"/>
        <w:rPr>
          <w:rFonts w:cstheme="minorHAnsi"/>
          <w:sz w:val="20"/>
          <w:szCs w:val="20"/>
        </w:rPr>
      </w:pPr>
    </w:p>
    <w:p w14:paraId="3605F8CD" w14:textId="3A1B5898"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Alternatively, where the tax benefit </w:t>
      </w:r>
      <w:r w:rsidR="00BE1723">
        <w:rPr>
          <w:rFonts w:cstheme="minorHAnsi"/>
          <w:sz w:val="20"/>
          <w:szCs w:val="20"/>
        </w:rPr>
        <w:t>is in relation</w:t>
      </w:r>
      <w:r w:rsidR="00BE1723" w:rsidRPr="000138BA">
        <w:rPr>
          <w:rFonts w:cstheme="minorHAnsi"/>
          <w:sz w:val="20"/>
          <w:szCs w:val="20"/>
        </w:rPr>
        <w:t xml:space="preserve"> </w:t>
      </w:r>
      <w:r w:rsidRPr="000138BA">
        <w:rPr>
          <w:rFonts w:cstheme="minorHAnsi"/>
          <w:sz w:val="20"/>
          <w:szCs w:val="20"/>
        </w:rPr>
        <w:t xml:space="preserve">to a deduction being allowable in a year of income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deduction treated as being wholly or partly non-allowable.</w:t>
      </w:r>
    </w:p>
    <w:p w14:paraId="1E269ACE" w14:textId="77777777" w:rsidR="0077780B" w:rsidRPr="000138BA" w:rsidRDefault="0077780B" w:rsidP="005279D2">
      <w:pPr>
        <w:adjustRightInd w:val="0"/>
        <w:snapToGrid w:val="0"/>
        <w:spacing w:line="276" w:lineRule="auto"/>
        <w:jc w:val="left"/>
        <w:rPr>
          <w:rFonts w:cstheme="minorHAnsi"/>
          <w:sz w:val="20"/>
          <w:szCs w:val="20"/>
        </w:rPr>
      </w:pPr>
    </w:p>
    <w:p w14:paraId="4A0D8B81" w14:textId="5431FC6F"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Similarly, capital losses</w:t>
      </w:r>
      <w:r w:rsidR="00BE1723">
        <w:rPr>
          <w:rFonts w:cstheme="minorHAnsi"/>
          <w:sz w:val="20"/>
          <w:szCs w:val="20"/>
        </w:rPr>
        <w:t>,</w:t>
      </w:r>
      <w:r w:rsidRPr="000138BA">
        <w:rPr>
          <w:rFonts w:cstheme="minorHAnsi"/>
          <w:sz w:val="20"/>
          <w:szCs w:val="20"/>
        </w:rPr>
        <w:t xml:space="preserve"> offsets</w:t>
      </w:r>
      <w:r w:rsidR="00BE1723">
        <w:rPr>
          <w:rFonts w:cstheme="minorHAnsi"/>
          <w:sz w:val="20"/>
          <w:szCs w:val="20"/>
        </w:rPr>
        <w:t xml:space="preserve"> and credits</w:t>
      </w:r>
      <w:r w:rsidRPr="000138BA">
        <w:rPr>
          <w:rFonts w:cstheme="minorHAnsi"/>
          <w:sz w:val="20"/>
          <w:szCs w:val="20"/>
        </w:rPr>
        <w:t xml:space="preserve"> may be cancelled where the tax benefit obtained took the form of a capital loss</w:t>
      </w:r>
      <w:r w:rsidR="00BE1723">
        <w:rPr>
          <w:rFonts w:cstheme="minorHAnsi"/>
          <w:sz w:val="20"/>
          <w:szCs w:val="20"/>
        </w:rPr>
        <w:t xml:space="preserve">, </w:t>
      </w:r>
      <w:r w:rsidRPr="000138BA">
        <w:rPr>
          <w:rFonts w:cstheme="minorHAnsi"/>
          <w:sz w:val="20"/>
          <w:szCs w:val="20"/>
        </w:rPr>
        <w:t>offset</w:t>
      </w:r>
      <w:r w:rsidR="00BE1723">
        <w:rPr>
          <w:rFonts w:cstheme="minorHAnsi"/>
          <w:sz w:val="20"/>
          <w:szCs w:val="20"/>
        </w:rPr>
        <w:t xml:space="preserve"> or credit</w:t>
      </w:r>
      <w:r w:rsidRPr="000138BA">
        <w:rPr>
          <w:rFonts w:cstheme="minorHAnsi"/>
          <w:sz w:val="20"/>
          <w:szCs w:val="20"/>
        </w:rPr>
        <w:t xml:space="preserve">.       </w:t>
      </w:r>
    </w:p>
    <w:p w14:paraId="04ADB653" w14:textId="77777777" w:rsidR="0077780B" w:rsidRPr="000138BA" w:rsidRDefault="0077780B" w:rsidP="005279D2">
      <w:pPr>
        <w:adjustRightInd w:val="0"/>
        <w:snapToGrid w:val="0"/>
        <w:spacing w:line="276" w:lineRule="auto"/>
        <w:jc w:val="left"/>
        <w:rPr>
          <w:rFonts w:cstheme="minorHAnsi"/>
          <w:sz w:val="20"/>
          <w:szCs w:val="20"/>
        </w:rPr>
      </w:pPr>
    </w:p>
    <w:p w14:paraId="17383531" w14:textId="77777777" w:rsidR="0077780B"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Finally, where the tax benefit took the form of an amount not being subject to withholding tax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taxpayer will become wholly or partly liable for such withholding tax. </w:t>
      </w:r>
    </w:p>
    <w:p w14:paraId="625D64A0" w14:textId="77777777" w:rsidR="0077780B" w:rsidRDefault="0077780B" w:rsidP="005279D2">
      <w:pPr>
        <w:adjustRightInd w:val="0"/>
        <w:snapToGrid w:val="0"/>
        <w:spacing w:line="276" w:lineRule="auto"/>
        <w:jc w:val="left"/>
        <w:rPr>
          <w:sz w:val="20"/>
          <w:szCs w:val="20"/>
        </w:rPr>
      </w:pPr>
    </w:p>
    <w:p w14:paraId="33EA476F" w14:textId="0159DE07" w:rsidR="0077780B" w:rsidRPr="000138BA" w:rsidRDefault="0077780B" w:rsidP="005279D2">
      <w:pPr>
        <w:adjustRightInd w:val="0"/>
        <w:snapToGrid w:val="0"/>
        <w:spacing w:line="276" w:lineRule="auto"/>
        <w:jc w:val="left"/>
        <w:rPr>
          <w:b/>
          <w:sz w:val="20"/>
          <w:szCs w:val="20"/>
        </w:rPr>
      </w:pPr>
      <w:r w:rsidRPr="000138BA">
        <w:rPr>
          <w:b/>
          <w:sz w:val="20"/>
          <w:szCs w:val="20"/>
        </w:rPr>
        <w:t xml:space="preserve">Multinational </w:t>
      </w:r>
      <w:r w:rsidR="006F638A">
        <w:rPr>
          <w:b/>
          <w:sz w:val="20"/>
          <w:szCs w:val="20"/>
        </w:rPr>
        <w:t xml:space="preserve">Anti-Avoidance </w:t>
      </w:r>
      <w:r w:rsidRPr="000138BA">
        <w:rPr>
          <w:b/>
          <w:sz w:val="20"/>
          <w:szCs w:val="20"/>
        </w:rPr>
        <w:t>Law</w:t>
      </w:r>
      <w:r w:rsidR="005C05FB">
        <w:rPr>
          <w:b/>
          <w:sz w:val="20"/>
          <w:szCs w:val="20"/>
        </w:rPr>
        <w:t xml:space="preserve"> </w:t>
      </w:r>
      <w:r w:rsidR="005C05FB" w:rsidRPr="00BC6CF9">
        <w:rPr>
          <w:sz w:val="20"/>
          <w:szCs w:val="20"/>
          <w:highlight w:val="lightGray"/>
        </w:rPr>
        <w:t>[consider deleting if client does not have consolidated accounting income of AUD$1 billion or more]</w:t>
      </w:r>
    </w:p>
    <w:p w14:paraId="3DC34A16" w14:textId="77777777" w:rsidR="0077780B" w:rsidRDefault="0077780B" w:rsidP="005279D2">
      <w:pPr>
        <w:adjustRightInd w:val="0"/>
        <w:snapToGrid w:val="0"/>
        <w:spacing w:line="276" w:lineRule="auto"/>
        <w:jc w:val="left"/>
        <w:rPr>
          <w:sz w:val="20"/>
          <w:szCs w:val="20"/>
        </w:rPr>
      </w:pPr>
    </w:p>
    <w:p w14:paraId="07FE02E4" w14:textId="7B13E2A8" w:rsidR="0077780B" w:rsidRDefault="00BE1723" w:rsidP="005279D2">
      <w:pPr>
        <w:adjustRightInd w:val="0"/>
        <w:snapToGrid w:val="0"/>
        <w:spacing w:line="276" w:lineRule="auto"/>
        <w:jc w:val="left"/>
        <w:rPr>
          <w:rFonts w:cstheme="minorHAnsi"/>
          <w:sz w:val="20"/>
          <w:szCs w:val="20"/>
        </w:rPr>
      </w:pPr>
      <w:r>
        <w:rPr>
          <w:rFonts w:cstheme="minorHAnsi"/>
          <w:sz w:val="20"/>
          <w:szCs w:val="20"/>
        </w:rPr>
        <w:t>In 2015 t</w:t>
      </w:r>
      <w:r w:rsidR="0077780B" w:rsidRPr="000138BA">
        <w:rPr>
          <w:rFonts w:cstheme="minorHAnsi"/>
          <w:sz w:val="20"/>
          <w:szCs w:val="20"/>
        </w:rPr>
        <w:t xml:space="preserve">he Federal Government </w:t>
      </w:r>
      <w:r w:rsidR="0077780B">
        <w:rPr>
          <w:rFonts w:cstheme="minorHAnsi"/>
          <w:sz w:val="20"/>
          <w:szCs w:val="20"/>
        </w:rPr>
        <w:t xml:space="preserve">inserted </w:t>
      </w:r>
      <w:r>
        <w:rPr>
          <w:rFonts w:cstheme="minorHAnsi"/>
          <w:sz w:val="20"/>
          <w:szCs w:val="20"/>
        </w:rPr>
        <w:t>the</w:t>
      </w:r>
      <w:r w:rsidR="0077780B" w:rsidRPr="000138BA">
        <w:rPr>
          <w:rFonts w:cstheme="minorHAnsi"/>
          <w:sz w:val="20"/>
          <w:szCs w:val="20"/>
        </w:rPr>
        <w:t xml:space="preserve"> Multi-National Anti-Avoidance Law (</w:t>
      </w:r>
      <w:r w:rsidR="0077780B" w:rsidRPr="00BE7FA4">
        <w:rPr>
          <w:rFonts w:cstheme="minorHAnsi"/>
          <w:b/>
          <w:bCs/>
          <w:sz w:val="20"/>
          <w:szCs w:val="20"/>
        </w:rPr>
        <w:t>MAAL</w:t>
      </w:r>
      <w:r w:rsidR="0077780B" w:rsidRPr="000138BA">
        <w:rPr>
          <w:rFonts w:cstheme="minorHAnsi"/>
          <w:sz w:val="20"/>
          <w:szCs w:val="20"/>
        </w:rPr>
        <w:t xml:space="preserve">) </w:t>
      </w:r>
      <w:r w:rsidR="0077780B">
        <w:rPr>
          <w:rFonts w:cstheme="minorHAnsi"/>
          <w:sz w:val="20"/>
          <w:szCs w:val="20"/>
        </w:rPr>
        <w:t xml:space="preserve">into </w:t>
      </w:r>
      <w:r w:rsidR="005279D2">
        <w:rPr>
          <w:rFonts w:cstheme="minorHAnsi"/>
          <w:sz w:val="20"/>
          <w:szCs w:val="20"/>
        </w:rPr>
        <w:t xml:space="preserve">section 177DA of </w:t>
      </w:r>
      <w:r w:rsidR="0077780B">
        <w:rPr>
          <w:rFonts w:cstheme="minorHAnsi"/>
          <w:sz w:val="20"/>
          <w:szCs w:val="20"/>
        </w:rPr>
        <w:t>Part IVA</w:t>
      </w:r>
      <w:r w:rsidR="00E60871">
        <w:rPr>
          <w:rFonts w:cstheme="minorHAnsi"/>
          <w:sz w:val="20"/>
          <w:szCs w:val="20"/>
        </w:rPr>
        <w:t xml:space="preserve"> of the </w:t>
      </w:r>
      <w:r w:rsidR="00E60871">
        <w:rPr>
          <w:rFonts w:cstheme="minorHAnsi"/>
          <w:i/>
          <w:sz w:val="20"/>
          <w:szCs w:val="20"/>
        </w:rPr>
        <w:t>ITAA 1936</w:t>
      </w:r>
      <w:r w:rsidR="0077780B">
        <w:rPr>
          <w:rFonts w:cstheme="minorHAnsi"/>
          <w:sz w:val="20"/>
          <w:szCs w:val="20"/>
        </w:rPr>
        <w:t xml:space="preserve"> to crackdown on certain tax avoidance practices of multinational groups.</w:t>
      </w:r>
    </w:p>
    <w:p w14:paraId="36C19096" w14:textId="77777777" w:rsidR="0077780B" w:rsidRDefault="0077780B" w:rsidP="005279D2">
      <w:pPr>
        <w:adjustRightInd w:val="0"/>
        <w:snapToGrid w:val="0"/>
        <w:spacing w:line="276" w:lineRule="auto"/>
        <w:jc w:val="left"/>
        <w:rPr>
          <w:rFonts w:cstheme="minorHAnsi"/>
          <w:sz w:val="20"/>
          <w:szCs w:val="20"/>
        </w:rPr>
      </w:pPr>
    </w:p>
    <w:p w14:paraId="3AD4A754" w14:textId="0BEB1334"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The </w:t>
      </w:r>
      <w:r>
        <w:rPr>
          <w:rFonts w:cstheme="minorHAnsi"/>
          <w:sz w:val="20"/>
          <w:szCs w:val="20"/>
        </w:rPr>
        <w:t xml:space="preserve">purpose of the amending provisions in section 177DA </w:t>
      </w:r>
      <w:r w:rsidR="00E60871">
        <w:rPr>
          <w:rFonts w:cstheme="minorHAnsi"/>
          <w:sz w:val="20"/>
          <w:szCs w:val="20"/>
        </w:rPr>
        <w:t xml:space="preserve">of the </w:t>
      </w:r>
      <w:r w:rsidR="00E60871">
        <w:rPr>
          <w:rFonts w:cstheme="minorHAnsi"/>
          <w:i/>
          <w:sz w:val="20"/>
          <w:szCs w:val="20"/>
        </w:rPr>
        <w:t xml:space="preserve">ITAA 1936 </w:t>
      </w:r>
      <w:r>
        <w:rPr>
          <w:rFonts w:cstheme="minorHAnsi"/>
          <w:sz w:val="20"/>
          <w:szCs w:val="20"/>
        </w:rPr>
        <w:t xml:space="preserve">is to </w:t>
      </w:r>
      <w:r w:rsidRPr="000138BA">
        <w:rPr>
          <w:rFonts w:cstheme="minorHAnsi"/>
          <w:sz w:val="20"/>
          <w:szCs w:val="20"/>
        </w:rPr>
        <w:t xml:space="preserve">counter the erosion of the Australian tax base by multinational enterprises using artificial and contrived arrangements to avoid the attribution of profits to a permanent establishment in Australia.  </w:t>
      </w:r>
    </w:p>
    <w:p w14:paraId="0B241D62" w14:textId="77777777" w:rsidR="0077780B" w:rsidRPr="000138BA" w:rsidRDefault="0077780B" w:rsidP="005279D2">
      <w:pPr>
        <w:adjustRightInd w:val="0"/>
        <w:snapToGrid w:val="0"/>
        <w:spacing w:line="276" w:lineRule="auto"/>
        <w:jc w:val="left"/>
        <w:rPr>
          <w:rFonts w:cstheme="minorHAnsi"/>
          <w:sz w:val="20"/>
          <w:szCs w:val="20"/>
        </w:rPr>
      </w:pPr>
    </w:p>
    <w:p w14:paraId="0387E03E" w14:textId="77777777" w:rsidR="0077780B" w:rsidRPr="000138BA" w:rsidRDefault="00025A95" w:rsidP="005279D2">
      <w:pPr>
        <w:adjustRightInd w:val="0"/>
        <w:snapToGrid w:val="0"/>
        <w:spacing w:line="276" w:lineRule="auto"/>
        <w:jc w:val="left"/>
        <w:rPr>
          <w:rFonts w:cstheme="minorHAnsi"/>
          <w:sz w:val="20"/>
          <w:szCs w:val="20"/>
        </w:rPr>
      </w:pPr>
      <w:r>
        <w:rPr>
          <w:rFonts w:cstheme="minorHAnsi"/>
          <w:sz w:val="20"/>
          <w:szCs w:val="20"/>
        </w:rPr>
        <w:t>S</w:t>
      </w:r>
      <w:r w:rsidR="0077780B" w:rsidRPr="000138BA">
        <w:rPr>
          <w:rFonts w:cstheme="minorHAnsi"/>
          <w:sz w:val="20"/>
          <w:szCs w:val="20"/>
        </w:rPr>
        <w:t>uch a tax benefit will be cancelled if:</w:t>
      </w:r>
    </w:p>
    <w:p w14:paraId="0EB26160" w14:textId="77777777" w:rsidR="0077780B" w:rsidRPr="000138BA" w:rsidRDefault="0077780B" w:rsidP="005279D2">
      <w:pPr>
        <w:adjustRightInd w:val="0"/>
        <w:snapToGrid w:val="0"/>
        <w:spacing w:line="276" w:lineRule="auto"/>
        <w:rPr>
          <w:rFonts w:cstheme="minorHAnsi"/>
          <w:sz w:val="20"/>
          <w:szCs w:val="20"/>
        </w:rPr>
      </w:pPr>
    </w:p>
    <w:p w14:paraId="6C4E51DA" w14:textId="581B8AB8" w:rsidR="0077780B" w:rsidRPr="000138BA"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77780B" w:rsidRPr="000138BA">
        <w:rPr>
          <w:rFonts w:cstheme="minorHAnsi"/>
          <w:sz w:val="20"/>
          <w:szCs w:val="20"/>
        </w:rPr>
        <w:t>he taxpayer is a significant global entity (with annual global income of $1 billion or more) who makes sup</w:t>
      </w:r>
      <w:r>
        <w:rPr>
          <w:rFonts w:cstheme="minorHAnsi"/>
          <w:sz w:val="20"/>
          <w:szCs w:val="20"/>
        </w:rPr>
        <w:t>plies to customers in Australia</w:t>
      </w:r>
      <w:r w:rsidR="007F12CC">
        <w:rPr>
          <w:rFonts w:cstheme="minorHAnsi"/>
          <w:sz w:val="20"/>
          <w:szCs w:val="20"/>
        </w:rPr>
        <w:t>,</w:t>
      </w:r>
    </w:p>
    <w:p w14:paraId="13A6F7F5" w14:textId="4F370A21" w:rsidR="0077780B" w:rsidRPr="000138BA"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77780B" w:rsidRPr="000138BA">
        <w:rPr>
          <w:rFonts w:cstheme="minorHAnsi"/>
          <w:sz w:val="20"/>
          <w:szCs w:val="20"/>
        </w:rPr>
        <w:t>he activities are undertaken in Australia directly in connection with those supplies by an Australian entity which is associated with or commercially d</w:t>
      </w:r>
      <w:r>
        <w:rPr>
          <w:rFonts w:cstheme="minorHAnsi"/>
          <w:sz w:val="20"/>
          <w:szCs w:val="20"/>
        </w:rPr>
        <w:t>ependent on the global entity</w:t>
      </w:r>
      <w:r w:rsidR="007F12CC">
        <w:rPr>
          <w:rFonts w:cstheme="minorHAnsi"/>
          <w:sz w:val="20"/>
          <w:szCs w:val="20"/>
        </w:rPr>
        <w:t>, and</w:t>
      </w:r>
    </w:p>
    <w:p w14:paraId="07832AE1" w14:textId="77777777" w:rsidR="0077780B"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306C64">
        <w:rPr>
          <w:rFonts w:cstheme="minorHAnsi"/>
          <w:sz w:val="20"/>
          <w:szCs w:val="20"/>
        </w:rPr>
        <w:t xml:space="preserve">he taxpayer obtains </w:t>
      </w:r>
      <w:r w:rsidR="0077780B" w:rsidRPr="000138BA">
        <w:rPr>
          <w:rFonts w:cstheme="minorHAnsi"/>
          <w:sz w:val="20"/>
          <w:szCs w:val="20"/>
        </w:rPr>
        <w:t>a tax benefit being the avoidance of tax arising from the attribution of income to an Australian permanent establishment that was entered into for the ‘principal’ purpose of obtaining a tax benefit.</w:t>
      </w:r>
    </w:p>
    <w:p w14:paraId="4E10A80B" w14:textId="77777777" w:rsidR="0077780B" w:rsidRDefault="0077780B" w:rsidP="005279D2">
      <w:pPr>
        <w:adjustRightInd w:val="0"/>
        <w:snapToGrid w:val="0"/>
        <w:spacing w:line="276" w:lineRule="auto"/>
        <w:jc w:val="left"/>
        <w:rPr>
          <w:rFonts w:cstheme="minorHAnsi"/>
          <w:sz w:val="20"/>
          <w:szCs w:val="20"/>
        </w:rPr>
      </w:pPr>
    </w:p>
    <w:p w14:paraId="700B9193" w14:textId="77777777" w:rsidR="0077780B" w:rsidRDefault="0077780B" w:rsidP="005279D2">
      <w:pPr>
        <w:adjustRightInd w:val="0"/>
        <w:snapToGrid w:val="0"/>
        <w:spacing w:line="276" w:lineRule="auto"/>
        <w:jc w:val="left"/>
        <w:rPr>
          <w:rFonts w:cstheme="minorHAnsi"/>
          <w:sz w:val="20"/>
          <w:szCs w:val="20"/>
        </w:rPr>
      </w:pPr>
      <w:r>
        <w:rPr>
          <w:rFonts w:cstheme="minorHAnsi"/>
          <w:sz w:val="20"/>
          <w:szCs w:val="20"/>
        </w:rPr>
        <w:t xml:space="preserve">The MAAL applies on or after 1 January 2016 in connection with a scheme (even where that scheme commenced to be carried out before that day).  </w:t>
      </w:r>
    </w:p>
    <w:p w14:paraId="06DC9D9B" w14:textId="77777777" w:rsidR="00755AAE" w:rsidRDefault="00755AAE" w:rsidP="005279D2">
      <w:pPr>
        <w:adjustRightInd w:val="0"/>
        <w:snapToGrid w:val="0"/>
        <w:spacing w:line="276" w:lineRule="auto"/>
        <w:jc w:val="left"/>
        <w:rPr>
          <w:rFonts w:cstheme="minorHAnsi"/>
          <w:sz w:val="20"/>
          <w:szCs w:val="20"/>
        </w:rPr>
      </w:pPr>
    </w:p>
    <w:p w14:paraId="57DFC706" w14:textId="08E8ECBD" w:rsidR="00A15898" w:rsidRDefault="00755AAE" w:rsidP="005279D2">
      <w:pPr>
        <w:adjustRightInd w:val="0"/>
        <w:snapToGrid w:val="0"/>
        <w:spacing w:line="276" w:lineRule="auto"/>
        <w:jc w:val="left"/>
        <w:rPr>
          <w:rFonts w:cstheme="minorHAnsi"/>
          <w:sz w:val="20"/>
          <w:szCs w:val="20"/>
        </w:rPr>
      </w:pPr>
      <w:r w:rsidRPr="00755AAE">
        <w:rPr>
          <w:rFonts w:cstheme="minorHAnsi"/>
          <w:sz w:val="20"/>
          <w:szCs w:val="20"/>
        </w:rPr>
        <w:t xml:space="preserve">In addition, from 1 July 2017 a diverted profits tax </w:t>
      </w:r>
      <w:r w:rsidR="00DA1760">
        <w:rPr>
          <w:rFonts w:cstheme="minorHAnsi"/>
          <w:sz w:val="20"/>
          <w:szCs w:val="20"/>
        </w:rPr>
        <w:t>(</w:t>
      </w:r>
      <w:r w:rsidR="00DA1760" w:rsidRPr="00DA1760">
        <w:rPr>
          <w:rFonts w:cstheme="minorHAnsi"/>
          <w:b/>
          <w:bCs/>
          <w:sz w:val="20"/>
          <w:szCs w:val="20"/>
        </w:rPr>
        <w:t>DPT</w:t>
      </w:r>
      <w:r w:rsidR="00DA1760">
        <w:rPr>
          <w:rFonts w:cstheme="minorHAnsi"/>
          <w:sz w:val="20"/>
          <w:szCs w:val="20"/>
        </w:rPr>
        <w:t xml:space="preserve">) </w:t>
      </w:r>
      <w:r w:rsidRPr="00DA1760">
        <w:rPr>
          <w:rFonts w:cstheme="minorHAnsi"/>
          <w:sz w:val="20"/>
          <w:szCs w:val="20"/>
        </w:rPr>
        <w:t>appl</w:t>
      </w:r>
      <w:r w:rsidR="0053286C" w:rsidRPr="00DA1760">
        <w:rPr>
          <w:rFonts w:cstheme="minorHAnsi"/>
          <w:sz w:val="20"/>
          <w:szCs w:val="20"/>
        </w:rPr>
        <w:t>ies</w:t>
      </w:r>
      <w:r w:rsidRPr="00755AAE">
        <w:rPr>
          <w:rFonts w:cstheme="minorHAnsi"/>
          <w:sz w:val="20"/>
          <w:szCs w:val="20"/>
        </w:rPr>
        <w:t xml:space="preserve"> under Part IVA to ensure that significant global entities are not able to obtain a tax benefit by diverting profits generated in Australia offshore</w:t>
      </w:r>
      <w:r>
        <w:rPr>
          <w:rFonts w:cstheme="minorHAnsi"/>
          <w:sz w:val="20"/>
          <w:szCs w:val="20"/>
        </w:rPr>
        <w:t>.</w:t>
      </w:r>
      <w:r w:rsidRPr="00755AAE">
        <w:rPr>
          <w:rFonts w:cstheme="minorHAnsi"/>
          <w:sz w:val="20"/>
          <w:szCs w:val="20"/>
        </w:rPr>
        <w:t xml:space="preserve"> Should this be the case</w:t>
      </w:r>
      <w:r w:rsidR="0053286C">
        <w:rPr>
          <w:rFonts w:cstheme="minorHAnsi"/>
          <w:sz w:val="20"/>
          <w:szCs w:val="20"/>
        </w:rPr>
        <w:t>,</w:t>
      </w:r>
      <w:r w:rsidRPr="00755AAE">
        <w:rPr>
          <w:rFonts w:cstheme="minorHAnsi"/>
          <w:sz w:val="20"/>
          <w:szCs w:val="20"/>
        </w:rPr>
        <w:t xml:space="preserve"> tax will be potentially levied at a rate of 40% on the amount of profits diverted overseas where the entity has Australian income of more than $25 million.   </w:t>
      </w:r>
    </w:p>
    <w:p w14:paraId="2A71EABA" w14:textId="77777777" w:rsidR="00A15898" w:rsidRDefault="00A15898" w:rsidP="005279D2">
      <w:pPr>
        <w:adjustRightInd w:val="0"/>
        <w:snapToGrid w:val="0"/>
        <w:spacing w:line="276" w:lineRule="auto"/>
        <w:jc w:val="left"/>
        <w:rPr>
          <w:rFonts w:cstheme="minorHAnsi"/>
          <w:sz w:val="20"/>
          <w:szCs w:val="20"/>
        </w:rPr>
      </w:pPr>
    </w:p>
    <w:p w14:paraId="29AD07B5" w14:textId="11F08A85" w:rsidR="00661E25" w:rsidRDefault="00A15898" w:rsidP="005279D2">
      <w:pPr>
        <w:adjustRightInd w:val="0"/>
        <w:snapToGrid w:val="0"/>
        <w:spacing w:line="276" w:lineRule="auto"/>
        <w:jc w:val="left"/>
        <w:rPr>
          <w:b/>
          <w:sz w:val="20"/>
          <w:szCs w:val="20"/>
        </w:rPr>
      </w:pPr>
      <w:r>
        <w:rPr>
          <w:rFonts w:cstheme="minorHAnsi"/>
          <w:sz w:val="20"/>
          <w:szCs w:val="20"/>
        </w:rPr>
        <w:t>Further clarity concerning the operation of the</w:t>
      </w:r>
      <w:r w:rsidR="00DA1760">
        <w:rPr>
          <w:rFonts w:cstheme="minorHAnsi"/>
          <w:sz w:val="20"/>
          <w:szCs w:val="20"/>
        </w:rPr>
        <w:t xml:space="preserve"> DPT </w:t>
      </w:r>
      <w:r>
        <w:rPr>
          <w:rFonts w:cstheme="minorHAnsi"/>
          <w:sz w:val="20"/>
          <w:szCs w:val="20"/>
        </w:rPr>
        <w:t>is set out in Law Companion Ruling LCR 2018/6</w:t>
      </w:r>
      <w:r w:rsidR="009B542C">
        <w:rPr>
          <w:rFonts w:cstheme="minorHAnsi"/>
          <w:sz w:val="20"/>
          <w:szCs w:val="20"/>
        </w:rPr>
        <w:t xml:space="preserve">. The Commissioner has </w:t>
      </w:r>
      <w:r w:rsidR="00177E65">
        <w:rPr>
          <w:rFonts w:cstheme="minorHAnsi"/>
          <w:sz w:val="20"/>
          <w:szCs w:val="20"/>
        </w:rPr>
        <w:t xml:space="preserve">also </w:t>
      </w:r>
      <w:r w:rsidR="009B542C">
        <w:rPr>
          <w:rFonts w:cstheme="minorHAnsi"/>
          <w:sz w:val="20"/>
          <w:szCs w:val="20"/>
        </w:rPr>
        <w:t>released Practice Compliance Guideline 2018/5</w:t>
      </w:r>
      <w:r w:rsidR="00DB62E7">
        <w:rPr>
          <w:rFonts w:cstheme="minorHAnsi"/>
          <w:sz w:val="20"/>
          <w:szCs w:val="20"/>
        </w:rPr>
        <w:t xml:space="preserve">, which sets out the </w:t>
      </w:r>
      <w:r w:rsidR="00DB62E7">
        <w:rPr>
          <w:rFonts w:cstheme="minorHAnsi"/>
          <w:sz w:val="20"/>
          <w:szCs w:val="20"/>
        </w:rPr>
        <w:lastRenderedPageBreak/>
        <w:t>ATO’s risk assessment, client engagement frameworks and compliance approach when DPT is identified</w:t>
      </w:r>
      <w:r w:rsidR="00177E65">
        <w:rPr>
          <w:b/>
          <w:sz w:val="20"/>
          <w:szCs w:val="20"/>
        </w:rPr>
        <w:t>.</w:t>
      </w:r>
    </w:p>
    <w:p w14:paraId="24771C19" w14:textId="77777777" w:rsidR="005116A8" w:rsidRDefault="005116A8" w:rsidP="005279D2">
      <w:pPr>
        <w:adjustRightInd w:val="0"/>
        <w:snapToGrid w:val="0"/>
        <w:spacing w:line="276" w:lineRule="auto"/>
        <w:jc w:val="left"/>
        <w:rPr>
          <w:b/>
          <w:sz w:val="20"/>
          <w:szCs w:val="20"/>
        </w:rPr>
      </w:pPr>
    </w:p>
    <w:p w14:paraId="68C32C09" w14:textId="63E6D602" w:rsidR="0077780B" w:rsidRPr="004616C8" w:rsidRDefault="0077780B" w:rsidP="005279D2">
      <w:pPr>
        <w:adjustRightInd w:val="0"/>
        <w:snapToGrid w:val="0"/>
        <w:spacing w:line="276" w:lineRule="auto"/>
        <w:jc w:val="left"/>
        <w:rPr>
          <w:b/>
          <w:sz w:val="20"/>
          <w:szCs w:val="20"/>
        </w:rPr>
      </w:pPr>
      <w:r>
        <w:rPr>
          <w:b/>
          <w:sz w:val="20"/>
          <w:szCs w:val="20"/>
        </w:rPr>
        <w:t>A</w:t>
      </w:r>
      <w:r w:rsidRPr="000138BA">
        <w:rPr>
          <w:b/>
          <w:sz w:val="20"/>
          <w:szCs w:val="20"/>
        </w:rPr>
        <w:t>ctions to consider</w:t>
      </w:r>
    </w:p>
    <w:p w14:paraId="227D539A" w14:textId="77777777" w:rsidR="0077780B" w:rsidRDefault="0077780B" w:rsidP="005279D2">
      <w:pPr>
        <w:adjustRightInd w:val="0"/>
        <w:snapToGrid w:val="0"/>
        <w:spacing w:line="276" w:lineRule="auto"/>
        <w:jc w:val="left"/>
        <w:rPr>
          <w:sz w:val="20"/>
          <w:szCs w:val="20"/>
        </w:rPr>
      </w:pPr>
    </w:p>
    <w:p w14:paraId="3CFCF7DD" w14:textId="77777777" w:rsidR="009E3CA2" w:rsidRPr="00AB1385" w:rsidRDefault="009E3CA2" w:rsidP="005279D2">
      <w:pPr>
        <w:adjustRightInd w:val="0"/>
        <w:snapToGrid w:val="0"/>
        <w:spacing w:line="276" w:lineRule="auto"/>
        <w:jc w:val="left"/>
        <w:rPr>
          <w:sz w:val="20"/>
          <w:szCs w:val="20"/>
        </w:rPr>
      </w:pPr>
      <w:r>
        <w:rPr>
          <w:sz w:val="20"/>
          <w:szCs w:val="20"/>
        </w:rPr>
        <w:t>W</w:t>
      </w:r>
      <w:r w:rsidRPr="00AB1385">
        <w:rPr>
          <w:sz w:val="20"/>
          <w:szCs w:val="20"/>
        </w:rPr>
        <w:t>hen considering any proposed transactions,</w:t>
      </w:r>
      <w:r>
        <w:rPr>
          <w:sz w:val="20"/>
          <w:szCs w:val="20"/>
        </w:rPr>
        <w:t xml:space="preserve"> you must carefully consider</w:t>
      </w:r>
      <w:r w:rsidRPr="00AB1385">
        <w:rPr>
          <w:sz w:val="20"/>
          <w:szCs w:val="20"/>
        </w:rPr>
        <w:t xml:space="preserve"> the transaction’s commercial and economic substance. In particular</w:t>
      </w:r>
      <w:r>
        <w:rPr>
          <w:sz w:val="20"/>
          <w:szCs w:val="20"/>
        </w:rPr>
        <w:t>,</w:t>
      </w:r>
      <w:r w:rsidRPr="00AB1385">
        <w:rPr>
          <w:sz w:val="20"/>
          <w:szCs w:val="20"/>
        </w:rPr>
        <w:t xml:space="preserve"> you should ensure that this substance can be clearly demonstrated in a reasonable alternative scheme. </w:t>
      </w:r>
    </w:p>
    <w:p w14:paraId="4FBDA69C" w14:textId="77777777" w:rsidR="009E3CA2" w:rsidRDefault="009E3CA2" w:rsidP="005279D2">
      <w:pPr>
        <w:adjustRightInd w:val="0"/>
        <w:snapToGrid w:val="0"/>
        <w:spacing w:line="276" w:lineRule="auto"/>
        <w:jc w:val="left"/>
        <w:rPr>
          <w:sz w:val="20"/>
          <w:szCs w:val="20"/>
        </w:rPr>
      </w:pPr>
    </w:p>
    <w:p w14:paraId="39AD99E5" w14:textId="4CB60B55" w:rsidR="006A38EE" w:rsidRDefault="006A38EE" w:rsidP="005279D2">
      <w:pPr>
        <w:adjustRightInd w:val="0"/>
        <w:snapToGrid w:val="0"/>
        <w:spacing w:line="276" w:lineRule="auto"/>
        <w:jc w:val="left"/>
        <w:rPr>
          <w:sz w:val="20"/>
          <w:szCs w:val="20"/>
        </w:rPr>
      </w:pPr>
      <w:r>
        <w:rPr>
          <w:sz w:val="20"/>
          <w:szCs w:val="20"/>
        </w:rPr>
        <w:t xml:space="preserve">Apart from the impact of Part IVA applying to “reverse” the impact of any scheme, the ATO can also impose </w:t>
      </w:r>
      <w:r w:rsidR="000D3F0B">
        <w:rPr>
          <w:sz w:val="20"/>
          <w:szCs w:val="20"/>
        </w:rPr>
        <w:t xml:space="preserve">significant </w:t>
      </w:r>
      <w:r>
        <w:rPr>
          <w:sz w:val="20"/>
          <w:szCs w:val="20"/>
        </w:rPr>
        <w:t xml:space="preserve">penalties </w:t>
      </w:r>
      <w:r w:rsidR="00755AAE">
        <w:rPr>
          <w:sz w:val="20"/>
          <w:szCs w:val="20"/>
        </w:rPr>
        <w:t>in respect of</w:t>
      </w:r>
      <w:r w:rsidR="000D3F0B">
        <w:rPr>
          <w:sz w:val="20"/>
          <w:szCs w:val="20"/>
        </w:rPr>
        <w:t xml:space="preserve"> the</w:t>
      </w:r>
      <w:r w:rsidR="00755AAE">
        <w:rPr>
          <w:sz w:val="20"/>
          <w:szCs w:val="20"/>
        </w:rPr>
        <w:t xml:space="preserve"> tax benefits</w:t>
      </w:r>
      <w:r w:rsidR="00F6697E">
        <w:rPr>
          <w:sz w:val="20"/>
          <w:szCs w:val="20"/>
        </w:rPr>
        <w:t xml:space="preserve"> obtained</w:t>
      </w:r>
      <w:r>
        <w:rPr>
          <w:sz w:val="20"/>
          <w:szCs w:val="20"/>
        </w:rPr>
        <w:t>.</w:t>
      </w:r>
    </w:p>
    <w:p w14:paraId="53F5BD42" w14:textId="77777777" w:rsidR="00AA5A50" w:rsidRPr="00AB1385" w:rsidRDefault="00AA5A50" w:rsidP="005279D2">
      <w:pPr>
        <w:adjustRightInd w:val="0"/>
        <w:snapToGrid w:val="0"/>
        <w:spacing w:line="276" w:lineRule="auto"/>
        <w:jc w:val="left"/>
        <w:rPr>
          <w:sz w:val="20"/>
          <w:szCs w:val="20"/>
        </w:rPr>
      </w:pPr>
    </w:p>
    <w:p w14:paraId="156A695E" w14:textId="72701479" w:rsidR="00755AAE" w:rsidRDefault="009E3CA2" w:rsidP="005279D2">
      <w:pPr>
        <w:adjustRightInd w:val="0"/>
        <w:snapToGrid w:val="0"/>
        <w:spacing w:line="276" w:lineRule="auto"/>
        <w:jc w:val="left"/>
        <w:rPr>
          <w:bCs/>
          <w:sz w:val="20"/>
          <w:szCs w:val="20"/>
        </w:rPr>
      </w:pPr>
      <w:r w:rsidRPr="00AB1385">
        <w:rPr>
          <w:bCs/>
          <w:sz w:val="20"/>
          <w:szCs w:val="20"/>
        </w:rPr>
        <w:t xml:space="preserve">The practical application of </w:t>
      </w:r>
      <w:r w:rsidR="00755AAE">
        <w:rPr>
          <w:bCs/>
          <w:sz w:val="20"/>
          <w:szCs w:val="20"/>
        </w:rPr>
        <w:t>Part IVA</w:t>
      </w:r>
      <w:r w:rsidRPr="00AB1385">
        <w:rPr>
          <w:bCs/>
          <w:sz w:val="20"/>
          <w:szCs w:val="20"/>
        </w:rPr>
        <w:t xml:space="preserve"> can be difficult </w:t>
      </w:r>
      <w:r w:rsidR="00755AAE">
        <w:rPr>
          <w:bCs/>
          <w:sz w:val="20"/>
          <w:szCs w:val="20"/>
        </w:rPr>
        <w:t>to understand and apply as there</w:t>
      </w:r>
      <w:r w:rsidRPr="00AB1385">
        <w:rPr>
          <w:bCs/>
          <w:sz w:val="20"/>
          <w:szCs w:val="20"/>
        </w:rPr>
        <w:t xml:space="preserve"> is littl</w:t>
      </w:r>
      <w:r w:rsidR="00755AAE">
        <w:rPr>
          <w:bCs/>
          <w:sz w:val="20"/>
          <w:szCs w:val="20"/>
        </w:rPr>
        <w:t>e guidance currently available other than Practice Statement PS</w:t>
      </w:r>
      <w:r w:rsidR="00B07F8C">
        <w:rPr>
          <w:bCs/>
          <w:sz w:val="20"/>
          <w:szCs w:val="20"/>
        </w:rPr>
        <w:t xml:space="preserve"> </w:t>
      </w:r>
      <w:r w:rsidR="00755AAE">
        <w:rPr>
          <w:bCs/>
          <w:sz w:val="20"/>
          <w:szCs w:val="20"/>
        </w:rPr>
        <w:t xml:space="preserve">LA 2005/24, which </w:t>
      </w:r>
      <w:r w:rsidR="000D3F0B">
        <w:rPr>
          <w:bCs/>
          <w:sz w:val="20"/>
          <w:szCs w:val="20"/>
        </w:rPr>
        <w:t xml:space="preserve">was </w:t>
      </w:r>
      <w:r w:rsidR="00755AAE">
        <w:rPr>
          <w:bCs/>
          <w:sz w:val="20"/>
          <w:szCs w:val="20"/>
        </w:rPr>
        <w:t xml:space="preserve">updated </w:t>
      </w:r>
      <w:r w:rsidR="000D3F0B">
        <w:rPr>
          <w:bCs/>
          <w:sz w:val="20"/>
          <w:szCs w:val="20"/>
        </w:rPr>
        <w:t xml:space="preserve">for </w:t>
      </w:r>
      <w:r w:rsidR="00755AAE">
        <w:rPr>
          <w:bCs/>
          <w:sz w:val="20"/>
          <w:szCs w:val="20"/>
        </w:rPr>
        <w:t xml:space="preserve">the 2013 amendments, </w:t>
      </w:r>
      <w:r w:rsidR="003F650D">
        <w:rPr>
          <w:bCs/>
          <w:sz w:val="20"/>
          <w:szCs w:val="20"/>
        </w:rPr>
        <w:t xml:space="preserve">but </w:t>
      </w:r>
      <w:r w:rsidR="00755AAE">
        <w:rPr>
          <w:bCs/>
          <w:sz w:val="20"/>
          <w:szCs w:val="20"/>
        </w:rPr>
        <w:t>have yet to be clarified judicially</w:t>
      </w:r>
      <w:r>
        <w:rPr>
          <w:bCs/>
          <w:sz w:val="20"/>
          <w:szCs w:val="20"/>
        </w:rPr>
        <w:t xml:space="preserve">. </w:t>
      </w:r>
    </w:p>
    <w:p w14:paraId="2E58ED34" w14:textId="77777777" w:rsidR="00755AAE" w:rsidRDefault="00755AAE" w:rsidP="005279D2">
      <w:pPr>
        <w:adjustRightInd w:val="0"/>
        <w:snapToGrid w:val="0"/>
        <w:spacing w:line="276" w:lineRule="auto"/>
        <w:jc w:val="left"/>
        <w:rPr>
          <w:bCs/>
          <w:sz w:val="20"/>
          <w:szCs w:val="20"/>
        </w:rPr>
      </w:pPr>
    </w:p>
    <w:p w14:paraId="2490A442" w14:textId="50CE5141" w:rsidR="009E3CA2" w:rsidRPr="00AB1385" w:rsidRDefault="009E3CA2" w:rsidP="005279D2">
      <w:pPr>
        <w:adjustRightInd w:val="0"/>
        <w:snapToGrid w:val="0"/>
        <w:spacing w:line="276" w:lineRule="auto"/>
        <w:jc w:val="left"/>
        <w:rPr>
          <w:sz w:val="20"/>
          <w:szCs w:val="20"/>
        </w:rPr>
      </w:pPr>
      <w:r w:rsidRPr="00AB1385">
        <w:rPr>
          <w:bCs/>
          <w:sz w:val="20"/>
          <w:szCs w:val="20"/>
        </w:rPr>
        <w:t>A</w:t>
      </w:r>
      <w:r w:rsidR="00755AAE">
        <w:rPr>
          <w:bCs/>
          <w:sz w:val="20"/>
          <w:szCs w:val="20"/>
        </w:rPr>
        <w:t>ccordingly</w:t>
      </w:r>
      <w:r w:rsidRPr="00AB1385">
        <w:rPr>
          <w:bCs/>
          <w:sz w:val="20"/>
          <w:szCs w:val="20"/>
        </w:rPr>
        <w:t xml:space="preserve">, if you require assistance </w:t>
      </w:r>
      <w:r w:rsidR="00755AAE">
        <w:rPr>
          <w:bCs/>
          <w:sz w:val="20"/>
          <w:szCs w:val="20"/>
        </w:rPr>
        <w:t>in determining whether a proposed or actual transaction may be subject to Part IVA</w:t>
      </w:r>
      <w:r w:rsidR="00306C64">
        <w:rPr>
          <w:bCs/>
          <w:sz w:val="20"/>
          <w:szCs w:val="20"/>
        </w:rPr>
        <w:t>,</w:t>
      </w:r>
      <w:r w:rsidRPr="00AB1385">
        <w:rPr>
          <w:sz w:val="20"/>
          <w:szCs w:val="20"/>
        </w:rPr>
        <w:t xml:space="preserve"> please contact me on [</w:t>
      </w:r>
      <w:r w:rsidRPr="00AB1385">
        <w:rPr>
          <w:sz w:val="20"/>
          <w:szCs w:val="20"/>
          <w:highlight w:val="lightGray"/>
        </w:rPr>
        <w:t xml:space="preserve">insert telephone number of </w:t>
      </w:r>
      <w:r w:rsidR="008376B0">
        <w:rPr>
          <w:sz w:val="20"/>
          <w:szCs w:val="20"/>
          <w:highlight w:val="lightGray"/>
        </w:rPr>
        <w:t>P</w:t>
      </w:r>
      <w:r w:rsidRPr="00AB1385">
        <w:rPr>
          <w:sz w:val="20"/>
          <w:szCs w:val="20"/>
          <w:highlight w:val="lightGray"/>
        </w:rPr>
        <w:t>artner</w:t>
      </w:r>
      <w:r w:rsidRPr="00AB1385">
        <w:rPr>
          <w:sz w:val="20"/>
          <w:szCs w:val="20"/>
        </w:rPr>
        <w:t>].</w:t>
      </w:r>
    </w:p>
    <w:p w14:paraId="5BFA2C93" w14:textId="77777777" w:rsidR="009E3CA2" w:rsidRPr="00AB1385" w:rsidRDefault="009E3CA2" w:rsidP="005279D2">
      <w:pPr>
        <w:adjustRightInd w:val="0"/>
        <w:snapToGrid w:val="0"/>
        <w:spacing w:line="276" w:lineRule="auto"/>
        <w:jc w:val="left"/>
        <w:rPr>
          <w:sz w:val="20"/>
          <w:szCs w:val="20"/>
        </w:rPr>
      </w:pPr>
      <w:bookmarkStart w:id="17" w:name="Signoff"/>
      <w:bookmarkEnd w:id="17"/>
    </w:p>
    <w:p w14:paraId="278CF0E0" w14:textId="77777777" w:rsidR="009E3CA2" w:rsidRDefault="009E3CA2" w:rsidP="005279D2">
      <w:pPr>
        <w:adjustRightInd w:val="0"/>
        <w:snapToGrid w:val="0"/>
        <w:spacing w:line="276" w:lineRule="auto"/>
        <w:jc w:val="left"/>
        <w:rPr>
          <w:sz w:val="20"/>
          <w:szCs w:val="20"/>
        </w:rPr>
      </w:pPr>
    </w:p>
    <w:p w14:paraId="6501834F" w14:textId="77777777" w:rsidR="009E3CA2" w:rsidRDefault="009E3CA2" w:rsidP="005279D2">
      <w:pPr>
        <w:adjustRightInd w:val="0"/>
        <w:snapToGrid w:val="0"/>
        <w:spacing w:line="276" w:lineRule="auto"/>
        <w:jc w:val="left"/>
        <w:rPr>
          <w:sz w:val="20"/>
          <w:szCs w:val="20"/>
        </w:rPr>
      </w:pPr>
      <w:r w:rsidRPr="00AB1385">
        <w:rPr>
          <w:sz w:val="20"/>
          <w:szCs w:val="20"/>
        </w:rPr>
        <w:t>Yours faithfully</w:t>
      </w:r>
    </w:p>
    <w:p w14:paraId="061767E9" w14:textId="77777777" w:rsidR="009E3CA2" w:rsidRDefault="009E3CA2" w:rsidP="005279D2">
      <w:pPr>
        <w:adjustRightInd w:val="0"/>
        <w:snapToGrid w:val="0"/>
        <w:spacing w:line="276" w:lineRule="auto"/>
        <w:jc w:val="left"/>
        <w:rPr>
          <w:sz w:val="20"/>
          <w:szCs w:val="20"/>
        </w:rPr>
      </w:pPr>
    </w:p>
    <w:p w14:paraId="4AFA12EF" w14:textId="77777777" w:rsidR="009E3CA2" w:rsidRPr="00AB1385" w:rsidRDefault="009E3CA2" w:rsidP="005279D2">
      <w:pPr>
        <w:adjustRightInd w:val="0"/>
        <w:snapToGrid w:val="0"/>
        <w:spacing w:line="276" w:lineRule="auto"/>
        <w:jc w:val="left"/>
        <w:rPr>
          <w:sz w:val="20"/>
          <w:szCs w:val="20"/>
        </w:rPr>
      </w:pPr>
    </w:p>
    <w:p w14:paraId="76B54AFD" w14:textId="77777777" w:rsidR="009E3CA2" w:rsidRPr="00AB1385" w:rsidRDefault="009E3CA2" w:rsidP="005279D2">
      <w:pPr>
        <w:adjustRightInd w:val="0"/>
        <w:snapToGrid w:val="0"/>
        <w:spacing w:line="276" w:lineRule="auto"/>
        <w:jc w:val="left"/>
        <w:rPr>
          <w:sz w:val="20"/>
          <w:szCs w:val="20"/>
        </w:rPr>
      </w:pPr>
    </w:p>
    <w:p w14:paraId="240AC8E4" w14:textId="77777777" w:rsidR="009E3CA2" w:rsidRPr="00AB1385" w:rsidRDefault="009E3CA2" w:rsidP="005279D2">
      <w:pPr>
        <w:adjustRightInd w:val="0"/>
        <w:snapToGrid w:val="0"/>
        <w:spacing w:line="276" w:lineRule="auto"/>
        <w:jc w:val="left"/>
        <w:rPr>
          <w:b/>
          <w:bCs/>
          <w:sz w:val="20"/>
          <w:szCs w:val="20"/>
        </w:rPr>
      </w:pPr>
      <w:bookmarkStart w:id="18" w:name="Partner"/>
      <w:bookmarkEnd w:id="18"/>
      <w:r w:rsidRPr="00AB1385">
        <w:rPr>
          <w:b/>
          <w:bCs/>
          <w:sz w:val="20"/>
          <w:szCs w:val="20"/>
        </w:rPr>
        <w:t>[</w:t>
      </w:r>
      <w:r w:rsidRPr="00AB1385">
        <w:rPr>
          <w:b/>
          <w:bCs/>
          <w:sz w:val="20"/>
          <w:szCs w:val="20"/>
          <w:highlight w:val="lightGray"/>
        </w:rPr>
        <w:t>Insert name of Partner</w:t>
      </w:r>
      <w:r w:rsidRPr="00AB1385">
        <w:rPr>
          <w:b/>
          <w:bCs/>
          <w:sz w:val="20"/>
          <w:szCs w:val="20"/>
        </w:rPr>
        <w:t>]</w:t>
      </w:r>
    </w:p>
    <w:p w14:paraId="4CC9ABC4" w14:textId="77777777" w:rsidR="00C7723A" w:rsidRDefault="00C7723A" w:rsidP="005279D2">
      <w:pPr>
        <w:adjustRightInd w:val="0"/>
        <w:snapToGrid w:val="0"/>
        <w:spacing w:line="276" w:lineRule="auto"/>
      </w:pPr>
    </w:p>
    <w:sectPr w:rsidR="00C7723A"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C990" w14:textId="77777777" w:rsidR="009203C9" w:rsidRDefault="009203C9" w:rsidP="009E3CA2">
      <w:r>
        <w:separator/>
      </w:r>
    </w:p>
  </w:endnote>
  <w:endnote w:type="continuationSeparator" w:id="0">
    <w:p w14:paraId="2BCC1277" w14:textId="77777777" w:rsidR="009203C9" w:rsidRDefault="009203C9" w:rsidP="009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7B9" w14:textId="77777777" w:rsidR="009203C9" w:rsidRDefault="009203C9" w:rsidP="009E3CA2">
      <w:r>
        <w:separator/>
      </w:r>
    </w:p>
  </w:footnote>
  <w:footnote w:type="continuationSeparator" w:id="0">
    <w:p w14:paraId="028F44E7" w14:textId="77777777" w:rsidR="009203C9" w:rsidRDefault="009203C9" w:rsidP="009E3CA2">
      <w:r>
        <w:continuationSeparator/>
      </w:r>
    </w:p>
  </w:footnote>
  <w:footnote w:id="1">
    <w:p w14:paraId="6486DF0E" w14:textId="77777777"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w:t>
      </w:r>
      <w:r w:rsidRPr="00AA5A50">
        <w:rPr>
          <w:i/>
          <w:sz w:val="18"/>
          <w:szCs w:val="18"/>
        </w:rPr>
        <w:t>FC of T</w:t>
      </w:r>
      <w:r w:rsidR="006A17F8">
        <w:rPr>
          <w:i/>
          <w:sz w:val="18"/>
          <w:szCs w:val="18"/>
        </w:rPr>
        <w:t xml:space="preserve"> v Spotless Services Limited &amp; A</w:t>
      </w:r>
      <w:r w:rsidRPr="00AA5A50">
        <w:rPr>
          <w:i/>
          <w:sz w:val="18"/>
          <w:szCs w:val="18"/>
        </w:rPr>
        <w:t xml:space="preserve">nor </w:t>
      </w:r>
      <w:r w:rsidRPr="00AA5A50">
        <w:rPr>
          <w:sz w:val="18"/>
          <w:szCs w:val="18"/>
        </w:rPr>
        <w:t>95 ATC 4775.</w:t>
      </w:r>
    </w:p>
  </w:footnote>
  <w:footnote w:id="2">
    <w:p w14:paraId="259C5555" w14:textId="37403DE5" w:rsidR="00FC6E53" w:rsidRDefault="00FC6E53">
      <w:pPr>
        <w:pStyle w:val="FootnoteText"/>
      </w:pPr>
      <w:r>
        <w:rPr>
          <w:rStyle w:val="FootnoteReference"/>
        </w:rPr>
        <w:footnoteRef/>
      </w:r>
      <w:r>
        <w:t xml:space="preserve"> </w:t>
      </w:r>
      <w:r w:rsidRPr="00A660D9">
        <w:rPr>
          <w:sz w:val="18"/>
          <w:lang w:val="en-US"/>
        </w:rPr>
        <w:t>Applies on or after 1 July 2021</w:t>
      </w:r>
      <w:r>
        <w:rPr>
          <w:sz w:val="18"/>
          <w:lang w:val="en-US"/>
        </w:rPr>
        <w:t xml:space="preserve"> even if the scheme was entered into or commenced to be carried out before that date.</w:t>
      </w:r>
    </w:p>
  </w:footnote>
  <w:footnote w:id="3">
    <w:p w14:paraId="1F20FDF4" w14:textId="7964EE76" w:rsidR="00FC330C" w:rsidRPr="004A124E" w:rsidRDefault="00FC330C">
      <w:pPr>
        <w:pStyle w:val="FootnoteText"/>
        <w:rPr>
          <w:lang w:val="en-US"/>
        </w:rPr>
      </w:pPr>
      <w:r>
        <w:rPr>
          <w:rStyle w:val="FootnoteReference"/>
        </w:rPr>
        <w:footnoteRef/>
      </w:r>
      <w:r>
        <w:t xml:space="preserve"> </w:t>
      </w:r>
      <w:r w:rsidRPr="004A124E">
        <w:rPr>
          <w:sz w:val="18"/>
          <w:lang w:val="en-US"/>
        </w:rPr>
        <w:t>Applies on or after 1 July 2021</w:t>
      </w:r>
      <w:r>
        <w:rPr>
          <w:sz w:val="18"/>
          <w:lang w:val="en-US"/>
        </w:rPr>
        <w:t xml:space="preserve"> even if the scheme was entered into or commenced to be carried out before that date.</w:t>
      </w:r>
    </w:p>
  </w:footnote>
  <w:footnote w:id="4">
    <w:p w14:paraId="25280417" w14:textId="551DE4F6" w:rsidR="009E3CA2" w:rsidRPr="00AA5A50" w:rsidRDefault="009E3CA2" w:rsidP="009E3CA2">
      <w:pPr>
        <w:pStyle w:val="FootnoteText"/>
        <w:jc w:val="left"/>
        <w:rPr>
          <w:sz w:val="18"/>
          <w:szCs w:val="18"/>
        </w:rPr>
      </w:pPr>
      <w:r w:rsidRPr="00AA5A50">
        <w:rPr>
          <w:rStyle w:val="FootnoteReference"/>
          <w:sz w:val="18"/>
          <w:szCs w:val="18"/>
        </w:rPr>
        <w:footnoteRef/>
      </w:r>
      <w:r w:rsidRPr="00AA5A50">
        <w:rPr>
          <w:sz w:val="18"/>
          <w:szCs w:val="18"/>
        </w:rPr>
        <w:t xml:space="preserve"> </w:t>
      </w:r>
      <w:r w:rsidRPr="00AA5A50">
        <w:rPr>
          <w:i/>
          <w:sz w:val="18"/>
          <w:szCs w:val="18"/>
        </w:rPr>
        <w:t xml:space="preserve">Tax Laws Amendment (Countering Tax Avoidance and Multinational Profit Shifting) </w:t>
      </w:r>
      <w:r w:rsidR="005279D2">
        <w:rPr>
          <w:i/>
          <w:sz w:val="18"/>
          <w:szCs w:val="18"/>
        </w:rPr>
        <w:t>Act</w:t>
      </w:r>
      <w:r w:rsidRPr="00AA5A50">
        <w:rPr>
          <w:i/>
          <w:sz w:val="18"/>
          <w:szCs w:val="18"/>
        </w:rPr>
        <w:t xml:space="preserve"> 2013</w:t>
      </w:r>
      <w:r w:rsidR="00C55E4F">
        <w:rPr>
          <w:i/>
          <w:sz w:val="18"/>
          <w:szCs w:val="18"/>
        </w:rPr>
        <w:t>.</w:t>
      </w:r>
    </w:p>
  </w:footnote>
  <w:footnote w:id="5">
    <w:p w14:paraId="0B31A9CB" w14:textId="77777777"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That is, a hypothetical scenario considering whether there were other ways that the participants in the scheme could have achieved the same commercial outcome with different tax consequences.</w:t>
      </w:r>
    </w:p>
  </w:footnote>
  <w:footnote w:id="6">
    <w:p w14:paraId="0B4B9682" w14:textId="3FC5085F" w:rsidR="009E3CA2" w:rsidRDefault="009E3CA2" w:rsidP="009E3CA2">
      <w:pPr>
        <w:pStyle w:val="FootnoteText"/>
      </w:pPr>
      <w:r w:rsidRPr="00AA5A50">
        <w:rPr>
          <w:rStyle w:val="FootnoteReference"/>
          <w:sz w:val="18"/>
          <w:szCs w:val="18"/>
        </w:rPr>
        <w:footnoteRef/>
      </w:r>
      <w:r w:rsidRPr="00AA5A50">
        <w:rPr>
          <w:sz w:val="18"/>
          <w:szCs w:val="18"/>
        </w:rPr>
        <w:t xml:space="preserve"> Adapted from Example 1.2 of the Explanatory Memorandum to </w:t>
      </w:r>
      <w:r w:rsidRPr="00AA5A50">
        <w:rPr>
          <w:i/>
          <w:sz w:val="18"/>
          <w:szCs w:val="18"/>
        </w:rPr>
        <w:t xml:space="preserve">Tax Laws Amendment (Countering Tax Avoidance and </w:t>
      </w:r>
      <w:r w:rsidR="005279D2">
        <w:rPr>
          <w:i/>
          <w:sz w:val="18"/>
          <w:szCs w:val="18"/>
        </w:rPr>
        <w:t>Multinational Profit Shifting) Act</w:t>
      </w:r>
      <w:r w:rsidRPr="00AA5A50">
        <w:rPr>
          <w:i/>
          <w:sz w:val="18"/>
          <w:szCs w:val="18"/>
        </w:rPr>
        <w:t xml:space="preserve"> 2013</w:t>
      </w:r>
      <w:r w:rsidR="002F3B18">
        <w:rPr>
          <w:i/>
          <w:sz w:val="18"/>
          <w:szCs w:val="18"/>
        </w:rPr>
        <w:t>.</w:t>
      </w:r>
    </w:p>
  </w:footnote>
  <w:footnote w:id="7">
    <w:p w14:paraId="6DD9B0D2" w14:textId="76A63E6F"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Adapted from Example 1.3 of the Explanatory Memorandum to </w:t>
      </w:r>
      <w:r w:rsidRPr="00AA5A50">
        <w:rPr>
          <w:i/>
          <w:sz w:val="18"/>
          <w:szCs w:val="18"/>
        </w:rPr>
        <w:t>Tax Laws Amendment (Countering Tax Avoidance and Mul</w:t>
      </w:r>
      <w:r w:rsidR="005279D2">
        <w:rPr>
          <w:i/>
          <w:sz w:val="18"/>
          <w:szCs w:val="18"/>
        </w:rPr>
        <w:t>tinational Profit Shifting) Act</w:t>
      </w:r>
      <w:r w:rsidRPr="00AA5A50">
        <w:rPr>
          <w:i/>
          <w:sz w:val="18"/>
          <w:szCs w:val="18"/>
        </w:rPr>
        <w:t xml:space="preserve"> 2013</w:t>
      </w:r>
      <w:r w:rsidR="002F3B18">
        <w:rPr>
          <w:i/>
          <w:sz w:val="18"/>
          <w:szCs w:val="18"/>
        </w:rPr>
        <w:t>.</w:t>
      </w:r>
    </w:p>
  </w:footnote>
  <w:footnote w:id="8">
    <w:p w14:paraId="53615FF3" w14:textId="77777777" w:rsidR="009E3CA2" w:rsidRDefault="009E3CA2" w:rsidP="009E3CA2">
      <w:pPr>
        <w:pStyle w:val="FootnoteText"/>
      </w:pPr>
      <w:r w:rsidRPr="00AA5A50">
        <w:rPr>
          <w:rStyle w:val="FootnoteReference"/>
          <w:sz w:val="18"/>
          <w:szCs w:val="18"/>
        </w:rPr>
        <w:footnoteRef/>
      </w:r>
      <w:r w:rsidRPr="00AA5A50">
        <w:rPr>
          <w:sz w:val="18"/>
          <w:szCs w:val="18"/>
        </w:rPr>
        <w:t xml:space="preserve"> </w:t>
      </w:r>
      <w:r w:rsidRPr="00AA5A50">
        <w:rPr>
          <w:i/>
          <w:sz w:val="18"/>
          <w:szCs w:val="18"/>
        </w:rPr>
        <w:t>FC of T v Consolidated Press Holdings Ltd</w:t>
      </w:r>
      <w:r w:rsidRPr="00AA5A50">
        <w:rPr>
          <w:sz w:val="18"/>
          <w:szCs w:val="18"/>
        </w:rPr>
        <w:t xml:space="preserve"> 2001 ATC 4343.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F8B"/>
    <w:multiLevelType w:val="hybridMultilevel"/>
    <w:tmpl w:val="C136E8E2"/>
    <w:lvl w:ilvl="0" w:tplc="20908DC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1D537C"/>
    <w:multiLevelType w:val="hybridMultilevel"/>
    <w:tmpl w:val="60425C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960558"/>
    <w:multiLevelType w:val="hybridMultilevel"/>
    <w:tmpl w:val="EE582F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E8503DF"/>
    <w:multiLevelType w:val="hybridMultilevel"/>
    <w:tmpl w:val="FFCE40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7029BE"/>
    <w:multiLevelType w:val="hybridMultilevel"/>
    <w:tmpl w:val="8008144C"/>
    <w:lvl w:ilvl="0" w:tplc="6B2E301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3D5BD9"/>
    <w:multiLevelType w:val="hybridMultilevel"/>
    <w:tmpl w:val="F00EC7BC"/>
    <w:lvl w:ilvl="0" w:tplc="FD76651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C33575"/>
    <w:multiLevelType w:val="hybridMultilevel"/>
    <w:tmpl w:val="04464F12"/>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B38116B"/>
    <w:multiLevelType w:val="hybridMultilevel"/>
    <w:tmpl w:val="DC9A9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C4B48A-5098-4EDB-8EF6-543811FE2FD7}"/>
    <w:docVar w:name="dgnword-eventsink" w:val="1984886864800"/>
  </w:docVars>
  <w:rsids>
    <w:rsidRoot w:val="009E3CA2"/>
    <w:rsid w:val="00025A95"/>
    <w:rsid w:val="000528C5"/>
    <w:rsid w:val="00062787"/>
    <w:rsid w:val="000A3C18"/>
    <w:rsid w:val="000D3F0B"/>
    <w:rsid w:val="00153F6F"/>
    <w:rsid w:val="00175679"/>
    <w:rsid w:val="00177AED"/>
    <w:rsid w:val="00177E65"/>
    <w:rsid w:val="001A3ED7"/>
    <w:rsid w:val="001A6AC5"/>
    <w:rsid w:val="00212A21"/>
    <w:rsid w:val="00224526"/>
    <w:rsid w:val="002607EA"/>
    <w:rsid w:val="002672AE"/>
    <w:rsid w:val="002D1F6F"/>
    <w:rsid w:val="002F3B18"/>
    <w:rsid w:val="00306C64"/>
    <w:rsid w:val="003F650D"/>
    <w:rsid w:val="004616C8"/>
    <w:rsid w:val="004A124E"/>
    <w:rsid w:val="004F10CE"/>
    <w:rsid w:val="005116A8"/>
    <w:rsid w:val="005279D2"/>
    <w:rsid w:val="0053286C"/>
    <w:rsid w:val="005C05FB"/>
    <w:rsid w:val="005C1C39"/>
    <w:rsid w:val="005D7662"/>
    <w:rsid w:val="006220F5"/>
    <w:rsid w:val="006277DF"/>
    <w:rsid w:val="006471B6"/>
    <w:rsid w:val="00661E25"/>
    <w:rsid w:val="0066366A"/>
    <w:rsid w:val="00684131"/>
    <w:rsid w:val="006A17F8"/>
    <w:rsid w:val="006A38EE"/>
    <w:rsid w:val="006C15E0"/>
    <w:rsid w:val="006F638A"/>
    <w:rsid w:val="00722F73"/>
    <w:rsid w:val="00726F11"/>
    <w:rsid w:val="00736077"/>
    <w:rsid w:val="00755AAE"/>
    <w:rsid w:val="0077780B"/>
    <w:rsid w:val="007A77CB"/>
    <w:rsid w:val="007B4FFB"/>
    <w:rsid w:val="007E5F59"/>
    <w:rsid w:val="007F12CC"/>
    <w:rsid w:val="00821001"/>
    <w:rsid w:val="008376B0"/>
    <w:rsid w:val="008414EE"/>
    <w:rsid w:val="00847CF0"/>
    <w:rsid w:val="008905A4"/>
    <w:rsid w:val="008929B3"/>
    <w:rsid w:val="00893B34"/>
    <w:rsid w:val="0089436B"/>
    <w:rsid w:val="008A6A37"/>
    <w:rsid w:val="00914850"/>
    <w:rsid w:val="009203C9"/>
    <w:rsid w:val="00926E92"/>
    <w:rsid w:val="009761B2"/>
    <w:rsid w:val="00997058"/>
    <w:rsid w:val="009B542C"/>
    <w:rsid w:val="009E3CA2"/>
    <w:rsid w:val="00A15898"/>
    <w:rsid w:val="00A33FAB"/>
    <w:rsid w:val="00A66E33"/>
    <w:rsid w:val="00AA5A50"/>
    <w:rsid w:val="00B07F8C"/>
    <w:rsid w:val="00B364F9"/>
    <w:rsid w:val="00B5608B"/>
    <w:rsid w:val="00B75CA3"/>
    <w:rsid w:val="00BA7E0D"/>
    <w:rsid w:val="00BC6CF9"/>
    <w:rsid w:val="00BE1723"/>
    <w:rsid w:val="00BE7FA4"/>
    <w:rsid w:val="00C55E4F"/>
    <w:rsid w:val="00C7723A"/>
    <w:rsid w:val="00CD72BE"/>
    <w:rsid w:val="00CE201A"/>
    <w:rsid w:val="00CE20EE"/>
    <w:rsid w:val="00CF63B8"/>
    <w:rsid w:val="00D64367"/>
    <w:rsid w:val="00DA1760"/>
    <w:rsid w:val="00DB62E7"/>
    <w:rsid w:val="00E26092"/>
    <w:rsid w:val="00E56B8F"/>
    <w:rsid w:val="00E60871"/>
    <w:rsid w:val="00F43374"/>
    <w:rsid w:val="00F47821"/>
    <w:rsid w:val="00F6451E"/>
    <w:rsid w:val="00F6697E"/>
    <w:rsid w:val="00FC330C"/>
    <w:rsid w:val="00FC6E53"/>
    <w:rsid w:val="00FD13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68D7"/>
  <w15:docId w15:val="{E32B5E72-29C1-4CE1-AC9F-EDDE2B9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A2"/>
    <w:pPr>
      <w:spacing w:after="0" w:line="240" w:lineRule="auto"/>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E3CA2"/>
    <w:rPr>
      <w:sz w:val="20"/>
      <w:szCs w:val="20"/>
    </w:rPr>
  </w:style>
  <w:style w:type="character" w:customStyle="1" w:styleId="FootnoteTextChar">
    <w:name w:val="Footnote Text Char"/>
    <w:basedOn w:val="DefaultParagraphFont"/>
    <w:link w:val="FootnoteText"/>
    <w:rsid w:val="009E3CA2"/>
    <w:rPr>
      <w:rFonts w:ascii="Arial" w:eastAsia="Calibri" w:hAnsi="Arial" w:cs="Arial"/>
      <w:sz w:val="20"/>
      <w:szCs w:val="20"/>
    </w:rPr>
  </w:style>
  <w:style w:type="character" w:styleId="FootnoteReference">
    <w:name w:val="footnote reference"/>
    <w:basedOn w:val="DefaultParagraphFont"/>
    <w:rsid w:val="009E3CA2"/>
    <w:rPr>
      <w:vertAlign w:val="superscript"/>
    </w:rPr>
  </w:style>
  <w:style w:type="paragraph" w:styleId="ListParagraph">
    <w:name w:val="List Paragraph"/>
    <w:basedOn w:val="Normal"/>
    <w:uiPriority w:val="34"/>
    <w:qFormat/>
    <w:rsid w:val="009E3CA2"/>
    <w:pPr>
      <w:ind w:left="720"/>
      <w:contextualSpacing/>
    </w:pPr>
  </w:style>
  <w:style w:type="paragraph" w:styleId="BalloonText">
    <w:name w:val="Balloon Text"/>
    <w:basedOn w:val="Normal"/>
    <w:link w:val="BalloonTextChar"/>
    <w:uiPriority w:val="99"/>
    <w:semiHidden/>
    <w:unhideWhenUsed/>
    <w:rsid w:val="00926E92"/>
    <w:rPr>
      <w:rFonts w:ascii="Tahoma" w:hAnsi="Tahoma" w:cs="Tahoma"/>
      <w:sz w:val="16"/>
      <w:szCs w:val="16"/>
    </w:rPr>
  </w:style>
  <w:style w:type="character" w:customStyle="1" w:styleId="BalloonTextChar">
    <w:name w:val="Balloon Text Char"/>
    <w:basedOn w:val="DefaultParagraphFont"/>
    <w:link w:val="BalloonText"/>
    <w:uiPriority w:val="99"/>
    <w:semiHidden/>
    <w:rsid w:val="00926E92"/>
    <w:rPr>
      <w:rFonts w:ascii="Tahoma" w:eastAsia="Calibri" w:hAnsi="Tahoma" w:cs="Tahoma"/>
      <w:sz w:val="16"/>
      <w:szCs w:val="16"/>
    </w:rPr>
  </w:style>
  <w:style w:type="paragraph" w:styleId="Header">
    <w:name w:val="header"/>
    <w:basedOn w:val="Normal"/>
    <w:link w:val="HeaderChar"/>
    <w:uiPriority w:val="99"/>
    <w:unhideWhenUsed/>
    <w:rsid w:val="007A77CB"/>
    <w:pPr>
      <w:tabs>
        <w:tab w:val="center" w:pos="4513"/>
        <w:tab w:val="right" w:pos="9026"/>
      </w:tabs>
    </w:pPr>
  </w:style>
  <w:style w:type="character" w:customStyle="1" w:styleId="HeaderChar">
    <w:name w:val="Header Char"/>
    <w:basedOn w:val="DefaultParagraphFont"/>
    <w:link w:val="Header"/>
    <w:uiPriority w:val="99"/>
    <w:rsid w:val="007A77CB"/>
    <w:rPr>
      <w:rFonts w:ascii="Arial" w:eastAsia="Calibri" w:hAnsi="Arial" w:cs="Arial"/>
      <w:sz w:val="24"/>
      <w:szCs w:val="24"/>
    </w:rPr>
  </w:style>
  <w:style w:type="paragraph" w:styleId="Footer">
    <w:name w:val="footer"/>
    <w:basedOn w:val="Normal"/>
    <w:link w:val="FooterChar"/>
    <w:uiPriority w:val="99"/>
    <w:unhideWhenUsed/>
    <w:rsid w:val="007A77CB"/>
    <w:pPr>
      <w:tabs>
        <w:tab w:val="center" w:pos="4513"/>
        <w:tab w:val="right" w:pos="9026"/>
      </w:tabs>
    </w:pPr>
  </w:style>
  <w:style w:type="character" w:customStyle="1" w:styleId="FooterChar">
    <w:name w:val="Footer Char"/>
    <w:basedOn w:val="DefaultParagraphFont"/>
    <w:link w:val="Footer"/>
    <w:uiPriority w:val="99"/>
    <w:rsid w:val="007A77CB"/>
    <w:rPr>
      <w:rFonts w:ascii="Arial" w:eastAsia="Calibri" w:hAnsi="Arial" w:cs="Arial"/>
      <w:sz w:val="24"/>
      <w:szCs w:val="24"/>
    </w:rPr>
  </w:style>
  <w:style w:type="character" w:styleId="CommentReference">
    <w:name w:val="annotation reference"/>
    <w:basedOn w:val="DefaultParagraphFont"/>
    <w:uiPriority w:val="99"/>
    <w:semiHidden/>
    <w:unhideWhenUsed/>
    <w:rsid w:val="000D3F0B"/>
    <w:rPr>
      <w:sz w:val="16"/>
      <w:szCs w:val="16"/>
    </w:rPr>
  </w:style>
  <w:style w:type="paragraph" w:styleId="CommentText">
    <w:name w:val="annotation text"/>
    <w:basedOn w:val="Normal"/>
    <w:link w:val="CommentTextChar"/>
    <w:uiPriority w:val="99"/>
    <w:semiHidden/>
    <w:unhideWhenUsed/>
    <w:rsid w:val="000D3F0B"/>
    <w:rPr>
      <w:sz w:val="20"/>
      <w:szCs w:val="20"/>
    </w:rPr>
  </w:style>
  <w:style w:type="character" w:customStyle="1" w:styleId="CommentTextChar">
    <w:name w:val="Comment Text Char"/>
    <w:basedOn w:val="DefaultParagraphFont"/>
    <w:link w:val="CommentText"/>
    <w:uiPriority w:val="99"/>
    <w:semiHidden/>
    <w:rsid w:val="000D3F0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D3F0B"/>
    <w:rPr>
      <w:b/>
      <w:bCs/>
    </w:rPr>
  </w:style>
  <w:style w:type="character" w:customStyle="1" w:styleId="CommentSubjectChar">
    <w:name w:val="Comment Subject Char"/>
    <w:basedOn w:val="CommentTextChar"/>
    <w:link w:val="CommentSubject"/>
    <w:uiPriority w:val="99"/>
    <w:semiHidden/>
    <w:rsid w:val="000D3F0B"/>
    <w:rPr>
      <w:rFonts w:ascii="Arial" w:eastAsia="Calibri" w:hAnsi="Arial" w:cs="Arial"/>
      <w:b/>
      <w:bCs/>
      <w:sz w:val="20"/>
      <w:szCs w:val="20"/>
    </w:rPr>
  </w:style>
  <w:style w:type="paragraph" w:styleId="Revision">
    <w:name w:val="Revision"/>
    <w:hidden/>
    <w:uiPriority w:val="99"/>
    <w:semiHidden/>
    <w:rsid w:val="000D3F0B"/>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894E5F-B261-4F97-BEB7-424B371609BA}">
  <ds:schemaRefs>
    <ds:schemaRef ds:uri="http://schemas.microsoft.com/office/2006/documentManagement/types"/>
    <ds:schemaRef ds:uri="http://schemas.openxmlformats.org/package/2006/metadata/core-properties"/>
    <ds:schemaRef ds:uri="149a938d-5178-4880-bee6-c99a533f2b62"/>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70302223-c54b-4550-8ee9-092c6b9c08d4"/>
    <ds:schemaRef ds:uri="http://purl.org/dc/dcmitype/"/>
  </ds:schemaRefs>
</ds:datastoreItem>
</file>

<file path=customXml/itemProps2.xml><?xml version="1.0" encoding="utf-8"?>
<ds:datastoreItem xmlns:ds="http://schemas.openxmlformats.org/officeDocument/2006/customXml" ds:itemID="{B333C28D-BF19-4CE2-8528-E147E665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E671D-0AAA-4B59-BF88-7F878774FA86}">
  <ds:schemaRefs>
    <ds:schemaRef ds:uri="http://schemas.microsoft.com/sharepoint/v3/contenttype/forms"/>
  </ds:schemaRefs>
</ds:datastoreItem>
</file>

<file path=customXml/itemProps4.xml><?xml version="1.0" encoding="utf-8"?>
<ds:datastoreItem xmlns:ds="http://schemas.openxmlformats.org/officeDocument/2006/customXml" ds:itemID="{6682C28A-2136-4F2F-AD0A-4E1D84AF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Part IVA general anti-avoidance provisions client letter</vt:lpstr>
    </vt:vector>
  </TitlesOfParts>
  <Company>CPA Australia</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IVA general anti-avoidance provisions client letter</dc:title>
  <dc:creator>Michelle Webb</dc:creator>
  <cp:keywords>client letters, income tax assessment, ATO, anti-avoidance rules, Australian Taxation Office, tax benefit, tax scheme</cp:keywords>
  <cp:lastModifiedBy>Kristen Beadle</cp:lastModifiedBy>
  <cp:revision>3</cp:revision>
  <cp:lastPrinted>2019-06-27T11:40:00Z</cp:lastPrinted>
  <dcterms:created xsi:type="dcterms:W3CDTF">2022-06-17T06:36:00Z</dcterms:created>
  <dcterms:modified xsi:type="dcterms:W3CDTF">2022-06-17T06:37:00Z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