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85AE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93333E">
        <w:rPr>
          <w:rFonts w:ascii="Arial" w:hAnsi="Arial" w:cs="Arial"/>
          <w:sz w:val="20"/>
        </w:rPr>
        <w:t>[</w:t>
      </w:r>
      <w:r w:rsidRPr="0093333E">
        <w:rPr>
          <w:rFonts w:ascii="Arial" w:hAnsi="Arial" w:cs="Arial"/>
          <w:sz w:val="20"/>
          <w:highlight w:val="lightGray"/>
        </w:rPr>
        <w:t>Insert DD Month YYYY</w:t>
      </w:r>
      <w:r w:rsidRPr="0093333E">
        <w:rPr>
          <w:rFonts w:ascii="Arial" w:hAnsi="Arial" w:cs="Arial"/>
          <w:sz w:val="20"/>
        </w:rPr>
        <w:t>]</w:t>
      </w:r>
    </w:p>
    <w:p w14:paraId="2C1C3B81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DE13FA" w:rsidRPr="0093333E" w14:paraId="3929CDCD" w14:textId="77777777" w:rsidTr="00F0238C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2238ECA" w14:textId="77777777" w:rsidR="00DE13FA" w:rsidRPr="0093333E" w:rsidRDefault="00DE13FA" w:rsidP="003345FE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13C8F2F7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" w:name="Name1"/>
      <w:bookmarkEnd w:id="1"/>
      <w:r w:rsidRPr="0093333E">
        <w:rPr>
          <w:rFonts w:ascii="Arial" w:hAnsi="Arial" w:cs="Arial"/>
          <w:sz w:val="20"/>
        </w:rPr>
        <w:t>[</w:t>
      </w:r>
      <w:r w:rsidRPr="0093333E">
        <w:rPr>
          <w:rFonts w:ascii="Arial" w:hAnsi="Arial" w:cs="Arial"/>
          <w:sz w:val="20"/>
          <w:highlight w:val="lightGray"/>
        </w:rPr>
        <w:t>Insert Client Name</w:t>
      </w:r>
      <w:r w:rsidRPr="0093333E">
        <w:rPr>
          <w:rFonts w:ascii="Arial" w:hAnsi="Arial" w:cs="Arial"/>
          <w:sz w:val="20"/>
        </w:rPr>
        <w:t>]</w:t>
      </w:r>
    </w:p>
    <w:p w14:paraId="1F1D97C5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2" w:name="Position"/>
      <w:bookmarkEnd w:id="2"/>
      <w:r w:rsidRPr="0093333E">
        <w:rPr>
          <w:rFonts w:ascii="Arial" w:hAnsi="Arial" w:cs="Arial"/>
          <w:sz w:val="20"/>
        </w:rPr>
        <w:t>[</w:t>
      </w:r>
      <w:r w:rsidRPr="0093333E">
        <w:rPr>
          <w:rFonts w:ascii="Arial" w:hAnsi="Arial" w:cs="Arial"/>
          <w:sz w:val="20"/>
          <w:highlight w:val="lightGray"/>
        </w:rPr>
        <w:t>Insert Client Position</w:t>
      </w:r>
      <w:r w:rsidRPr="0093333E">
        <w:rPr>
          <w:rFonts w:ascii="Arial" w:hAnsi="Arial" w:cs="Arial"/>
          <w:sz w:val="20"/>
        </w:rPr>
        <w:t>]</w:t>
      </w:r>
    </w:p>
    <w:p w14:paraId="4D541038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3" w:name="Company1"/>
      <w:bookmarkEnd w:id="3"/>
      <w:r w:rsidRPr="0093333E">
        <w:rPr>
          <w:rFonts w:ascii="Arial" w:hAnsi="Arial" w:cs="Arial"/>
          <w:sz w:val="20"/>
        </w:rPr>
        <w:t>[</w:t>
      </w:r>
      <w:r w:rsidRPr="0093333E">
        <w:rPr>
          <w:rFonts w:ascii="Arial" w:hAnsi="Arial" w:cs="Arial"/>
          <w:sz w:val="20"/>
          <w:highlight w:val="lightGray"/>
        </w:rPr>
        <w:t>Insert Company Name</w:t>
      </w:r>
      <w:r w:rsidRPr="0093333E">
        <w:rPr>
          <w:rFonts w:ascii="Arial" w:hAnsi="Arial" w:cs="Arial"/>
          <w:sz w:val="20"/>
        </w:rPr>
        <w:t>]</w:t>
      </w:r>
    </w:p>
    <w:p w14:paraId="2CFF2244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4" w:name="Address1"/>
      <w:bookmarkEnd w:id="4"/>
      <w:r w:rsidRPr="0093333E">
        <w:rPr>
          <w:rFonts w:ascii="Arial" w:hAnsi="Arial" w:cs="Arial"/>
          <w:sz w:val="20"/>
        </w:rPr>
        <w:t>[</w:t>
      </w:r>
      <w:r w:rsidRPr="0093333E">
        <w:rPr>
          <w:rFonts w:ascii="Arial" w:hAnsi="Arial" w:cs="Arial"/>
          <w:sz w:val="20"/>
          <w:highlight w:val="lightGray"/>
        </w:rPr>
        <w:t>Insert Company Address</w:t>
      </w:r>
      <w:r w:rsidRPr="0093333E">
        <w:rPr>
          <w:rFonts w:ascii="Arial" w:hAnsi="Arial" w:cs="Arial"/>
          <w:sz w:val="20"/>
        </w:rPr>
        <w:t>]</w:t>
      </w:r>
    </w:p>
    <w:p w14:paraId="52D25016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5" w:name="Suburb"/>
      <w:bookmarkEnd w:id="5"/>
      <w:r w:rsidRPr="0093333E">
        <w:rPr>
          <w:rFonts w:ascii="Arial" w:hAnsi="Arial" w:cs="Arial"/>
          <w:sz w:val="20"/>
        </w:rPr>
        <w:t>[</w:t>
      </w:r>
      <w:r w:rsidRPr="0093333E">
        <w:rPr>
          <w:rFonts w:ascii="Arial" w:hAnsi="Arial" w:cs="Arial"/>
          <w:sz w:val="20"/>
          <w:highlight w:val="lightGray"/>
        </w:rPr>
        <w:t xml:space="preserve">Suburb  </w:t>
      </w:r>
      <w:bookmarkStart w:id="6" w:name="State"/>
      <w:bookmarkEnd w:id="6"/>
      <w:r w:rsidRPr="0093333E">
        <w:rPr>
          <w:rFonts w:ascii="Arial" w:hAnsi="Arial" w:cs="Arial"/>
          <w:sz w:val="20"/>
          <w:highlight w:val="lightGray"/>
        </w:rPr>
        <w:t xml:space="preserve">State  </w:t>
      </w:r>
      <w:bookmarkStart w:id="7" w:name="PostCode"/>
      <w:bookmarkEnd w:id="7"/>
      <w:r w:rsidRPr="0093333E">
        <w:rPr>
          <w:rFonts w:ascii="Arial" w:hAnsi="Arial" w:cs="Arial"/>
          <w:sz w:val="20"/>
          <w:highlight w:val="lightGray"/>
        </w:rPr>
        <w:t>Post Code</w:t>
      </w:r>
      <w:r w:rsidRPr="0093333E">
        <w:rPr>
          <w:rFonts w:ascii="Arial" w:hAnsi="Arial" w:cs="Arial"/>
          <w:sz w:val="20"/>
        </w:rPr>
        <w:t>]</w:t>
      </w:r>
    </w:p>
    <w:p w14:paraId="69573D79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2DE30DC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bCs/>
          <w:sz w:val="20"/>
        </w:rPr>
      </w:pPr>
    </w:p>
    <w:p w14:paraId="310542F6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93333E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93333E">
        <w:rPr>
          <w:rFonts w:ascii="Arial" w:hAnsi="Arial" w:cs="Arial"/>
          <w:sz w:val="20"/>
        </w:rPr>
        <w:t>[</w:t>
      </w:r>
      <w:r w:rsidRPr="0093333E">
        <w:rPr>
          <w:rFonts w:ascii="Arial" w:hAnsi="Arial" w:cs="Arial"/>
          <w:sz w:val="20"/>
          <w:highlight w:val="lightGray"/>
        </w:rPr>
        <w:t>Insert Client Name</w:t>
      </w:r>
      <w:r w:rsidRPr="0093333E">
        <w:rPr>
          <w:rFonts w:ascii="Arial" w:hAnsi="Arial" w:cs="Arial"/>
          <w:sz w:val="20"/>
        </w:rPr>
        <w:t>]</w:t>
      </w:r>
    </w:p>
    <w:p w14:paraId="31E6A572" w14:textId="77777777" w:rsidR="00DE13FA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bCs/>
          <w:sz w:val="21"/>
          <w:szCs w:val="21"/>
        </w:rPr>
      </w:pPr>
    </w:p>
    <w:p w14:paraId="7865C43A" w14:textId="77777777" w:rsidR="00DE13FA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bCs/>
          <w:sz w:val="21"/>
          <w:szCs w:val="21"/>
        </w:rPr>
      </w:pPr>
    </w:p>
    <w:p w14:paraId="7325DFA6" w14:textId="7D6FB4D2" w:rsidR="00DE13FA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  <w:bookmarkStart w:id="9" w:name="Subject"/>
      <w:bookmarkEnd w:id="9"/>
      <w:r>
        <w:rPr>
          <w:rFonts w:ascii="Arial" w:hAnsi="Arial" w:cs="Arial"/>
          <w:b/>
          <w:bCs/>
          <w:sz w:val="21"/>
          <w:szCs w:val="21"/>
        </w:rPr>
        <w:t>Re: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17192E">
        <w:rPr>
          <w:rFonts w:ascii="Arial" w:hAnsi="Arial" w:cs="Arial"/>
          <w:b/>
          <w:sz w:val="21"/>
          <w:szCs w:val="21"/>
        </w:rPr>
        <w:t>Allocation of professional firm profits – ATO compliance approach</w:t>
      </w:r>
    </w:p>
    <w:p w14:paraId="0F01E9CE" w14:textId="77777777" w:rsidR="00DE13FA" w:rsidRPr="00453AC0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773391C" w14:textId="5851BDA7" w:rsidR="005A1020" w:rsidRDefault="00A021EF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453AC0">
        <w:rPr>
          <w:rFonts w:ascii="Arial" w:hAnsi="Arial" w:cs="Arial"/>
          <w:sz w:val="20"/>
        </w:rPr>
        <w:t>The A</w:t>
      </w:r>
      <w:r w:rsidR="005A1020">
        <w:rPr>
          <w:rFonts w:ascii="Arial" w:hAnsi="Arial" w:cs="Arial"/>
          <w:sz w:val="20"/>
        </w:rPr>
        <w:t xml:space="preserve">ustralian </w:t>
      </w:r>
      <w:r w:rsidRPr="00453AC0">
        <w:rPr>
          <w:rFonts w:ascii="Arial" w:hAnsi="Arial" w:cs="Arial"/>
          <w:sz w:val="20"/>
        </w:rPr>
        <w:t>T</w:t>
      </w:r>
      <w:r w:rsidR="005A1020">
        <w:rPr>
          <w:rFonts w:ascii="Arial" w:hAnsi="Arial" w:cs="Arial"/>
          <w:sz w:val="20"/>
        </w:rPr>
        <w:t xml:space="preserve">axation </w:t>
      </w:r>
      <w:r w:rsidRPr="00453AC0">
        <w:rPr>
          <w:rFonts w:ascii="Arial" w:hAnsi="Arial" w:cs="Arial"/>
          <w:sz w:val="20"/>
        </w:rPr>
        <w:t>O</w:t>
      </w:r>
      <w:r w:rsidR="005A1020">
        <w:rPr>
          <w:rFonts w:ascii="Arial" w:hAnsi="Arial" w:cs="Arial"/>
          <w:sz w:val="20"/>
        </w:rPr>
        <w:t>ffice (ATO)</w:t>
      </w:r>
      <w:r w:rsidRPr="00453AC0">
        <w:rPr>
          <w:rFonts w:ascii="Arial" w:hAnsi="Arial" w:cs="Arial"/>
          <w:sz w:val="20"/>
        </w:rPr>
        <w:t xml:space="preserve"> has been closely scrutinising </w:t>
      </w:r>
      <w:r w:rsidR="0017192E">
        <w:rPr>
          <w:rFonts w:ascii="Arial" w:hAnsi="Arial" w:cs="Arial"/>
          <w:sz w:val="20"/>
        </w:rPr>
        <w:t>profit allocation</w:t>
      </w:r>
      <w:r w:rsidRPr="00453AC0">
        <w:rPr>
          <w:rFonts w:ascii="Arial" w:hAnsi="Arial" w:cs="Arial"/>
          <w:sz w:val="20"/>
        </w:rPr>
        <w:t xml:space="preserve"> arrangements </w:t>
      </w:r>
      <w:r w:rsidR="00E1703A">
        <w:rPr>
          <w:rFonts w:ascii="Arial" w:hAnsi="Arial" w:cs="Arial"/>
          <w:sz w:val="20"/>
        </w:rPr>
        <w:t xml:space="preserve">entered into by </w:t>
      </w:r>
      <w:r w:rsidR="0017192E">
        <w:rPr>
          <w:rFonts w:ascii="Arial" w:hAnsi="Arial" w:cs="Arial"/>
          <w:sz w:val="20"/>
        </w:rPr>
        <w:t xml:space="preserve">practitioners in </w:t>
      </w:r>
      <w:r w:rsidR="00E1703A">
        <w:rPr>
          <w:rFonts w:ascii="Arial" w:hAnsi="Arial" w:cs="Arial"/>
          <w:sz w:val="20"/>
        </w:rPr>
        <w:t xml:space="preserve">professional firms </w:t>
      </w:r>
      <w:r w:rsidRPr="00453AC0">
        <w:rPr>
          <w:rFonts w:ascii="Arial" w:hAnsi="Arial" w:cs="Arial"/>
          <w:sz w:val="20"/>
        </w:rPr>
        <w:t xml:space="preserve">for many years and </w:t>
      </w:r>
      <w:r w:rsidR="0017192E">
        <w:rPr>
          <w:rFonts w:ascii="Arial" w:hAnsi="Arial" w:cs="Arial"/>
          <w:sz w:val="20"/>
        </w:rPr>
        <w:t>has recently finalised its Guideline</w:t>
      </w:r>
      <w:r w:rsidR="00BA784B">
        <w:rPr>
          <w:rFonts w:ascii="Arial" w:hAnsi="Arial" w:cs="Arial"/>
          <w:sz w:val="20"/>
        </w:rPr>
        <w:t xml:space="preserve"> </w:t>
      </w:r>
      <w:r w:rsidR="00BA784B">
        <w:rPr>
          <w:rFonts w:ascii="Arial" w:hAnsi="Arial" w:cs="Arial"/>
          <w:i/>
          <w:iCs/>
          <w:sz w:val="20"/>
        </w:rPr>
        <w:t>PCG 2021/4 Allocation of professional firm profits – ATO compliance approach</w:t>
      </w:r>
      <w:r w:rsidR="0017192E">
        <w:rPr>
          <w:rFonts w:ascii="Arial" w:hAnsi="Arial" w:cs="Arial"/>
          <w:sz w:val="20"/>
        </w:rPr>
        <w:t xml:space="preserve">, after suspending the previous 2015 guidelines. </w:t>
      </w:r>
    </w:p>
    <w:p w14:paraId="41C83538" w14:textId="38AE85C7" w:rsidR="0017192E" w:rsidRDefault="0017192E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3409C92" w14:textId="77777777" w:rsidR="001C1422" w:rsidRDefault="0017192E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17192E">
        <w:rPr>
          <w:rFonts w:ascii="Arial" w:hAnsi="Arial" w:cs="Arial"/>
          <w:sz w:val="20"/>
        </w:rPr>
        <w:t>The ATO is concerned about arrangements involving taxpayers who redirect their income to an associated entity from a business or activity</w:t>
      </w:r>
      <w:r w:rsidR="00BA784B">
        <w:rPr>
          <w:rFonts w:ascii="Arial" w:hAnsi="Arial" w:cs="Arial"/>
          <w:sz w:val="20"/>
        </w:rPr>
        <w:t>,</w:t>
      </w:r>
      <w:r w:rsidRPr="0017192E">
        <w:rPr>
          <w:rFonts w:ascii="Arial" w:hAnsi="Arial" w:cs="Arial"/>
          <w:sz w:val="20"/>
        </w:rPr>
        <w:t xml:space="preserve"> which includes their professional services</w:t>
      </w:r>
      <w:r w:rsidR="00BA784B">
        <w:rPr>
          <w:rFonts w:ascii="Arial" w:hAnsi="Arial" w:cs="Arial"/>
          <w:sz w:val="20"/>
        </w:rPr>
        <w:t>,</w:t>
      </w:r>
      <w:r w:rsidRPr="0017192E">
        <w:rPr>
          <w:rFonts w:ascii="Arial" w:hAnsi="Arial" w:cs="Arial"/>
          <w:sz w:val="20"/>
        </w:rPr>
        <w:t xml:space="preserve"> where it has the effect of significantly reducing their tax liability.</w:t>
      </w:r>
      <w:r w:rsidR="00BA784B">
        <w:rPr>
          <w:rFonts w:ascii="Arial" w:hAnsi="Arial" w:cs="Arial"/>
          <w:sz w:val="20"/>
        </w:rPr>
        <w:t xml:space="preserve"> </w:t>
      </w:r>
    </w:p>
    <w:p w14:paraId="6F40FD19" w14:textId="77777777" w:rsidR="001C1422" w:rsidRDefault="001C1422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A4EF45E" w14:textId="0688A6F5" w:rsidR="0017192E" w:rsidRDefault="00BA784B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ATO may apply the general anti-avoidance provisions</w:t>
      </w:r>
      <w:r w:rsidRPr="00BA784B">
        <w:rPr>
          <w:rFonts w:ascii="Arial" w:hAnsi="Arial" w:cs="Arial"/>
          <w:sz w:val="20"/>
        </w:rPr>
        <w:t xml:space="preserve"> to schemes </w:t>
      </w:r>
      <w:r w:rsidR="001C1422">
        <w:rPr>
          <w:rFonts w:ascii="Arial" w:hAnsi="Arial" w:cs="Arial"/>
          <w:sz w:val="20"/>
        </w:rPr>
        <w:t xml:space="preserve">or </w:t>
      </w:r>
      <w:r w:rsidRPr="00BA784B">
        <w:rPr>
          <w:rFonts w:ascii="Arial" w:hAnsi="Arial" w:cs="Arial"/>
          <w:sz w:val="20"/>
        </w:rPr>
        <w:t>attempts to alienate amounts of income flowing from their personal exertion.</w:t>
      </w:r>
    </w:p>
    <w:p w14:paraId="067B44EC" w14:textId="420FB52D" w:rsidR="0017192E" w:rsidRDefault="0017192E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808074E" w14:textId="69AE737B" w:rsidR="00BA784B" w:rsidRDefault="0017192E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an individual professional practitioner (IPP) in an [</w:t>
      </w:r>
      <w:r w:rsidRPr="0017192E">
        <w:rPr>
          <w:rFonts w:ascii="Arial" w:hAnsi="Arial" w:cs="Arial"/>
          <w:sz w:val="20"/>
          <w:highlight w:val="lightGray"/>
        </w:rPr>
        <w:t>accounting/architecture/engineering/financial services/law/medicine/management consulting/</w:t>
      </w:r>
      <w:proofErr w:type="gramStart"/>
      <w:r w:rsidRPr="0017192E">
        <w:rPr>
          <w:rFonts w:ascii="Arial" w:hAnsi="Arial" w:cs="Arial"/>
          <w:sz w:val="20"/>
          <w:highlight w:val="lightGray"/>
        </w:rPr>
        <w:t>other</w:t>
      </w:r>
      <w:proofErr w:type="gramEnd"/>
      <w:r w:rsidRPr="0017192E">
        <w:rPr>
          <w:rFonts w:ascii="Arial" w:hAnsi="Arial" w:cs="Arial"/>
          <w:sz w:val="20"/>
          <w:highlight w:val="lightGray"/>
        </w:rPr>
        <w:t xml:space="preserve"> professional firm type</w:t>
      </w:r>
      <w:r>
        <w:rPr>
          <w:rFonts w:ascii="Arial" w:hAnsi="Arial" w:cs="Arial"/>
          <w:sz w:val="20"/>
        </w:rPr>
        <w:t>], the ATO</w:t>
      </w:r>
      <w:r w:rsidR="00BA784B">
        <w:rPr>
          <w:rFonts w:ascii="Arial" w:hAnsi="Arial" w:cs="Arial"/>
          <w:sz w:val="20"/>
        </w:rPr>
        <w:t>’s Guideline enables IPPs to:</w:t>
      </w:r>
    </w:p>
    <w:p w14:paraId="6FA655F6" w14:textId="16646F09" w:rsidR="0017192E" w:rsidRDefault="00BA784B" w:rsidP="00BA784B">
      <w:pPr>
        <w:pStyle w:val="ListParagraph"/>
        <w:numPr>
          <w:ilvl w:val="0"/>
          <w:numId w:val="15"/>
        </w:num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BA784B">
        <w:rPr>
          <w:rFonts w:ascii="Arial" w:hAnsi="Arial" w:cs="Arial"/>
          <w:sz w:val="20"/>
        </w:rPr>
        <w:t>determine the level of risk regarding your profit allocation arrangement</w:t>
      </w:r>
      <w:r w:rsidR="0017192E" w:rsidRPr="00BA784B">
        <w:rPr>
          <w:rFonts w:ascii="Arial" w:hAnsi="Arial" w:cs="Arial"/>
          <w:sz w:val="20"/>
        </w:rPr>
        <w:t xml:space="preserve"> </w:t>
      </w:r>
    </w:p>
    <w:p w14:paraId="260467B1" w14:textId="22A87716" w:rsidR="00BA784B" w:rsidRDefault="00BA784B" w:rsidP="00BA784B">
      <w:pPr>
        <w:pStyle w:val="ListParagraph"/>
        <w:numPr>
          <w:ilvl w:val="0"/>
          <w:numId w:val="15"/>
        </w:num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the level of engagement you can expect from the ATO, and</w:t>
      </w:r>
    </w:p>
    <w:p w14:paraId="5A83B7BF" w14:textId="708D59E7" w:rsidR="00BA784B" w:rsidRPr="00BA784B" w:rsidRDefault="00BA784B" w:rsidP="00BA784B">
      <w:pPr>
        <w:pStyle w:val="ListParagraph"/>
        <w:numPr>
          <w:ilvl w:val="0"/>
          <w:numId w:val="15"/>
        </w:num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decide whether to contact the ATO to discuss your arrangement or apply for binding advice.</w:t>
      </w:r>
    </w:p>
    <w:p w14:paraId="232A68CB" w14:textId="77777777" w:rsidR="00BA784B" w:rsidRDefault="00BA784B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A62C6A1" w14:textId="627E6E3D" w:rsidR="005A1020" w:rsidRDefault="00BA784B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ATO expects a </w:t>
      </w:r>
      <w:r w:rsidR="001C1422">
        <w:rPr>
          <w:rFonts w:ascii="Arial" w:hAnsi="Arial" w:cs="Arial"/>
          <w:sz w:val="20"/>
        </w:rPr>
        <w:t xml:space="preserve">contemporaneously </w:t>
      </w:r>
      <w:r>
        <w:rPr>
          <w:rFonts w:ascii="Arial" w:hAnsi="Arial" w:cs="Arial"/>
          <w:sz w:val="20"/>
        </w:rPr>
        <w:t xml:space="preserve">documented assessment of IPP arrangements against the Guideline to be undertaken annually, and for IPPs to review eligibility as </w:t>
      </w:r>
      <w:r w:rsidR="001C1422">
        <w:rPr>
          <w:rFonts w:ascii="Arial" w:hAnsi="Arial" w:cs="Arial"/>
          <w:sz w:val="20"/>
        </w:rPr>
        <w:t>the b</w:t>
      </w:r>
      <w:r>
        <w:rPr>
          <w:rFonts w:ascii="Arial" w:hAnsi="Arial" w:cs="Arial"/>
          <w:sz w:val="20"/>
        </w:rPr>
        <w:t>usiness or arrangements change.</w:t>
      </w:r>
    </w:p>
    <w:p w14:paraId="5E153DC7" w14:textId="77777777" w:rsidR="00BA784B" w:rsidRDefault="00BA784B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1026715" w14:textId="5ABA53A8" w:rsidR="00BA784B" w:rsidRDefault="00BA784B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are available to assist with a review of your profit allocation arrangement and to provide advice on transitional arrangements</w:t>
      </w:r>
      <w:r w:rsidR="001C1422">
        <w:rPr>
          <w:rFonts w:ascii="Arial" w:hAnsi="Arial" w:cs="Arial"/>
          <w:sz w:val="20"/>
        </w:rPr>
        <w:t>, the result of the risk assessment</w:t>
      </w:r>
      <w:r>
        <w:rPr>
          <w:rFonts w:ascii="Arial" w:hAnsi="Arial" w:cs="Arial"/>
          <w:sz w:val="20"/>
        </w:rPr>
        <w:t xml:space="preserve"> and any </w:t>
      </w:r>
      <w:r w:rsidR="001C1422">
        <w:rPr>
          <w:rFonts w:ascii="Arial" w:hAnsi="Arial" w:cs="Arial"/>
          <w:sz w:val="20"/>
        </w:rPr>
        <w:t xml:space="preserve">potential </w:t>
      </w:r>
      <w:r>
        <w:rPr>
          <w:rFonts w:ascii="Arial" w:hAnsi="Arial" w:cs="Arial"/>
          <w:sz w:val="20"/>
        </w:rPr>
        <w:t xml:space="preserve">engagement with the ATO. </w:t>
      </w:r>
    </w:p>
    <w:p w14:paraId="6923B5DC" w14:textId="77777777" w:rsidR="00BA784B" w:rsidRDefault="00BA784B" w:rsidP="003345FE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B9BCB10" w14:textId="68F3596B" w:rsidR="00DE13FA" w:rsidRPr="00453AC0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453AC0">
        <w:rPr>
          <w:rFonts w:ascii="Arial" w:hAnsi="Arial" w:cs="Arial"/>
          <w:sz w:val="20"/>
        </w:rPr>
        <w:t xml:space="preserve">If we can assist with a review of your </w:t>
      </w:r>
      <w:r w:rsidR="001C1422">
        <w:rPr>
          <w:rFonts w:ascii="Arial" w:hAnsi="Arial" w:cs="Arial"/>
          <w:sz w:val="20"/>
        </w:rPr>
        <w:t>profit allocation</w:t>
      </w:r>
      <w:r w:rsidRPr="00453AC0">
        <w:rPr>
          <w:rFonts w:ascii="Arial" w:hAnsi="Arial" w:cs="Arial"/>
          <w:sz w:val="20"/>
        </w:rPr>
        <w:t xml:space="preserve"> arrangement, please do not hesitate to contact me on [</w:t>
      </w:r>
      <w:r w:rsidRPr="00453AC0">
        <w:rPr>
          <w:rFonts w:ascii="Arial" w:hAnsi="Arial" w:cs="Arial"/>
          <w:sz w:val="20"/>
          <w:highlight w:val="lightGray"/>
        </w:rPr>
        <w:t xml:space="preserve">insert telephone number of </w:t>
      </w:r>
      <w:proofErr w:type="gramStart"/>
      <w:r w:rsidRPr="00453AC0">
        <w:rPr>
          <w:rFonts w:ascii="Arial" w:hAnsi="Arial" w:cs="Arial"/>
          <w:sz w:val="20"/>
          <w:highlight w:val="lightGray"/>
        </w:rPr>
        <w:t>partner</w:t>
      </w:r>
      <w:proofErr w:type="gramEnd"/>
      <w:r w:rsidRPr="00453AC0">
        <w:rPr>
          <w:rFonts w:ascii="Arial" w:hAnsi="Arial" w:cs="Arial"/>
          <w:sz w:val="20"/>
        </w:rPr>
        <w:t>].</w:t>
      </w:r>
    </w:p>
    <w:p w14:paraId="22CA21B8" w14:textId="77777777" w:rsidR="00DE13FA" w:rsidRPr="00453AC0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F7C61E4" w14:textId="77777777" w:rsidR="006406BE" w:rsidRDefault="006406BE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0" w:name="Signoff"/>
      <w:bookmarkEnd w:id="10"/>
    </w:p>
    <w:p w14:paraId="21C43DB3" w14:textId="77777777" w:rsidR="00DE13FA" w:rsidRPr="00453AC0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453AC0">
        <w:rPr>
          <w:rFonts w:ascii="Arial" w:hAnsi="Arial" w:cs="Arial"/>
          <w:sz w:val="20"/>
        </w:rPr>
        <w:t>Yours faithfully</w:t>
      </w:r>
    </w:p>
    <w:p w14:paraId="007FB5A7" w14:textId="77777777" w:rsidR="00DE13FA" w:rsidRPr="00453AC0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E686EEE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7748132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B8D2D36" w14:textId="77777777" w:rsidR="00DE13FA" w:rsidRPr="0093333E" w:rsidRDefault="00DE13FA" w:rsidP="003345FE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20C467C" w14:textId="77777777" w:rsidR="0063240A" w:rsidRDefault="00DE13FA" w:rsidP="003345FE">
      <w:pPr>
        <w:adjustRightInd w:val="0"/>
        <w:snapToGrid w:val="0"/>
        <w:spacing w:line="276" w:lineRule="auto"/>
      </w:pPr>
      <w:bookmarkStart w:id="11" w:name="Partner"/>
      <w:bookmarkEnd w:id="11"/>
      <w:r w:rsidRPr="0093333E">
        <w:rPr>
          <w:rFonts w:ascii="Arial" w:hAnsi="Arial" w:cs="Arial"/>
          <w:b/>
          <w:bCs/>
          <w:sz w:val="20"/>
        </w:rPr>
        <w:t>[</w:t>
      </w:r>
      <w:r w:rsidRPr="0093333E">
        <w:rPr>
          <w:rFonts w:ascii="Arial" w:hAnsi="Arial" w:cs="Arial"/>
          <w:b/>
          <w:bCs/>
          <w:sz w:val="20"/>
          <w:highlight w:val="lightGray"/>
        </w:rPr>
        <w:t>Insert name of Partner</w:t>
      </w:r>
    </w:p>
    <w:sectPr w:rsidR="0063240A" w:rsidSect="000A2216">
      <w:pgSz w:w="11909" w:h="16834" w:code="9"/>
      <w:pgMar w:top="1440" w:right="1440" w:bottom="1440" w:left="1440" w:header="720" w:footer="720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B8DAA" w14:textId="77777777" w:rsidR="00877CD8" w:rsidRDefault="00877CD8" w:rsidP="00EF7ADE">
      <w:r>
        <w:separator/>
      </w:r>
    </w:p>
  </w:endnote>
  <w:endnote w:type="continuationSeparator" w:id="0">
    <w:p w14:paraId="7BF6507A" w14:textId="77777777" w:rsidR="00877CD8" w:rsidRDefault="00877CD8" w:rsidP="00E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013A" w14:textId="77777777" w:rsidR="00877CD8" w:rsidRDefault="00877CD8" w:rsidP="00EF7ADE">
      <w:r>
        <w:separator/>
      </w:r>
    </w:p>
  </w:footnote>
  <w:footnote w:type="continuationSeparator" w:id="0">
    <w:p w14:paraId="7AE525C3" w14:textId="77777777" w:rsidR="00877CD8" w:rsidRDefault="00877CD8" w:rsidP="00EF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367"/>
    <w:multiLevelType w:val="hybridMultilevel"/>
    <w:tmpl w:val="53FAF3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B39AF"/>
    <w:multiLevelType w:val="hybridMultilevel"/>
    <w:tmpl w:val="8216EC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BC7B19"/>
    <w:multiLevelType w:val="hybridMultilevel"/>
    <w:tmpl w:val="87B6D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1C6"/>
    <w:multiLevelType w:val="hybridMultilevel"/>
    <w:tmpl w:val="CC4E82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D10"/>
    <w:multiLevelType w:val="hybridMultilevel"/>
    <w:tmpl w:val="B1A0B7B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DB0541"/>
    <w:multiLevelType w:val="hybridMultilevel"/>
    <w:tmpl w:val="831EA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C231E"/>
    <w:multiLevelType w:val="hybridMultilevel"/>
    <w:tmpl w:val="EB360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46EE"/>
    <w:multiLevelType w:val="hybridMultilevel"/>
    <w:tmpl w:val="C632E1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8625B"/>
    <w:multiLevelType w:val="hybridMultilevel"/>
    <w:tmpl w:val="F8CC4488"/>
    <w:lvl w:ilvl="0" w:tplc="0C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B82AD3"/>
    <w:multiLevelType w:val="hybridMultilevel"/>
    <w:tmpl w:val="59661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34AB4"/>
    <w:multiLevelType w:val="hybridMultilevel"/>
    <w:tmpl w:val="9EDE35BE"/>
    <w:lvl w:ilvl="0" w:tplc="B27E1D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716F6"/>
    <w:multiLevelType w:val="hybridMultilevel"/>
    <w:tmpl w:val="1FB23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3441"/>
    <w:multiLevelType w:val="multilevel"/>
    <w:tmpl w:val="D444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D4B585-9381-4992-AE7E-DFA7DB1D0D34}"/>
    <w:docVar w:name="dgnword-eventsink" w:val="1659865625792"/>
  </w:docVars>
  <w:rsids>
    <w:rsidRoot w:val="00DE13FA"/>
    <w:rsid w:val="000006F5"/>
    <w:rsid w:val="000278DF"/>
    <w:rsid w:val="000C527A"/>
    <w:rsid w:val="0017192E"/>
    <w:rsid w:val="00190C17"/>
    <w:rsid w:val="001C1422"/>
    <w:rsid w:val="001D73AF"/>
    <w:rsid w:val="00237150"/>
    <w:rsid w:val="00270EAF"/>
    <w:rsid w:val="00273741"/>
    <w:rsid w:val="002F0BDF"/>
    <w:rsid w:val="00312E6C"/>
    <w:rsid w:val="003217B7"/>
    <w:rsid w:val="003345FE"/>
    <w:rsid w:val="00382F65"/>
    <w:rsid w:val="003A2AF0"/>
    <w:rsid w:val="003C7660"/>
    <w:rsid w:val="0043437B"/>
    <w:rsid w:val="00453AC0"/>
    <w:rsid w:val="00470D17"/>
    <w:rsid w:val="004C0F8C"/>
    <w:rsid w:val="005009E9"/>
    <w:rsid w:val="005444E4"/>
    <w:rsid w:val="005572AE"/>
    <w:rsid w:val="005A1020"/>
    <w:rsid w:val="005C53C6"/>
    <w:rsid w:val="005D0E85"/>
    <w:rsid w:val="006131B2"/>
    <w:rsid w:val="0063240A"/>
    <w:rsid w:val="006406BE"/>
    <w:rsid w:val="006B6B42"/>
    <w:rsid w:val="007062D4"/>
    <w:rsid w:val="00731C8C"/>
    <w:rsid w:val="00752B7B"/>
    <w:rsid w:val="00761E97"/>
    <w:rsid w:val="00764638"/>
    <w:rsid w:val="00774FF5"/>
    <w:rsid w:val="00834D65"/>
    <w:rsid w:val="008627F5"/>
    <w:rsid w:val="00877CD8"/>
    <w:rsid w:val="00882B72"/>
    <w:rsid w:val="00895CA0"/>
    <w:rsid w:val="00921AE3"/>
    <w:rsid w:val="009825E9"/>
    <w:rsid w:val="009932F6"/>
    <w:rsid w:val="009D7CBC"/>
    <w:rsid w:val="009E53A7"/>
    <w:rsid w:val="009F6FB6"/>
    <w:rsid w:val="00A021EF"/>
    <w:rsid w:val="00A24A2B"/>
    <w:rsid w:val="00AA5E2A"/>
    <w:rsid w:val="00AC3436"/>
    <w:rsid w:val="00AC397A"/>
    <w:rsid w:val="00AC39B8"/>
    <w:rsid w:val="00B31360"/>
    <w:rsid w:val="00B408C0"/>
    <w:rsid w:val="00BA784B"/>
    <w:rsid w:val="00BF467F"/>
    <w:rsid w:val="00C0599B"/>
    <w:rsid w:val="00C70542"/>
    <w:rsid w:val="00C8328C"/>
    <w:rsid w:val="00CD5A72"/>
    <w:rsid w:val="00D42D52"/>
    <w:rsid w:val="00D87935"/>
    <w:rsid w:val="00DB793F"/>
    <w:rsid w:val="00DE13FA"/>
    <w:rsid w:val="00E016DF"/>
    <w:rsid w:val="00E1703A"/>
    <w:rsid w:val="00E849A1"/>
    <w:rsid w:val="00E86923"/>
    <w:rsid w:val="00EC32D1"/>
    <w:rsid w:val="00EF7ADE"/>
    <w:rsid w:val="00F053EE"/>
    <w:rsid w:val="00F240B1"/>
    <w:rsid w:val="00F2747B"/>
    <w:rsid w:val="00F60738"/>
    <w:rsid w:val="00F65A3A"/>
    <w:rsid w:val="00F93D4D"/>
    <w:rsid w:val="00FA714D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9BDF73"/>
  <w15:docId w15:val="{E2E7C185-BB9F-43A3-90FD-0CC1D48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3FA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CA0"/>
    <w:pPr>
      <w:spacing w:before="100" w:beforeAutospacing="1" w:after="100" w:afterAutospacing="1"/>
      <w:jc w:val="left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95C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7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DE"/>
    <w:rPr>
      <w:rFonts w:ascii="Times New Roman" w:eastAsia="Times New Roman" w:hAnsi="Times New Roman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ADE"/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AC39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3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6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6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67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E86923"/>
    <w:pPr>
      <w:autoSpaceDE w:val="0"/>
      <w:autoSpaceDN w:val="0"/>
      <w:jc w:val="left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entity client letter</vt:lpstr>
    </vt:vector>
  </TitlesOfParts>
  <Company>CPA Australia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entity client letter</dc:title>
  <dc:creator>Elinor Kasapidis</dc:creator>
  <cp:keywords>service entities, client letters, ATO, Australian Taxation Office, service fee arrangements</cp:keywords>
  <cp:lastModifiedBy>Kristen Beadle</cp:lastModifiedBy>
  <cp:revision>2</cp:revision>
  <cp:lastPrinted>2019-06-28T03:48:00Z</cp:lastPrinted>
  <dcterms:created xsi:type="dcterms:W3CDTF">2022-01-31T02:06:00Z</dcterms:created>
  <dcterms:modified xsi:type="dcterms:W3CDTF">2022-01-31T02:06:00Z</dcterms:modified>
</cp:coreProperties>
</file>