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64DE" w14:textId="77777777" w:rsidR="00977BEC" w:rsidRPr="001F5DA1" w:rsidRDefault="00977BEC" w:rsidP="00B74065">
      <w:pPr>
        <w:spacing w:line="276" w:lineRule="auto"/>
        <w:rPr>
          <w:rFonts w:ascii="Arial" w:hAnsi="Arial" w:cs="Arial"/>
          <w:sz w:val="20"/>
        </w:rPr>
      </w:pPr>
      <w:bookmarkStart w:id="0" w:name="_GoBack"/>
      <w:bookmarkEnd w:id="0"/>
      <w:r w:rsidRPr="005C5A9E">
        <w:rPr>
          <w:rFonts w:ascii="Arial" w:hAnsi="Arial" w:cs="Arial"/>
          <w:sz w:val="20"/>
          <w:highlight w:val="lightGray"/>
        </w:rPr>
        <w:t>[Insert DD Month YYYY</w:t>
      </w:r>
      <w:r w:rsidRPr="001F5DA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62E91209" w14:textId="77777777" w:rsidTr="00C34A79">
        <w:tc>
          <w:tcPr>
            <w:tcW w:w="9289" w:type="dxa"/>
            <w:tcBorders>
              <w:top w:val="nil"/>
              <w:left w:val="nil"/>
              <w:bottom w:val="nil"/>
              <w:right w:val="nil"/>
            </w:tcBorders>
          </w:tcPr>
          <w:p w14:paraId="23147569" w14:textId="77777777" w:rsidR="00977BEC" w:rsidRPr="001F5DA1" w:rsidRDefault="00977BEC" w:rsidP="00B74065">
            <w:pPr>
              <w:spacing w:line="276" w:lineRule="auto"/>
              <w:rPr>
                <w:rFonts w:ascii="Arial" w:hAnsi="Arial" w:cs="Arial"/>
                <w:b/>
                <w:bCs/>
                <w:sz w:val="20"/>
              </w:rPr>
            </w:pPr>
            <w:bookmarkStart w:id="1" w:name="Confidential"/>
            <w:bookmarkEnd w:id="1"/>
          </w:p>
        </w:tc>
      </w:tr>
    </w:tbl>
    <w:p w14:paraId="2265DBC2" w14:textId="77777777" w:rsidR="00977BEC" w:rsidRPr="001F5DA1" w:rsidRDefault="00977BEC" w:rsidP="00B74065">
      <w:pPr>
        <w:spacing w:line="276" w:lineRule="auto"/>
        <w:jc w:val="left"/>
        <w:rPr>
          <w:rFonts w:ascii="Arial" w:hAnsi="Arial" w:cs="Arial"/>
          <w:sz w:val="20"/>
        </w:rPr>
      </w:pPr>
      <w:bookmarkStart w:id="2" w:name="Name1"/>
      <w:bookmarkEnd w:id="2"/>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38AC57F3" w14:textId="77777777" w:rsidR="00977BEC" w:rsidRPr="001F5DA1" w:rsidRDefault="00977BEC" w:rsidP="00B74065">
      <w:pPr>
        <w:spacing w:line="276" w:lineRule="auto"/>
        <w:jc w:val="left"/>
        <w:rPr>
          <w:rFonts w:ascii="Arial" w:hAnsi="Arial" w:cs="Arial"/>
          <w:sz w:val="20"/>
        </w:rPr>
      </w:pPr>
      <w:bookmarkStart w:id="3" w:name="Position"/>
      <w:bookmarkEnd w:id="3"/>
      <w:r w:rsidRPr="001F5DA1">
        <w:rPr>
          <w:rFonts w:ascii="Arial" w:hAnsi="Arial" w:cs="Arial"/>
          <w:sz w:val="20"/>
        </w:rPr>
        <w:t>[</w:t>
      </w:r>
      <w:r w:rsidRPr="005C5A9E">
        <w:rPr>
          <w:rFonts w:ascii="Arial" w:hAnsi="Arial" w:cs="Arial"/>
          <w:sz w:val="20"/>
          <w:highlight w:val="lightGray"/>
        </w:rPr>
        <w:t>Insert Client Position</w:t>
      </w:r>
      <w:r w:rsidRPr="001F5DA1">
        <w:rPr>
          <w:rFonts w:ascii="Arial" w:hAnsi="Arial" w:cs="Arial"/>
          <w:sz w:val="20"/>
        </w:rPr>
        <w:t>]</w:t>
      </w:r>
    </w:p>
    <w:p w14:paraId="46B6E124" w14:textId="77777777" w:rsidR="00977BEC" w:rsidRPr="001F5DA1" w:rsidRDefault="00977BEC" w:rsidP="00B74065">
      <w:pPr>
        <w:spacing w:line="276" w:lineRule="auto"/>
        <w:jc w:val="left"/>
        <w:rPr>
          <w:rFonts w:ascii="Arial" w:hAnsi="Arial" w:cs="Arial"/>
          <w:sz w:val="20"/>
        </w:rPr>
      </w:pPr>
      <w:bookmarkStart w:id="4" w:name="Company1"/>
      <w:bookmarkEnd w:id="4"/>
      <w:r w:rsidRPr="001F5DA1">
        <w:rPr>
          <w:rFonts w:ascii="Arial" w:hAnsi="Arial" w:cs="Arial"/>
          <w:sz w:val="20"/>
        </w:rPr>
        <w:t>[</w:t>
      </w:r>
      <w:r w:rsidRPr="005C5A9E">
        <w:rPr>
          <w:rFonts w:ascii="Arial" w:hAnsi="Arial" w:cs="Arial"/>
          <w:sz w:val="20"/>
          <w:highlight w:val="lightGray"/>
        </w:rPr>
        <w:t>Insert Company Name]</w:t>
      </w:r>
    </w:p>
    <w:p w14:paraId="70E7F013" w14:textId="77777777" w:rsidR="00977BEC" w:rsidRPr="001F5DA1" w:rsidRDefault="00977BEC" w:rsidP="00B74065">
      <w:pPr>
        <w:spacing w:line="276" w:lineRule="auto"/>
        <w:jc w:val="left"/>
        <w:rPr>
          <w:rFonts w:ascii="Arial" w:hAnsi="Arial" w:cs="Arial"/>
          <w:sz w:val="20"/>
        </w:rPr>
      </w:pPr>
      <w:bookmarkStart w:id="5" w:name="Address1"/>
      <w:bookmarkEnd w:id="5"/>
      <w:r w:rsidRPr="005C5A9E">
        <w:rPr>
          <w:rFonts w:ascii="Arial" w:hAnsi="Arial" w:cs="Arial"/>
          <w:sz w:val="20"/>
          <w:highlight w:val="lightGray"/>
        </w:rPr>
        <w:t>[Insert Client Address</w:t>
      </w:r>
      <w:r w:rsidRPr="001F5DA1">
        <w:rPr>
          <w:rFonts w:ascii="Arial" w:hAnsi="Arial" w:cs="Arial"/>
          <w:sz w:val="20"/>
        </w:rPr>
        <w:t>]</w:t>
      </w:r>
    </w:p>
    <w:p w14:paraId="0CF20C7B" w14:textId="77777777" w:rsidR="00977BEC" w:rsidRPr="001F5DA1" w:rsidRDefault="00977BEC" w:rsidP="00B74065">
      <w:pPr>
        <w:spacing w:line="276" w:lineRule="auto"/>
        <w:jc w:val="left"/>
        <w:rPr>
          <w:rFonts w:ascii="Arial" w:hAnsi="Arial" w:cs="Arial"/>
          <w:sz w:val="20"/>
        </w:rPr>
      </w:pPr>
      <w:bookmarkStart w:id="6" w:name="Suburb"/>
      <w:bookmarkEnd w:id="6"/>
      <w:r w:rsidRPr="001F5DA1">
        <w:rPr>
          <w:rFonts w:ascii="Arial" w:hAnsi="Arial" w:cs="Arial"/>
          <w:sz w:val="20"/>
        </w:rPr>
        <w:t>[</w:t>
      </w:r>
      <w:r w:rsidRPr="005C5A9E">
        <w:rPr>
          <w:rFonts w:ascii="Arial" w:hAnsi="Arial" w:cs="Arial"/>
          <w:sz w:val="20"/>
          <w:highlight w:val="lightGray"/>
        </w:rPr>
        <w:t xml:space="preserve">Suburb  </w:t>
      </w:r>
      <w:bookmarkStart w:id="7" w:name="State"/>
      <w:bookmarkEnd w:id="7"/>
      <w:r w:rsidRPr="005C5A9E">
        <w:rPr>
          <w:rFonts w:ascii="Arial" w:hAnsi="Arial" w:cs="Arial"/>
          <w:sz w:val="20"/>
          <w:highlight w:val="lightGray"/>
        </w:rPr>
        <w:t xml:space="preserve">State  </w:t>
      </w:r>
      <w:bookmarkStart w:id="8" w:name="PostCode"/>
      <w:bookmarkEnd w:id="8"/>
      <w:r w:rsidRPr="005C5A9E">
        <w:rPr>
          <w:rFonts w:ascii="Arial" w:hAnsi="Arial" w:cs="Arial"/>
          <w:sz w:val="20"/>
          <w:highlight w:val="lightGray"/>
        </w:rPr>
        <w:t>Post Code</w:t>
      </w:r>
      <w:r w:rsidRPr="001F5DA1">
        <w:rPr>
          <w:rFonts w:ascii="Arial" w:hAnsi="Arial" w:cs="Arial"/>
          <w:sz w:val="20"/>
        </w:rPr>
        <w:t>]</w:t>
      </w:r>
    </w:p>
    <w:p w14:paraId="3CD57CA9" w14:textId="77777777" w:rsidR="00977BEC" w:rsidRPr="001F5DA1" w:rsidRDefault="00977BEC" w:rsidP="00B74065">
      <w:pPr>
        <w:spacing w:line="276" w:lineRule="auto"/>
        <w:jc w:val="left"/>
        <w:rPr>
          <w:rFonts w:ascii="Arial" w:hAnsi="Arial" w:cs="Arial"/>
          <w:sz w:val="20"/>
        </w:rPr>
      </w:pPr>
    </w:p>
    <w:p w14:paraId="651C3F27" w14:textId="77777777" w:rsidR="00977BEC" w:rsidRPr="001F5DA1" w:rsidRDefault="00977BEC" w:rsidP="00B74065">
      <w:pPr>
        <w:spacing w:line="276" w:lineRule="auto"/>
        <w:jc w:val="left"/>
        <w:rPr>
          <w:rFonts w:ascii="Arial" w:hAnsi="Arial" w:cs="Arial"/>
          <w:bCs/>
          <w:sz w:val="20"/>
        </w:rPr>
      </w:pPr>
    </w:p>
    <w:p w14:paraId="07AF9A41" w14:textId="77777777"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Dear </w:t>
      </w:r>
      <w:bookmarkStart w:id="9" w:name="Salutation"/>
      <w:bookmarkEnd w:id="9"/>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76BD7658" w14:textId="77777777" w:rsidR="00977BEC" w:rsidRPr="001F5DA1" w:rsidRDefault="00977BEC" w:rsidP="00B74065">
      <w:pPr>
        <w:spacing w:line="276" w:lineRule="auto"/>
        <w:jc w:val="left"/>
        <w:rPr>
          <w:rFonts w:ascii="Arial" w:hAnsi="Arial" w:cs="Arial"/>
          <w:b/>
          <w:bCs/>
          <w:sz w:val="20"/>
        </w:rPr>
      </w:pPr>
    </w:p>
    <w:p w14:paraId="5D71F9CA" w14:textId="77777777" w:rsidR="00977BEC" w:rsidRPr="001F5DA1" w:rsidRDefault="00977BEC" w:rsidP="00B74065">
      <w:pPr>
        <w:spacing w:line="276" w:lineRule="auto"/>
        <w:jc w:val="left"/>
        <w:rPr>
          <w:rFonts w:ascii="Arial" w:hAnsi="Arial" w:cs="Arial"/>
          <w:b/>
          <w:bCs/>
          <w:sz w:val="20"/>
        </w:rPr>
      </w:pPr>
    </w:p>
    <w:p w14:paraId="7888A2E8" w14:textId="1AF0AC31" w:rsidR="00977BEC" w:rsidRPr="002346B5" w:rsidRDefault="00977BEC" w:rsidP="00B74065">
      <w:pPr>
        <w:spacing w:line="276" w:lineRule="auto"/>
        <w:jc w:val="left"/>
        <w:rPr>
          <w:rFonts w:ascii="Arial" w:hAnsi="Arial" w:cs="Arial"/>
          <w:b/>
          <w:bCs/>
          <w:sz w:val="21"/>
          <w:szCs w:val="21"/>
        </w:rPr>
      </w:pPr>
      <w:r w:rsidRPr="002346B5">
        <w:rPr>
          <w:rFonts w:ascii="Arial" w:hAnsi="Arial" w:cs="Arial"/>
          <w:b/>
          <w:bCs/>
          <w:sz w:val="21"/>
          <w:szCs w:val="21"/>
        </w:rPr>
        <w:t>Re:</w:t>
      </w:r>
      <w:r w:rsidRPr="002346B5">
        <w:rPr>
          <w:rFonts w:ascii="Arial" w:hAnsi="Arial" w:cs="Arial"/>
          <w:b/>
          <w:bCs/>
          <w:sz w:val="21"/>
          <w:szCs w:val="21"/>
        </w:rPr>
        <w:tab/>
      </w:r>
      <w:bookmarkStart w:id="10" w:name="Subject"/>
      <w:bookmarkEnd w:id="10"/>
      <w:r w:rsidR="008B2729">
        <w:rPr>
          <w:rFonts w:ascii="Arial" w:hAnsi="Arial" w:cs="Arial"/>
          <w:b/>
          <w:bCs/>
          <w:sz w:val="21"/>
          <w:szCs w:val="21"/>
        </w:rPr>
        <w:t>Depreciation deductions for r</w:t>
      </w:r>
      <w:r w:rsidR="00AA6D5C" w:rsidRPr="002346B5">
        <w:rPr>
          <w:rFonts w:ascii="Arial" w:hAnsi="Arial" w:cs="Arial"/>
          <w:b/>
          <w:bCs/>
          <w:sz w:val="21"/>
          <w:szCs w:val="21"/>
        </w:rPr>
        <w:t>e</w:t>
      </w:r>
      <w:r w:rsidRPr="002346B5">
        <w:rPr>
          <w:rFonts w:ascii="Arial" w:hAnsi="Arial" w:cs="Arial"/>
          <w:b/>
          <w:bCs/>
          <w:sz w:val="21"/>
          <w:szCs w:val="21"/>
        </w:rPr>
        <w:t>sidential rental properties</w:t>
      </w:r>
    </w:p>
    <w:p w14:paraId="2CDE8708" w14:textId="77777777" w:rsidR="00977BEC" w:rsidRPr="001F5DA1" w:rsidRDefault="00977BEC" w:rsidP="00B74065">
      <w:pPr>
        <w:spacing w:line="276" w:lineRule="auto"/>
        <w:rPr>
          <w:rFonts w:ascii="Arial" w:hAnsi="Arial" w:cs="Arial"/>
          <w:sz w:val="20"/>
        </w:rPr>
      </w:pPr>
    </w:p>
    <w:p w14:paraId="66C9F87C" w14:textId="48249BB9" w:rsidR="00AA6D5C" w:rsidRPr="00AA6D5C" w:rsidRDefault="006B229F" w:rsidP="00B74065">
      <w:pPr>
        <w:spacing w:line="276" w:lineRule="auto"/>
        <w:jc w:val="left"/>
        <w:rPr>
          <w:rFonts w:ascii="Arial" w:hAnsi="Arial" w:cs="Arial"/>
          <w:color w:val="000000"/>
          <w:sz w:val="20"/>
        </w:rPr>
      </w:pPr>
      <w:r>
        <w:rPr>
          <w:rFonts w:ascii="Arial" w:hAnsi="Arial" w:cs="Arial"/>
          <w:color w:val="000000"/>
          <w:sz w:val="20"/>
        </w:rPr>
        <w:t>D</w:t>
      </w:r>
      <w:r w:rsidR="00B74065" w:rsidRPr="00B74065">
        <w:rPr>
          <w:rFonts w:ascii="Arial" w:hAnsi="Arial" w:cs="Arial"/>
          <w:color w:val="000000"/>
          <w:sz w:val="20"/>
        </w:rPr>
        <w:t xml:space="preserve">epreciation deductions can be claimed </w:t>
      </w:r>
      <w:r w:rsidRPr="00B74065">
        <w:rPr>
          <w:rFonts w:ascii="Arial" w:hAnsi="Arial" w:cs="Arial"/>
          <w:color w:val="000000"/>
          <w:sz w:val="20"/>
        </w:rPr>
        <w:t>und</w:t>
      </w:r>
      <w:r>
        <w:rPr>
          <w:rFonts w:ascii="Arial" w:hAnsi="Arial" w:cs="Arial"/>
          <w:color w:val="000000"/>
          <w:sz w:val="20"/>
        </w:rPr>
        <w:t xml:space="preserve">er Division 40 of the </w:t>
      </w:r>
      <w:r>
        <w:rPr>
          <w:rFonts w:ascii="Arial" w:hAnsi="Arial" w:cs="Arial"/>
          <w:i/>
          <w:color w:val="000000"/>
          <w:sz w:val="20"/>
        </w:rPr>
        <w:t xml:space="preserve">Income Tax Assessment Act 1997 </w:t>
      </w:r>
      <w:r w:rsidRPr="00031549">
        <w:rPr>
          <w:rFonts w:ascii="Arial" w:hAnsi="Arial" w:cs="Arial"/>
          <w:b/>
          <w:bCs/>
          <w:iCs/>
          <w:color w:val="000000"/>
          <w:sz w:val="20"/>
        </w:rPr>
        <w:t>(</w:t>
      </w:r>
      <w:r w:rsidR="00FB4BD6" w:rsidRPr="00FB4BD6">
        <w:rPr>
          <w:rFonts w:ascii="Arial" w:hAnsi="Arial" w:cs="Arial"/>
          <w:b/>
          <w:bCs/>
          <w:i/>
          <w:iCs/>
          <w:color w:val="000000"/>
          <w:sz w:val="20"/>
        </w:rPr>
        <w:t>ITAA 1997</w:t>
      </w:r>
      <w:r>
        <w:rPr>
          <w:rFonts w:ascii="Arial" w:hAnsi="Arial" w:cs="Arial"/>
          <w:i/>
          <w:color w:val="000000"/>
          <w:sz w:val="20"/>
        </w:rPr>
        <w:t xml:space="preserve">) </w:t>
      </w:r>
      <w:r>
        <w:rPr>
          <w:rFonts w:ascii="Arial" w:hAnsi="Arial" w:cs="Arial"/>
          <w:color w:val="000000"/>
          <w:sz w:val="20"/>
        </w:rPr>
        <w:t>in respect of</w:t>
      </w:r>
      <w:r w:rsidRPr="00B74065">
        <w:rPr>
          <w:rFonts w:ascii="Arial" w:hAnsi="Arial" w:cs="Arial"/>
          <w:color w:val="000000"/>
          <w:sz w:val="20"/>
        </w:rPr>
        <w:t xml:space="preserve"> </w:t>
      </w:r>
      <w:r w:rsidR="00B74065" w:rsidRPr="00B74065">
        <w:rPr>
          <w:rFonts w:ascii="Arial" w:hAnsi="Arial" w:cs="Arial"/>
          <w:color w:val="000000"/>
          <w:sz w:val="20"/>
        </w:rPr>
        <w:t>depreciating assets used in deriving</w:t>
      </w:r>
      <w:r>
        <w:rPr>
          <w:rFonts w:ascii="Arial" w:hAnsi="Arial" w:cs="Arial"/>
          <w:color w:val="000000"/>
          <w:sz w:val="20"/>
        </w:rPr>
        <w:t xml:space="preserve"> assessable</w:t>
      </w:r>
      <w:r w:rsidR="00B74065" w:rsidRPr="00B74065">
        <w:rPr>
          <w:rFonts w:ascii="Arial" w:hAnsi="Arial" w:cs="Arial"/>
          <w:color w:val="000000"/>
          <w:sz w:val="20"/>
        </w:rPr>
        <w:t xml:space="preserve"> rental income</w:t>
      </w:r>
      <w:r>
        <w:rPr>
          <w:rFonts w:ascii="Arial" w:hAnsi="Arial" w:cs="Arial"/>
          <w:color w:val="000000"/>
          <w:sz w:val="20"/>
        </w:rPr>
        <w:t>. F</w:t>
      </w:r>
      <w:r w:rsidR="00B74065" w:rsidRPr="00B74065">
        <w:rPr>
          <w:rFonts w:ascii="Arial" w:hAnsi="Arial" w:cs="Arial"/>
          <w:color w:val="000000"/>
          <w:sz w:val="20"/>
        </w:rPr>
        <w:t xml:space="preserve">or </w:t>
      </w:r>
      <w:r>
        <w:rPr>
          <w:rFonts w:ascii="Arial" w:hAnsi="Arial" w:cs="Arial"/>
          <w:color w:val="000000"/>
          <w:sz w:val="20"/>
        </w:rPr>
        <w:t>assets</w:t>
      </w:r>
      <w:r w:rsidRPr="00B74065">
        <w:rPr>
          <w:rFonts w:ascii="Arial" w:hAnsi="Arial" w:cs="Arial"/>
          <w:color w:val="000000"/>
          <w:sz w:val="20"/>
        </w:rPr>
        <w:t xml:space="preserve"> </w:t>
      </w:r>
      <w:r w:rsidR="00B74065" w:rsidRPr="00B74065">
        <w:rPr>
          <w:rFonts w:ascii="Arial" w:hAnsi="Arial" w:cs="Arial"/>
          <w:color w:val="000000"/>
          <w:sz w:val="20"/>
        </w:rPr>
        <w:t>acquired d</w:t>
      </w:r>
      <w:r w:rsidR="00CF456D">
        <w:rPr>
          <w:rFonts w:ascii="Arial" w:hAnsi="Arial" w:cs="Arial"/>
          <w:color w:val="000000"/>
          <w:sz w:val="20"/>
        </w:rPr>
        <w:t>uring the year ended 30 June 202</w:t>
      </w:r>
      <w:r w:rsidR="00597BD4">
        <w:rPr>
          <w:rFonts w:ascii="Arial" w:hAnsi="Arial" w:cs="Arial"/>
          <w:color w:val="000000"/>
          <w:sz w:val="20"/>
        </w:rPr>
        <w:t>1</w:t>
      </w:r>
      <w:r w:rsidR="00B74065" w:rsidRPr="00B74065">
        <w:rPr>
          <w:rFonts w:ascii="Arial" w:hAnsi="Arial" w:cs="Arial"/>
          <w:color w:val="000000"/>
          <w:sz w:val="20"/>
        </w:rPr>
        <w:t xml:space="preserve"> </w:t>
      </w:r>
      <w:r>
        <w:rPr>
          <w:rFonts w:ascii="Arial" w:hAnsi="Arial" w:cs="Arial"/>
          <w:color w:val="000000"/>
          <w:sz w:val="20"/>
        </w:rPr>
        <w:t xml:space="preserve">such deductions </w:t>
      </w:r>
      <w:r w:rsidR="00B74065" w:rsidRPr="00B74065">
        <w:rPr>
          <w:rFonts w:ascii="Arial" w:hAnsi="Arial" w:cs="Arial"/>
          <w:color w:val="000000"/>
          <w:sz w:val="20"/>
        </w:rPr>
        <w:t xml:space="preserve">will be calculated based on the effective lives as set out </w:t>
      </w:r>
      <w:r w:rsidR="008B2729">
        <w:rPr>
          <w:rFonts w:ascii="Arial" w:hAnsi="Arial" w:cs="Arial"/>
          <w:color w:val="000000"/>
          <w:sz w:val="20"/>
        </w:rPr>
        <w:t>in</w:t>
      </w:r>
      <w:r w:rsidR="008B2729" w:rsidRPr="00B74065">
        <w:rPr>
          <w:rFonts w:ascii="Arial" w:hAnsi="Arial" w:cs="Arial"/>
          <w:color w:val="000000"/>
          <w:sz w:val="20"/>
        </w:rPr>
        <w:t xml:space="preserve"> </w:t>
      </w:r>
      <w:r w:rsidR="00B74065" w:rsidRPr="00B74065">
        <w:rPr>
          <w:rFonts w:ascii="Arial" w:hAnsi="Arial" w:cs="Arial"/>
          <w:color w:val="000000"/>
          <w:sz w:val="20"/>
        </w:rPr>
        <w:t xml:space="preserve">Taxation Ruling </w:t>
      </w:r>
      <w:r w:rsidR="00CF456D">
        <w:rPr>
          <w:rFonts w:ascii="Arial" w:hAnsi="Arial" w:cs="Arial"/>
          <w:color w:val="000000"/>
          <w:sz w:val="20"/>
        </w:rPr>
        <w:t xml:space="preserve">TR </w:t>
      </w:r>
      <w:r w:rsidR="00597BD4">
        <w:rPr>
          <w:rFonts w:ascii="Arial" w:hAnsi="Arial" w:cs="Arial"/>
          <w:color w:val="000000"/>
          <w:sz w:val="20"/>
        </w:rPr>
        <w:t>2020/3</w:t>
      </w:r>
      <w:r w:rsidR="00502338">
        <w:rPr>
          <w:rFonts w:ascii="Arial" w:hAnsi="Arial" w:cs="Arial"/>
          <w:color w:val="000000"/>
          <w:sz w:val="20"/>
        </w:rPr>
        <w:t>.</w:t>
      </w:r>
    </w:p>
    <w:p w14:paraId="6D4EA395" w14:textId="77777777" w:rsidR="00AA6D5C" w:rsidRPr="00AA6D5C" w:rsidRDefault="00AA6D5C" w:rsidP="00B74065">
      <w:pPr>
        <w:spacing w:line="276" w:lineRule="auto"/>
        <w:jc w:val="left"/>
        <w:rPr>
          <w:rFonts w:ascii="Arial" w:hAnsi="Arial" w:cs="Arial"/>
          <w:color w:val="000000"/>
          <w:sz w:val="20"/>
        </w:rPr>
      </w:pPr>
    </w:p>
    <w:p w14:paraId="7CE6729A" w14:textId="18C3B911" w:rsidR="00AA6D5C" w:rsidRDefault="006B229F" w:rsidP="00B74065">
      <w:pPr>
        <w:spacing w:line="276" w:lineRule="auto"/>
        <w:jc w:val="left"/>
        <w:rPr>
          <w:rFonts w:ascii="Arial" w:hAnsi="Arial" w:cs="Arial"/>
          <w:color w:val="000000"/>
          <w:sz w:val="20"/>
        </w:rPr>
      </w:pPr>
      <w:r>
        <w:rPr>
          <w:rFonts w:ascii="Arial" w:hAnsi="Arial" w:cs="Arial"/>
          <w:color w:val="000000"/>
          <w:sz w:val="20"/>
        </w:rPr>
        <w:t xml:space="preserve">Relevant considerations when determining depreciation deductions in relation to residential rental properties are </w:t>
      </w:r>
      <w:r w:rsidR="00AA6D5C" w:rsidRPr="00AA6D5C">
        <w:rPr>
          <w:rFonts w:ascii="Arial" w:hAnsi="Arial" w:cs="Arial"/>
          <w:color w:val="000000"/>
          <w:sz w:val="20"/>
        </w:rPr>
        <w:t xml:space="preserve">discussed below.  </w:t>
      </w:r>
    </w:p>
    <w:p w14:paraId="2FC7784E" w14:textId="77777777" w:rsidR="00AA6D5C" w:rsidRDefault="00AA6D5C" w:rsidP="00B74065">
      <w:pPr>
        <w:spacing w:line="276" w:lineRule="auto"/>
        <w:jc w:val="left"/>
        <w:rPr>
          <w:rFonts w:ascii="Arial" w:hAnsi="Arial" w:cs="Arial"/>
          <w:color w:val="000000"/>
          <w:sz w:val="20"/>
        </w:rPr>
      </w:pPr>
    </w:p>
    <w:p w14:paraId="125F13A4" w14:textId="279F6D29" w:rsidR="00AA6D5C" w:rsidRPr="00081D3D" w:rsidRDefault="009910F9" w:rsidP="00B74065">
      <w:pPr>
        <w:spacing w:line="276" w:lineRule="auto"/>
        <w:jc w:val="left"/>
        <w:rPr>
          <w:rFonts w:ascii="Arial" w:hAnsi="Arial" w:cs="Arial"/>
          <w:b/>
          <w:color w:val="000000"/>
          <w:sz w:val="20"/>
        </w:rPr>
      </w:pPr>
      <w:r>
        <w:rPr>
          <w:rFonts w:ascii="Arial" w:hAnsi="Arial" w:cs="Arial"/>
          <w:b/>
          <w:color w:val="000000"/>
          <w:sz w:val="20"/>
        </w:rPr>
        <w:t xml:space="preserve">No depreciation of second-hand </w:t>
      </w:r>
      <w:r w:rsidR="006B229F">
        <w:rPr>
          <w:rFonts w:ascii="Arial" w:hAnsi="Arial" w:cs="Arial"/>
          <w:b/>
          <w:color w:val="000000"/>
          <w:sz w:val="20"/>
        </w:rPr>
        <w:t>depreciating assets</w:t>
      </w:r>
    </w:p>
    <w:p w14:paraId="6481431B" w14:textId="5B173B45" w:rsidR="00AA6D5C" w:rsidRDefault="00AA6D5C" w:rsidP="00B74065">
      <w:pPr>
        <w:spacing w:line="276" w:lineRule="auto"/>
        <w:jc w:val="left"/>
        <w:rPr>
          <w:rFonts w:ascii="Arial" w:hAnsi="Arial" w:cs="Arial"/>
          <w:color w:val="000000"/>
          <w:sz w:val="20"/>
        </w:rPr>
      </w:pPr>
    </w:p>
    <w:p w14:paraId="28741003" w14:textId="2567BA38" w:rsidR="006B229F" w:rsidRDefault="006B229F" w:rsidP="006B229F">
      <w:pPr>
        <w:spacing w:line="276" w:lineRule="auto"/>
        <w:jc w:val="left"/>
        <w:rPr>
          <w:rFonts w:ascii="Arial" w:hAnsi="Arial" w:cs="Arial"/>
          <w:color w:val="000000"/>
          <w:sz w:val="20"/>
        </w:rPr>
      </w:pPr>
      <w:r>
        <w:rPr>
          <w:rFonts w:ascii="Arial" w:hAnsi="Arial" w:cs="Arial"/>
          <w:color w:val="000000"/>
          <w:sz w:val="20"/>
        </w:rPr>
        <w:t>F</w:t>
      </w:r>
      <w:r w:rsidRPr="00B74065">
        <w:rPr>
          <w:rFonts w:ascii="Arial" w:hAnsi="Arial" w:cs="Arial"/>
          <w:color w:val="000000"/>
          <w:sz w:val="20"/>
        </w:rPr>
        <w:t>rom 1 July 2017</w:t>
      </w:r>
      <w:r>
        <w:rPr>
          <w:rFonts w:ascii="Arial" w:hAnsi="Arial" w:cs="Arial"/>
          <w:color w:val="000000"/>
          <w:sz w:val="20"/>
        </w:rPr>
        <w:t>,</w:t>
      </w:r>
      <w:r w:rsidRPr="00B74065">
        <w:rPr>
          <w:rFonts w:ascii="Arial" w:hAnsi="Arial" w:cs="Arial"/>
          <w:color w:val="000000"/>
          <w:sz w:val="20"/>
        </w:rPr>
        <w:t xml:space="preserve"> certain investors </w:t>
      </w:r>
      <w:r>
        <w:rPr>
          <w:rFonts w:ascii="Arial" w:hAnsi="Arial" w:cs="Arial"/>
          <w:color w:val="000000"/>
          <w:sz w:val="20"/>
        </w:rPr>
        <w:t>are</w:t>
      </w:r>
      <w:r w:rsidRPr="00B74065">
        <w:rPr>
          <w:rFonts w:ascii="Arial" w:hAnsi="Arial" w:cs="Arial"/>
          <w:color w:val="000000"/>
          <w:sz w:val="20"/>
        </w:rPr>
        <w:t xml:space="preserve"> prevented from claiming deductions for the decline in value of </w:t>
      </w:r>
      <w:r>
        <w:rPr>
          <w:rFonts w:ascii="Arial" w:hAnsi="Arial" w:cs="Arial"/>
          <w:color w:val="000000"/>
          <w:sz w:val="20"/>
        </w:rPr>
        <w:t>second-hand</w:t>
      </w:r>
      <w:r w:rsidRPr="00B74065">
        <w:rPr>
          <w:rFonts w:ascii="Arial" w:hAnsi="Arial" w:cs="Arial"/>
          <w:color w:val="000000"/>
          <w:sz w:val="20"/>
        </w:rPr>
        <w:t xml:space="preserve"> depreciating assets (e.g. </w:t>
      </w:r>
      <w:r w:rsidR="008E06BA" w:rsidRPr="00B74065">
        <w:rPr>
          <w:rFonts w:ascii="Arial" w:hAnsi="Arial" w:cs="Arial"/>
          <w:color w:val="000000"/>
          <w:sz w:val="20"/>
        </w:rPr>
        <w:t>furniture and fittings</w:t>
      </w:r>
      <w:r w:rsidRPr="00B74065">
        <w:rPr>
          <w:rFonts w:ascii="Arial" w:hAnsi="Arial" w:cs="Arial"/>
          <w:color w:val="000000"/>
          <w:sz w:val="20"/>
        </w:rPr>
        <w:t xml:space="preserve">) installed in residential premises used to </w:t>
      </w:r>
      <w:r>
        <w:rPr>
          <w:rFonts w:ascii="Arial" w:hAnsi="Arial" w:cs="Arial"/>
          <w:color w:val="000000"/>
          <w:sz w:val="20"/>
        </w:rPr>
        <w:t xml:space="preserve">derive rental income. </w:t>
      </w:r>
    </w:p>
    <w:p w14:paraId="0796FDD6" w14:textId="77777777" w:rsidR="006B229F" w:rsidRDefault="006B229F" w:rsidP="006B229F">
      <w:pPr>
        <w:spacing w:line="276" w:lineRule="auto"/>
        <w:jc w:val="left"/>
        <w:rPr>
          <w:rFonts w:ascii="Arial" w:hAnsi="Arial" w:cs="Arial"/>
          <w:color w:val="000000"/>
          <w:sz w:val="20"/>
        </w:rPr>
      </w:pPr>
    </w:p>
    <w:p w14:paraId="4694BDCE" w14:textId="3F76E472" w:rsidR="006B229F" w:rsidRPr="00B74065" w:rsidRDefault="006B229F" w:rsidP="006B229F">
      <w:pPr>
        <w:spacing w:line="276" w:lineRule="auto"/>
        <w:jc w:val="left"/>
        <w:rPr>
          <w:rFonts w:ascii="Arial" w:hAnsi="Arial" w:cs="Arial"/>
          <w:color w:val="000000"/>
          <w:sz w:val="20"/>
        </w:rPr>
      </w:pPr>
      <w:r>
        <w:rPr>
          <w:rFonts w:ascii="Arial" w:hAnsi="Arial" w:cs="Arial"/>
          <w:color w:val="000000"/>
          <w:sz w:val="20"/>
        </w:rPr>
        <w:t xml:space="preserve">Deductions are disallowed </w:t>
      </w:r>
      <w:r w:rsidRPr="00B74065">
        <w:rPr>
          <w:rFonts w:ascii="Arial" w:hAnsi="Arial" w:cs="Arial"/>
          <w:color w:val="000000"/>
          <w:sz w:val="20"/>
        </w:rPr>
        <w:t xml:space="preserve">under section 40-27 of the </w:t>
      </w:r>
      <w:r w:rsidR="00FB4BD6" w:rsidRPr="00FB4BD6">
        <w:rPr>
          <w:rFonts w:ascii="Arial" w:hAnsi="Arial" w:cs="Arial"/>
          <w:i/>
          <w:iCs/>
          <w:color w:val="000000"/>
          <w:sz w:val="20"/>
        </w:rPr>
        <w:t>ITAA 1997</w:t>
      </w:r>
      <w:r>
        <w:rPr>
          <w:rFonts w:ascii="Arial" w:hAnsi="Arial" w:cs="Arial"/>
          <w:color w:val="000000"/>
          <w:sz w:val="20"/>
        </w:rPr>
        <w:t xml:space="preserve"> </w:t>
      </w:r>
      <w:r w:rsidRPr="00B74065">
        <w:rPr>
          <w:rFonts w:ascii="Arial" w:hAnsi="Arial" w:cs="Arial"/>
          <w:color w:val="000000"/>
          <w:sz w:val="20"/>
        </w:rPr>
        <w:t xml:space="preserve">in respect of </w:t>
      </w:r>
      <w:r>
        <w:rPr>
          <w:rFonts w:ascii="Arial" w:hAnsi="Arial" w:cs="Arial"/>
          <w:color w:val="000000"/>
          <w:sz w:val="20"/>
        </w:rPr>
        <w:t>second-hand</w:t>
      </w:r>
      <w:r w:rsidRPr="00B74065">
        <w:rPr>
          <w:rFonts w:ascii="Arial" w:hAnsi="Arial" w:cs="Arial"/>
          <w:color w:val="000000"/>
          <w:sz w:val="20"/>
        </w:rPr>
        <w:t xml:space="preserve"> assets </w:t>
      </w:r>
      <w:r>
        <w:rPr>
          <w:rFonts w:ascii="Arial" w:hAnsi="Arial" w:cs="Arial"/>
          <w:color w:val="000000"/>
          <w:sz w:val="20"/>
        </w:rPr>
        <w:t>where the assets were</w:t>
      </w:r>
      <w:r w:rsidRPr="00B74065">
        <w:rPr>
          <w:rFonts w:ascii="Arial" w:hAnsi="Arial" w:cs="Arial"/>
          <w:color w:val="000000"/>
          <w:sz w:val="20"/>
        </w:rPr>
        <w:t xml:space="preserve"> acquired on or after 9 May 2017</w:t>
      </w:r>
      <w:r>
        <w:rPr>
          <w:rFonts w:ascii="Arial" w:hAnsi="Arial" w:cs="Arial"/>
          <w:color w:val="000000"/>
          <w:sz w:val="20"/>
        </w:rPr>
        <w:t xml:space="preserve"> or where they had been previously held by the investor and used for private purposes.</w:t>
      </w:r>
      <w:r w:rsidRPr="00B74065">
        <w:rPr>
          <w:rFonts w:ascii="Arial" w:hAnsi="Arial" w:cs="Arial"/>
          <w:color w:val="000000"/>
          <w:sz w:val="20"/>
        </w:rPr>
        <w:t xml:space="preserve"> Accordingly, residential rental property investors will typically</w:t>
      </w:r>
      <w:r w:rsidR="00505BAF">
        <w:rPr>
          <w:rFonts w:ascii="Arial" w:hAnsi="Arial" w:cs="Arial"/>
          <w:color w:val="000000"/>
          <w:sz w:val="20"/>
        </w:rPr>
        <w:t xml:space="preserve"> only</w:t>
      </w:r>
      <w:r w:rsidRPr="00B74065">
        <w:rPr>
          <w:rFonts w:ascii="Arial" w:hAnsi="Arial" w:cs="Arial"/>
          <w:color w:val="000000"/>
          <w:sz w:val="20"/>
        </w:rPr>
        <w:t xml:space="preserve"> be able to claim deductions for the decline in value of new assets which have been acquired for use in such premises.</w:t>
      </w:r>
    </w:p>
    <w:p w14:paraId="2549BDBB" w14:textId="77777777" w:rsidR="006B229F" w:rsidRPr="00AA6D5C" w:rsidRDefault="006B229F" w:rsidP="00B74065">
      <w:pPr>
        <w:spacing w:line="276" w:lineRule="auto"/>
        <w:jc w:val="left"/>
        <w:rPr>
          <w:rFonts w:ascii="Arial" w:hAnsi="Arial" w:cs="Arial"/>
          <w:color w:val="000000"/>
          <w:sz w:val="20"/>
        </w:rPr>
      </w:pPr>
    </w:p>
    <w:p w14:paraId="74FC1AD9" w14:textId="2853629E"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purpose of </w:t>
      </w:r>
      <w:r w:rsidR="006B229F">
        <w:rPr>
          <w:rFonts w:ascii="Arial" w:hAnsi="Arial" w:cs="Arial"/>
          <w:color w:val="000000"/>
          <w:sz w:val="20"/>
        </w:rPr>
        <w:t>section 40-27</w:t>
      </w:r>
      <w:r w:rsidRPr="00B74065">
        <w:rPr>
          <w:rFonts w:ascii="Arial" w:hAnsi="Arial" w:cs="Arial"/>
          <w:color w:val="000000"/>
          <w:sz w:val="20"/>
        </w:rPr>
        <w:t xml:space="preserve"> is to deny tax depreciation deductions in respect of second-hand assets whose value may have been refreshed or overstated on acquisition.</w:t>
      </w:r>
    </w:p>
    <w:p w14:paraId="069EF0D2"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A8950AE"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Instead the decline in value of such a depreciating asset may result in a capital loss (or in certain circumstances a capital gain) on any subsequent disposal of the asset under CGT Event K7 for the difference between the termination value of the asset and its cost.</w:t>
      </w:r>
    </w:p>
    <w:p w14:paraId="20E8D304" w14:textId="77777777" w:rsidR="00B74065" w:rsidRPr="00B74065" w:rsidRDefault="00B74065" w:rsidP="00B74065">
      <w:pPr>
        <w:spacing w:line="276" w:lineRule="auto"/>
        <w:jc w:val="left"/>
        <w:rPr>
          <w:rFonts w:ascii="Arial" w:hAnsi="Arial" w:cs="Arial"/>
          <w:color w:val="000000"/>
          <w:sz w:val="20"/>
        </w:rPr>
      </w:pPr>
    </w:p>
    <w:p w14:paraId="1EF415F3"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practical effect of these amendments is that certain entities can therefore only deduct the decline in value of depreciating assets used in gaining or producing assessable income for residential premises if the asset is acquired new for that purpose. </w:t>
      </w:r>
    </w:p>
    <w:p w14:paraId="14FAC86C" w14:textId="77777777" w:rsidR="00B74065" w:rsidRPr="00B74065" w:rsidRDefault="00B74065" w:rsidP="00B74065">
      <w:pPr>
        <w:spacing w:line="276" w:lineRule="auto"/>
        <w:jc w:val="left"/>
        <w:rPr>
          <w:rFonts w:ascii="Arial" w:hAnsi="Arial" w:cs="Arial"/>
          <w:color w:val="000000"/>
          <w:sz w:val="20"/>
        </w:rPr>
      </w:pPr>
    </w:p>
    <w:p w14:paraId="73E79319" w14:textId="4F26B3E4"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Importantly</w:t>
      </w:r>
      <w:r>
        <w:rPr>
          <w:rFonts w:ascii="Arial" w:hAnsi="Arial" w:cs="Arial"/>
          <w:color w:val="000000"/>
          <w:sz w:val="20"/>
        </w:rPr>
        <w:t>,</w:t>
      </w:r>
      <w:r w:rsidRPr="00B74065">
        <w:rPr>
          <w:rFonts w:ascii="Arial" w:hAnsi="Arial" w:cs="Arial"/>
          <w:color w:val="000000"/>
          <w:sz w:val="20"/>
        </w:rPr>
        <w:t xml:space="preserve"> there is no reduction to the capital works deduction in respect of eligible building expenditure </w:t>
      </w:r>
      <w:r w:rsidR="008E06BA">
        <w:rPr>
          <w:rFonts w:ascii="Arial" w:hAnsi="Arial" w:cs="Arial"/>
          <w:color w:val="000000"/>
          <w:sz w:val="20"/>
        </w:rPr>
        <w:t>which</w:t>
      </w:r>
      <w:r w:rsidR="008E06BA" w:rsidRPr="00B74065">
        <w:rPr>
          <w:rFonts w:ascii="Arial" w:hAnsi="Arial" w:cs="Arial"/>
          <w:color w:val="000000"/>
          <w:sz w:val="20"/>
        </w:rPr>
        <w:t xml:space="preserve"> </w:t>
      </w:r>
      <w:r w:rsidRPr="00B74065">
        <w:rPr>
          <w:rFonts w:ascii="Arial" w:hAnsi="Arial" w:cs="Arial"/>
          <w:color w:val="000000"/>
          <w:sz w:val="20"/>
        </w:rPr>
        <w:t>may be written off</w:t>
      </w:r>
      <w:r>
        <w:rPr>
          <w:rFonts w:ascii="Arial" w:hAnsi="Arial" w:cs="Arial"/>
          <w:color w:val="000000"/>
          <w:sz w:val="20"/>
        </w:rPr>
        <w:t xml:space="preserve"> under Division 43 of the </w:t>
      </w:r>
      <w:r w:rsidR="00FB4BD6" w:rsidRPr="00FB4BD6">
        <w:rPr>
          <w:rFonts w:ascii="Arial" w:hAnsi="Arial" w:cs="Arial"/>
          <w:i/>
          <w:iCs/>
          <w:color w:val="000000"/>
          <w:sz w:val="20"/>
        </w:rPr>
        <w:t>ITAA 1997</w:t>
      </w:r>
      <w:r>
        <w:rPr>
          <w:rFonts w:ascii="Arial" w:hAnsi="Arial" w:cs="Arial"/>
          <w:color w:val="000000"/>
          <w:sz w:val="20"/>
        </w:rPr>
        <w:t>,</w:t>
      </w:r>
      <w:r w:rsidRPr="00B74065">
        <w:rPr>
          <w:rFonts w:ascii="Arial" w:hAnsi="Arial" w:cs="Arial"/>
          <w:color w:val="000000"/>
          <w:sz w:val="20"/>
        </w:rPr>
        <w:t xml:space="preserve"> which is often the most material tax depreciation deduction claimable in respect of any acquired residential investment property.</w:t>
      </w:r>
    </w:p>
    <w:p w14:paraId="16032B4F"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2A127AE" w14:textId="77777777"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The reduction in the decline in value</w:t>
      </w:r>
      <w:r w:rsidRPr="00B74065">
        <w:t xml:space="preserve"> </w:t>
      </w:r>
      <w:r w:rsidRPr="00B74065">
        <w:rPr>
          <w:rFonts w:ascii="Arial" w:hAnsi="Arial" w:cs="Arial"/>
          <w:color w:val="000000"/>
          <w:sz w:val="20"/>
        </w:rPr>
        <w:t>of any depreciating asset will only apply if the relevant asset has been ‘previously used’ in that:</w:t>
      </w:r>
    </w:p>
    <w:p w14:paraId="4B7BF79B" w14:textId="77777777" w:rsidR="00B74065" w:rsidRDefault="00B74065" w:rsidP="00B74065">
      <w:pPr>
        <w:spacing w:line="276" w:lineRule="auto"/>
        <w:jc w:val="left"/>
        <w:rPr>
          <w:rFonts w:ascii="Arial" w:hAnsi="Arial" w:cs="Arial"/>
          <w:color w:val="000000"/>
          <w:sz w:val="20"/>
        </w:rPr>
      </w:pPr>
    </w:p>
    <w:p w14:paraId="6DD6D464" w14:textId="17DCDA9E"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entity is not the first entity that has used the asset or installed the asset ready for use within the meaning of Divisi</w:t>
      </w:r>
      <w:r>
        <w:rPr>
          <w:rFonts w:ascii="Arial" w:hAnsi="Arial" w:cs="Arial"/>
          <w:color w:val="000000"/>
          <w:sz w:val="20"/>
        </w:rPr>
        <w:t>on 40</w:t>
      </w:r>
    </w:p>
    <w:p w14:paraId="659EED6C" w14:textId="77777777"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lastRenderedPageBreak/>
        <w:t>the asset is used or installed ready for use during the tax year in residential premises that has been formerly used in a dwelling that was a residence of the taxpayer when the asset was first used or installed or</w:t>
      </w:r>
    </w:p>
    <w:p w14:paraId="1D07340F" w14:textId="13635C09" w:rsid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 xml:space="preserve">the asset is used or installed ready for use during any income year for a purpose that is not a taxable purpose, </w:t>
      </w:r>
      <w:r w:rsidR="00F9574F">
        <w:rPr>
          <w:rFonts w:ascii="Arial" w:hAnsi="Arial" w:cs="Arial"/>
          <w:color w:val="000000"/>
          <w:sz w:val="20"/>
        </w:rPr>
        <w:t xml:space="preserve">unless the use for that purpose is </w:t>
      </w:r>
      <w:r w:rsidRPr="00B74065">
        <w:rPr>
          <w:rFonts w:ascii="Arial" w:hAnsi="Arial" w:cs="Arial"/>
          <w:color w:val="000000"/>
          <w:sz w:val="20"/>
        </w:rPr>
        <w:t>occasional</w:t>
      </w:r>
      <w:r w:rsidR="00F9574F">
        <w:rPr>
          <w:rFonts w:ascii="Arial" w:hAnsi="Arial" w:cs="Arial"/>
          <w:color w:val="000000"/>
          <w:sz w:val="20"/>
        </w:rPr>
        <w:t xml:space="preserve">. </w:t>
      </w:r>
      <w:r w:rsidRPr="00B74065">
        <w:rPr>
          <w:rFonts w:ascii="Arial" w:hAnsi="Arial" w:cs="Arial"/>
          <w:color w:val="000000"/>
          <w:sz w:val="20"/>
        </w:rPr>
        <w:t xml:space="preserve">For example, </w:t>
      </w:r>
      <w:r w:rsidR="00F9574F">
        <w:rPr>
          <w:rFonts w:ascii="Arial" w:hAnsi="Arial" w:cs="Arial"/>
          <w:color w:val="000000"/>
          <w:sz w:val="20"/>
        </w:rPr>
        <w:t xml:space="preserve">allowing relatives to </w:t>
      </w:r>
      <w:r w:rsidRPr="00B74065">
        <w:rPr>
          <w:rFonts w:ascii="Arial" w:hAnsi="Arial" w:cs="Arial"/>
          <w:color w:val="000000"/>
          <w:sz w:val="20"/>
        </w:rPr>
        <w:t xml:space="preserve">stay one weekend </w:t>
      </w:r>
      <w:r w:rsidR="00F9574F">
        <w:rPr>
          <w:rFonts w:ascii="Arial" w:hAnsi="Arial" w:cs="Arial"/>
          <w:color w:val="000000"/>
          <w:sz w:val="20"/>
        </w:rPr>
        <w:t xml:space="preserve">free of charge </w:t>
      </w:r>
      <w:r w:rsidRPr="00B74065">
        <w:rPr>
          <w:rFonts w:ascii="Arial" w:hAnsi="Arial" w:cs="Arial"/>
          <w:color w:val="000000"/>
          <w:sz w:val="20"/>
        </w:rPr>
        <w:t xml:space="preserve">in </w:t>
      </w:r>
      <w:r w:rsidR="00F9574F">
        <w:rPr>
          <w:rFonts w:ascii="Arial" w:hAnsi="Arial" w:cs="Arial"/>
          <w:color w:val="000000"/>
          <w:sz w:val="20"/>
        </w:rPr>
        <w:t xml:space="preserve">rental accommodation </w:t>
      </w:r>
      <w:r w:rsidRPr="00B74065">
        <w:rPr>
          <w:rFonts w:ascii="Arial" w:hAnsi="Arial" w:cs="Arial"/>
          <w:color w:val="000000"/>
          <w:sz w:val="20"/>
        </w:rPr>
        <w:t xml:space="preserve">that is usually used to derive rent would be regarded as occasional use and therefore any depreciating assets used in those circumstances would not be </w:t>
      </w:r>
      <w:r w:rsidR="00F9574F">
        <w:rPr>
          <w:rFonts w:ascii="Arial" w:hAnsi="Arial" w:cs="Arial"/>
          <w:color w:val="000000"/>
          <w:sz w:val="20"/>
        </w:rPr>
        <w:t>for a non-taxable purpose</w:t>
      </w:r>
      <w:r w:rsidRPr="00B74065">
        <w:rPr>
          <w:rFonts w:ascii="Arial" w:hAnsi="Arial" w:cs="Arial"/>
          <w:color w:val="000000"/>
          <w:sz w:val="20"/>
        </w:rPr>
        <w:t>.</w:t>
      </w:r>
    </w:p>
    <w:p w14:paraId="3864E589" w14:textId="77777777" w:rsidR="00B74065" w:rsidRDefault="00B74065" w:rsidP="00B74065">
      <w:pPr>
        <w:spacing w:line="276" w:lineRule="auto"/>
        <w:jc w:val="left"/>
        <w:rPr>
          <w:rFonts w:ascii="Arial" w:hAnsi="Arial" w:cs="Arial"/>
          <w:color w:val="000000"/>
          <w:sz w:val="20"/>
        </w:rPr>
      </w:pPr>
    </w:p>
    <w:p w14:paraId="7C86ADC4"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It should be noted that the restriction on claiming deductions for used depreciating assets in a residential rental property does not apply if the entity is either a corporate tax entity, a superannuation plan that is not a self-managed superannuation fund (</w:t>
      </w:r>
      <w:r w:rsidRPr="00031549">
        <w:rPr>
          <w:rFonts w:ascii="Arial" w:hAnsi="Arial" w:cs="Arial"/>
          <w:b/>
          <w:bCs/>
          <w:color w:val="000000"/>
          <w:sz w:val="20"/>
        </w:rPr>
        <w:t>SMSF</w:t>
      </w:r>
      <w:r w:rsidRPr="00B74065">
        <w:rPr>
          <w:rFonts w:ascii="Arial" w:hAnsi="Arial" w:cs="Arial"/>
          <w:color w:val="000000"/>
          <w:sz w:val="20"/>
        </w:rPr>
        <w:t>), a public unit trust, a managed investment trust, or a partnership or unit trust where each member of the partnership or unit trust is one of the aforementioned excluded entities.</w:t>
      </w:r>
    </w:p>
    <w:p w14:paraId="55C52E24" w14:textId="77777777" w:rsidR="00B74065" w:rsidRPr="00B74065" w:rsidRDefault="00B74065" w:rsidP="00B74065">
      <w:pPr>
        <w:spacing w:line="276" w:lineRule="auto"/>
        <w:jc w:val="left"/>
        <w:rPr>
          <w:rFonts w:ascii="Arial" w:hAnsi="Arial" w:cs="Arial"/>
          <w:color w:val="000000"/>
          <w:sz w:val="20"/>
        </w:rPr>
      </w:pPr>
    </w:p>
    <w:p w14:paraId="0887F153" w14:textId="70202AF3"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 addition, the reduction also does not apply if the depreciating asset is used in carrying on a business</w:t>
      </w:r>
      <w:r w:rsidR="0066079B">
        <w:rPr>
          <w:rFonts w:ascii="Arial" w:hAnsi="Arial" w:cs="Arial"/>
          <w:color w:val="000000"/>
          <w:sz w:val="20"/>
        </w:rPr>
        <w:t xml:space="preserve">. That is, the reduction </w:t>
      </w:r>
      <w:r w:rsidRPr="00B74065">
        <w:rPr>
          <w:rFonts w:ascii="Arial" w:hAnsi="Arial" w:cs="Arial"/>
          <w:color w:val="000000"/>
          <w:sz w:val="20"/>
        </w:rPr>
        <w:t>is aimed at residential property investors who are deriving passive investment income.</w:t>
      </w:r>
    </w:p>
    <w:p w14:paraId="6241B340" w14:textId="77777777" w:rsidR="00B74065" w:rsidRPr="00B74065" w:rsidRDefault="00B74065" w:rsidP="00B74065">
      <w:pPr>
        <w:spacing w:line="276" w:lineRule="auto"/>
        <w:jc w:val="left"/>
        <w:rPr>
          <w:rFonts w:ascii="Arial" w:hAnsi="Arial" w:cs="Arial"/>
          <w:color w:val="000000"/>
          <w:sz w:val="20"/>
        </w:rPr>
      </w:pPr>
    </w:p>
    <w:p w14:paraId="0D867DA3" w14:textId="42C14BB5"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Furthermore, the amendments do not apply to a depreciating asset installed in new residential premises (including substantially renovated premises) if no entity has previously been entitled to any deduction for the decline in value of the asset and no one has resided in the premises in which the asset has been used. For example, a developer would not have claimed a deduction for the decline in value of any depreciating asset as such a property would have been regarded as trading stock of the developer and no other person would have previously lived in the premises.</w:t>
      </w:r>
    </w:p>
    <w:p w14:paraId="0C822723" w14:textId="1C817F91" w:rsidR="00FB4BD6" w:rsidRDefault="00FB4BD6" w:rsidP="00B74065">
      <w:pPr>
        <w:spacing w:line="276" w:lineRule="auto"/>
        <w:jc w:val="left"/>
        <w:rPr>
          <w:rFonts w:ascii="Arial" w:hAnsi="Arial" w:cs="Arial"/>
          <w:color w:val="000000"/>
          <w:sz w:val="20"/>
        </w:rPr>
      </w:pPr>
    </w:p>
    <w:p w14:paraId="278F0C65" w14:textId="3E0B039D" w:rsidR="00FB4BD6" w:rsidRPr="00B74065" w:rsidRDefault="00FB4BD6" w:rsidP="00FB4BD6">
      <w:pPr>
        <w:spacing w:line="276" w:lineRule="auto"/>
        <w:jc w:val="left"/>
        <w:rPr>
          <w:rFonts w:ascii="Arial" w:hAnsi="Arial" w:cs="Arial"/>
          <w:color w:val="000000"/>
          <w:sz w:val="20"/>
        </w:rPr>
      </w:pPr>
      <w:r w:rsidRPr="00B74065">
        <w:rPr>
          <w:rFonts w:ascii="Arial" w:hAnsi="Arial" w:cs="Arial"/>
          <w:color w:val="000000"/>
          <w:sz w:val="20"/>
        </w:rPr>
        <w:t>For these purposes</w:t>
      </w:r>
      <w:r>
        <w:rPr>
          <w:rFonts w:ascii="Arial" w:hAnsi="Arial" w:cs="Arial"/>
          <w:color w:val="000000"/>
          <w:sz w:val="20"/>
        </w:rPr>
        <w:t>,</w:t>
      </w:r>
      <w:r w:rsidRPr="00B74065">
        <w:rPr>
          <w:rFonts w:ascii="Arial" w:hAnsi="Arial" w:cs="Arial"/>
          <w:color w:val="000000"/>
          <w:sz w:val="20"/>
        </w:rPr>
        <w:t xml:space="preserve"> the term ‘</w:t>
      </w:r>
      <w:r>
        <w:rPr>
          <w:rFonts w:ascii="Arial" w:hAnsi="Arial" w:cs="Arial"/>
          <w:color w:val="000000"/>
          <w:sz w:val="20"/>
        </w:rPr>
        <w:t xml:space="preserve">new </w:t>
      </w:r>
      <w:r w:rsidRPr="00B74065">
        <w:rPr>
          <w:rFonts w:ascii="Arial" w:hAnsi="Arial" w:cs="Arial"/>
          <w:color w:val="000000"/>
          <w:sz w:val="20"/>
        </w:rPr>
        <w:t xml:space="preserve">residential premises’ has the same meaning as that term has under section 40-75 of </w:t>
      </w:r>
      <w:r w:rsidRPr="008565B2">
        <w:rPr>
          <w:rFonts w:ascii="Arial" w:hAnsi="Arial" w:cs="Arial"/>
          <w:i/>
          <w:color w:val="000000"/>
          <w:sz w:val="20"/>
        </w:rPr>
        <w:t>A New Tax System (Goods and Services Tax) Act</w:t>
      </w:r>
      <w:r w:rsidRPr="00B74065">
        <w:rPr>
          <w:rFonts w:ascii="Arial" w:hAnsi="Arial" w:cs="Arial"/>
          <w:color w:val="000000"/>
          <w:sz w:val="20"/>
        </w:rPr>
        <w:t xml:space="preserve"> 1999 (</w:t>
      </w:r>
      <w:r w:rsidRPr="008E0772">
        <w:rPr>
          <w:rFonts w:ascii="Arial" w:hAnsi="Arial" w:cs="Arial"/>
          <w:b/>
          <w:bCs/>
          <w:i/>
          <w:iCs/>
          <w:color w:val="000000"/>
          <w:sz w:val="20"/>
        </w:rPr>
        <w:t>GST Act</w:t>
      </w:r>
      <w:r w:rsidRPr="00B74065">
        <w:rPr>
          <w:rFonts w:ascii="Arial" w:hAnsi="Arial" w:cs="Arial"/>
          <w:color w:val="000000"/>
          <w:sz w:val="20"/>
        </w:rPr>
        <w:t xml:space="preserve">). Section 40-75 of the </w:t>
      </w:r>
      <w:r w:rsidRPr="00EC1267">
        <w:rPr>
          <w:rFonts w:ascii="Arial" w:hAnsi="Arial" w:cs="Arial"/>
          <w:i/>
          <w:iCs/>
          <w:color w:val="000000"/>
          <w:sz w:val="20"/>
        </w:rPr>
        <w:t>GST Act</w:t>
      </w:r>
      <w:r w:rsidRPr="00B74065">
        <w:rPr>
          <w:rFonts w:ascii="Arial" w:hAnsi="Arial" w:cs="Arial"/>
          <w:color w:val="000000"/>
          <w:sz w:val="20"/>
        </w:rPr>
        <w:t xml:space="preserve"> defines new</w:t>
      </w:r>
      <w:r>
        <w:rPr>
          <w:rFonts w:ascii="Arial" w:hAnsi="Arial" w:cs="Arial"/>
          <w:color w:val="000000"/>
          <w:sz w:val="20"/>
        </w:rPr>
        <w:t xml:space="preserve"> residential premises as</w:t>
      </w:r>
      <w:r w:rsidRPr="00B74065">
        <w:rPr>
          <w:rFonts w:ascii="Arial" w:hAnsi="Arial" w:cs="Arial"/>
          <w:color w:val="000000"/>
          <w:sz w:val="20"/>
        </w:rPr>
        <w:t xml:space="preserve"> premises that have not been previously sold or subject to a long-term lease as residential premises or have been subject to a substantial renovation or replacement of existing premises. For these purposes ‘substantial renovations’ is also defined under the </w:t>
      </w:r>
      <w:r w:rsidRPr="00EC1267">
        <w:rPr>
          <w:rFonts w:ascii="Arial" w:hAnsi="Arial" w:cs="Arial"/>
          <w:i/>
          <w:color w:val="000000"/>
          <w:sz w:val="20"/>
        </w:rPr>
        <w:t xml:space="preserve">GST </w:t>
      </w:r>
      <w:r w:rsidR="00952789" w:rsidRPr="00EC1267">
        <w:rPr>
          <w:rFonts w:ascii="Arial" w:hAnsi="Arial" w:cs="Arial"/>
          <w:i/>
          <w:color w:val="000000"/>
          <w:sz w:val="20"/>
        </w:rPr>
        <w:t>Act</w:t>
      </w:r>
      <w:r w:rsidRPr="00B74065">
        <w:rPr>
          <w:rFonts w:ascii="Arial" w:hAnsi="Arial" w:cs="Arial"/>
          <w:color w:val="000000"/>
          <w:sz w:val="20"/>
        </w:rPr>
        <w:t xml:space="preserve"> as being renovations in which substantially all of a building is removed and replaced (although it does not always need to involve structural alterations).</w:t>
      </w:r>
    </w:p>
    <w:p w14:paraId="35DB510A" w14:textId="77777777" w:rsidR="00FB4BD6" w:rsidRPr="00B74065" w:rsidRDefault="00FB4BD6" w:rsidP="00FB4BD6">
      <w:pPr>
        <w:spacing w:line="276" w:lineRule="auto"/>
        <w:jc w:val="left"/>
        <w:rPr>
          <w:rFonts w:ascii="Arial" w:hAnsi="Arial" w:cs="Arial"/>
          <w:color w:val="000000"/>
          <w:sz w:val="20"/>
        </w:rPr>
      </w:pPr>
    </w:p>
    <w:p w14:paraId="664EBBA6" w14:textId="7EA3D17F" w:rsidR="00F9574F" w:rsidRDefault="00B74065" w:rsidP="00B74065">
      <w:pPr>
        <w:spacing w:line="276" w:lineRule="auto"/>
        <w:jc w:val="left"/>
        <w:rPr>
          <w:rFonts w:ascii="Arial" w:hAnsi="Arial" w:cs="Arial"/>
          <w:color w:val="000000"/>
          <w:sz w:val="20"/>
        </w:rPr>
      </w:pPr>
      <w:r w:rsidRPr="00B74065">
        <w:rPr>
          <w:rFonts w:ascii="Arial" w:hAnsi="Arial" w:cs="Arial"/>
          <w:color w:val="000000"/>
          <w:sz w:val="20"/>
        </w:rPr>
        <w:t>In all other respects depreciating assets acquired before 9 May 2017 will continue to be depreciable under the general depreciation rules until they are either written off or are on-sold.</w:t>
      </w:r>
    </w:p>
    <w:p w14:paraId="339ED652" w14:textId="77777777" w:rsidR="0066079B" w:rsidRDefault="0066079B" w:rsidP="00B74065">
      <w:pPr>
        <w:spacing w:line="276" w:lineRule="auto"/>
        <w:jc w:val="left"/>
        <w:rPr>
          <w:rFonts w:ascii="Arial" w:hAnsi="Arial" w:cs="Arial"/>
          <w:color w:val="000000"/>
          <w:sz w:val="20"/>
        </w:rPr>
      </w:pPr>
    </w:p>
    <w:p w14:paraId="68AFF3F8" w14:textId="63A08C31" w:rsidR="00AA6D5C" w:rsidRPr="00081D3D" w:rsidRDefault="00AA6D5C" w:rsidP="00B74065">
      <w:pPr>
        <w:spacing w:line="276" w:lineRule="auto"/>
        <w:jc w:val="left"/>
        <w:rPr>
          <w:rFonts w:ascii="Arial" w:hAnsi="Arial" w:cs="Arial"/>
          <w:b/>
          <w:color w:val="000000"/>
          <w:sz w:val="20"/>
        </w:rPr>
      </w:pPr>
      <w:r w:rsidRPr="00081D3D">
        <w:rPr>
          <w:rFonts w:ascii="Arial" w:hAnsi="Arial" w:cs="Arial"/>
          <w:b/>
          <w:color w:val="000000"/>
          <w:sz w:val="20"/>
        </w:rPr>
        <w:t xml:space="preserve">Calculating </w:t>
      </w:r>
      <w:r w:rsidR="008B68AE">
        <w:rPr>
          <w:rFonts w:ascii="Arial" w:hAnsi="Arial" w:cs="Arial"/>
          <w:b/>
          <w:color w:val="000000"/>
          <w:sz w:val="20"/>
        </w:rPr>
        <w:t xml:space="preserve">the </w:t>
      </w:r>
      <w:r w:rsidRPr="00081D3D">
        <w:rPr>
          <w:rFonts w:ascii="Arial" w:hAnsi="Arial" w:cs="Arial"/>
          <w:b/>
          <w:color w:val="000000"/>
          <w:sz w:val="20"/>
        </w:rPr>
        <w:t xml:space="preserve">effective life of residential rental property assets </w:t>
      </w:r>
    </w:p>
    <w:p w14:paraId="412F62D6" w14:textId="77777777" w:rsidR="00AA6D5C" w:rsidRPr="00AA6D5C" w:rsidRDefault="00AA6D5C" w:rsidP="00B74065">
      <w:pPr>
        <w:spacing w:line="276" w:lineRule="auto"/>
        <w:jc w:val="left"/>
        <w:rPr>
          <w:rFonts w:ascii="Arial" w:hAnsi="Arial" w:cs="Arial"/>
          <w:color w:val="000000"/>
          <w:sz w:val="20"/>
        </w:rPr>
      </w:pPr>
    </w:p>
    <w:p w14:paraId="51EF7B3E" w14:textId="03688DAA" w:rsidR="00AA6D5C" w:rsidRPr="00AA6D5C" w:rsidRDefault="00AA6D5C" w:rsidP="00B74065">
      <w:pPr>
        <w:spacing w:line="276" w:lineRule="auto"/>
        <w:jc w:val="left"/>
        <w:rPr>
          <w:rFonts w:ascii="Arial" w:hAnsi="Arial" w:cs="Arial"/>
          <w:color w:val="000000"/>
          <w:sz w:val="20"/>
        </w:rPr>
      </w:pPr>
      <w:r w:rsidRPr="00AA6D5C">
        <w:rPr>
          <w:rFonts w:ascii="Arial" w:hAnsi="Arial" w:cs="Arial"/>
          <w:color w:val="000000"/>
          <w:sz w:val="20"/>
        </w:rPr>
        <w:t xml:space="preserve">As an owner of a residential rental property is not </w:t>
      </w:r>
      <w:r w:rsidR="0066079B">
        <w:rPr>
          <w:rFonts w:ascii="Arial" w:hAnsi="Arial" w:cs="Arial"/>
          <w:color w:val="000000"/>
          <w:sz w:val="20"/>
        </w:rPr>
        <w:t xml:space="preserve">generally </w:t>
      </w:r>
      <w:r w:rsidRPr="00AA6D5C">
        <w:rPr>
          <w:rFonts w:ascii="Arial" w:hAnsi="Arial" w:cs="Arial"/>
          <w:color w:val="000000"/>
          <w:sz w:val="20"/>
        </w:rPr>
        <w:t>regarded as carrying on a business</w:t>
      </w:r>
      <w:r w:rsidR="008B68AE">
        <w:rPr>
          <w:rFonts w:ascii="Arial" w:hAnsi="Arial" w:cs="Arial"/>
          <w:color w:val="000000"/>
          <w:sz w:val="20"/>
        </w:rPr>
        <w:t>,</w:t>
      </w:r>
      <w:r w:rsidRPr="00AA6D5C">
        <w:rPr>
          <w:rFonts w:ascii="Arial" w:hAnsi="Arial" w:cs="Arial"/>
          <w:color w:val="000000"/>
          <w:sz w:val="20"/>
        </w:rPr>
        <w:t xml:space="preserve"> it cannot rely on the concessional depreciation rates available under the small business entity capital allowance rules </w:t>
      </w:r>
      <w:r w:rsidR="008B68AE">
        <w:rPr>
          <w:rFonts w:ascii="Arial" w:hAnsi="Arial" w:cs="Arial"/>
          <w:color w:val="000000"/>
          <w:sz w:val="20"/>
        </w:rPr>
        <w:t>contained in</w:t>
      </w:r>
      <w:r w:rsidR="008B68AE" w:rsidRPr="00AA6D5C">
        <w:rPr>
          <w:rFonts w:ascii="Arial" w:hAnsi="Arial" w:cs="Arial"/>
          <w:color w:val="000000"/>
          <w:sz w:val="20"/>
        </w:rPr>
        <w:t xml:space="preserve"> </w:t>
      </w:r>
      <w:r w:rsidRPr="00AA6D5C">
        <w:rPr>
          <w:rFonts w:ascii="Arial" w:hAnsi="Arial" w:cs="Arial"/>
          <w:color w:val="000000"/>
          <w:sz w:val="20"/>
        </w:rPr>
        <w:t xml:space="preserve">Subdivision 328-D of the </w:t>
      </w:r>
      <w:r w:rsidR="00FB4BD6" w:rsidRPr="00FB4BD6">
        <w:rPr>
          <w:rFonts w:ascii="Arial" w:hAnsi="Arial" w:cs="Arial"/>
          <w:i/>
          <w:iCs/>
          <w:color w:val="000000"/>
          <w:sz w:val="20"/>
        </w:rPr>
        <w:t>ITAA 1997</w:t>
      </w:r>
      <w:r w:rsidRPr="00AA6D5C">
        <w:rPr>
          <w:rFonts w:ascii="Arial" w:hAnsi="Arial" w:cs="Arial"/>
          <w:color w:val="000000"/>
          <w:sz w:val="20"/>
        </w:rPr>
        <w:t xml:space="preserve">. Accordingly, it is necessary to apply the general capital allowance rules </w:t>
      </w:r>
      <w:r w:rsidR="008B68AE">
        <w:rPr>
          <w:rFonts w:ascii="Arial" w:hAnsi="Arial" w:cs="Arial"/>
          <w:color w:val="000000"/>
          <w:sz w:val="20"/>
        </w:rPr>
        <w:t>in</w:t>
      </w:r>
      <w:r w:rsidR="008B68AE" w:rsidRPr="00AA6D5C">
        <w:rPr>
          <w:rFonts w:ascii="Arial" w:hAnsi="Arial" w:cs="Arial"/>
          <w:color w:val="000000"/>
          <w:sz w:val="20"/>
        </w:rPr>
        <w:t xml:space="preserve"> </w:t>
      </w:r>
      <w:r w:rsidRPr="00AA6D5C">
        <w:rPr>
          <w:rFonts w:ascii="Arial" w:hAnsi="Arial" w:cs="Arial"/>
          <w:color w:val="000000"/>
          <w:sz w:val="20"/>
        </w:rPr>
        <w:t xml:space="preserve">Division 40 in calculating the decline in value of rental property </w:t>
      </w:r>
      <w:r w:rsidR="00952789">
        <w:rPr>
          <w:rFonts w:ascii="Arial" w:hAnsi="Arial" w:cs="Arial"/>
          <w:color w:val="000000"/>
          <w:sz w:val="20"/>
        </w:rPr>
        <w:t>depreciable assets</w:t>
      </w:r>
      <w:r w:rsidRPr="00AA6D5C">
        <w:rPr>
          <w:rFonts w:ascii="Arial" w:hAnsi="Arial" w:cs="Arial"/>
          <w:color w:val="000000"/>
          <w:sz w:val="20"/>
        </w:rPr>
        <w:t xml:space="preserve">. </w:t>
      </w:r>
    </w:p>
    <w:p w14:paraId="6B57C8A5" w14:textId="77777777" w:rsidR="00AA6D5C" w:rsidRPr="00AA6D5C" w:rsidRDefault="00AA6D5C" w:rsidP="00B74065">
      <w:pPr>
        <w:spacing w:line="276" w:lineRule="auto"/>
        <w:jc w:val="left"/>
        <w:rPr>
          <w:rFonts w:ascii="Arial" w:hAnsi="Arial" w:cs="Arial"/>
          <w:color w:val="000000"/>
          <w:sz w:val="20"/>
        </w:rPr>
      </w:pPr>
    </w:p>
    <w:p w14:paraId="21B95AF4" w14:textId="13D21536" w:rsidR="00977BEC" w:rsidRPr="001F5DA1" w:rsidRDefault="002817B6" w:rsidP="00B74065">
      <w:pPr>
        <w:spacing w:line="276" w:lineRule="auto"/>
        <w:jc w:val="left"/>
        <w:rPr>
          <w:rFonts w:ascii="Arial" w:hAnsi="Arial" w:cs="Arial"/>
          <w:sz w:val="20"/>
        </w:rPr>
      </w:pPr>
      <w:r>
        <w:rPr>
          <w:rFonts w:ascii="Arial" w:hAnsi="Arial" w:cs="Arial"/>
          <w:color w:val="000000"/>
          <w:sz w:val="20"/>
        </w:rPr>
        <w:t>S</w:t>
      </w:r>
      <w:r w:rsidR="00AA6D5C" w:rsidRPr="00AA6D5C">
        <w:rPr>
          <w:rFonts w:ascii="Arial" w:hAnsi="Arial" w:cs="Arial"/>
          <w:color w:val="000000"/>
          <w:sz w:val="20"/>
        </w:rPr>
        <w:t>uch taxpayer</w:t>
      </w:r>
      <w:r>
        <w:rPr>
          <w:rFonts w:ascii="Arial" w:hAnsi="Arial" w:cs="Arial"/>
          <w:color w:val="000000"/>
          <w:sz w:val="20"/>
        </w:rPr>
        <w:t>s</w:t>
      </w:r>
      <w:r w:rsidR="00AA6D5C" w:rsidRPr="00AA6D5C">
        <w:rPr>
          <w:rFonts w:ascii="Arial" w:hAnsi="Arial" w:cs="Arial"/>
          <w:color w:val="000000"/>
          <w:sz w:val="20"/>
        </w:rPr>
        <w:t xml:space="preserve"> will be able to claim an immediate deduction for a depreciating asset costing $300 or less </w:t>
      </w:r>
      <w:r w:rsidR="008565B2">
        <w:rPr>
          <w:rFonts w:ascii="Arial" w:hAnsi="Arial" w:cs="Arial"/>
          <w:color w:val="000000"/>
          <w:sz w:val="20"/>
        </w:rPr>
        <w:t>to the extent it is used for a taxable purpose</w:t>
      </w:r>
      <w:r w:rsidR="008B68AE">
        <w:rPr>
          <w:rFonts w:ascii="Arial" w:hAnsi="Arial" w:cs="Arial"/>
          <w:color w:val="000000"/>
          <w:sz w:val="20"/>
        </w:rPr>
        <w:t xml:space="preserve">, </w:t>
      </w:r>
      <w:r w:rsidR="0092751C">
        <w:rPr>
          <w:rFonts w:ascii="Arial" w:hAnsi="Arial" w:cs="Arial"/>
          <w:color w:val="000000"/>
          <w:sz w:val="20"/>
        </w:rPr>
        <w:t>i.e</w:t>
      </w:r>
      <w:r w:rsidR="008B68AE">
        <w:rPr>
          <w:rFonts w:ascii="Arial" w:hAnsi="Arial" w:cs="Arial"/>
          <w:color w:val="000000"/>
          <w:sz w:val="20"/>
        </w:rPr>
        <w:t>.</w:t>
      </w:r>
      <w:r w:rsidR="008565B2">
        <w:rPr>
          <w:rFonts w:ascii="Arial" w:hAnsi="Arial" w:cs="Arial"/>
          <w:color w:val="000000"/>
          <w:sz w:val="20"/>
        </w:rPr>
        <w:t xml:space="preserve"> </w:t>
      </w:r>
      <w:r w:rsidR="00AA6D5C" w:rsidRPr="00AA6D5C">
        <w:rPr>
          <w:rFonts w:ascii="Arial" w:hAnsi="Arial" w:cs="Arial"/>
          <w:color w:val="000000"/>
          <w:sz w:val="20"/>
        </w:rPr>
        <w:t>if the asset is used predomina</w:t>
      </w:r>
      <w:r w:rsidR="008565B2">
        <w:rPr>
          <w:rFonts w:ascii="Arial" w:hAnsi="Arial" w:cs="Arial"/>
          <w:color w:val="000000"/>
          <w:sz w:val="20"/>
        </w:rPr>
        <w:t>ntly to derive rental income</w:t>
      </w:r>
      <w:r>
        <w:rPr>
          <w:rFonts w:ascii="Arial" w:hAnsi="Arial" w:cs="Arial"/>
          <w:color w:val="000000"/>
          <w:sz w:val="20"/>
        </w:rPr>
        <w:t>. However</w:t>
      </w:r>
      <w:r w:rsidR="008565B2">
        <w:rPr>
          <w:rFonts w:ascii="Arial" w:hAnsi="Arial" w:cs="Arial"/>
          <w:color w:val="000000"/>
          <w:sz w:val="20"/>
        </w:rPr>
        <w:t xml:space="preserve">, </w:t>
      </w:r>
      <w:r w:rsidR="00AA6D5C" w:rsidRPr="00AA6D5C">
        <w:rPr>
          <w:rFonts w:ascii="Arial" w:hAnsi="Arial" w:cs="Arial"/>
          <w:color w:val="000000"/>
          <w:sz w:val="20"/>
        </w:rPr>
        <w:t xml:space="preserve">reference must </w:t>
      </w:r>
      <w:r w:rsidR="008565B2">
        <w:rPr>
          <w:rFonts w:ascii="Arial" w:hAnsi="Arial" w:cs="Arial"/>
          <w:color w:val="000000"/>
          <w:sz w:val="20"/>
        </w:rPr>
        <w:t xml:space="preserve">generally </w:t>
      </w:r>
      <w:r w:rsidR="00AA6D5C" w:rsidRPr="00AA6D5C">
        <w:rPr>
          <w:rFonts w:ascii="Arial" w:hAnsi="Arial" w:cs="Arial"/>
          <w:color w:val="000000"/>
          <w:sz w:val="20"/>
        </w:rPr>
        <w:t>be made to the Commissioner of Taxation’s estimate of eff</w:t>
      </w:r>
      <w:r w:rsidR="008565B2">
        <w:rPr>
          <w:rFonts w:ascii="Arial" w:hAnsi="Arial" w:cs="Arial"/>
          <w:color w:val="000000"/>
          <w:sz w:val="20"/>
        </w:rPr>
        <w:t>ective lives under section 40-100</w:t>
      </w:r>
      <w:r w:rsidR="00AA6D5C" w:rsidRPr="00AA6D5C">
        <w:rPr>
          <w:rFonts w:ascii="Arial" w:hAnsi="Arial" w:cs="Arial"/>
          <w:color w:val="000000"/>
          <w:sz w:val="20"/>
        </w:rPr>
        <w:t xml:space="preserve">(1) in </w:t>
      </w:r>
      <w:r w:rsidR="008565B2">
        <w:rPr>
          <w:rFonts w:ascii="Arial" w:hAnsi="Arial" w:cs="Arial"/>
          <w:color w:val="000000"/>
          <w:sz w:val="20"/>
        </w:rPr>
        <w:t xml:space="preserve">calculating the </w:t>
      </w:r>
      <w:r w:rsidR="00AA6D5C" w:rsidRPr="00AA6D5C">
        <w:rPr>
          <w:rFonts w:ascii="Arial" w:hAnsi="Arial" w:cs="Arial"/>
          <w:color w:val="000000"/>
          <w:sz w:val="20"/>
        </w:rPr>
        <w:t>depreciati</w:t>
      </w:r>
      <w:r w:rsidR="008565B2">
        <w:rPr>
          <w:rFonts w:ascii="Arial" w:hAnsi="Arial" w:cs="Arial"/>
          <w:color w:val="000000"/>
          <w:sz w:val="20"/>
        </w:rPr>
        <w:t>on of</w:t>
      </w:r>
      <w:r w:rsidR="00AA6D5C" w:rsidRPr="00AA6D5C">
        <w:rPr>
          <w:rFonts w:ascii="Arial" w:hAnsi="Arial" w:cs="Arial"/>
          <w:color w:val="000000"/>
          <w:sz w:val="20"/>
        </w:rPr>
        <w:t xml:space="preserve"> </w:t>
      </w:r>
      <w:r w:rsidR="008565B2">
        <w:rPr>
          <w:rFonts w:ascii="Arial" w:hAnsi="Arial" w:cs="Arial"/>
          <w:color w:val="000000"/>
          <w:sz w:val="20"/>
        </w:rPr>
        <w:t xml:space="preserve">depreciating </w:t>
      </w:r>
      <w:r w:rsidR="00AA6D5C" w:rsidRPr="00AA6D5C">
        <w:rPr>
          <w:rFonts w:ascii="Arial" w:hAnsi="Arial" w:cs="Arial"/>
          <w:color w:val="000000"/>
          <w:sz w:val="20"/>
        </w:rPr>
        <w:t xml:space="preserve">assets whose cost is more than $300.          </w:t>
      </w:r>
    </w:p>
    <w:p w14:paraId="5EE3039A" w14:textId="77777777" w:rsidR="00977BEC" w:rsidRPr="001F5DA1" w:rsidRDefault="00977BEC" w:rsidP="00B74065">
      <w:pPr>
        <w:spacing w:line="276" w:lineRule="auto"/>
        <w:jc w:val="left"/>
        <w:rPr>
          <w:rFonts w:ascii="Arial" w:hAnsi="Arial" w:cs="Arial"/>
          <w:sz w:val="20"/>
        </w:rPr>
      </w:pPr>
    </w:p>
    <w:p w14:paraId="5AEE76E0" w14:textId="77777777" w:rsidR="00031549" w:rsidRDefault="00031549" w:rsidP="00B74065">
      <w:pPr>
        <w:spacing w:line="276" w:lineRule="auto"/>
        <w:jc w:val="left"/>
        <w:rPr>
          <w:rFonts w:ascii="Arial" w:hAnsi="Arial" w:cs="Arial"/>
          <w:b/>
          <w:sz w:val="20"/>
        </w:rPr>
      </w:pPr>
    </w:p>
    <w:p w14:paraId="5E3A7179" w14:textId="77777777" w:rsidR="00031549" w:rsidRDefault="00031549" w:rsidP="00B74065">
      <w:pPr>
        <w:spacing w:line="276" w:lineRule="auto"/>
        <w:jc w:val="left"/>
        <w:rPr>
          <w:rFonts w:ascii="Arial" w:hAnsi="Arial" w:cs="Arial"/>
          <w:b/>
          <w:sz w:val="20"/>
        </w:rPr>
      </w:pPr>
    </w:p>
    <w:p w14:paraId="036AD8D5" w14:textId="3B001E2F" w:rsidR="00031549" w:rsidRDefault="00031549" w:rsidP="00B74065">
      <w:pPr>
        <w:spacing w:line="276" w:lineRule="auto"/>
        <w:jc w:val="left"/>
        <w:rPr>
          <w:rFonts w:ascii="Arial" w:hAnsi="Arial" w:cs="Arial"/>
          <w:b/>
          <w:sz w:val="20"/>
        </w:rPr>
      </w:pPr>
    </w:p>
    <w:p w14:paraId="0E92C094" w14:textId="77777777" w:rsidR="00774E1E" w:rsidRDefault="00774E1E" w:rsidP="00B74065">
      <w:pPr>
        <w:spacing w:line="276" w:lineRule="auto"/>
        <w:jc w:val="left"/>
        <w:rPr>
          <w:rFonts w:ascii="Arial" w:hAnsi="Arial" w:cs="Arial"/>
          <w:b/>
          <w:sz w:val="20"/>
        </w:rPr>
      </w:pPr>
    </w:p>
    <w:p w14:paraId="460E174B" w14:textId="35448147" w:rsidR="00AA6D5C" w:rsidRPr="00AA6D5C" w:rsidRDefault="008565B2" w:rsidP="00B74065">
      <w:pPr>
        <w:spacing w:line="276" w:lineRule="auto"/>
        <w:jc w:val="left"/>
        <w:rPr>
          <w:rFonts w:ascii="Arial" w:hAnsi="Arial" w:cs="Arial"/>
          <w:b/>
          <w:sz w:val="20"/>
        </w:rPr>
      </w:pPr>
      <w:r>
        <w:rPr>
          <w:rFonts w:ascii="Arial" w:hAnsi="Arial" w:cs="Arial"/>
          <w:b/>
          <w:sz w:val="20"/>
        </w:rPr>
        <w:lastRenderedPageBreak/>
        <w:t>E</w:t>
      </w:r>
      <w:r w:rsidR="00AA6D5C" w:rsidRPr="00AA6D5C">
        <w:rPr>
          <w:rFonts w:ascii="Arial" w:hAnsi="Arial" w:cs="Arial"/>
          <w:b/>
          <w:sz w:val="20"/>
        </w:rPr>
        <w:t xml:space="preserve">ffective life of depreciating assets under Taxation Ruling </w:t>
      </w:r>
      <w:r w:rsidR="009910F9">
        <w:rPr>
          <w:rFonts w:ascii="Arial" w:hAnsi="Arial" w:cs="Arial"/>
          <w:b/>
          <w:sz w:val="20"/>
        </w:rPr>
        <w:t xml:space="preserve">TR </w:t>
      </w:r>
      <w:r w:rsidR="00597BD4">
        <w:rPr>
          <w:rFonts w:ascii="Arial" w:hAnsi="Arial" w:cs="Arial"/>
          <w:b/>
          <w:sz w:val="20"/>
        </w:rPr>
        <w:t>2020/3</w:t>
      </w:r>
    </w:p>
    <w:p w14:paraId="25A064C0" w14:textId="77777777" w:rsidR="00AA6D5C" w:rsidRDefault="00AA6D5C" w:rsidP="00B74065">
      <w:pPr>
        <w:spacing w:line="276" w:lineRule="auto"/>
        <w:jc w:val="left"/>
        <w:rPr>
          <w:rFonts w:ascii="Arial" w:hAnsi="Arial" w:cs="Arial"/>
          <w:sz w:val="20"/>
        </w:rPr>
      </w:pPr>
    </w:p>
    <w:p w14:paraId="1545DEB0" w14:textId="77777777" w:rsidR="008565B2" w:rsidRDefault="00AA6D5C" w:rsidP="00B74065">
      <w:pPr>
        <w:spacing w:line="276" w:lineRule="auto"/>
        <w:jc w:val="left"/>
        <w:rPr>
          <w:rFonts w:ascii="Arial" w:hAnsi="Arial" w:cs="Arial"/>
          <w:sz w:val="20"/>
        </w:rPr>
      </w:pPr>
      <w:r w:rsidRPr="00AA6D5C">
        <w:rPr>
          <w:rFonts w:ascii="Arial" w:hAnsi="Arial" w:cs="Arial"/>
          <w:sz w:val="20"/>
        </w:rPr>
        <w:t>The Australian Taxation Office (</w:t>
      </w:r>
      <w:r w:rsidRPr="00031549">
        <w:rPr>
          <w:rFonts w:ascii="Arial" w:hAnsi="Arial" w:cs="Arial"/>
          <w:b/>
          <w:bCs/>
          <w:sz w:val="20"/>
        </w:rPr>
        <w:t>ATO</w:t>
      </w:r>
      <w:r w:rsidRPr="00AA6D5C">
        <w:rPr>
          <w:rFonts w:ascii="Arial" w:hAnsi="Arial" w:cs="Arial"/>
          <w:sz w:val="20"/>
        </w:rPr>
        <w:t>) annually reviews its determination of the effective lives of depreciating assets, including plant included in residential rental properties</w:t>
      </w:r>
      <w:r w:rsidR="008565B2">
        <w:rPr>
          <w:rFonts w:ascii="Arial" w:hAnsi="Arial" w:cs="Arial"/>
          <w:sz w:val="20"/>
        </w:rPr>
        <w:t>.</w:t>
      </w:r>
    </w:p>
    <w:p w14:paraId="347CBD9C" w14:textId="77777777" w:rsidR="008565B2" w:rsidRDefault="008565B2" w:rsidP="00B74065">
      <w:pPr>
        <w:spacing w:line="276" w:lineRule="auto"/>
        <w:jc w:val="left"/>
        <w:rPr>
          <w:rFonts w:ascii="Arial" w:hAnsi="Arial" w:cs="Arial"/>
          <w:sz w:val="20"/>
        </w:rPr>
      </w:pPr>
    </w:p>
    <w:p w14:paraId="3082E1F0" w14:textId="7680501F" w:rsidR="00AA6D5C" w:rsidRPr="00AA6D5C" w:rsidRDefault="008565B2" w:rsidP="00B74065">
      <w:pPr>
        <w:spacing w:line="276" w:lineRule="auto"/>
        <w:jc w:val="left"/>
        <w:rPr>
          <w:rFonts w:ascii="Arial" w:hAnsi="Arial" w:cs="Arial"/>
          <w:sz w:val="20"/>
        </w:rPr>
      </w:pPr>
      <w:r w:rsidRPr="008565B2">
        <w:rPr>
          <w:rFonts w:ascii="Arial" w:hAnsi="Arial" w:cs="Arial"/>
          <w:sz w:val="20"/>
        </w:rPr>
        <w:t>This determination is set out in in Taxation Ruling TR</w:t>
      </w:r>
      <w:r w:rsidR="00F9574F">
        <w:rPr>
          <w:rFonts w:ascii="Arial" w:hAnsi="Arial" w:cs="Arial"/>
          <w:sz w:val="20"/>
        </w:rPr>
        <w:t xml:space="preserve"> </w:t>
      </w:r>
      <w:r w:rsidR="00597BD4">
        <w:rPr>
          <w:rFonts w:ascii="Arial" w:hAnsi="Arial" w:cs="Arial"/>
          <w:sz w:val="20"/>
        </w:rPr>
        <w:t>2020/3</w:t>
      </w:r>
      <w:r w:rsidRPr="008565B2">
        <w:rPr>
          <w:rFonts w:ascii="Arial" w:hAnsi="Arial" w:cs="Arial"/>
          <w:sz w:val="20"/>
        </w:rPr>
        <w:t xml:space="preserve"> in respect of depreciating assets which were acquired during the year ended 30 J</w:t>
      </w:r>
      <w:r w:rsidR="00D018C4">
        <w:rPr>
          <w:rFonts w:ascii="Arial" w:hAnsi="Arial" w:cs="Arial"/>
          <w:sz w:val="20"/>
        </w:rPr>
        <w:t>une 202</w:t>
      </w:r>
      <w:r w:rsidR="00597BD4">
        <w:rPr>
          <w:rFonts w:ascii="Arial" w:hAnsi="Arial" w:cs="Arial"/>
          <w:sz w:val="20"/>
        </w:rPr>
        <w:t>1</w:t>
      </w:r>
      <w:r>
        <w:rPr>
          <w:rFonts w:ascii="Arial" w:hAnsi="Arial" w:cs="Arial"/>
          <w:sz w:val="20"/>
        </w:rPr>
        <w:t>.</w:t>
      </w:r>
    </w:p>
    <w:p w14:paraId="28228CFB" w14:textId="77777777" w:rsidR="00AA6D5C" w:rsidRPr="00AA6D5C" w:rsidRDefault="00AA6D5C" w:rsidP="00B74065">
      <w:pPr>
        <w:spacing w:line="276" w:lineRule="auto"/>
        <w:jc w:val="left"/>
        <w:rPr>
          <w:rFonts w:ascii="Arial" w:hAnsi="Arial" w:cs="Arial"/>
          <w:sz w:val="20"/>
        </w:rPr>
      </w:pPr>
    </w:p>
    <w:p w14:paraId="50873606" w14:textId="77777777" w:rsidR="00AA6D5C" w:rsidRPr="00AA6D5C" w:rsidRDefault="00AA6D5C" w:rsidP="00B74065">
      <w:pPr>
        <w:spacing w:line="276" w:lineRule="auto"/>
        <w:jc w:val="left"/>
        <w:rPr>
          <w:rFonts w:ascii="Arial" w:hAnsi="Arial" w:cs="Arial"/>
          <w:sz w:val="20"/>
        </w:rPr>
      </w:pPr>
      <w:r w:rsidRPr="00AA6D5C">
        <w:rPr>
          <w:rFonts w:ascii="Arial" w:hAnsi="Arial" w:cs="Arial"/>
          <w:sz w:val="20"/>
        </w:rPr>
        <w:t xml:space="preserve">This ruling provides taxpayers with, amongst other things, a comprehensive guide to the effective lives of depreciable assets typically contained in residential rental properties. </w:t>
      </w:r>
    </w:p>
    <w:p w14:paraId="6E3070E6" w14:textId="77777777" w:rsidR="00AA6D5C" w:rsidRPr="00AA6D5C" w:rsidRDefault="00AA6D5C" w:rsidP="00B74065">
      <w:pPr>
        <w:spacing w:line="276" w:lineRule="auto"/>
        <w:jc w:val="left"/>
        <w:rPr>
          <w:rFonts w:ascii="Arial" w:hAnsi="Arial" w:cs="Arial"/>
          <w:sz w:val="20"/>
        </w:rPr>
      </w:pPr>
    </w:p>
    <w:p w14:paraId="536816E6" w14:textId="338EA428" w:rsidR="00977BEC" w:rsidRDefault="00AA6D5C" w:rsidP="00B74065">
      <w:pPr>
        <w:spacing w:line="276" w:lineRule="auto"/>
        <w:jc w:val="left"/>
        <w:rPr>
          <w:rFonts w:ascii="Arial" w:hAnsi="Arial" w:cs="Arial"/>
          <w:sz w:val="20"/>
        </w:rPr>
      </w:pPr>
      <w:r w:rsidRPr="00AA6D5C">
        <w:rPr>
          <w:rFonts w:ascii="Arial" w:hAnsi="Arial" w:cs="Arial"/>
          <w:sz w:val="20"/>
        </w:rPr>
        <w:t>The effective life of an asset forms the basis of the prime cost depreciation rate, as it reflects the term over which the asset is to be written-off in equal proportionate instalments. To obtain an accelerated rate of depreciation</w:t>
      </w:r>
      <w:r w:rsidR="00F2144B">
        <w:rPr>
          <w:rFonts w:ascii="Arial" w:hAnsi="Arial" w:cs="Arial"/>
          <w:sz w:val="20"/>
        </w:rPr>
        <w:t>,</w:t>
      </w:r>
      <w:r w:rsidRPr="00AA6D5C">
        <w:rPr>
          <w:rFonts w:ascii="Arial" w:hAnsi="Arial" w:cs="Arial"/>
          <w:sz w:val="20"/>
        </w:rPr>
        <w:t xml:space="preserve"> assets can be alternatively written off at a diminishing value rate which for depreciating assets acquired after 9 May 2006 is 200% of the prime cost rate.</w:t>
      </w:r>
    </w:p>
    <w:p w14:paraId="5B434C65" w14:textId="77777777" w:rsidR="00AA6D5C" w:rsidRPr="001F5DA1" w:rsidRDefault="00AA6D5C" w:rsidP="00B74065">
      <w:pPr>
        <w:spacing w:line="276" w:lineRule="auto"/>
        <w:jc w:val="left"/>
        <w:rPr>
          <w:rFonts w:ascii="Arial" w:hAnsi="Arial" w:cs="Arial"/>
          <w:sz w:val="20"/>
        </w:rPr>
      </w:pPr>
    </w:p>
    <w:p w14:paraId="3FD6AC89" w14:textId="77777777" w:rsidR="00977BEC" w:rsidRPr="001F5DA1" w:rsidRDefault="00977BEC" w:rsidP="00B74065">
      <w:pPr>
        <w:pStyle w:val="Heading2"/>
        <w:spacing w:line="276" w:lineRule="auto"/>
        <w:jc w:val="left"/>
        <w:rPr>
          <w:rFonts w:ascii="Arial" w:hAnsi="Arial" w:cs="Arial"/>
        </w:rPr>
      </w:pPr>
      <w:r w:rsidRPr="001F5DA1">
        <w:rPr>
          <w:rFonts w:ascii="Arial" w:hAnsi="Arial" w:cs="Arial"/>
        </w:rPr>
        <w:t>What do</w:t>
      </w:r>
      <w:r>
        <w:rPr>
          <w:rFonts w:ascii="Arial" w:hAnsi="Arial" w:cs="Arial"/>
        </w:rPr>
        <w:t>es the Ruling say</w:t>
      </w:r>
      <w:r w:rsidRPr="001F5DA1">
        <w:rPr>
          <w:rFonts w:ascii="Arial" w:hAnsi="Arial" w:cs="Arial"/>
        </w:rPr>
        <w:t>?</w:t>
      </w:r>
    </w:p>
    <w:p w14:paraId="29A5E88D" w14:textId="77777777" w:rsidR="00977BEC" w:rsidRPr="001F5DA1" w:rsidRDefault="00977BEC" w:rsidP="00B74065">
      <w:pPr>
        <w:spacing w:line="276" w:lineRule="auto"/>
        <w:jc w:val="left"/>
        <w:rPr>
          <w:rFonts w:ascii="Arial" w:hAnsi="Arial" w:cs="Arial"/>
          <w:sz w:val="20"/>
        </w:rPr>
      </w:pPr>
    </w:p>
    <w:p w14:paraId="5CD72876" w14:textId="023C65C8"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 xml:space="preserve">Table A and Table B in </w:t>
      </w:r>
      <w:r w:rsidRPr="005E24A3">
        <w:rPr>
          <w:rFonts w:ascii="Arial" w:hAnsi="Arial" w:cs="Arial"/>
          <w:sz w:val="20"/>
        </w:rPr>
        <w:t xml:space="preserve">Taxation Ruling </w:t>
      </w:r>
      <w:r w:rsidR="00D018C4">
        <w:rPr>
          <w:rFonts w:ascii="Arial" w:hAnsi="Arial" w:cs="Arial"/>
          <w:color w:val="000000"/>
          <w:sz w:val="20"/>
        </w:rPr>
        <w:t>TR 20</w:t>
      </w:r>
      <w:r w:rsidR="00597BD4">
        <w:rPr>
          <w:rFonts w:ascii="Arial" w:hAnsi="Arial" w:cs="Arial"/>
          <w:color w:val="000000"/>
          <w:sz w:val="20"/>
        </w:rPr>
        <w:t>20/3</w:t>
      </w:r>
      <w:r>
        <w:rPr>
          <w:rFonts w:ascii="Arial" w:hAnsi="Arial" w:cs="Arial"/>
          <w:sz w:val="20"/>
        </w:rPr>
        <w:t xml:space="preserve"> </w:t>
      </w:r>
      <w:r w:rsidRPr="001F5DA1">
        <w:rPr>
          <w:rFonts w:ascii="Arial" w:hAnsi="Arial" w:cs="Arial"/>
          <w:sz w:val="20"/>
        </w:rPr>
        <w:t xml:space="preserve">outline the </w:t>
      </w:r>
      <w:r>
        <w:rPr>
          <w:rFonts w:ascii="Arial" w:hAnsi="Arial" w:cs="Arial"/>
          <w:sz w:val="20"/>
        </w:rPr>
        <w:t>ATO’s view on</w:t>
      </w:r>
      <w:r w:rsidRPr="001F5DA1">
        <w:rPr>
          <w:rFonts w:ascii="Arial" w:hAnsi="Arial" w:cs="Arial"/>
          <w:sz w:val="20"/>
        </w:rPr>
        <w:t xml:space="preserve"> the effective lives of various depreciating assets.</w:t>
      </w:r>
    </w:p>
    <w:p w14:paraId="45381C65"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14A62D41" w14:textId="7777777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Table A contains categories of assets under industry headings and may only be used by memb</w:t>
      </w:r>
      <w:r>
        <w:rPr>
          <w:rFonts w:ascii="Arial" w:hAnsi="Arial" w:cs="Arial"/>
          <w:sz w:val="20"/>
        </w:rPr>
        <w:t>ers of the specified industry</w:t>
      </w:r>
      <w:r w:rsidR="008565B2">
        <w:rPr>
          <w:rFonts w:ascii="Arial" w:hAnsi="Arial" w:cs="Arial"/>
          <w:sz w:val="20"/>
        </w:rPr>
        <w:t>, which includes</w:t>
      </w:r>
      <w:r w:rsidRPr="001F5DA1">
        <w:rPr>
          <w:rFonts w:ascii="Arial" w:hAnsi="Arial" w:cs="Arial"/>
          <w:sz w:val="20"/>
        </w:rPr>
        <w:t xml:space="preserve"> residential property </w:t>
      </w:r>
      <w:r w:rsidR="008565B2">
        <w:rPr>
          <w:rFonts w:ascii="Arial" w:hAnsi="Arial" w:cs="Arial"/>
          <w:sz w:val="20"/>
        </w:rPr>
        <w:t>operators</w:t>
      </w:r>
      <w:r w:rsidRPr="001F5DA1">
        <w:rPr>
          <w:rFonts w:ascii="Arial" w:hAnsi="Arial" w:cs="Arial"/>
          <w:sz w:val="20"/>
        </w:rPr>
        <w:t>.</w:t>
      </w:r>
      <w:r w:rsidR="00081D3D">
        <w:rPr>
          <w:rFonts w:ascii="Arial" w:hAnsi="Arial" w:cs="Arial"/>
          <w:sz w:val="20"/>
        </w:rPr>
        <w:t xml:space="preserve"> Where Table A does not apply to a particular depreciating asset, reference should be made to the list of effective lives that apply to depreciating assets generally which is set out under Table B.</w:t>
      </w:r>
    </w:p>
    <w:p w14:paraId="4622D2EE"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4102D6C4" w14:textId="6FB25443" w:rsidR="00F9574F"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It should be noted that residential property includes houses, units or flats commonly u</w:t>
      </w:r>
      <w:r>
        <w:rPr>
          <w:rFonts w:ascii="Arial" w:hAnsi="Arial" w:cs="Arial"/>
          <w:sz w:val="20"/>
        </w:rPr>
        <w:t xml:space="preserve">sed as residential properties. </w:t>
      </w:r>
      <w:r w:rsidRPr="001F5DA1">
        <w:rPr>
          <w:rFonts w:ascii="Arial" w:hAnsi="Arial" w:cs="Arial"/>
          <w:sz w:val="20"/>
        </w:rPr>
        <w:t xml:space="preserve">The effective lives </w:t>
      </w:r>
      <w:r w:rsidR="005E24A3">
        <w:rPr>
          <w:rFonts w:ascii="Arial" w:hAnsi="Arial" w:cs="Arial"/>
          <w:sz w:val="20"/>
        </w:rPr>
        <w:t>of depreciating assets held by</w:t>
      </w:r>
      <w:r w:rsidR="00081D3D">
        <w:rPr>
          <w:rFonts w:ascii="Arial" w:hAnsi="Arial" w:cs="Arial"/>
          <w:sz w:val="20"/>
        </w:rPr>
        <w:t xml:space="preserve"> residential </w:t>
      </w:r>
      <w:r w:rsidRPr="001F5DA1">
        <w:rPr>
          <w:rFonts w:ascii="Arial" w:hAnsi="Arial" w:cs="Arial"/>
          <w:sz w:val="20"/>
        </w:rPr>
        <w:t>property operators listed in Table A do</w:t>
      </w:r>
      <w:r w:rsidR="005E24A3">
        <w:rPr>
          <w:rFonts w:ascii="Arial" w:hAnsi="Arial" w:cs="Arial"/>
          <w:sz w:val="20"/>
        </w:rPr>
        <w:t>es</w:t>
      </w:r>
      <w:r w:rsidRPr="001F5DA1">
        <w:rPr>
          <w:rFonts w:ascii="Arial" w:hAnsi="Arial" w:cs="Arial"/>
          <w:sz w:val="20"/>
        </w:rPr>
        <w:t xml:space="preserve"> not</w:t>
      </w:r>
      <w:r w:rsidR="00081D3D">
        <w:rPr>
          <w:rFonts w:ascii="Arial" w:hAnsi="Arial" w:cs="Arial"/>
          <w:sz w:val="20"/>
        </w:rPr>
        <w:t>, therefore,</w:t>
      </w:r>
      <w:r w:rsidRPr="001F5DA1">
        <w:rPr>
          <w:rFonts w:ascii="Arial" w:hAnsi="Arial" w:cs="Arial"/>
          <w:sz w:val="20"/>
        </w:rPr>
        <w:t xml:space="preserve"> cover assets generally found in commercial, industrial or retail propertie</w:t>
      </w:r>
      <w:r w:rsidR="00081D3D">
        <w:rPr>
          <w:rFonts w:ascii="Arial" w:hAnsi="Arial" w:cs="Arial"/>
          <w:sz w:val="20"/>
        </w:rPr>
        <w:t>s</w:t>
      </w:r>
      <w:r w:rsidRPr="001F5DA1">
        <w:rPr>
          <w:rFonts w:ascii="Arial" w:hAnsi="Arial" w:cs="Arial"/>
          <w:sz w:val="20"/>
        </w:rPr>
        <w:t>.</w:t>
      </w:r>
      <w:r w:rsidR="00081D3D">
        <w:rPr>
          <w:rFonts w:ascii="Arial" w:hAnsi="Arial" w:cs="Arial"/>
          <w:sz w:val="20"/>
        </w:rPr>
        <w:t xml:space="preserve"> For these assets, it is necessary to refer to other categories of industries listed in Table A which refer to depreciating assets (e.g. the effective lives of certain commercial and office building assets listed in relation to non-residential property owners). If it is not possible to identify the effective life of </w:t>
      </w:r>
      <w:proofErr w:type="gramStart"/>
      <w:r w:rsidR="00081D3D">
        <w:rPr>
          <w:rFonts w:ascii="Arial" w:hAnsi="Arial" w:cs="Arial"/>
          <w:sz w:val="20"/>
        </w:rPr>
        <w:t>particular assets</w:t>
      </w:r>
      <w:proofErr w:type="gramEnd"/>
      <w:r w:rsidR="00081D3D">
        <w:rPr>
          <w:rFonts w:ascii="Arial" w:hAnsi="Arial" w:cs="Arial"/>
          <w:sz w:val="20"/>
        </w:rPr>
        <w:t xml:space="preserve"> under Table A the general rates listed under Table B must be applied, unless a choice is made to self-assess the effective lives of the relevant assets.</w:t>
      </w:r>
    </w:p>
    <w:p w14:paraId="092A884B" w14:textId="77777777" w:rsidR="0066079B" w:rsidRDefault="0066079B" w:rsidP="00B74065">
      <w:pPr>
        <w:pStyle w:val="Heading1"/>
        <w:autoSpaceDE w:val="0"/>
        <w:autoSpaceDN w:val="0"/>
        <w:adjustRightInd w:val="0"/>
        <w:spacing w:line="276" w:lineRule="auto"/>
        <w:jc w:val="left"/>
        <w:rPr>
          <w:rFonts w:ascii="Arial" w:hAnsi="Arial" w:cs="Arial"/>
          <w:bCs/>
        </w:rPr>
      </w:pPr>
    </w:p>
    <w:p w14:paraId="0CDF1DFB" w14:textId="5E6FFC2F" w:rsidR="00977BEC" w:rsidRPr="001F5DA1" w:rsidRDefault="00977BEC" w:rsidP="00B74065">
      <w:pPr>
        <w:pStyle w:val="Heading1"/>
        <w:autoSpaceDE w:val="0"/>
        <w:autoSpaceDN w:val="0"/>
        <w:adjustRightInd w:val="0"/>
        <w:spacing w:line="276" w:lineRule="auto"/>
        <w:jc w:val="left"/>
        <w:rPr>
          <w:rFonts w:ascii="Arial" w:hAnsi="Arial" w:cs="Arial"/>
          <w:bCs/>
        </w:rPr>
      </w:pPr>
      <w:r w:rsidRPr="001F5DA1">
        <w:rPr>
          <w:rFonts w:ascii="Arial" w:hAnsi="Arial" w:cs="Arial"/>
          <w:bCs/>
        </w:rPr>
        <w:t xml:space="preserve">Table A </w:t>
      </w:r>
      <w:r>
        <w:rPr>
          <w:rFonts w:ascii="Arial" w:hAnsi="Arial" w:cs="Arial"/>
          <w:bCs/>
        </w:rPr>
        <w:t>- Industry Specific Effective Lives</w:t>
      </w:r>
    </w:p>
    <w:p w14:paraId="668DD204" w14:textId="77777777" w:rsidR="00977BEC" w:rsidRDefault="00977BEC" w:rsidP="00B74065">
      <w:pPr>
        <w:autoSpaceDE w:val="0"/>
        <w:autoSpaceDN w:val="0"/>
        <w:adjustRightInd w:val="0"/>
        <w:spacing w:line="276" w:lineRule="auto"/>
        <w:jc w:val="left"/>
        <w:rPr>
          <w:rFonts w:ascii="Arial" w:hAnsi="Arial" w:cs="Arial"/>
          <w:sz w:val="20"/>
        </w:rPr>
      </w:pPr>
    </w:p>
    <w:p w14:paraId="69BEC741" w14:textId="00F46018" w:rsidR="00977BEC" w:rsidRPr="001F5DA1" w:rsidRDefault="008565B2" w:rsidP="00B74065">
      <w:pPr>
        <w:autoSpaceDE w:val="0"/>
        <w:autoSpaceDN w:val="0"/>
        <w:adjustRightInd w:val="0"/>
        <w:spacing w:line="276" w:lineRule="auto"/>
        <w:jc w:val="left"/>
        <w:rPr>
          <w:rFonts w:ascii="Arial" w:hAnsi="Arial" w:cs="Arial"/>
          <w:bCs/>
          <w:caps/>
          <w:sz w:val="20"/>
        </w:rPr>
      </w:pPr>
      <w:r>
        <w:rPr>
          <w:rFonts w:ascii="Arial" w:hAnsi="Arial" w:cs="Arial"/>
          <w:sz w:val="20"/>
        </w:rPr>
        <w:t xml:space="preserve">Taxation Ruling </w:t>
      </w:r>
      <w:r w:rsidR="009910F9">
        <w:rPr>
          <w:rFonts w:ascii="Arial" w:hAnsi="Arial" w:cs="Arial"/>
          <w:sz w:val="20"/>
        </w:rPr>
        <w:t xml:space="preserve">TR </w:t>
      </w:r>
      <w:r w:rsidR="00597BD4">
        <w:rPr>
          <w:rFonts w:ascii="Arial" w:hAnsi="Arial" w:cs="Arial"/>
          <w:sz w:val="20"/>
        </w:rPr>
        <w:t>2020/3</w:t>
      </w:r>
      <w:r w:rsidR="00977BEC" w:rsidRPr="001F5DA1">
        <w:rPr>
          <w:rFonts w:ascii="Arial" w:hAnsi="Arial" w:cs="Arial"/>
          <w:sz w:val="20"/>
        </w:rPr>
        <w:t xml:space="preserve"> contains a comprehensive list of the effective lives of various assets typically contained in </w:t>
      </w:r>
      <w:r w:rsidR="00977BEC">
        <w:rPr>
          <w:rFonts w:ascii="Arial" w:hAnsi="Arial" w:cs="Arial"/>
          <w:sz w:val="20"/>
        </w:rPr>
        <w:t xml:space="preserve">residential rental properties. </w:t>
      </w:r>
      <w:r w:rsidR="00977BEC" w:rsidRPr="001F5DA1">
        <w:rPr>
          <w:rFonts w:ascii="Arial" w:hAnsi="Arial" w:cs="Arial"/>
          <w:sz w:val="20"/>
        </w:rPr>
        <w:t xml:space="preserve">Some of the assets contained in the </w:t>
      </w:r>
      <w:r w:rsidR="00977BEC">
        <w:rPr>
          <w:rFonts w:ascii="Arial" w:hAnsi="Arial" w:cs="Arial"/>
          <w:sz w:val="20"/>
        </w:rPr>
        <w:t>ruling</w:t>
      </w:r>
      <w:r w:rsidR="00977BEC" w:rsidRPr="001F5DA1">
        <w:rPr>
          <w:rFonts w:ascii="Arial" w:hAnsi="Arial" w:cs="Arial"/>
          <w:sz w:val="20"/>
        </w:rPr>
        <w:t xml:space="preserve"> include:</w:t>
      </w:r>
    </w:p>
    <w:p w14:paraId="56EF06B7" w14:textId="77777777" w:rsidR="00977BEC" w:rsidRDefault="00977BEC" w:rsidP="00B74065">
      <w:pPr>
        <w:pStyle w:val="MSHFHeading1"/>
        <w:autoSpaceDE w:val="0"/>
        <w:autoSpaceDN w:val="0"/>
        <w:adjustRightInd w:val="0"/>
        <w:spacing w:line="276" w:lineRule="auto"/>
        <w:rPr>
          <w:rFonts w:ascii="Arial" w:hAnsi="Arial" w:cs="Arial"/>
          <w:bCs/>
          <w:caps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7"/>
        <w:gridCol w:w="1559"/>
        <w:gridCol w:w="1418"/>
        <w:gridCol w:w="3139"/>
      </w:tblGrid>
      <w:tr w:rsidR="00977BEC" w:rsidRPr="001F5DA1" w14:paraId="06FF4931" w14:textId="77777777" w:rsidTr="00190573">
        <w:tc>
          <w:tcPr>
            <w:tcW w:w="2977" w:type="dxa"/>
            <w:shd w:val="clear" w:color="auto" w:fill="D9D9D9" w:themeFill="background1" w:themeFillShade="D9"/>
          </w:tcPr>
          <w:p w14:paraId="2AE18F38" w14:textId="77777777" w:rsidR="00977BEC" w:rsidRPr="001F5DA1" w:rsidRDefault="00977BEC" w:rsidP="00B74065">
            <w:pPr>
              <w:autoSpaceDE w:val="0"/>
              <w:autoSpaceDN w:val="0"/>
              <w:adjustRightInd w:val="0"/>
              <w:spacing w:line="276" w:lineRule="auto"/>
              <w:rPr>
                <w:rFonts w:ascii="Arial" w:hAnsi="Arial" w:cs="Arial"/>
                <w:b/>
                <w:bCs/>
                <w:color w:val="000000"/>
                <w:sz w:val="20"/>
              </w:rPr>
            </w:pPr>
            <w:r w:rsidRPr="001F5DA1">
              <w:rPr>
                <w:rFonts w:ascii="Arial" w:hAnsi="Arial" w:cs="Arial"/>
                <w:b/>
                <w:bCs/>
                <w:color w:val="000000"/>
                <w:sz w:val="20"/>
              </w:rPr>
              <w:t>Asset</w:t>
            </w:r>
          </w:p>
        </w:tc>
        <w:tc>
          <w:tcPr>
            <w:tcW w:w="1559" w:type="dxa"/>
            <w:shd w:val="clear" w:color="auto" w:fill="D9D9D9" w:themeFill="background1" w:themeFillShade="D9"/>
          </w:tcPr>
          <w:p w14:paraId="2A403109" w14:textId="77777777" w:rsidR="00977BEC" w:rsidRPr="00A47D0D" w:rsidRDefault="00977BEC" w:rsidP="00B74065">
            <w:pPr>
              <w:pStyle w:val="Heading2"/>
              <w:autoSpaceDE w:val="0"/>
              <w:autoSpaceDN w:val="0"/>
              <w:adjustRightInd w:val="0"/>
              <w:spacing w:line="276" w:lineRule="auto"/>
              <w:rPr>
                <w:rFonts w:ascii="Arial" w:hAnsi="Arial" w:cs="Arial"/>
              </w:rPr>
            </w:pPr>
            <w:r w:rsidRPr="00A47D0D">
              <w:rPr>
                <w:rFonts w:ascii="Arial" w:hAnsi="Arial" w:cs="Arial"/>
              </w:rPr>
              <w:t>Effective Life</w:t>
            </w:r>
          </w:p>
        </w:tc>
        <w:tc>
          <w:tcPr>
            <w:tcW w:w="1418" w:type="dxa"/>
            <w:shd w:val="clear" w:color="auto" w:fill="D9D9D9" w:themeFill="background1" w:themeFillShade="D9"/>
          </w:tcPr>
          <w:p w14:paraId="7BA5EA00"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Prime Cost</w:t>
            </w:r>
          </w:p>
        </w:tc>
        <w:tc>
          <w:tcPr>
            <w:tcW w:w="3139" w:type="dxa"/>
            <w:shd w:val="clear" w:color="auto" w:fill="D9D9D9" w:themeFill="background1" w:themeFillShade="D9"/>
          </w:tcPr>
          <w:p w14:paraId="270F09FF"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Diminishing Value (for assets acquired after 9 May 2006)</w:t>
            </w:r>
          </w:p>
        </w:tc>
      </w:tr>
      <w:tr w:rsidR="00977BEC" w:rsidRPr="001F5DA1" w14:paraId="0BECD24D" w14:textId="77777777" w:rsidTr="00C34A79">
        <w:tc>
          <w:tcPr>
            <w:tcW w:w="2977" w:type="dxa"/>
          </w:tcPr>
          <w:p w14:paraId="0AA79035" w14:textId="77777777" w:rsidR="00977BEC"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control</w:t>
            </w:r>
          </w:p>
        </w:tc>
        <w:tc>
          <w:tcPr>
            <w:tcW w:w="1559" w:type="dxa"/>
          </w:tcPr>
          <w:p w14:paraId="5953E598"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1418" w:type="dxa"/>
          </w:tcPr>
          <w:p w14:paraId="029BD5B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2F6334C9"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65F328E4" w14:textId="77777777" w:rsidTr="00C34A79">
        <w:tc>
          <w:tcPr>
            <w:tcW w:w="2977" w:type="dxa"/>
          </w:tcPr>
          <w:p w14:paraId="174C7ED6"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motor</w:t>
            </w:r>
          </w:p>
        </w:tc>
        <w:tc>
          <w:tcPr>
            <w:tcW w:w="1559" w:type="dxa"/>
          </w:tcPr>
          <w:p w14:paraId="6CAA8752"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65163BBD"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20FEB1AE"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5C866577" w14:textId="77777777" w:rsidTr="00C34A79">
        <w:tc>
          <w:tcPr>
            <w:tcW w:w="2977" w:type="dxa"/>
          </w:tcPr>
          <w:p w14:paraId="3C749403"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Carpets</w:t>
            </w:r>
          </w:p>
        </w:tc>
        <w:tc>
          <w:tcPr>
            <w:tcW w:w="1559" w:type="dxa"/>
          </w:tcPr>
          <w:p w14:paraId="5F5F011E" w14:textId="6EF58717" w:rsidR="00977BEC" w:rsidRPr="001F5DA1" w:rsidRDefault="00B460F5"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5ABAC76B" w14:textId="023ACE32" w:rsidR="00977BEC" w:rsidRPr="001F5DA1" w:rsidRDefault="00977BEC" w:rsidP="00B460F5">
            <w:pPr>
              <w:autoSpaceDE w:val="0"/>
              <w:autoSpaceDN w:val="0"/>
              <w:adjustRightInd w:val="0"/>
              <w:spacing w:line="276" w:lineRule="auto"/>
              <w:jc w:val="center"/>
              <w:rPr>
                <w:rFonts w:ascii="Arial" w:hAnsi="Arial" w:cs="Arial"/>
                <w:sz w:val="20"/>
              </w:rPr>
            </w:pPr>
            <w:r>
              <w:rPr>
                <w:rFonts w:ascii="Arial" w:hAnsi="Arial" w:cs="Arial"/>
                <w:sz w:val="20"/>
              </w:rPr>
              <w:t>1</w:t>
            </w:r>
            <w:r w:rsidR="00B460F5">
              <w:rPr>
                <w:rFonts w:ascii="Arial" w:hAnsi="Arial" w:cs="Arial"/>
                <w:sz w:val="20"/>
              </w:rPr>
              <w:t>2.5</w:t>
            </w:r>
            <w:r>
              <w:rPr>
                <w:rFonts w:ascii="Arial" w:hAnsi="Arial" w:cs="Arial"/>
                <w:sz w:val="20"/>
              </w:rPr>
              <w:t>%</w:t>
            </w:r>
          </w:p>
        </w:tc>
        <w:tc>
          <w:tcPr>
            <w:tcW w:w="3139" w:type="dxa"/>
          </w:tcPr>
          <w:p w14:paraId="4A8146D0" w14:textId="4EA7DDB5" w:rsidR="00977BEC" w:rsidRDefault="00977BEC" w:rsidP="00DA2D8D">
            <w:pPr>
              <w:autoSpaceDE w:val="0"/>
              <w:autoSpaceDN w:val="0"/>
              <w:adjustRightInd w:val="0"/>
              <w:spacing w:line="276" w:lineRule="auto"/>
              <w:jc w:val="center"/>
              <w:rPr>
                <w:rFonts w:ascii="Arial" w:hAnsi="Arial" w:cs="Arial"/>
                <w:sz w:val="20"/>
              </w:rPr>
            </w:pPr>
            <w:r>
              <w:rPr>
                <w:rFonts w:ascii="Arial" w:hAnsi="Arial" w:cs="Arial"/>
                <w:sz w:val="20"/>
              </w:rPr>
              <w:t>2</w:t>
            </w:r>
            <w:r w:rsidR="00DA2D8D">
              <w:rPr>
                <w:rFonts w:ascii="Arial" w:hAnsi="Arial" w:cs="Arial"/>
                <w:sz w:val="20"/>
              </w:rPr>
              <w:t>5</w:t>
            </w:r>
            <w:r>
              <w:rPr>
                <w:rFonts w:ascii="Arial" w:hAnsi="Arial" w:cs="Arial"/>
                <w:sz w:val="20"/>
              </w:rPr>
              <w:t>%</w:t>
            </w:r>
          </w:p>
        </w:tc>
      </w:tr>
      <w:tr w:rsidR="00977BEC" w:rsidRPr="001F5DA1" w14:paraId="3F49D2C3" w14:textId="77777777" w:rsidTr="00C34A79">
        <w:tc>
          <w:tcPr>
            <w:tcW w:w="2977" w:type="dxa"/>
          </w:tcPr>
          <w:p w14:paraId="2AEF602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Ceiling </w:t>
            </w:r>
            <w:r>
              <w:rPr>
                <w:rFonts w:ascii="Arial" w:hAnsi="Arial" w:cs="Arial"/>
                <w:sz w:val="20"/>
              </w:rPr>
              <w:t>f</w:t>
            </w:r>
            <w:r w:rsidRPr="001F5DA1">
              <w:rPr>
                <w:rFonts w:ascii="Arial" w:hAnsi="Arial" w:cs="Arial"/>
                <w:sz w:val="20"/>
              </w:rPr>
              <w:t>ans</w:t>
            </w:r>
          </w:p>
        </w:tc>
        <w:tc>
          <w:tcPr>
            <w:tcW w:w="1559" w:type="dxa"/>
          </w:tcPr>
          <w:p w14:paraId="3C48441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3B68AEE6"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0A7C28"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1A2CB9F1" w14:textId="77777777" w:rsidTr="00C34A79">
        <w:tc>
          <w:tcPr>
            <w:tcW w:w="2977" w:type="dxa"/>
          </w:tcPr>
          <w:p w14:paraId="0E276094"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Cook tops and range hoods</w:t>
            </w:r>
          </w:p>
        </w:tc>
        <w:tc>
          <w:tcPr>
            <w:tcW w:w="1559" w:type="dxa"/>
          </w:tcPr>
          <w:p w14:paraId="17B0CA29"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744849C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1444458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7AFD6E5B" w14:textId="77777777" w:rsidTr="00C34A79">
        <w:tc>
          <w:tcPr>
            <w:tcW w:w="2977" w:type="dxa"/>
          </w:tcPr>
          <w:p w14:paraId="40E6213A"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Dishwashers</w:t>
            </w:r>
          </w:p>
        </w:tc>
        <w:tc>
          <w:tcPr>
            <w:tcW w:w="1559" w:type="dxa"/>
          </w:tcPr>
          <w:p w14:paraId="57957D45" w14:textId="2F09F394"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1CF399AF" w14:textId="0A81F0E6"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485B8B57" w14:textId="4C0602A1"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r w:rsidR="00977BEC" w:rsidRPr="001F5DA1" w14:paraId="2487AEDF" w14:textId="77777777" w:rsidTr="00C34A79">
        <w:tc>
          <w:tcPr>
            <w:tcW w:w="2977" w:type="dxa"/>
          </w:tcPr>
          <w:p w14:paraId="677F8C8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Ducted </w:t>
            </w:r>
            <w:r>
              <w:rPr>
                <w:rFonts w:ascii="Arial" w:hAnsi="Arial" w:cs="Arial"/>
                <w:sz w:val="20"/>
              </w:rPr>
              <w:t>h</w:t>
            </w:r>
            <w:r w:rsidRPr="001F5DA1">
              <w:rPr>
                <w:rFonts w:ascii="Arial" w:hAnsi="Arial" w:cs="Arial"/>
                <w:sz w:val="20"/>
              </w:rPr>
              <w:t>eaters</w:t>
            </w:r>
            <w:r>
              <w:rPr>
                <w:rFonts w:ascii="Arial" w:hAnsi="Arial" w:cs="Arial"/>
                <w:sz w:val="20"/>
              </w:rPr>
              <w:t xml:space="preserve"> - gas</w:t>
            </w:r>
          </w:p>
        </w:tc>
        <w:tc>
          <w:tcPr>
            <w:tcW w:w="1559" w:type="dxa"/>
          </w:tcPr>
          <w:p w14:paraId="233EC713"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20</w:t>
            </w:r>
          </w:p>
        </w:tc>
        <w:tc>
          <w:tcPr>
            <w:tcW w:w="1418" w:type="dxa"/>
          </w:tcPr>
          <w:p w14:paraId="3A67E7F0"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3139" w:type="dxa"/>
          </w:tcPr>
          <w:p w14:paraId="3F39B95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r>
      <w:tr w:rsidR="00977BEC" w:rsidRPr="001F5DA1" w14:paraId="35F40F5F" w14:textId="77777777" w:rsidTr="00C34A79">
        <w:tc>
          <w:tcPr>
            <w:tcW w:w="2977" w:type="dxa"/>
          </w:tcPr>
          <w:p w14:paraId="044C754F"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alarms</w:t>
            </w:r>
          </w:p>
        </w:tc>
        <w:tc>
          <w:tcPr>
            <w:tcW w:w="1559" w:type="dxa"/>
          </w:tcPr>
          <w:p w14:paraId="043D1871"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6</w:t>
            </w:r>
          </w:p>
        </w:tc>
        <w:tc>
          <w:tcPr>
            <w:tcW w:w="1418" w:type="dxa"/>
          </w:tcPr>
          <w:p w14:paraId="36DF582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c>
          <w:tcPr>
            <w:tcW w:w="3139" w:type="dxa"/>
          </w:tcPr>
          <w:p w14:paraId="3144C2DB"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33.33%</w:t>
            </w:r>
          </w:p>
        </w:tc>
      </w:tr>
      <w:tr w:rsidR="00977BEC" w:rsidRPr="001F5DA1" w14:paraId="36030FFB" w14:textId="77777777" w:rsidTr="00C34A79">
        <w:tc>
          <w:tcPr>
            <w:tcW w:w="2977" w:type="dxa"/>
          </w:tcPr>
          <w:p w14:paraId="6EFE71BF" w14:textId="77777777" w:rsidR="00977BEC" w:rsidRPr="001F5DA1" w:rsidRDefault="00977BEC" w:rsidP="00B74065">
            <w:pPr>
              <w:autoSpaceDE w:val="0"/>
              <w:autoSpaceDN w:val="0"/>
              <w:adjustRightInd w:val="0"/>
              <w:spacing w:line="276" w:lineRule="auto"/>
              <w:rPr>
                <w:rFonts w:ascii="Arial" w:hAnsi="Arial" w:cs="Arial"/>
                <w:color w:val="000000"/>
                <w:sz w:val="20"/>
              </w:rPr>
            </w:pPr>
            <w:r w:rsidRPr="001F5DA1">
              <w:rPr>
                <w:rFonts w:ascii="Arial" w:hAnsi="Arial" w:cs="Arial"/>
                <w:color w:val="000000"/>
                <w:sz w:val="20"/>
              </w:rPr>
              <w:t>Light fittings</w:t>
            </w:r>
          </w:p>
        </w:tc>
        <w:tc>
          <w:tcPr>
            <w:tcW w:w="1559" w:type="dxa"/>
          </w:tcPr>
          <w:p w14:paraId="325E9C1B"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72978B0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BE6A5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32BA6E9B" w14:textId="77777777" w:rsidTr="00C34A79">
        <w:tc>
          <w:tcPr>
            <w:tcW w:w="2977" w:type="dxa"/>
          </w:tcPr>
          <w:p w14:paraId="2E88F1BE"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extinguishers</w:t>
            </w:r>
          </w:p>
        </w:tc>
        <w:tc>
          <w:tcPr>
            <w:tcW w:w="1559" w:type="dxa"/>
          </w:tcPr>
          <w:p w14:paraId="56AECC8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15</w:t>
            </w:r>
          </w:p>
        </w:tc>
        <w:tc>
          <w:tcPr>
            <w:tcW w:w="1418" w:type="dxa"/>
          </w:tcPr>
          <w:p w14:paraId="0AE9545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454C29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081D6E94" w14:textId="77777777" w:rsidTr="00C34A79">
        <w:tc>
          <w:tcPr>
            <w:tcW w:w="2977" w:type="dxa"/>
          </w:tcPr>
          <w:p w14:paraId="3531EFE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hoses and nozzles</w:t>
            </w:r>
          </w:p>
        </w:tc>
        <w:tc>
          <w:tcPr>
            <w:tcW w:w="1559" w:type="dxa"/>
          </w:tcPr>
          <w:p w14:paraId="57CE12BD"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10</w:t>
            </w:r>
          </w:p>
        </w:tc>
        <w:tc>
          <w:tcPr>
            <w:tcW w:w="1418" w:type="dxa"/>
          </w:tcPr>
          <w:p w14:paraId="17B1CCF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1B117760"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477AB4BA" w14:textId="77777777" w:rsidTr="00C34A79">
        <w:tc>
          <w:tcPr>
            <w:tcW w:w="2977" w:type="dxa"/>
          </w:tcPr>
          <w:p w14:paraId="6C27C8E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w:t>
            </w:r>
            <w:r w:rsidRPr="001F5DA1">
              <w:rPr>
                <w:rFonts w:ascii="Arial" w:hAnsi="Arial" w:cs="Arial"/>
                <w:sz w:val="20"/>
              </w:rPr>
              <w:t>ot water units</w:t>
            </w:r>
            <w:r>
              <w:rPr>
                <w:rFonts w:ascii="Arial" w:hAnsi="Arial" w:cs="Arial"/>
                <w:sz w:val="20"/>
              </w:rPr>
              <w:t xml:space="preserve"> - e</w:t>
            </w:r>
            <w:r w:rsidRPr="001F5DA1">
              <w:rPr>
                <w:rFonts w:ascii="Arial" w:hAnsi="Arial" w:cs="Arial"/>
                <w:sz w:val="20"/>
              </w:rPr>
              <w:t>lectric/</w:t>
            </w:r>
            <w:r>
              <w:rPr>
                <w:rFonts w:ascii="Arial" w:hAnsi="Arial" w:cs="Arial"/>
                <w:sz w:val="20"/>
              </w:rPr>
              <w:t>g</w:t>
            </w:r>
            <w:r w:rsidRPr="001F5DA1">
              <w:rPr>
                <w:rFonts w:ascii="Arial" w:hAnsi="Arial" w:cs="Arial"/>
                <w:sz w:val="20"/>
              </w:rPr>
              <w:t>as</w:t>
            </w:r>
          </w:p>
        </w:tc>
        <w:tc>
          <w:tcPr>
            <w:tcW w:w="1559" w:type="dxa"/>
          </w:tcPr>
          <w:p w14:paraId="4D542FE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31BE5183"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D49E8F3"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3C3370" w14:textId="77777777" w:rsidTr="00C34A79">
        <w:tc>
          <w:tcPr>
            <w:tcW w:w="2977" w:type="dxa"/>
          </w:tcPr>
          <w:p w14:paraId="4974268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lastRenderedPageBreak/>
              <w:t>Hot water units - solar</w:t>
            </w:r>
          </w:p>
        </w:tc>
        <w:tc>
          <w:tcPr>
            <w:tcW w:w="1559" w:type="dxa"/>
          </w:tcPr>
          <w:p w14:paraId="07F7C70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15</w:t>
            </w:r>
          </w:p>
        </w:tc>
        <w:tc>
          <w:tcPr>
            <w:tcW w:w="1418" w:type="dxa"/>
          </w:tcPr>
          <w:p w14:paraId="479B9FF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8550F6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47497AF2" w14:textId="77777777" w:rsidTr="00C34A79">
        <w:tc>
          <w:tcPr>
            <w:tcW w:w="2977" w:type="dxa"/>
          </w:tcPr>
          <w:p w14:paraId="4A8E2DC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Ovens</w:t>
            </w:r>
          </w:p>
        </w:tc>
        <w:tc>
          <w:tcPr>
            <w:tcW w:w="1559" w:type="dxa"/>
          </w:tcPr>
          <w:p w14:paraId="4B7FCA5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08266A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25A85EC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4595F0" w14:textId="77777777" w:rsidTr="00C34A79">
        <w:tc>
          <w:tcPr>
            <w:tcW w:w="2977" w:type="dxa"/>
          </w:tcPr>
          <w:p w14:paraId="68FE7C27"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Refrigerators</w:t>
            </w:r>
          </w:p>
        </w:tc>
        <w:tc>
          <w:tcPr>
            <w:tcW w:w="1559" w:type="dxa"/>
          </w:tcPr>
          <w:p w14:paraId="05EDCB6C"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EA1AD4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B8040DF"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1D2878DD" w14:textId="77777777" w:rsidTr="00C34A79">
        <w:tc>
          <w:tcPr>
            <w:tcW w:w="2977" w:type="dxa"/>
          </w:tcPr>
          <w:p w14:paraId="3295D37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Washing </w:t>
            </w:r>
            <w:r>
              <w:rPr>
                <w:rFonts w:ascii="Arial" w:hAnsi="Arial" w:cs="Arial"/>
                <w:sz w:val="20"/>
              </w:rPr>
              <w:t>m</w:t>
            </w:r>
            <w:r w:rsidRPr="001F5DA1">
              <w:rPr>
                <w:rFonts w:ascii="Arial" w:hAnsi="Arial" w:cs="Arial"/>
                <w:sz w:val="20"/>
              </w:rPr>
              <w:t>achines</w:t>
            </w:r>
          </w:p>
        </w:tc>
        <w:tc>
          <w:tcPr>
            <w:tcW w:w="1559" w:type="dxa"/>
          </w:tcPr>
          <w:p w14:paraId="38DDFCFB" w14:textId="38CE1497" w:rsidR="00977BEC" w:rsidRPr="001F5DA1"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373EFBFB" w14:textId="25DBF717" w:rsidR="00977BEC" w:rsidRPr="001F5DA1"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06559B03" w14:textId="6FC9DC49"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bl>
    <w:p w14:paraId="34B187A9" w14:textId="77777777" w:rsidR="00977BEC" w:rsidRPr="001F5DA1" w:rsidRDefault="00977BEC" w:rsidP="00B74065">
      <w:pPr>
        <w:spacing w:line="276" w:lineRule="auto"/>
        <w:rPr>
          <w:rFonts w:ascii="Arial" w:hAnsi="Arial" w:cs="Arial"/>
          <w:sz w:val="20"/>
        </w:rPr>
      </w:pPr>
    </w:p>
    <w:p w14:paraId="19AE1BEA" w14:textId="243BBA65" w:rsidR="00977BEC" w:rsidRPr="001F5DA1" w:rsidRDefault="00977BEC" w:rsidP="00B74065">
      <w:pPr>
        <w:spacing w:line="276" w:lineRule="auto"/>
        <w:jc w:val="left"/>
        <w:rPr>
          <w:rFonts w:ascii="Arial" w:hAnsi="Arial" w:cs="Arial"/>
          <w:i/>
          <w:iCs/>
          <w:sz w:val="20"/>
        </w:rPr>
      </w:pPr>
      <w:r w:rsidRPr="001F5DA1">
        <w:rPr>
          <w:rFonts w:ascii="Arial" w:hAnsi="Arial" w:cs="Arial"/>
          <w:sz w:val="20"/>
        </w:rPr>
        <w:t xml:space="preserve">A comprehensive list of assets and effective lives are available in </w:t>
      </w:r>
      <w:r w:rsidR="009910F9">
        <w:rPr>
          <w:rFonts w:ascii="Arial" w:hAnsi="Arial" w:cs="Arial"/>
          <w:i/>
          <w:iCs/>
          <w:sz w:val="20"/>
        </w:rPr>
        <w:t>TR 20</w:t>
      </w:r>
      <w:r w:rsidR="00597BD4">
        <w:rPr>
          <w:rFonts w:ascii="Arial" w:hAnsi="Arial" w:cs="Arial"/>
          <w:i/>
          <w:iCs/>
          <w:sz w:val="20"/>
        </w:rPr>
        <w:t>20/3</w:t>
      </w:r>
      <w:r w:rsidRPr="001F5DA1">
        <w:rPr>
          <w:rFonts w:ascii="Arial" w:hAnsi="Arial" w:cs="Arial"/>
          <w:i/>
          <w:iCs/>
          <w:sz w:val="20"/>
        </w:rPr>
        <w:t>: Income tax: effective life of depreciating assets</w:t>
      </w:r>
      <w:r w:rsidR="002D32FF">
        <w:rPr>
          <w:rFonts w:ascii="Arial" w:hAnsi="Arial" w:cs="Arial"/>
          <w:i/>
          <w:iCs/>
          <w:sz w:val="20"/>
        </w:rPr>
        <w:t xml:space="preserve"> </w:t>
      </w:r>
      <w:r w:rsidR="002D32FF" w:rsidRPr="00031549">
        <w:rPr>
          <w:rFonts w:ascii="Arial" w:hAnsi="Arial" w:cs="Arial"/>
          <w:sz w:val="20"/>
        </w:rPr>
        <w:t>(applicable from 1 July 20</w:t>
      </w:r>
      <w:r w:rsidR="00597BD4">
        <w:rPr>
          <w:rFonts w:ascii="Arial" w:hAnsi="Arial" w:cs="Arial"/>
          <w:sz w:val="20"/>
        </w:rPr>
        <w:t>20</w:t>
      </w:r>
      <w:r w:rsidR="005E24A3" w:rsidRPr="00031549">
        <w:rPr>
          <w:rFonts w:ascii="Arial" w:hAnsi="Arial" w:cs="Arial"/>
          <w:sz w:val="20"/>
        </w:rPr>
        <w:t>)</w:t>
      </w:r>
      <w:r w:rsidRPr="001F5DA1">
        <w:rPr>
          <w:rFonts w:ascii="Arial" w:hAnsi="Arial" w:cs="Arial"/>
          <w:i/>
          <w:iCs/>
          <w:sz w:val="20"/>
        </w:rPr>
        <w:t>.</w:t>
      </w:r>
    </w:p>
    <w:p w14:paraId="4771985B" w14:textId="77777777" w:rsidR="00977BEC" w:rsidRPr="001F5DA1" w:rsidRDefault="00977BEC" w:rsidP="00B74065">
      <w:pPr>
        <w:spacing w:line="276" w:lineRule="auto"/>
        <w:jc w:val="left"/>
        <w:rPr>
          <w:rFonts w:ascii="Arial" w:hAnsi="Arial" w:cs="Arial"/>
          <w:sz w:val="20"/>
        </w:rPr>
      </w:pPr>
    </w:p>
    <w:p w14:paraId="6BEEA54F" w14:textId="77777777" w:rsidR="00977BEC" w:rsidRPr="001F5DA1" w:rsidRDefault="00977BEC" w:rsidP="00B74065">
      <w:pPr>
        <w:pStyle w:val="Heading4"/>
        <w:spacing w:line="276" w:lineRule="auto"/>
        <w:jc w:val="left"/>
        <w:rPr>
          <w:rFonts w:ascii="Arial" w:hAnsi="Arial" w:cs="Arial"/>
          <w:sz w:val="20"/>
          <w:szCs w:val="20"/>
        </w:rPr>
      </w:pPr>
      <w:r w:rsidRPr="001F5DA1">
        <w:rPr>
          <w:rFonts w:ascii="Arial" w:hAnsi="Arial" w:cs="Arial"/>
          <w:sz w:val="20"/>
          <w:szCs w:val="20"/>
        </w:rPr>
        <w:t>Self</w:t>
      </w:r>
      <w:r>
        <w:rPr>
          <w:rFonts w:ascii="Arial" w:hAnsi="Arial" w:cs="Arial"/>
          <w:sz w:val="20"/>
          <w:szCs w:val="20"/>
        </w:rPr>
        <w:t>-</w:t>
      </w:r>
      <w:r w:rsidRPr="001F5DA1">
        <w:rPr>
          <w:rFonts w:ascii="Arial" w:hAnsi="Arial" w:cs="Arial"/>
          <w:sz w:val="20"/>
          <w:szCs w:val="20"/>
        </w:rPr>
        <w:t>assessment</w:t>
      </w:r>
      <w:r w:rsidR="004B2F75">
        <w:rPr>
          <w:rFonts w:ascii="Arial" w:hAnsi="Arial" w:cs="Arial"/>
          <w:sz w:val="20"/>
          <w:szCs w:val="20"/>
        </w:rPr>
        <w:t xml:space="preserve"> </w:t>
      </w:r>
      <w:r w:rsidRPr="001F5DA1">
        <w:rPr>
          <w:rFonts w:ascii="Arial" w:hAnsi="Arial" w:cs="Arial"/>
          <w:sz w:val="20"/>
          <w:szCs w:val="20"/>
        </w:rPr>
        <w:t>of effective life</w:t>
      </w:r>
    </w:p>
    <w:p w14:paraId="3D48C820" w14:textId="77777777" w:rsidR="00977BEC" w:rsidRPr="001F5DA1" w:rsidRDefault="00977BEC" w:rsidP="00B74065">
      <w:pPr>
        <w:spacing w:line="276" w:lineRule="auto"/>
        <w:jc w:val="left"/>
        <w:rPr>
          <w:rFonts w:ascii="Arial" w:hAnsi="Arial" w:cs="Arial"/>
          <w:sz w:val="20"/>
        </w:rPr>
      </w:pPr>
    </w:p>
    <w:p w14:paraId="2C325A5A" w14:textId="15807478" w:rsidR="00977BEC" w:rsidRPr="001F5DA1" w:rsidRDefault="00F66DFB" w:rsidP="00B74065">
      <w:pPr>
        <w:spacing w:line="276" w:lineRule="auto"/>
        <w:jc w:val="left"/>
        <w:rPr>
          <w:rFonts w:ascii="Arial" w:hAnsi="Arial" w:cs="Arial"/>
          <w:sz w:val="20"/>
        </w:rPr>
      </w:pPr>
      <w:r>
        <w:rPr>
          <w:rFonts w:ascii="Arial" w:hAnsi="Arial" w:cs="Arial"/>
          <w:sz w:val="20"/>
        </w:rPr>
        <w:t>Alternatively</w:t>
      </w:r>
      <w:r w:rsidR="00977BEC">
        <w:rPr>
          <w:rFonts w:ascii="Arial" w:hAnsi="Arial" w:cs="Arial"/>
          <w:sz w:val="20"/>
        </w:rPr>
        <w:t>, a taxpayer can choose</w:t>
      </w:r>
      <w:r w:rsidR="00977BEC" w:rsidRPr="001F5DA1">
        <w:rPr>
          <w:rFonts w:ascii="Arial" w:hAnsi="Arial" w:cs="Arial"/>
          <w:sz w:val="20"/>
        </w:rPr>
        <w:t xml:space="preserve"> to </w:t>
      </w:r>
      <w:r w:rsidR="00977BEC">
        <w:rPr>
          <w:rFonts w:ascii="Arial" w:hAnsi="Arial" w:cs="Arial"/>
          <w:sz w:val="20"/>
        </w:rPr>
        <w:t>self-</w:t>
      </w:r>
      <w:r w:rsidR="00977BEC" w:rsidRPr="001F5DA1">
        <w:rPr>
          <w:rFonts w:ascii="Arial" w:hAnsi="Arial" w:cs="Arial"/>
          <w:sz w:val="20"/>
        </w:rPr>
        <w:t>assess the effective life in accordance with section 40-105 of the</w:t>
      </w:r>
      <w:r w:rsidR="002D32FF">
        <w:rPr>
          <w:rFonts w:ascii="Arial" w:hAnsi="Arial" w:cs="Arial"/>
          <w:sz w:val="20"/>
        </w:rPr>
        <w:t xml:space="preserve"> </w:t>
      </w:r>
      <w:r w:rsidR="00FB4BD6" w:rsidRPr="00FB4BD6">
        <w:rPr>
          <w:rFonts w:ascii="Arial" w:hAnsi="Arial" w:cs="Arial"/>
          <w:i/>
          <w:iCs/>
          <w:sz w:val="20"/>
        </w:rPr>
        <w:t>ITAA 1997</w:t>
      </w:r>
      <w:r w:rsidR="00977BEC">
        <w:rPr>
          <w:rFonts w:ascii="Arial" w:hAnsi="Arial" w:cs="Arial"/>
          <w:sz w:val="20"/>
        </w:rPr>
        <w:t>.</w:t>
      </w:r>
    </w:p>
    <w:p w14:paraId="22C109A9" w14:textId="77777777" w:rsidR="00977BEC" w:rsidRPr="001F5DA1" w:rsidRDefault="00977BEC" w:rsidP="00B74065">
      <w:pPr>
        <w:spacing w:line="276" w:lineRule="auto"/>
        <w:jc w:val="left"/>
        <w:rPr>
          <w:rFonts w:ascii="Arial" w:hAnsi="Arial" w:cs="Arial"/>
          <w:sz w:val="20"/>
        </w:rPr>
      </w:pPr>
    </w:p>
    <w:p w14:paraId="5E8D9F34" w14:textId="77777777" w:rsidR="00502338" w:rsidRDefault="00977BEC" w:rsidP="00B74065">
      <w:pPr>
        <w:spacing w:line="276" w:lineRule="auto"/>
        <w:jc w:val="left"/>
        <w:rPr>
          <w:rFonts w:ascii="Arial" w:hAnsi="Arial" w:cs="Arial"/>
          <w:sz w:val="20"/>
        </w:rPr>
      </w:pPr>
      <w:r>
        <w:rPr>
          <w:rFonts w:ascii="Arial" w:hAnsi="Arial" w:cs="Arial"/>
          <w:sz w:val="20"/>
        </w:rPr>
        <w:t>Taxpayers choosing to self-</w:t>
      </w:r>
      <w:r w:rsidRPr="001F5DA1">
        <w:rPr>
          <w:rFonts w:ascii="Arial" w:hAnsi="Arial" w:cs="Arial"/>
          <w:sz w:val="20"/>
        </w:rPr>
        <w:t>assess the effective life of an asset must remember</w:t>
      </w:r>
      <w:r>
        <w:rPr>
          <w:rFonts w:ascii="Arial" w:hAnsi="Arial" w:cs="Arial"/>
          <w:sz w:val="20"/>
        </w:rPr>
        <w:t xml:space="preserve"> </w:t>
      </w:r>
      <w:r w:rsidRPr="001F5DA1">
        <w:rPr>
          <w:rFonts w:ascii="Arial" w:hAnsi="Arial" w:cs="Arial"/>
          <w:sz w:val="20"/>
        </w:rPr>
        <w:t>that the</w:t>
      </w:r>
      <w:r>
        <w:rPr>
          <w:rFonts w:ascii="Arial" w:hAnsi="Arial" w:cs="Arial"/>
          <w:sz w:val="20"/>
        </w:rPr>
        <w:t>ir self-</w:t>
      </w:r>
      <w:r w:rsidRPr="001F5DA1">
        <w:rPr>
          <w:rFonts w:ascii="Arial" w:hAnsi="Arial" w:cs="Arial"/>
          <w:sz w:val="20"/>
        </w:rPr>
        <w:t>assessment determination</w:t>
      </w:r>
      <w:r>
        <w:rPr>
          <w:rFonts w:ascii="Arial" w:hAnsi="Arial" w:cs="Arial"/>
          <w:sz w:val="20"/>
        </w:rPr>
        <w:t xml:space="preserve"> may be subject to ATO review. </w:t>
      </w:r>
      <w:r w:rsidRPr="001F5DA1">
        <w:rPr>
          <w:rFonts w:ascii="Arial" w:hAnsi="Arial" w:cs="Arial"/>
          <w:sz w:val="20"/>
        </w:rPr>
        <w:t xml:space="preserve">As such, the advantage in using the </w:t>
      </w:r>
      <w:r>
        <w:rPr>
          <w:rFonts w:ascii="Arial" w:hAnsi="Arial" w:cs="Arial"/>
          <w:sz w:val="20"/>
        </w:rPr>
        <w:t>ATO</w:t>
      </w:r>
      <w:r w:rsidRPr="001F5DA1">
        <w:rPr>
          <w:rFonts w:ascii="Arial" w:hAnsi="Arial" w:cs="Arial"/>
          <w:sz w:val="20"/>
        </w:rPr>
        <w:t>’s determination of t</w:t>
      </w:r>
      <w:r w:rsidR="002D32FF">
        <w:rPr>
          <w:rFonts w:ascii="Arial" w:hAnsi="Arial" w:cs="Arial"/>
          <w:sz w:val="20"/>
        </w:rPr>
        <w:t>he effective life of a depreciating</w:t>
      </w:r>
      <w:r w:rsidRPr="001F5DA1">
        <w:rPr>
          <w:rFonts w:ascii="Arial" w:hAnsi="Arial" w:cs="Arial"/>
          <w:sz w:val="20"/>
        </w:rPr>
        <w:t xml:space="preserve"> asset is that the </w:t>
      </w:r>
      <w:r>
        <w:rPr>
          <w:rFonts w:ascii="Arial" w:hAnsi="Arial" w:cs="Arial"/>
          <w:sz w:val="20"/>
        </w:rPr>
        <w:t>ATO</w:t>
      </w:r>
      <w:r w:rsidRPr="001F5DA1">
        <w:rPr>
          <w:rFonts w:ascii="Arial" w:hAnsi="Arial" w:cs="Arial"/>
          <w:sz w:val="20"/>
        </w:rPr>
        <w:t xml:space="preserve">’s rate represents a ‘safe harbour’ rate that will not be challenged in any audit process undertaken by the </w:t>
      </w:r>
      <w:r>
        <w:rPr>
          <w:rFonts w:ascii="Arial" w:hAnsi="Arial" w:cs="Arial"/>
          <w:sz w:val="20"/>
        </w:rPr>
        <w:t>ATO</w:t>
      </w:r>
      <w:r w:rsidRPr="001F5DA1">
        <w:rPr>
          <w:rFonts w:ascii="Arial" w:hAnsi="Arial" w:cs="Arial"/>
          <w:sz w:val="20"/>
        </w:rPr>
        <w:t>.</w:t>
      </w:r>
      <w:r w:rsidR="00502338">
        <w:rPr>
          <w:rFonts w:ascii="Arial" w:hAnsi="Arial" w:cs="Arial"/>
          <w:sz w:val="20"/>
        </w:rPr>
        <w:t xml:space="preserve"> </w:t>
      </w:r>
    </w:p>
    <w:p w14:paraId="4FE7F8BD" w14:textId="77777777" w:rsidR="00687980" w:rsidRDefault="00687980" w:rsidP="00B74065">
      <w:pPr>
        <w:spacing w:line="276" w:lineRule="auto"/>
        <w:jc w:val="left"/>
        <w:rPr>
          <w:rFonts w:ascii="Arial" w:hAnsi="Arial" w:cs="Arial"/>
          <w:sz w:val="20"/>
        </w:rPr>
      </w:pPr>
    </w:p>
    <w:p w14:paraId="79012150" w14:textId="69FAA710" w:rsidR="00977BEC" w:rsidRPr="001F5DA1" w:rsidRDefault="00977BEC" w:rsidP="00B74065">
      <w:pPr>
        <w:spacing w:line="276" w:lineRule="auto"/>
        <w:jc w:val="left"/>
        <w:rPr>
          <w:rFonts w:ascii="Arial" w:hAnsi="Arial" w:cs="Arial"/>
          <w:sz w:val="20"/>
        </w:rPr>
      </w:pPr>
      <w:r w:rsidRPr="001F5DA1">
        <w:rPr>
          <w:rFonts w:ascii="Arial" w:hAnsi="Arial" w:cs="Arial"/>
          <w:sz w:val="20"/>
        </w:rPr>
        <w:t>Where a taxpayer cho</w:t>
      </w:r>
      <w:r>
        <w:rPr>
          <w:rFonts w:ascii="Arial" w:hAnsi="Arial" w:cs="Arial"/>
          <w:sz w:val="20"/>
        </w:rPr>
        <w:t>o</w:t>
      </w:r>
      <w:r w:rsidRPr="001F5DA1">
        <w:rPr>
          <w:rFonts w:ascii="Arial" w:hAnsi="Arial" w:cs="Arial"/>
          <w:sz w:val="20"/>
        </w:rPr>
        <w:t>ses to self</w:t>
      </w:r>
      <w:r>
        <w:rPr>
          <w:rFonts w:ascii="Arial" w:hAnsi="Arial" w:cs="Arial"/>
          <w:sz w:val="20"/>
        </w:rPr>
        <w:t>-</w:t>
      </w:r>
      <w:r w:rsidRPr="001F5DA1">
        <w:rPr>
          <w:rFonts w:ascii="Arial" w:hAnsi="Arial" w:cs="Arial"/>
          <w:sz w:val="20"/>
        </w:rPr>
        <w:t xml:space="preserve">assess </w:t>
      </w:r>
      <w:r>
        <w:rPr>
          <w:rFonts w:ascii="Arial" w:hAnsi="Arial" w:cs="Arial"/>
          <w:sz w:val="20"/>
        </w:rPr>
        <w:t>an</w:t>
      </w:r>
      <w:r w:rsidRPr="001F5DA1">
        <w:rPr>
          <w:rFonts w:ascii="Arial" w:hAnsi="Arial" w:cs="Arial"/>
          <w:sz w:val="20"/>
        </w:rPr>
        <w:t xml:space="preserve"> effective life rate that is different to that outlined by the </w:t>
      </w:r>
      <w:r>
        <w:rPr>
          <w:rFonts w:ascii="Arial" w:hAnsi="Arial" w:cs="Arial"/>
          <w:sz w:val="20"/>
        </w:rPr>
        <w:t>ATO</w:t>
      </w:r>
      <w:r w:rsidRPr="001F5DA1">
        <w:rPr>
          <w:rFonts w:ascii="Arial" w:hAnsi="Arial" w:cs="Arial"/>
          <w:sz w:val="20"/>
        </w:rPr>
        <w:t xml:space="preserve">, the taxpayer will be required to have sufficient evidence to demonstrate why the </w:t>
      </w:r>
      <w:r>
        <w:rPr>
          <w:rFonts w:ascii="Arial" w:hAnsi="Arial" w:cs="Arial"/>
          <w:sz w:val="20"/>
        </w:rPr>
        <w:t>ATO’</w:t>
      </w:r>
      <w:r w:rsidRPr="001F5DA1">
        <w:rPr>
          <w:rFonts w:ascii="Arial" w:hAnsi="Arial" w:cs="Arial"/>
          <w:sz w:val="20"/>
        </w:rPr>
        <w:t xml:space="preserve">s effective life rates are </w:t>
      </w:r>
      <w:r>
        <w:rPr>
          <w:rFonts w:ascii="Arial" w:hAnsi="Arial" w:cs="Arial"/>
          <w:sz w:val="20"/>
        </w:rPr>
        <w:t xml:space="preserve">not </w:t>
      </w:r>
      <w:r w:rsidR="002D32FF">
        <w:rPr>
          <w:rFonts w:ascii="Arial" w:hAnsi="Arial" w:cs="Arial"/>
          <w:sz w:val="20"/>
        </w:rPr>
        <w:t>appropriate in the particular</w:t>
      </w:r>
      <w:r w:rsidRPr="001F5DA1">
        <w:rPr>
          <w:rFonts w:ascii="Arial" w:hAnsi="Arial" w:cs="Arial"/>
          <w:sz w:val="20"/>
        </w:rPr>
        <w:t xml:space="preserve"> circumstances.</w:t>
      </w:r>
    </w:p>
    <w:p w14:paraId="3B680415" w14:textId="77777777" w:rsidR="00977BEC" w:rsidRPr="001F5DA1" w:rsidRDefault="00977BEC" w:rsidP="00B74065">
      <w:pPr>
        <w:spacing w:line="276" w:lineRule="auto"/>
        <w:jc w:val="left"/>
        <w:rPr>
          <w:rFonts w:ascii="Arial" w:hAnsi="Arial" w:cs="Arial"/>
          <w:sz w:val="20"/>
        </w:rPr>
      </w:pPr>
    </w:p>
    <w:p w14:paraId="20716396" w14:textId="4823DA66"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If you would like to discuss any matters in relation to </w:t>
      </w:r>
      <w:r>
        <w:rPr>
          <w:rFonts w:ascii="Arial" w:hAnsi="Arial" w:cs="Arial"/>
          <w:sz w:val="20"/>
        </w:rPr>
        <w:t>the above</w:t>
      </w:r>
      <w:r w:rsidRPr="001F5DA1">
        <w:rPr>
          <w:rFonts w:ascii="Arial" w:hAnsi="Arial" w:cs="Arial"/>
          <w:sz w:val="20"/>
        </w:rPr>
        <w:t xml:space="preserve"> </w:t>
      </w:r>
      <w:r>
        <w:rPr>
          <w:rFonts w:ascii="Arial" w:hAnsi="Arial" w:cs="Arial"/>
          <w:sz w:val="20"/>
        </w:rPr>
        <w:t xml:space="preserve">in respect </w:t>
      </w:r>
      <w:r w:rsidR="00F66DFB">
        <w:rPr>
          <w:rFonts w:ascii="Arial" w:hAnsi="Arial" w:cs="Arial"/>
          <w:sz w:val="20"/>
        </w:rPr>
        <w:t>of</w:t>
      </w:r>
      <w:r w:rsidR="00F66DFB" w:rsidRPr="001F5DA1">
        <w:rPr>
          <w:rFonts w:ascii="Arial" w:hAnsi="Arial" w:cs="Arial"/>
          <w:sz w:val="20"/>
        </w:rPr>
        <w:t xml:space="preserve"> </w:t>
      </w:r>
      <w:r w:rsidRPr="001F5DA1">
        <w:rPr>
          <w:rFonts w:ascii="Arial" w:hAnsi="Arial" w:cs="Arial"/>
          <w:sz w:val="20"/>
        </w:rPr>
        <w:t xml:space="preserve">your </w:t>
      </w:r>
      <w:proofErr w:type="gramStart"/>
      <w:r w:rsidRPr="001F5DA1">
        <w:rPr>
          <w:rFonts w:ascii="Arial" w:hAnsi="Arial" w:cs="Arial"/>
          <w:sz w:val="20"/>
        </w:rPr>
        <w:t>particular circumstances</w:t>
      </w:r>
      <w:proofErr w:type="gramEnd"/>
      <w:r w:rsidRPr="001F5DA1">
        <w:rPr>
          <w:rFonts w:ascii="Arial" w:hAnsi="Arial" w:cs="Arial"/>
          <w:sz w:val="20"/>
        </w:rPr>
        <w:t>, please do not hesitate to contact me on [</w:t>
      </w:r>
      <w:r w:rsidRPr="005C5A9E">
        <w:rPr>
          <w:rFonts w:ascii="Arial" w:hAnsi="Arial" w:cs="Arial"/>
          <w:sz w:val="20"/>
          <w:highlight w:val="lightGray"/>
        </w:rPr>
        <w:t>insert telephone number</w:t>
      </w:r>
      <w:r w:rsidRPr="001F5DA1">
        <w:rPr>
          <w:rFonts w:ascii="Arial" w:hAnsi="Arial" w:cs="Arial"/>
          <w:sz w:val="20"/>
        </w:rPr>
        <w:t>]</w:t>
      </w:r>
      <w:r w:rsidRPr="001F5DA1">
        <w:rPr>
          <w:rFonts w:ascii="Arial" w:hAnsi="Arial" w:cs="Arial"/>
          <w:bCs/>
          <w:sz w:val="20"/>
        </w:rPr>
        <w:t>.</w:t>
      </w:r>
    </w:p>
    <w:p w14:paraId="39062FAF" w14:textId="77777777" w:rsidR="00977BEC" w:rsidRPr="001F5DA1" w:rsidRDefault="00977BEC" w:rsidP="00B74065">
      <w:pPr>
        <w:spacing w:line="276" w:lineRule="auto"/>
        <w:jc w:val="left"/>
        <w:rPr>
          <w:rFonts w:ascii="Arial" w:hAnsi="Arial" w:cs="Arial"/>
          <w:sz w:val="20"/>
        </w:rPr>
      </w:pPr>
    </w:p>
    <w:p w14:paraId="2B4FD1F6" w14:textId="77777777" w:rsidR="00977BEC" w:rsidRPr="001F5DA1" w:rsidRDefault="00977BEC" w:rsidP="00B74065">
      <w:pPr>
        <w:spacing w:line="276" w:lineRule="auto"/>
        <w:jc w:val="left"/>
        <w:rPr>
          <w:rFonts w:ascii="Arial" w:hAnsi="Arial" w:cs="Arial"/>
          <w:sz w:val="20"/>
        </w:rPr>
      </w:pPr>
      <w:bookmarkStart w:id="11" w:name="Signoff"/>
      <w:bookmarkEnd w:id="11"/>
      <w:r w:rsidRPr="001F5DA1">
        <w:rPr>
          <w:rFonts w:ascii="Arial" w:hAnsi="Arial" w:cs="Arial"/>
          <w:sz w:val="20"/>
        </w:rPr>
        <w:t>Yours faithfully</w:t>
      </w:r>
    </w:p>
    <w:p w14:paraId="30368171" w14:textId="77777777" w:rsidR="00977BEC" w:rsidRPr="001F5DA1" w:rsidRDefault="00977BEC" w:rsidP="00B74065">
      <w:pPr>
        <w:spacing w:line="276" w:lineRule="auto"/>
        <w:rPr>
          <w:rFonts w:ascii="Arial" w:hAnsi="Arial" w:cs="Arial"/>
          <w:sz w:val="20"/>
        </w:rPr>
      </w:pPr>
    </w:p>
    <w:p w14:paraId="361092EF" w14:textId="77777777" w:rsidR="00977BEC" w:rsidRPr="001F5DA1" w:rsidRDefault="00977BEC" w:rsidP="00B74065">
      <w:pPr>
        <w:pStyle w:val="MSHFBody"/>
        <w:spacing w:line="276" w:lineRule="auto"/>
        <w:rPr>
          <w:rFonts w:ascii="Arial" w:hAnsi="Arial" w:cs="Arial"/>
          <w:sz w:val="20"/>
        </w:rPr>
      </w:pPr>
    </w:p>
    <w:p w14:paraId="34E1AE38" w14:textId="77777777" w:rsidR="00977BEC" w:rsidRPr="001F5DA1" w:rsidRDefault="00977BEC" w:rsidP="00B74065">
      <w:pPr>
        <w:spacing w:line="276" w:lineRule="auto"/>
        <w:rPr>
          <w:rFonts w:ascii="Arial" w:hAnsi="Arial" w:cs="Arial"/>
          <w:sz w:val="20"/>
        </w:rPr>
      </w:pPr>
    </w:p>
    <w:p w14:paraId="50E57A8D" w14:textId="77777777" w:rsidR="00977BEC" w:rsidRPr="001F5DA1" w:rsidRDefault="00977BEC" w:rsidP="00B74065">
      <w:pPr>
        <w:spacing w:line="276" w:lineRule="auto"/>
        <w:rPr>
          <w:rFonts w:ascii="Arial" w:hAnsi="Arial" w:cs="Arial"/>
          <w:b/>
          <w:bCs/>
          <w:sz w:val="20"/>
        </w:rPr>
      </w:pPr>
      <w:bookmarkStart w:id="12" w:name="Partner"/>
      <w:bookmarkEnd w:id="12"/>
      <w:r>
        <w:rPr>
          <w:rFonts w:ascii="Arial" w:hAnsi="Arial" w:cs="Arial"/>
          <w:b/>
          <w:bCs/>
          <w:sz w:val="20"/>
        </w:rPr>
        <w:t>[</w:t>
      </w:r>
      <w:r w:rsidRPr="005C5A9E">
        <w:rPr>
          <w:rFonts w:ascii="Arial" w:hAnsi="Arial" w:cs="Arial"/>
          <w:b/>
          <w:bCs/>
          <w:sz w:val="20"/>
          <w:highlight w:val="lightGray"/>
        </w:rPr>
        <w:t>Insert Partner name</w:t>
      </w:r>
      <w:r>
        <w:rPr>
          <w:rFonts w:ascii="Arial" w:hAnsi="Arial" w:cs="Arial"/>
          <w:b/>
          <w:bCs/>
          <w:sz w:val="20"/>
        </w:rPr>
        <w:t>]</w:t>
      </w:r>
    </w:p>
    <w:p w14:paraId="0E9B55C2" w14:textId="77777777" w:rsidR="00977BEC" w:rsidRPr="001F5DA1" w:rsidRDefault="00977BEC" w:rsidP="00B74065">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3C80D9C1" w14:textId="77777777" w:rsidTr="00C34A79">
        <w:tc>
          <w:tcPr>
            <w:tcW w:w="9289" w:type="dxa"/>
            <w:tcBorders>
              <w:top w:val="nil"/>
              <w:left w:val="nil"/>
              <w:bottom w:val="nil"/>
              <w:right w:val="nil"/>
            </w:tcBorders>
          </w:tcPr>
          <w:p w14:paraId="7835A17B" w14:textId="77777777" w:rsidR="00977BEC" w:rsidRPr="001F5DA1" w:rsidRDefault="00977BEC" w:rsidP="00B74065">
            <w:pPr>
              <w:spacing w:line="276" w:lineRule="auto"/>
              <w:rPr>
                <w:rFonts w:ascii="Arial" w:hAnsi="Arial" w:cs="Arial"/>
                <w:sz w:val="20"/>
              </w:rPr>
            </w:pPr>
            <w:r w:rsidRPr="001F5DA1">
              <w:rPr>
                <w:rFonts w:ascii="Arial" w:hAnsi="Arial" w:cs="Arial"/>
                <w:sz w:val="20"/>
              </w:rPr>
              <w:t>Encl.</w:t>
            </w:r>
            <w:bookmarkStart w:id="13" w:name="ConfidBlurb"/>
            <w:bookmarkEnd w:id="13"/>
          </w:p>
        </w:tc>
      </w:tr>
    </w:tbl>
    <w:p w14:paraId="599DF0ED" w14:textId="77777777" w:rsidR="0038410C" w:rsidRDefault="0038410C" w:rsidP="00B74065">
      <w:pPr>
        <w:spacing w:line="276" w:lineRule="auto"/>
      </w:pPr>
    </w:p>
    <w:sectPr w:rsidR="0038410C" w:rsidSect="000B27D4">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66C2" w14:textId="77777777" w:rsidR="00306768" w:rsidRDefault="00306768">
      <w:r>
        <w:separator/>
      </w:r>
    </w:p>
  </w:endnote>
  <w:endnote w:type="continuationSeparator" w:id="0">
    <w:p w14:paraId="2FA3F5B6" w14:textId="77777777" w:rsidR="00306768" w:rsidRDefault="003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4DEF" w14:textId="77777777" w:rsidR="008331B2" w:rsidRDefault="008273CE">
    <w:pPr>
      <w:pStyle w:val="Footer"/>
      <w:rPr>
        <w:sz w:val="16"/>
      </w:rPr>
    </w:pPr>
  </w:p>
  <w:p w14:paraId="5CC99101" w14:textId="77777777" w:rsidR="008331B2" w:rsidRDefault="008273CE"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D149" w14:textId="77777777" w:rsidR="00306768" w:rsidRDefault="00306768">
      <w:r>
        <w:separator/>
      </w:r>
    </w:p>
  </w:footnote>
  <w:footnote w:type="continuationSeparator" w:id="0">
    <w:p w14:paraId="0F9E8939" w14:textId="77777777" w:rsidR="00306768" w:rsidRDefault="0030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E9"/>
    <w:multiLevelType w:val="hybridMultilevel"/>
    <w:tmpl w:val="4B80EA66"/>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165DE"/>
    <w:multiLevelType w:val="hybridMultilevel"/>
    <w:tmpl w:val="62D2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927CB"/>
    <w:multiLevelType w:val="hybridMultilevel"/>
    <w:tmpl w:val="BF6E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17788"/>
    <w:multiLevelType w:val="hybridMultilevel"/>
    <w:tmpl w:val="EAB4BD9E"/>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890068-3EC6-4515-B054-66A71F8942E7}"/>
    <w:docVar w:name="dgnword-eventsink" w:val="1658084957136"/>
  </w:docVars>
  <w:rsids>
    <w:rsidRoot w:val="00977BEC"/>
    <w:rsid w:val="00031549"/>
    <w:rsid w:val="00081D3D"/>
    <w:rsid w:val="00155B2B"/>
    <w:rsid w:val="00190573"/>
    <w:rsid w:val="00194B13"/>
    <w:rsid w:val="001D6C21"/>
    <w:rsid w:val="002346B5"/>
    <w:rsid w:val="002364E8"/>
    <w:rsid w:val="002817B6"/>
    <w:rsid w:val="00297E01"/>
    <w:rsid w:val="002D32FF"/>
    <w:rsid w:val="00306768"/>
    <w:rsid w:val="0031728C"/>
    <w:rsid w:val="00364AE9"/>
    <w:rsid w:val="0038410C"/>
    <w:rsid w:val="003A1A37"/>
    <w:rsid w:val="00416260"/>
    <w:rsid w:val="00425758"/>
    <w:rsid w:val="00464647"/>
    <w:rsid w:val="004B2F75"/>
    <w:rsid w:val="00502338"/>
    <w:rsid w:val="00505BAF"/>
    <w:rsid w:val="005775FD"/>
    <w:rsid w:val="0059783B"/>
    <w:rsid w:val="00597BD4"/>
    <w:rsid w:val="005E24A3"/>
    <w:rsid w:val="00615B2F"/>
    <w:rsid w:val="0063389F"/>
    <w:rsid w:val="0066079B"/>
    <w:rsid w:val="00687980"/>
    <w:rsid w:val="006B229F"/>
    <w:rsid w:val="00774E1E"/>
    <w:rsid w:val="008273CE"/>
    <w:rsid w:val="008565B2"/>
    <w:rsid w:val="00896629"/>
    <w:rsid w:val="008B2729"/>
    <w:rsid w:val="008B68AE"/>
    <w:rsid w:val="008E06BA"/>
    <w:rsid w:val="0092751C"/>
    <w:rsid w:val="00943E7C"/>
    <w:rsid w:val="00952789"/>
    <w:rsid w:val="00977BEC"/>
    <w:rsid w:val="009910F9"/>
    <w:rsid w:val="009B613B"/>
    <w:rsid w:val="00A064FC"/>
    <w:rsid w:val="00AA6D5C"/>
    <w:rsid w:val="00B460F5"/>
    <w:rsid w:val="00B74065"/>
    <w:rsid w:val="00BD3BDC"/>
    <w:rsid w:val="00C33D22"/>
    <w:rsid w:val="00C44948"/>
    <w:rsid w:val="00C52BC5"/>
    <w:rsid w:val="00CA31DE"/>
    <w:rsid w:val="00CF456D"/>
    <w:rsid w:val="00D018C4"/>
    <w:rsid w:val="00DA2D8D"/>
    <w:rsid w:val="00E21820"/>
    <w:rsid w:val="00EC1267"/>
    <w:rsid w:val="00F2144B"/>
    <w:rsid w:val="00F23329"/>
    <w:rsid w:val="00F66DFB"/>
    <w:rsid w:val="00F9574F"/>
    <w:rsid w:val="00FB2D88"/>
    <w:rsid w:val="00FB4BD6"/>
    <w:rsid w:val="00FD4820"/>
    <w:rsid w:val="00FE0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E3DAF"/>
  <w15:docId w15:val="{E65CB5A1-2803-40F3-8C7F-3FBAF290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C"/>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977BEC"/>
    <w:pPr>
      <w:keepNext/>
      <w:outlineLvl w:val="0"/>
    </w:pPr>
    <w:rPr>
      <w:b/>
      <w:sz w:val="20"/>
    </w:rPr>
  </w:style>
  <w:style w:type="paragraph" w:styleId="Heading2">
    <w:name w:val="heading 2"/>
    <w:basedOn w:val="Normal"/>
    <w:next w:val="Normal"/>
    <w:link w:val="Heading2Char"/>
    <w:qFormat/>
    <w:rsid w:val="00977BEC"/>
    <w:pPr>
      <w:keepNext/>
      <w:outlineLvl w:val="1"/>
    </w:pPr>
    <w:rPr>
      <w:b/>
      <w:bCs/>
      <w:sz w:val="20"/>
    </w:rPr>
  </w:style>
  <w:style w:type="paragraph" w:styleId="Heading4">
    <w:name w:val="heading 4"/>
    <w:basedOn w:val="Normal"/>
    <w:next w:val="Normal"/>
    <w:link w:val="Heading4Char"/>
    <w:qFormat/>
    <w:rsid w:val="00977BEC"/>
    <w:pPr>
      <w:keepNext/>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B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77B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77BEC"/>
    <w:rPr>
      <w:rFonts w:ascii="Times New Roman" w:eastAsia="Times New Roman" w:hAnsi="Times New Roman" w:cs="Times New Roman"/>
      <w:b/>
      <w:bCs/>
      <w:sz w:val="24"/>
      <w:szCs w:val="24"/>
      <w:lang w:val="en-US"/>
    </w:rPr>
  </w:style>
  <w:style w:type="paragraph" w:styleId="Footer">
    <w:name w:val="footer"/>
    <w:basedOn w:val="Normal"/>
    <w:link w:val="FooterChar"/>
    <w:rsid w:val="00977BEC"/>
    <w:pPr>
      <w:tabs>
        <w:tab w:val="center" w:pos="4153"/>
        <w:tab w:val="right" w:pos="8306"/>
      </w:tabs>
      <w:jc w:val="left"/>
    </w:pPr>
    <w:rPr>
      <w:sz w:val="20"/>
    </w:rPr>
  </w:style>
  <w:style w:type="character" w:customStyle="1" w:styleId="FooterChar">
    <w:name w:val="Footer Char"/>
    <w:basedOn w:val="DefaultParagraphFont"/>
    <w:link w:val="Footer"/>
    <w:rsid w:val="00977BEC"/>
    <w:rPr>
      <w:rFonts w:ascii="Times New Roman" w:eastAsia="Times New Roman" w:hAnsi="Times New Roman" w:cs="Times New Roman"/>
      <w:sz w:val="20"/>
      <w:szCs w:val="20"/>
    </w:rPr>
  </w:style>
  <w:style w:type="character" w:styleId="PageNumber">
    <w:name w:val="page number"/>
    <w:rsid w:val="00977BEC"/>
    <w:rPr>
      <w:rFonts w:cs="Times New Roman"/>
    </w:rPr>
  </w:style>
  <w:style w:type="paragraph" w:customStyle="1" w:styleId="MSHFBody">
    <w:name w:val="MSHF Body"/>
    <w:basedOn w:val="Normal"/>
    <w:rsid w:val="00977BEC"/>
  </w:style>
  <w:style w:type="paragraph" w:customStyle="1" w:styleId="MSHFHeading1">
    <w:name w:val="MSHF Heading 1"/>
    <w:basedOn w:val="Normal"/>
    <w:rsid w:val="00977BEC"/>
    <w:rPr>
      <w:b/>
      <w:caps/>
    </w:rPr>
  </w:style>
  <w:style w:type="paragraph" w:styleId="ListParagraph">
    <w:name w:val="List Paragraph"/>
    <w:basedOn w:val="Normal"/>
    <w:uiPriority w:val="34"/>
    <w:qFormat/>
    <w:rsid w:val="00B74065"/>
    <w:pPr>
      <w:ind w:left="720"/>
      <w:contextualSpacing/>
    </w:pPr>
  </w:style>
  <w:style w:type="paragraph" w:styleId="BalloonText">
    <w:name w:val="Balloon Text"/>
    <w:basedOn w:val="Normal"/>
    <w:link w:val="BalloonTextChar"/>
    <w:uiPriority w:val="99"/>
    <w:semiHidden/>
    <w:unhideWhenUsed/>
    <w:rsid w:val="001D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456D"/>
    <w:rPr>
      <w:sz w:val="16"/>
      <w:szCs w:val="16"/>
    </w:rPr>
  </w:style>
  <w:style w:type="paragraph" w:styleId="CommentText">
    <w:name w:val="annotation text"/>
    <w:basedOn w:val="Normal"/>
    <w:link w:val="CommentTextChar"/>
    <w:uiPriority w:val="99"/>
    <w:semiHidden/>
    <w:unhideWhenUsed/>
    <w:rsid w:val="00CF456D"/>
    <w:rPr>
      <w:sz w:val="20"/>
    </w:rPr>
  </w:style>
  <w:style w:type="character" w:customStyle="1" w:styleId="CommentTextChar">
    <w:name w:val="Comment Text Char"/>
    <w:basedOn w:val="DefaultParagraphFont"/>
    <w:link w:val="CommentText"/>
    <w:uiPriority w:val="99"/>
    <w:semiHidden/>
    <w:rsid w:val="00CF4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56D"/>
    <w:rPr>
      <w:b/>
      <w:bCs/>
    </w:rPr>
  </w:style>
  <w:style w:type="character" w:customStyle="1" w:styleId="CommentSubjectChar">
    <w:name w:val="Comment Subject Char"/>
    <w:basedOn w:val="CommentTextChar"/>
    <w:link w:val="CommentSubject"/>
    <w:uiPriority w:val="99"/>
    <w:semiHidden/>
    <w:rsid w:val="00CF456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F456D"/>
    <w:rPr>
      <w:color w:val="0000FF"/>
      <w:u w:val="single"/>
    </w:rPr>
  </w:style>
  <w:style w:type="character" w:styleId="FollowedHyperlink">
    <w:name w:val="FollowedHyperlink"/>
    <w:basedOn w:val="DefaultParagraphFont"/>
    <w:uiPriority w:val="99"/>
    <w:semiHidden/>
    <w:unhideWhenUsed/>
    <w:rsid w:val="00C52BC5"/>
    <w:rPr>
      <w:color w:val="800080" w:themeColor="followedHyperlink"/>
      <w:u w:val="single"/>
    </w:rPr>
  </w:style>
  <w:style w:type="paragraph" w:styleId="Revision">
    <w:name w:val="Revision"/>
    <w:hidden/>
    <w:uiPriority w:val="99"/>
    <w:semiHidden/>
    <w:rsid w:val="00F23329"/>
    <w:pPr>
      <w:spacing w:after="0" w:line="240" w:lineRule="auto"/>
    </w:pPr>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774E1E"/>
    <w:pPr>
      <w:tabs>
        <w:tab w:val="center" w:pos="4680"/>
        <w:tab w:val="right" w:pos="9360"/>
      </w:tabs>
    </w:pPr>
  </w:style>
  <w:style w:type="character" w:customStyle="1" w:styleId="HeaderChar">
    <w:name w:val="Header Char"/>
    <w:basedOn w:val="DefaultParagraphFont"/>
    <w:link w:val="Header"/>
    <w:uiPriority w:val="99"/>
    <w:rsid w:val="00774E1E"/>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F2D5-6823-4B8A-A7AF-AF613CEC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Residential rental properties client letter</vt:lpstr>
    </vt:vector>
  </TitlesOfParts>
  <Company>CPA Australia</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properties client letter</dc:title>
  <dc:creator>Michelle Webb</dc:creator>
  <cp:keywords>client letters, income tax returns, income tax deductions, residential rental properties, ATO, Australian Taxation Office, residential accommodation, income tax assessment, property investment</cp:keywords>
  <cp:lastModifiedBy>Kristen Beadle</cp:lastModifiedBy>
  <cp:revision>2</cp:revision>
  <cp:lastPrinted>2019-06-26T00:40:00Z</cp:lastPrinted>
  <dcterms:created xsi:type="dcterms:W3CDTF">2021-06-30T02:29:00Z</dcterms:created>
  <dcterms:modified xsi:type="dcterms:W3CDTF">2021-06-30T02:29:00Z</dcterms:modified>
</cp:coreProperties>
</file>