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7E92" w14:textId="5F1A065C" w:rsidR="00367616" w:rsidRDefault="00367616" w:rsidP="00D2300A">
      <w:pPr>
        <w:pStyle w:val="BodyHeading"/>
        <w:sectPr w:rsidR="00367616" w:rsidSect="005F16DB">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14:paraId="105AF17D" w14:textId="28979F5C" w:rsidR="00E25073" w:rsidRDefault="00367616" w:rsidP="003304B6">
      <w:pPr>
        <w:pStyle w:val="Body"/>
        <w:spacing w:before="0" w:after="0"/>
        <w:ind w:left="-125" w:right="-119"/>
      </w:pPr>
      <w:r w:rsidRPr="00E126E1">
        <w:lastRenderedPageBreak/>
        <w:t>The follo</w:t>
      </w:r>
      <w:r w:rsidR="00A67DF8">
        <w:t>wing tax planning checklist</w:t>
      </w:r>
      <w:r w:rsidRPr="00E126E1">
        <w:t xml:space="preserve"> provides a general list of major issues that should be addressed. (The checklist is not designed to be an exhaustive list of all issues that may warrant consideration.)</w:t>
      </w:r>
    </w:p>
    <w:p w14:paraId="4A9162FE" w14:textId="77777777" w:rsidR="003304B6" w:rsidRDefault="003304B6" w:rsidP="003304B6">
      <w:pPr>
        <w:pStyle w:val="Body"/>
        <w:spacing w:before="0" w:after="0"/>
        <w:ind w:left="-125" w:right="-119"/>
        <w:rPr>
          <w:b/>
          <w:i w:val="0"/>
        </w:rPr>
      </w:pPr>
    </w:p>
    <w:p w14:paraId="155402F8" w14:textId="77777777" w:rsidR="00E25073" w:rsidRPr="003304B6" w:rsidRDefault="00E25073" w:rsidP="003304B6">
      <w:pPr>
        <w:pStyle w:val="Body"/>
        <w:spacing w:before="0" w:after="0"/>
        <w:ind w:left="-125" w:right="-119"/>
        <w:rPr>
          <w:b/>
          <w:i w:val="0"/>
          <w:sz w:val="16"/>
          <w:szCs w:val="16"/>
        </w:rPr>
      </w:pPr>
      <w:r w:rsidRPr="003304B6">
        <w:rPr>
          <w:b/>
          <w:i w:val="0"/>
          <w:sz w:val="16"/>
          <w:szCs w:val="16"/>
        </w:rPr>
        <w:t>Disclaimer</w:t>
      </w:r>
    </w:p>
    <w:p w14:paraId="0BEF0614" w14:textId="53029027" w:rsidR="00E25073" w:rsidRPr="003304B6" w:rsidRDefault="00E25073" w:rsidP="003304B6">
      <w:pPr>
        <w:pStyle w:val="Body"/>
        <w:spacing w:before="0" w:after="0"/>
        <w:ind w:left="-125" w:right="-119"/>
        <w:rPr>
          <w:i w:val="0"/>
          <w:sz w:val="16"/>
          <w:szCs w:val="16"/>
        </w:rPr>
      </w:pPr>
      <w:r w:rsidRPr="003304B6">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2BDFB562" w14:textId="77777777" w:rsidR="00367616" w:rsidRPr="00AC6482" w:rsidRDefault="00367616" w:rsidP="00E126E1">
      <w:pPr>
        <w:pStyle w:val="Body"/>
        <w:rPr>
          <w:sz w:val="22"/>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593"/>
        <w:gridCol w:w="8708"/>
      </w:tblGrid>
      <w:tr w:rsidR="00367616" w:rsidRPr="009904B1" w14:paraId="523E03EE" w14:textId="77777777" w:rsidTr="005C0F0C">
        <w:tc>
          <w:tcPr>
            <w:tcW w:w="773" w:type="pct"/>
            <w:tcBorders>
              <w:top w:val="single" w:sz="4" w:space="0" w:color="939598"/>
              <w:bottom w:val="single" w:sz="4" w:space="0" w:color="939598"/>
            </w:tcBorders>
            <w:shd w:val="clear" w:color="auto" w:fill="D9D9D9" w:themeFill="background1" w:themeFillShade="D9"/>
          </w:tcPr>
          <w:p w14:paraId="403E37B5" w14:textId="77777777" w:rsidR="00367616" w:rsidRPr="009904B1" w:rsidRDefault="00367616" w:rsidP="009B6248">
            <w:pPr>
              <w:pStyle w:val="Tableheading"/>
            </w:pPr>
            <w:r w:rsidRPr="009904B1">
              <w:t>Entity’s Name</w:t>
            </w:r>
          </w:p>
        </w:tc>
        <w:tc>
          <w:tcPr>
            <w:tcW w:w="4227" w:type="pct"/>
            <w:tcBorders>
              <w:top w:val="single" w:sz="4" w:space="0" w:color="939598"/>
              <w:bottom w:val="single" w:sz="4" w:space="0" w:color="939598"/>
            </w:tcBorders>
          </w:tcPr>
          <w:p w14:paraId="2DEC030E" w14:textId="77777777" w:rsidR="00367616" w:rsidRPr="009904B1" w:rsidRDefault="00367616" w:rsidP="009B6248">
            <w:pPr>
              <w:pStyle w:val="Table"/>
            </w:pPr>
          </w:p>
        </w:tc>
      </w:tr>
    </w:tbl>
    <w:p w14:paraId="3029A51E" w14:textId="77777777" w:rsidR="00367616" w:rsidRDefault="00367616" w:rsidP="00E126E1">
      <w:pPr>
        <w:pStyle w:val="Body"/>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52"/>
        <w:gridCol w:w="752"/>
        <w:gridCol w:w="750"/>
      </w:tblGrid>
      <w:tr w:rsidR="00367616" w:rsidRPr="005A1539" w14:paraId="29978409" w14:textId="77777777" w:rsidTr="00952FCB">
        <w:trPr>
          <w:tblHeader/>
        </w:trPr>
        <w:tc>
          <w:tcPr>
            <w:tcW w:w="3906" w:type="pct"/>
            <w:tcBorders>
              <w:top w:val="single" w:sz="4" w:space="0" w:color="939598"/>
              <w:bottom w:val="single" w:sz="4" w:space="0" w:color="808080" w:themeColor="background1" w:themeShade="80"/>
              <w:right w:val="single" w:sz="4" w:space="0" w:color="939598"/>
            </w:tcBorders>
            <w:shd w:val="clear" w:color="auto" w:fill="051C3C"/>
          </w:tcPr>
          <w:p w14:paraId="48B039B4" w14:textId="77777777" w:rsidR="00367616" w:rsidRPr="00AE2EA6" w:rsidRDefault="00367616" w:rsidP="009B6248">
            <w:pPr>
              <w:pStyle w:val="Tableheading"/>
              <w:rPr>
                <w:color w:val="FFFFFF" w:themeColor="background1"/>
                <w:sz w:val="18"/>
              </w:rPr>
            </w:pPr>
            <w:r w:rsidRPr="00AE2EA6">
              <w:rPr>
                <w:color w:val="FFFFFF" w:themeColor="background1"/>
                <w:sz w:val="18"/>
              </w:rPr>
              <w:t>Deferring Assessable Income</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BA28502" w14:textId="77777777" w:rsidR="00367616" w:rsidRPr="00AE2EA6" w:rsidRDefault="00367616" w:rsidP="009B6248">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4D576AB" w14:textId="77777777" w:rsidR="00367616" w:rsidRPr="00AE2EA6" w:rsidRDefault="00367616" w:rsidP="009B6248">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51C3C"/>
          </w:tcPr>
          <w:p w14:paraId="5C3648E6" w14:textId="77777777" w:rsidR="00367616" w:rsidRPr="00AE2EA6" w:rsidRDefault="00367616" w:rsidP="009B6248">
            <w:pPr>
              <w:pStyle w:val="Tableheading"/>
              <w:jc w:val="center"/>
              <w:rPr>
                <w:color w:val="FFFFFF" w:themeColor="background1"/>
                <w:sz w:val="18"/>
              </w:rPr>
            </w:pPr>
            <w:r w:rsidRPr="00AE2EA6">
              <w:rPr>
                <w:color w:val="FFFFFF" w:themeColor="background1"/>
                <w:sz w:val="18"/>
              </w:rPr>
              <w:t>N/A</w:t>
            </w:r>
          </w:p>
        </w:tc>
      </w:tr>
      <w:tr w:rsidR="007C6148" w:rsidRPr="00B340A7" w14:paraId="08CC2AA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B11700" w14:textId="77777777" w:rsidR="007C6148" w:rsidRPr="00B340A7" w:rsidRDefault="007C6148" w:rsidP="007C6148">
            <w:pPr>
              <w:pStyle w:val="Tableheading"/>
            </w:pPr>
            <w:r w:rsidRPr="00CE755B">
              <w:t>Application of Arthur Murray Principle to receipts</w:t>
            </w:r>
          </w:p>
        </w:tc>
      </w:tr>
      <w:tr w:rsidR="00367616" w:rsidRPr="009904B1" w14:paraId="040538DA"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B8CFF5E" w14:textId="20833A2A" w:rsidR="00367616" w:rsidRPr="009B6248" w:rsidRDefault="00367616" w:rsidP="009B6248">
            <w:pPr>
              <w:pStyle w:val="Table"/>
            </w:pPr>
            <w:r w:rsidRPr="009B6248">
              <w:t xml:space="preserve">Review contracts </w:t>
            </w:r>
            <w:r w:rsidR="00575158">
              <w:t xml:space="preserve">to identify income that has been received or is receivable in advance </w:t>
            </w:r>
            <w:r w:rsidRPr="009B6248">
              <w:t xml:space="preserve">for the provision of </w:t>
            </w:r>
            <w:r w:rsidR="00575158">
              <w:t xml:space="preserve">goods and </w:t>
            </w:r>
            <w:r w:rsidRPr="009B6248">
              <w:t>services to determine whether income from such contracts can be regarded as only being derived as and when the services are rendered.</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B2D838E" w14:textId="77777777" w:rsidR="00367616" w:rsidRPr="009904B1"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C1CA039" w14:textId="77777777" w:rsidR="00367616" w:rsidRPr="009904B1"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13B890B" w14:textId="77777777" w:rsidR="00367616" w:rsidRPr="009904B1" w:rsidRDefault="00367616" w:rsidP="009B6248">
            <w:pPr>
              <w:pStyle w:val="Table"/>
              <w:jc w:val="center"/>
            </w:pPr>
          </w:p>
        </w:tc>
      </w:tr>
      <w:tr w:rsidR="007C6148" w:rsidRPr="00AF24CF" w14:paraId="7F716863"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62AC1B" w14:textId="77777777" w:rsidR="007C6148" w:rsidRPr="00AF24CF" w:rsidRDefault="007C6148" w:rsidP="007C6148">
            <w:pPr>
              <w:pStyle w:val="Tableheading"/>
            </w:pPr>
            <w:r w:rsidRPr="00CE755B">
              <w:t>Accruals of interest, rent and other regular contractual payments</w:t>
            </w:r>
          </w:p>
        </w:tc>
      </w:tr>
      <w:tr w:rsidR="00367616" w14:paraId="15D68902"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15E858E" w14:textId="1A913806" w:rsidR="00C12EA5" w:rsidRDefault="00367616" w:rsidP="009B6248">
            <w:pPr>
              <w:pStyle w:val="Table"/>
            </w:pPr>
            <w:r w:rsidRPr="00CE755B">
              <w:t>Consider the basis on which interest</w:t>
            </w:r>
            <w:r w:rsidR="00C12EA5">
              <w:t xml:space="preserve">, rental </w:t>
            </w:r>
            <w:r w:rsidRPr="00CE755B">
              <w:t xml:space="preserve">or </w:t>
            </w:r>
            <w:r w:rsidR="002B54BF">
              <w:t xml:space="preserve">other </w:t>
            </w:r>
            <w:r w:rsidRPr="00CE755B">
              <w:t>income is derived and the scope for income deferral</w:t>
            </w:r>
            <w:r w:rsidR="00494EDB">
              <w:t xml:space="preserve"> where in</w:t>
            </w:r>
            <w:r w:rsidR="00C12EA5">
              <w:t>come</w:t>
            </w:r>
            <w:r w:rsidR="00494EDB">
              <w:t xml:space="preserve"> is recognised on a cash basis when received</w:t>
            </w:r>
            <w:r w:rsidR="00C12EA5">
              <w:t>.</w:t>
            </w:r>
          </w:p>
          <w:p w14:paraId="3CBEA356" w14:textId="501EEB36" w:rsidR="00367616" w:rsidRPr="00ED1CC2" w:rsidRDefault="00C12EA5" w:rsidP="009B6248">
            <w:pPr>
              <w:pStyle w:val="Table"/>
            </w:pPr>
            <w:r w:rsidRPr="008C5F4C">
              <w:rPr>
                <w:b/>
                <w:sz w:val="14"/>
                <w:szCs w:val="14"/>
              </w:rPr>
              <w:t>Note:</w:t>
            </w:r>
            <w:r w:rsidRPr="008C5F4C">
              <w:rPr>
                <w:sz w:val="14"/>
                <w:szCs w:val="14"/>
              </w:rPr>
              <w:t xml:space="preserve"> </w:t>
            </w:r>
            <w:r>
              <w:rPr>
                <w:sz w:val="14"/>
                <w:szCs w:val="14"/>
              </w:rPr>
              <w:t xml:space="preserve">interest and rent may be derived on an accrual basis if the taxpayer is in the business of lending money or of leasing property.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88D005E"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54540617"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367A8895" w14:textId="77777777" w:rsidR="00367616" w:rsidRPr="00AF24CF" w:rsidRDefault="00367616" w:rsidP="009B6248">
            <w:pPr>
              <w:pStyle w:val="Table"/>
              <w:jc w:val="center"/>
            </w:pPr>
          </w:p>
        </w:tc>
      </w:tr>
      <w:tr w:rsidR="00207F9C" w:rsidRPr="00AF24CF" w14:paraId="4384DCEE" w14:textId="77777777" w:rsidTr="00EC2D37">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4ECFC1" w14:textId="37EC6939" w:rsidR="00207F9C" w:rsidRPr="00AF24CF" w:rsidRDefault="00207F9C" w:rsidP="00207F9C">
            <w:pPr>
              <w:pStyle w:val="Tableheading"/>
            </w:pPr>
            <w:r>
              <w:t>Receipt of dividends</w:t>
            </w:r>
          </w:p>
        </w:tc>
      </w:tr>
      <w:tr w:rsidR="00494EDB" w14:paraId="66D07EFE"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0E815C5" w14:textId="5E05722C" w:rsidR="00B35F2D" w:rsidRDefault="00494EDB" w:rsidP="009B6248">
            <w:pPr>
              <w:pStyle w:val="Table"/>
            </w:pPr>
            <w:r>
              <w:t xml:space="preserve">Dividends are only included in assessable income </w:t>
            </w:r>
            <w:r w:rsidR="00C12EA5">
              <w:t xml:space="preserve">under section 44(1) </w:t>
            </w:r>
            <w:r>
              <w:t xml:space="preserve">when </w:t>
            </w:r>
            <w:r w:rsidR="00B35F2D">
              <w:t xml:space="preserve">distributions </w:t>
            </w:r>
            <w:r>
              <w:t xml:space="preserve">are </w:t>
            </w:r>
            <w:r w:rsidR="00B35F2D">
              <w:t>made</w:t>
            </w:r>
            <w:r>
              <w:t xml:space="preserve"> or credited to shareholders</w:t>
            </w:r>
            <w:r w:rsidR="00C12EA5">
              <w:t xml:space="preserve"> by Australian resident companies</w:t>
            </w:r>
            <w:r>
              <w:t xml:space="preserve">. </w:t>
            </w:r>
            <w:r w:rsidR="00B35F2D">
              <w:t xml:space="preserve">Consider whether a dividend should be paid around year-end or be deferred until the 2018 year. </w:t>
            </w:r>
          </w:p>
          <w:p w14:paraId="4F942227" w14:textId="7C0F48F6" w:rsidR="00494EDB" w:rsidRDefault="00B35F2D" w:rsidP="009B6248">
            <w:pPr>
              <w:pStyle w:val="Table"/>
            </w:pPr>
            <w:r w:rsidRPr="008C5F4C">
              <w:rPr>
                <w:b/>
                <w:sz w:val="14"/>
                <w:szCs w:val="14"/>
              </w:rPr>
              <w:t>Note:</w:t>
            </w:r>
            <w:r w:rsidRPr="008C5F4C">
              <w:rPr>
                <w:sz w:val="14"/>
                <w:szCs w:val="14"/>
              </w:rPr>
              <w:t xml:space="preserve"> </w:t>
            </w:r>
            <w:r>
              <w:rPr>
                <w:sz w:val="14"/>
                <w:szCs w:val="14"/>
              </w:rPr>
              <w:t xml:space="preserve">ensure that all deemed dividends have been identified including, amongst others, payments, loans and debt forgiveness transactions that result in a deemed dividend arising under Division 7A, excess payments to associates under section 109, and dividends arising on off-market share buy-backs under section 159 GZZZP.      </w:t>
            </w:r>
            <w:r>
              <w:t xml:space="preserve">  </w:t>
            </w:r>
            <w:r w:rsidR="00494EDB">
              <w:t xml:space="preserve">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0EF221D" w14:textId="77777777" w:rsidR="00494EDB" w:rsidRDefault="00494EDB"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0FC743F" w14:textId="77777777" w:rsidR="00494EDB" w:rsidRDefault="00494EDB"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0047A31" w14:textId="77777777" w:rsidR="00494EDB" w:rsidRPr="00AF24CF" w:rsidRDefault="00494EDB" w:rsidP="009B6248">
            <w:pPr>
              <w:pStyle w:val="Table"/>
              <w:jc w:val="center"/>
            </w:pPr>
          </w:p>
        </w:tc>
      </w:tr>
      <w:tr w:rsidR="007C6148" w:rsidRPr="00AF24CF" w14:paraId="1E7AD583"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52D323" w14:textId="2A86922A" w:rsidR="007C6148" w:rsidRPr="00AF24CF" w:rsidRDefault="007C6148" w:rsidP="007C6148">
            <w:pPr>
              <w:pStyle w:val="Tableheading"/>
            </w:pPr>
            <w:r w:rsidRPr="009B24B4">
              <w:t>Sales and work in progress</w:t>
            </w:r>
          </w:p>
        </w:tc>
      </w:tr>
      <w:tr w:rsidR="00367616" w14:paraId="573A270D"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695DB65D" w14:textId="485A70DE" w:rsidR="00367616" w:rsidRPr="00ED1CC2" w:rsidRDefault="00367616" w:rsidP="009B6248">
            <w:pPr>
              <w:pStyle w:val="Table"/>
            </w:pPr>
            <w:r w:rsidRPr="009B24B4">
              <w:t>Consider the deferral of sales</w:t>
            </w:r>
            <w:r w:rsidR="00EC2D37">
              <w:t>,</w:t>
            </w:r>
            <w:r w:rsidRPr="009B24B4">
              <w:t xml:space="preserve"> </w:t>
            </w:r>
            <w:r w:rsidR="00751F01">
              <w:t xml:space="preserve">including delaying the issue of an invoice for </w:t>
            </w:r>
            <w:r w:rsidR="00B85084">
              <w:t xml:space="preserve">work in progress </w:t>
            </w:r>
            <w:r w:rsidRPr="009B24B4">
              <w:t>until next financial year.</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B29FB54"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49BB4C9"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047352BF" w14:textId="77777777" w:rsidR="00367616" w:rsidRPr="00AF24CF" w:rsidRDefault="00367616" w:rsidP="009B6248">
            <w:pPr>
              <w:pStyle w:val="Table"/>
              <w:jc w:val="center"/>
            </w:pPr>
          </w:p>
        </w:tc>
      </w:tr>
      <w:tr w:rsidR="007C6148" w:rsidRPr="00AF24CF" w14:paraId="290FA086"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F90A5E" w14:textId="77777777" w:rsidR="007C6148" w:rsidRPr="00AF24CF" w:rsidRDefault="007C6148" w:rsidP="007C6148">
            <w:pPr>
              <w:pStyle w:val="Tableheading"/>
            </w:pPr>
            <w:r w:rsidRPr="009B24B4">
              <w:t>Realisation of assets</w:t>
            </w:r>
          </w:p>
        </w:tc>
      </w:tr>
      <w:tr w:rsidR="00367616" w14:paraId="45D00496"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78E0F91" w14:textId="77777777" w:rsidR="008C5F4C" w:rsidRDefault="00367616" w:rsidP="008C5F4C">
            <w:pPr>
              <w:pStyle w:val="Table"/>
            </w:pPr>
            <w:r w:rsidRPr="009B24B4">
              <w:t>Consider the postponement of the realisation of any assessable gains such as capital gains until after year end.</w:t>
            </w:r>
          </w:p>
          <w:p w14:paraId="7FF8142D" w14:textId="77777777" w:rsidR="00367616" w:rsidRPr="008C5F4C" w:rsidRDefault="008C5F4C" w:rsidP="008C5F4C">
            <w:pPr>
              <w:pStyle w:val="Table"/>
              <w:rPr>
                <w:sz w:val="14"/>
                <w:szCs w:val="14"/>
              </w:rPr>
            </w:pPr>
            <w:r w:rsidRPr="008C5F4C">
              <w:rPr>
                <w:b/>
                <w:sz w:val="14"/>
                <w:szCs w:val="14"/>
              </w:rPr>
              <w:t>Note:</w:t>
            </w:r>
            <w:r w:rsidRPr="008C5F4C">
              <w:rPr>
                <w:sz w:val="14"/>
                <w:szCs w:val="14"/>
              </w:rPr>
              <w:t xml:space="preserve"> i</w:t>
            </w:r>
            <w:r w:rsidR="001528F5" w:rsidRPr="008C5F4C">
              <w:rPr>
                <w:sz w:val="14"/>
                <w:szCs w:val="14"/>
              </w:rPr>
              <w:t>t is generally the contract execution date that determines the timing</w:t>
            </w:r>
            <w:r w:rsidRPr="008C5F4C">
              <w:rPr>
                <w:sz w:val="14"/>
                <w:szCs w:val="14"/>
              </w:rPr>
              <w:t xml:space="preserve"> of a disposal for CGT purposes.</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B2AEEC4"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916CF1C"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B145365" w14:textId="77777777" w:rsidR="00367616" w:rsidRPr="00AF24CF" w:rsidRDefault="00367616" w:rsidP="009B6248">
            <w:pPr>
              <w:pStyle w:val="Table"/>
              <w:jc w:val="center"/>
            </w:pPr>
          </w:p>
        </w:tc>
      </w:tr>
      <w:tr w:rsidR="00367616" w14:paraId="3A9AC98D"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84CBF7D" w14:textId="77777777" w:rsidR="00367616" w:rsidRPr="00ED1CC2" w:rsidRDefault="00367616" w:rsidP="009B6248">
            <w:pPr>
              <w:pStyle w:val="Table"/>
            </w:pPr>
            <w:r w:rsidRPr="009B24B4">
              <w:t>Consider deferring the disposal of an asset that would result in an assessable balancing charge.</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135B05D0"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5FAC984"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1119556" w14:textId="77777777" w:rsidR="00367616" w:rsidRPr="00AF24CF" w:rsidRDefault="00367616" w:rsidP="009B6248">
            <w:pPr>
              <w:pStyle w:val="Table"/>
              <w:jc w:val="center"/>
            </w:pPr>
          </w:p>
        </w:tc>
      </w:tr>
      <w:tr w:rsidR="00367616" w14:paraId="23A55E29"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F3300BC" w14:textId="77777777" w:rsidR="00367616" w:rsidRPr="00ED1CC2" w:rsidRDefault="00367616" w:rsidP="009B6248">
            <w:pPr>
              <w:pStyle w:val="Table"/>
            </w:pPr>
            <w:r w:rsidRPr="009B24B4">
              <w:t>Consider CGT and/or depreciation rollover relief where possible.</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2B01652"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8552273"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75178DBC" w14:textId="77777777" w:rsidR="00367616" w:rsidRPr="00AF24CF" w:rsidRDefault="00367616" w:rsidP="009B6248">
            <w:pPr>
              <w:pStyle w:val="Table"/>
              <w:jc w:val="center"/>
            </w:pPr>
          </w:p>
        </w:tc>
      </w:tr>
      <w:tr w:rsidR="007C6148" w:rsidRPr="00AF24CF" w14:paraId="722F14F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19FDEC" w14:textId="77777777" w:rsidR="007C6148" w:rsidRPr="00AF24CF" w:rsidRDefault="007C6148" w:rsidP="007C6148">
            <w:pPr>
              <w:pStyle w:val="Tableheading"/>
            </w:pPr>
            <w:r w:rsidRPr="009B24B4">
              <w:t>Realisation of foreign exchange gain</w:t>
            </w:r>
          </w:p>
        </w:tc>
      </w:tr>
      <w:tr w:rsidR="00367616" w14:paraId="5334DECC"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343ED1F" w14:textId="77777777" w:rsidR="00367616" w:rsidRPr="00ED1CC2" w:rsidRDefault="00367616" w:rsidP="009B6248">
            <w:pPr>
              <w:pStyle w:val="Table"/>
            </w:pPr>
            <w:r w:rsidRPr="009B24B4">
              <w:t>Consider the deferral of realising foreign exchange gains until after year end.</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FEC8A51"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08306EA"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5DAD0F68" w14:textId="77777777" w:rsidR="00367616" w:rsidRPr="00AF24CF" w:rsidRDefault="00367616" w:rsidP="009B6248">
            <w:pPr>
              <w:pStyle w:val="Table"/>
              <w:jc w:val="center"/>
            </w:pPr>
          </w:p>
        </w:tc>
      </w:tr>
      <w:tr w:rsidR="007C6148" w:rsidRPr="00AF24CF" w14:paraId="6D43C64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542608" w14:textId="77777777" w:rsidR="007C6148" w:rsidRPr="00AF24CF" w:rsidRDefault="007C6148" w:rsidP="007C6148">
            <w:pPr>
              <w:pStyle w:val="Tableheading"/>
            </w:pPr>
            <w:r w:rsidRPr="009B24B4">
              <w:t>Insurance proceeds</w:t>
            </w:r>
          </w:p>
        </w:tc>
      </w:tr>
      <w:tr w:rsidR="00367616" w14:paraId="54E2B293"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2213EFC2" w14:textId="4D3256D3" w:rsidR="00367616" w:rsidRDefault="00367616" w:rsidP="009B6248">
            <w:pPr>
              <w:pStyle w:val="Table"/>
            </w:pPr>
            <w:r w:rsidRPr="009B24B4">
              <w:t xml:space="preserve">Consider the timing of </w:t>
            </w:r>
            <w:proofErr w:type="spellStart"/>
            <w:r w:rsidRPr="009B24B4">
              <w:t>lodgment</w:t>
            </w:r>
            <w:proofErr w:type="spellEnd"/>
            <w:r w:rsidRPr="009B24B4">
              <w:t xml:space="preserve"> of an insurance recovery claim</w:t>
            </w:r>
            <w:r w:rsidR="002B1CE7">
              <w:t xml:space="preserve"> for a loss amount</w:t>
            </w:r>
            <w:r w:rsidRPr="009B24B4">
              <w:t xml:space="preserve">, subsequent negotiations with the insurer and </w:t>
            </w:r>
            <w:r w:rsidR="002B1CE7">
              <w:t xml:space="preserve">the date </w:t>
            </w:r>
            <w:r w:rsidR="00494EDB">
              <w:t xml:space="preserve">the </w:t>
            </w:r>
            <w:r w:rsidRPr="009B24B4">
              <w:t xml:space="preserve">final </w:t>
            </w:r>
            <w:r w:rsidR="00494EDB">
              <w:t xml:space="preserve">insurance </w:t>
            </w:r>
            <w:r w:rsidRPr="009B24B4">
              <w:t>payment</w:t>
            </w:r>
            <w:r w:rsidR="002B1CE7">
              <w:t xml:space="preserve"> is received</w:t>
            </w:r>
            <w:r w:rsidRPr="009B24B4">
              <w:t>.</w:t>
            </w:r>
            <w:r w:rsidR="002B1CE7">
              <w:t xml:space="preserve"> </w:t>
            </w:r>
          </w:p>
          <w:p w14:paraId="5C1AE65D" w14:textId="4B6CFE75" w:rsidR="00CB1850" w:rsidRPr="00ED1CC2" w:rsidRDefault="00CB1850" w:rsidP="009B6248">
            <w:pPr>
              <w:pStyle w:val="Table"/>
            </w:pPr>
            <w:r w:rsidRPr="008C5F4C">
              <w:rPr>
                <w:b/>
                <w:sz w:val="14"/>
                <w:szCs w:val="14"/>
              </w:rPr>
              <w:t>Note:</w:t>
            </w:r>
            <w:r w:rsidRPr="008C5F4C">
              <w:rPr>
                <w:sz w:val="14"/>
                <w:szCs w:val="14"/>
              </w:rPr>
              <w:t xml:space="preserve"> </w:t>
            </w:r>
            <w:r w:rsidR="00991332">
              <w:rPr>
                <w:sz w:val="14"/>
                <w:szCs w:val="14"/>
              </w:rPr>
              <w:t>review the specific provision which relate to the amount of insurance proceeds to determine if income is only regarded as being derived when received</w:t>
            </w:r>
            <w:r w:rsidR="00EC2D37">
              <w:rPr>
                <w:sz w:val="14"/>
                <w:szCs w:val="14"/>
              </w:rPr>
              <w:t>,</w:t>
            </w:r>
            <w:r w:rsidR="00991332">
              <w:rPr>
                <w:sz w:val="14"/>
                <w:szCs w:val="14"/>
              </w:rPr>
              <w:t xml:space="preserve"> such is the case with section 15-30 of the </w:t>
            </w:r>
            <w:r w:rsidR="00991332" w:rsidRPr="00EC2D37">
              <w:rPr>
                <w:i/>
                <w:sz w:val="14"/>
                <w:szCs w:val="14"/>
              </w:rPr>
              <w:t>Income Tax Assessment Act (1997)</w:t>
            </w:r>
            <w:r w:rsidR="00EC2D37">
              <w:rPr>
                <w:sz w:val="14"/>
                <w:szCs w:val="14"/>
              </w:rPr>
              <w:t>,</w:t>
            </w:r>
            <w:r w:rsidR="00991332">
              <w:rPr>
                <w:sz w:val="14"/>
                <w:szCs w:val="14"/>
              </w:rPr>
              <w:t xml:space="preserve"> which applies to the insurance proceeds for the loss of an amount.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F0463C4" w14:textId="1E1C2EF4"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367411D9"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1DDD7BCA" w14:textId="77777777" w:rsidR="00367616" w:rsidRPr="00AF24CF" w:rsidRDefault="00367616" w:rsidP="009B6248">
            <w:pPr>
              <w:pStyle w:val="Table"/>
              <w:jc w:val="center"/>
            </w:pPr>
          </w:p>
        </w:tc>
      </w:tr>
    </w:tbl>
    <w:p w14:paraId="0CBF5268" w14:textId="77777777" w:rsidR="00367616" w:rsidRDefault="00367616" w:rsidP="001D3D54">
      <w:pPr>
        <w:pStyle w:val="Bet"/>
        <w:spacing w:before="0" w:after="0"/>
        <w:ind w:left="-125" w:right="-119"/>
        <w:rPr>
          <w:sz w:val="6"/>
        </w:rPr>
      </w:pPr>
    </w:p>
    <w:p w14:paraId="37776555" w14:textId="77777777" w:rsidR="00E25073" w:rsidRDefault="00E25073" w:rsidP="001D3D54">
      <w:pPr>
        <w:pStyle w:val="Bet"/>
        <w:spacing w:before="0" w:after="0"/>
        <w:ind w:left="-125" w:right="-119"/>
        <w:rPr>
          <w:sz w:val="6"/>
        </w:rPr>
      </w:pPr>
    </w:p>
    <w:p w14:paraId="7A773D60" w14:textId="77777777" w:rsidR="00E25073" w:rsidRDefault="00E25073" w:rsidP="001D3D54">
      <w:pPr>
        <w:pStyle w:val="Bet"/>
        <w:spacing w:before="0" w:after="0"/>
        <w:ind w:left="-125" w:right="-119"/>
        <w:rPr>
          <w:sz w:val="6"/>
        </w:rPr>
      </w:pPr>
    </w:p>
    <w:p w14:paraId="4B7A815D" w14:textId="77777777" w:rsidR="00E25073" w:rsidRDefault="00E25073" w:rsidP="001D3D54">
      <w:pPr>
        <w:pStyle w:val="Bet"/>
        <w:spacing w:before="0" w:after="0"/>
        <w:ind w:left="-125" w:right="-119"/>
        <w:rPr>
          <w:sz w:val="6"/>
        </w:rPr>
      </w:pPr>
    </w:p>
    <w:p w14:paraId="35C19F6F" w14:textId="77777777" w:rsidR="00E25073" w:rsidRDefault="00E25073" w:rsidP="001D3D54">
      <w:pPr>
        <w:pStyle w:val="Bet"/>
        <w:spacing w:before="0" w:after="0"/>
        <w:ind w:left="-125" w:right="-119"/>
        <w:rPr>
          <w:sz w:val="6"/>
        </w:rPr>
      </w:pPr>
    </w:p>
    <w:p w14:paraId="600E2636" w14:textId="77777777" w:rsidR="00E25073" w:rsidRDefault="00E25073" w:rsidP="001D3D54">
      <w:pPr>
        <w:pStyle w:val="Bet"/>
        <w:spacing w:before="0" w:after="0"/>
        <w:ind w:left="-125" w:right="-119"/>
        <w:rPr>
          <w:sz w:val="6"/>
        </w:rPr>
      </w:pPr>
    </w:p>
    <w:p w14:paraId="19DCCAFF" w14:textId="77777777" w:rsidR="00E25073" w:rsidRDefault="00E25073" w:rsidP="001D3D54">
      <w:pPr>
        <w:pStyle w:val="Bet"/>
        <w:spacing w:before="0" w:after="0"/>
        <w:ind w:left="-125" w:right="-119"/>
        <w:rPr>
          <w:sz w:val="6"/>
        </w:rPr>
      </w:pPr>
    </w:p>
    <w:p w14:paraId="46646942" w14:textId="77777777" w:rsidR="00E25073" w:rsidRDefault="00E25073" w:rsidP="001D3D54">
      <w:pPr>
        <w:pStyle w:val="Bet"/>
        <w:spacing w:before="0" w:after="0"/>
        <w:ind w:left="-125" w:right="-119"/>
        <w:rPr>
          <w:sz w:val="6"/>
        </w:rPr>
      </w:pPr>
    </w:p>
    <w:p w14:paraId="1526F3E7" w14:textId="77777777" w:rsidR="00E25073" w:rsidRDefault="00E25073" w:rsidP="001D3D54">
      <w:pPr>
        <w:pStyle w:val="Bet"/>
        <w:spacing w:before="0" w:after="0"/>
        <w:ind w:left="-125" w:right="-119"/>
        <w:rPr>
          <w:sz w:val="6"/>
        </w:rPr>
      </w:pPr>
    </w:p>
    <w:p w14:paraId="1267A01D" w14:textId="77777777" w:rsidR="00E25073" w:rsidRPr="001D3D54" w:rsidRDefault="00E25073" w:rsidP="001D3D5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42"/>
        <w:gridCol w:w="10"/>
        <w:gridCol w:w="746"/>
        <w:gridCol w:w="6"/>
        <w:gridCol w:w="750"/>
      </w:tblGrid>
      <w:tr w:rsidR="00EC2D37" w:rsidRPr="00AE2EA6" w14:paraId="7E58FCC2" w14:textId="77777777" w:rsidTr="00EC2D37">
        <w:trPr>
          <w:tblHeader/>
        </w:trPr>
        <w:tc>
          <w:tcPr>
            <w:tcW w:w="3906" w:type="pct"/>
            <w:tcBorders>
              <w:top w:val="single" w:sz="4" w:space="0" w:color="939598"/>
              <w:bottom w:val="single" w:sz="4" w:space="0" w:color="808080" w:themeColor="background1" w:themeShade="80"/>
              <w:right w:val="single" w:sz="4" w:space="0" w:color="939598"/>
            </w:tcBorders>
            <w:shd w:val="clear" w:color="auto" w:fill="051C3C"/>
          </w:tcPr>
          <w:p w14:paraId="2E11BB7E" w14:textId="77777777" w:rsidR="00EC2D37" w:rsidRPr="00AE2EA6" w:rsidRDefault="00EC2D37" w:rsidP="00EC2D37">
            <w:pPr>
              <w:pStyle w:val="Tableheading"/>
              <w:rPr>
                <w:color w:val="FFFFFF" w:themeColor="background1"/>
                <w:sz w:val="18"/>
              </w:rPr>
            </w:pPr>
            <w:r w:rsidRPr="00AE2EA6">
              <w:rPr>
                <w:color w:val="FFFFFF" w:themeColor="background1"/>
                <w:sz w:val="18"/>
              </w:rPr>
              <w:lastRenderedPageBreak/>
              <w:t>Deferring Assessable Income</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952A045" w14:textId="77777777" w:rsidR="00EC2D37" w:rsidRPr="00AE2EA6" w:rsidRDefault="00EC2D37" w:rsidP="00EC2D37">
            <w:pPr>
              <w:pStyle w:val="Tableheading"/>
              <w:jc w:val="center"/>
              <w:rPr>
                <w:color w:val="FFFFFF" w:themeColor="background1"/>
                <w:sz w:val="18"/>
              </w:rPr>
            </w:pPr>
            <w:r w:rsidRPr="00AE2EA6">
              <w:rPr>
                <w:color w:val="FFFFFF" w:themeColor="background1"/>
                <w:sz w:val="18"/>
              </w:rPr>
              <w:t>Yes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1DB6C8D" w14:textId="77777777" w:rsidR="00EC2D37" w:rsidRPr="00AE2EA6" w:rsidRDefault="00EC2D37" w:rsidP="00EC2D37">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51C3C"/>
          </w:tcPr>
          <w:p w14:paraId="09E0563C" w14:textId="77777777" w:rsidR="00EC2D37" w:rsidRPr="00AE2EA6" w:rsidRDefault="00EC2D37" w:rsidP="00EC2D37">
            <w:pPr>
              <w:pStyle w:val="Tableheading"/>
              <w:jc w:val="center"/>
              <w:rPr>
                <w:color w:val="FFFFFF" w:themeColor="background1"/>
                <w:sz w:val="18"/>
              </w:rPr>
            </w:pPr>
            <w:r w:rsidRPr="00AE2EA6">
              <w:rPr>
                <w:color w:val="FFFFFF" w:themeColor="background1"/>
                <w:sz w:val="18"/>
              </w:rPr>
              <w:t>N/A</w:t>
            </w:r>
          </w:p>
        </w:tc>
      </w:tr>
      <w:tr w:rsidR="00EC2D37" w:rsidRPr="00AF24CF" w14:paraId="2522C28A" w14:textId="77777777" w:rsidTr="00EC2D37">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EC5918" w14:textId="77777777" w:rsidR="00EC2D37" w:rsidRPr="00AF24CF" w:rsidRDefault="00EC2D37" w:rsidP="00EC2D37">
            <w:pPr>
              <w:pStyle w:val="Tableheading"/>
            </w:pPr>
            <w:r w:rsidRPr="009B24B4">
              <w:t>Trading stock – valuation</w:t>
            </w:r>
          </w:p>
        </w:tc>
      </w:tr>
      <w:tr w:rsidR="00EC2D37" w:rsidRPr="005A1539" w14:paraId="439B16AE" w14:textId="77777777" w:rsidTr="00EC2D37">
        <w:tc>
          <w:tcPr>
            <w:tcW w:w="3906" w:type="pct"/>
            <w:tcBorders>
              <w:top w:val="single" w:sz="4" w:space="0" w:color="939598"/>
              <w:bottom w:val="single" w:sz="4" w:space="0" w:color="808080" w:themeColor="background1" w:themeShade="80"/>
              <w:right w:val="single" w:sz="4" w:space="0" w:color="939598"/>
            </w:tcBorders>
            <w:shd w:val="clear" w:color="auto" w:fill="auto"/>
          </w:tcPr>
          <w:p w14:paraId="2A9F2546" w14:textId="1932FC78" w:rsidR="00EC2D37" w:rsidRPr="00EC2D37" w:rsidRDefault="00EC2D37" w:rsidP="009B6248">
            <w:pPr>
              <w:pStyle w:val="Tableheading"/>
              <w:rPr>
                <w:b w:val="0"/>
                <w:color w:val="FFFFFF" w:themeColor="background1"/>
                <w:sz w:val="18"/>
              </w:rPr>
            </w:pPr>
            <w:r w:rsidRPr="00EC2D37">
              <w:rPr>
                <w:b w:val="0"/>
              </w:rPr>
              <w:t>Consider the benefits of revaluing trading stock.</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3665B430" w14:textId="77777777" w:rsidR="00EC2D37" w:rsidRPr="00AE2EA6" w:rsidRDefault="00EC2D37" w:rsidP="001D3D54">
            <w:pPr>
              <w:pStyle w:val="Tableheading"/>
              <w:jc w:val="center"/>
              <w:rPr>
                <w:color w:val="FFFFFF" w:themeColor="background1"/>
                <w:sz w:val="18"/>
              </w:rPr>
            </w:pP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76BE7365" w14:textId="77777777" w:rsidR="00EC2D37" w:rsidRPr="00AE2EA6" w:rsidRDefault="00EC2D37" w:rsidP="001D3D54">
            <w:pPr>
              <w:pStyle w:val="Tableheading"/>
              <w:jc w:val="center"/>
              <w:rPr>
                <w:color w:val="FFFFFF" w:themeColor="background1"/>
                <w:sz w:val="18"/>
              </w:rPr>
            </w:pPr>
          </w:p>
        </w:tc>
        <w:tc>
          <w:tcPr>
            <w:tcW w:w="364" w:type="pct"/>
            <w:tcBorders>
              <w:top w:val="single" w:sz="4" w:space="0" w:color="939598"/>
              <w:left w:val="single" w:sz="4" w:space="0" w:color="939598"/>
              <w:bottom w:val="single" w:sz="4" w:space="0" w:color="808080" w:themeColor="background1" w:themeShade="80"/>
            </w:tcBorders>
            <w:shd w:val="clear" w:color="auto" w:fill="auto"/>
          </w:tcPr>
          <w:p w14:paraId="035DE15B" w14:textId="77777777" w:rsidR="00EC2D37" w:rsidRPr="00AE2EA6" w:rsidRDefault="00EC2D37" w:rsidP="001D3D54">
            <w:pPr>
              <w:pStyle w:val="Tableheading"/>
              <w:jc w:val="center"/>
              <w:rPr>
                <w:color w:val="FFFFFF" w:themeColor="background1"/>
                <w:sz w:val="18"/>
              </w:rPr>
            </w:pPr>
          </w:p>
        </w:tc>
      </w:tr>
      <w:tr w:rsidR="00EC2D37" w:rsidRPr="005A1539" w14:paraId="6F8DA254" w14:textId="77777777" w:rsidTr="00EC2D37">
        <w:tc>
          <w:tcPr>
            <w:tcW w:w="5000" w:type="pct"/>
            <w:gridSpan w:val="6"/>
            <w:tcBorders>
              <w:top w:val="single" w:sz="4" w:space="0" w:color="939598"/>
              <w:bottom w:val="single" w:sz="4" w:space="0" w:color="808080" w:themeColor="background1" w:themeShade="80"/>
            </w:tcBorders>
            <w:shd w:val="clear" w:color="auto" w:fill="auto"/>
          </w:tcPr>
          <w:p w14:paraId="69134A65" w14:textId="241A027F" w:rsidR="00EC2D37" w:rsidRDefault="00EC2D37" w:rsidP="00EC2D37">
            <w:pPr>
              <w:pStyle w:val="Tableheading"/>
              <w:rPr>
                <w:sz w:val="18"/>
              </w:rPr>
            </w:pPr>
            <w:r w:rsidRPr="00EC2D37">
              <w:rPr>
                <w:sz w:val="18"/>
              </w:rPr>
              <w:t>Comments</w:t>
            </w:r>
            <w:r>
              <w:rPr>
                <w:sz w:val="18"/>
              </w:rPr>
              <w:t>:</w:t>
            </w:r>
          </w:p>
          <w:p w14:paraId="14DE9B01" w14:textId="77777777" w:rsidR="00EC2D37" w:rsidRDefault="00EC2D37" w:rsidP="00EC2D37">
            <w:pPr>
              <w:pStyle w:val="Tableheading"/>
              <w:rPr>
                <w:sz w:val="18"/>
              </w:rPr>
            </w:pPr>
          </w:p>
          <w:p w14:paraId="3AED392D" w14:textId="77777777" w:rsidR="00EC2D37" w:rsidRDefault="00EC2D37" w:rsidP="00EC2D37">
            <w:pPr>
              <w:pStyle w:val="Tableheading"/>
              <w:rPr>
                <w:sz w:val="18"/>
              </w:rPr>
            </w:pPr>
          </w:p>
          <w:p w14:paraId="623A3EF2" w14:textId="19A1A3BD" w:rsidR="00EC2D37" w:rsidRPr="00AE2EA6" w:rsidRDefault="00EC2D37" w:rsidP="00EC2D37">
            <w:pPr>
              <w:pStyle w:val="Tableheading"/>
              <w:rPr>
                <w:color w:val="FFFFFF" w:themeColor="background1"/>
                <w:sz w:val="18"/>
              </w:rPr>
            </w:pPr>
          </w:p>
        </w:tc>
      </w:tr>
      <w:tr w:rsidR="00367616" w:rsidRPr="005A1539" w14:paraId="64A4F74A" w14:textId="77777777" w:rsidTr="00EC2D37">
        <w:tc>
          <w:tcPr>
            <w:tcW w:w="3906" w:type="pct"/>
            <w:tcBorders>
              <w:top w:val="single" w:sz="4" w:space="0" w:color="939598"/>
              <w:bottom w:val="single" w:sz="4" w:space="0" w:color="808080" w:themeColor="background1" w:themeShade="80"/>
              <w:right w:val="single" w:sz="4" w:space="0" w:color="939598"/>
            </w:tcBorders>
            <w:shd w:val="clear" w:color="auto" w:fill="051C3C"/>
          </w:tcPr>
          <w:p w14:paraId="22C916DB" w14:textId="77777777" w:rsidR="00367616" w:rsidRPr="00AE2EA6" w:rsidRDefault="00367616" w:rsidP="009B6248">
            <w:pPr>
              <w:pStyle w:val="Tableheading"/>
              <w:rPr>
                <w:color w:val="FFFFFF" w:themeColor="background1"/>
                <w:sz w:val="18"/>
              </w:rPr>
            </w:pPr>
            <w:r w:rsidRPr="00AE2EA6">
              <w:rPr>
                <w:color w:val="FFFFFF" w:themeColor="background1"/>
                <w:sz w:val="18"/>
              </w:rPr>
              <w:t>Accelerating Deductions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77E9672" w14:textId="77777777" w:rsidR="00367616" w:rsidRPr="00AE2EA6" w:rsidRDefault="00367616" w:rsidP="001D3D54">
            <w:pPr>
              <w:pStyle w:val="Tableheading"/>
              <w:jc w:val="center"/>
              <w:rPr>
                <w:color w:val="FFFFFF" w:themeColor="background1"/>
                <w:sz w:val="18"/>
              </w:rPr>
            </w:pPr>
            <w:r w:rsidRPr="00AE2EA6">
              <w:rPr>
                <w:color w:val="FFFFFF" w:themeColor="background1"/>
                <w:sz w:val="18"/>
              </w:rPr>
              <w:t>Yes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E5E4072" w14:textId="77777777" w:rsidR="00367616" w:rsidRPr="00AE2EA6" w:rsidRDefault="00367616" w:rsidP="001D3D54">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51C3C"/>
          </w:tcPr>
          <w:p w14:paraId="30DB35A0" w14:textId="77777777" w:rsidR="00367616" w:rsidRPr="00AE2EA6" w:rsidRDefault="00367616" w:rsidP="001D3D54">
            <w:pPr>
              <w:pStyle w:val="Tableheading"/>
              <w:jc w:val="center"/>
              <w:rPr>
                <w:color w:val="FFFFFF" w:themeColor="background1"/>
                <w:sz w:val="18"/>
              </w:rPr>
            </w:pPr>
            <w:r w:rsidRPr="00AE2EA6">
              <w:rPr>
                <w:color w:val="FFFFFF" w:themeColor="background1"/>
                <w:sz w:val="18"/>
              </w:rPr>
              <w:t>N/A</w:t>
            </w:r>
          </w:p>
        </w:tc>
      </w:tr>
      <w:tr w:rsidR="007C6148" w:rsidRPr="00B340A7" w14:paraId="1E49911B"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7AFCC9E" w14:textId="77777777" w:rsidR="007C6148" w:rsidRPr="00B340A7" w:rsidRDefault="007C6148" w:rsidP="007C6148">
            <w:pPr>
              <w:pStyle w:val="Tableheading"/>
            </w:pPr>
            <w:r w:rsidRPr="00CF4387">
              <w:t>General</w:t>
            </w:r>
          </w:p>
        </w:tc>
      </w:tr>
      <w:tr w:rsidR="00367616" w14:paraId="7B33A11E"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7508C22" w14:textId="0BBC1EA0" w:rsidR="00367616" w:rsidRDefault="00367616" w:rsidP="009B6248">
            <w:pPr>
              <w:pStyle w:val="Table"/>
            </w:pPr>
            <w:r w:rsidRPr="00CF4387">
              <w:t>Have the outgoings sought to be deducted been properly ‘incurred’?</w:t>
            </w:r>
            <w:r w:rsidR="00991332">
              <w:t xml:space="preserve"> </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81CA73B" w14:textId="77777777" w:rsidR="00367616" w:rsidRDefault="00367616"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E4842B9" w14:textId="77777777" w:rsidR="00367616" w:rsidRDefault="00367616" w:rsidP="001D3D5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5348733" w14:textId="77777777" w:rsidR="00367616" w:rsidRDefault="00367616" w:rsidP="001D3D54">
            <w:pPr>
              <w:pStyle w:val="Table"/>
              <w:jc w:val="center"/>
            </w:pPr>
          </w:p>
        </w:tc>
      </w:tr>
      <w:tr w:rsidR="007C6148" w:rsidRPr="00AF24CF" w14:paraId="7E08ED17"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6B8E3D4" w14:textId="77777777" w:rsidR="007C6148" w:rsidRPr="00AF24CF" w:rsidRDefault="007C6148" w:rsidP="007C6148">
            <w:pPr>
              <w:pStyle w:val="Tableheading"/>
            </w:pPr>
            <w:r w:rsidRPr="00CF4387">
              <w:t>Prepayments</w:t>
            </w:r>
          </w:p>
        </w:tc>
      </w:tr>
      <w:tr w:rsidR="00367616" w14:paraId="3C687559"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A47E60" w14:textId="04E9E5F4" w:rsidR="00DE4C94" w:rsidRDefault="00367616" w:rsidP="007E6CA8">
            <w:pPr>
              <w:pStyle w:val="TableBullet"/>
              <w:numPr>
                <w:ilvl w:val="0"/>
                <w:numId w:val="0"/>
              </w:numPr>
            </w:pPr>
            <w:r>
              <w:t xml:space="preserve">Has an immediate deduction been claimed for </w:t>
            </w:r>
            <w:r w:rsidR="007F156F">
              <w:t>all eligible prepayments</w:t>
            </w:r>
            <w:r w:rsidR="00DE4C94">
              <w:t xml:space="preserve"> </w:t>
            </w:r>
            <w:r w:rsidR="00DE4C94" w:rsidRPr="004774F0">
              <w:t xml:space="preserve">incurred by a Small Business Entity (SBE) taxpayer, or </w:t>
            </w:r>
            <w:r w:rsidR="000C7CBF">
              <w:t>for</w:t>
            </w:r>
            <w:r w:rsidR="00DE4C94" w:rsidRPr="004774F0">
              <w:t xml:space="preserve"> non-business expenditure incurred by an individual taxpayer, with an eligible service period of no more than 12 months?</w:t>
            </w:r>
          </w:p>
          <w:p w14:paraId="3FDD6074" w14:textId="594E9395" w:rsidR="00367616" w:rsidRPr="00AC6482" w:rsidRDefault="00DE4C94" w:rsidP="007E6CA8">
            <w:pPr>
              <w:pStyle w:val="Table"/>
            </w:pPr>
            <w:r w:rsidRPr="009F0C8F">
              <w:rPr>
                <w:b/>
                <w:sz w:val="14"/>
                <w:szCs w:val="14"/>
              </w:rPr>
              <w:t>Note</w:t>
            </w:r>
            <w:r w:rsidRPr="009F0C8F">
              <w:rPr>
                <w:sz w:val="14"/>
                <w:szCs w:val="14"/>
              </w:rPr>
              <w:t xml:space="preserve">: </w:t>
            </w:r>
            <w:r w:rsidR="00991332">
              <w:rPr>
                <w:sz w:val="14"/>
                <w:szCs w:val="14"/>
              </w:rPr>
              <w:t>t</w:t>
            </w:r>
            <w:r>
              <w:rPr>
                <w:sz w:val="14"/>
                <w:szCs w:val="14"/>
              </w:rPr>
              <w:t>he number of entities eligible to be regarded as an SBE has substantially increased in the 2017 year as the aggregated turnover threshold increased from $2 million to $10 million effective from 1 July 2016.</w:t>
            </w:r>
            <w:r w:rsidR="00C12EA5">
              <w:rPr>
                <w:sz w:val="14"/>
                <w:szCs w:val="14"/>
              </w:rPr>
              <w:t xml:space="preserve"> Accordingly, there may be greater scope for eligible SBE’s to make deductible prepayments than in earlier years.     </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ACA1251" w14:textId="77777777" w:rsidR="00367616" w:rsidRDefault="00367616"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52D6E8A" w14:textId="77777777" w:rsidR="00367616" w:rsidRDefault="00367616" w:rsidP="001D3D5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AF6780D" w14:textId="77777777" w:rsidR="00367616" w:rsidRPr="00AF24CF" w:rsidRDefault="00367616" w:rsidP="001D3D54">
            <w:pPr>
              <w:pStyle w:val="Table"/>
              <w:jc w:val="center"/>
            </w:pPr>
          </w:p>
        </w:tc>
      </w:tr>
      <w:tr w:rsidR="00EB3D35" w14:paraId="7A1AC062"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A516ECA" w14:textId="151FA1A8" w:rsidR="00EB3D35" w:rsidRDefault="00EB3D35" w:rsidP="00EB3D35">
            <w:pPr>
              <w:pStyle w:val="Table"/>
            </w:pPr>
            <w:r>
              <w:t xml:space="preserve">Have the following categories of </w:t>
            </w:r>
            <w:r w:rsidR="004F0863">
              <w:t>immediately deductible expenditure</w:t>
            </w:r>
            <w:r>
              <w:t xml:space="preserve"> excluded from the prepayment rules been identified</w:t>
            </w:r>
            <w:r w:rsidR="00EC2D37">
              <w:t>,</w:t>
            </w:r>
            <w:r>
              <w:t xml:space="preserve"> </w:t>
            </w:r>
            <w:r w:rsidR="004F0863">
              <w:t>b</w:t>
            </w:r>
            <w:r>
              <w:t>eing expenses that are:</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1142209" w14:textId="77777777" w:rsidR="00EB3D35" w:rsidRDefault="00EB3D35"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C6A8745" w14:textId="77777777" w:rsidR="00EB3D35" w:rsidRDefault="00EB3D35" w:rsidP="001D3D5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DD406EE" w14:textId="77777777" w:rsidR="00EB3D35" w:rsidRPr="00AF24CF" w:rsidRDefault="00EB3D35" w:rsidP="001D3D54">
            <w:pPr>
              <w:pStyle w:val="Table"/>
              <w:jc w:val="center"/>
            </w:pPr>
          </w:p>
        </w:tc>
      </w:tr>
      <w:tr w:rsidR="00EB3D35" w14:paraId="4D867430"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FD454F6" w14:textId="00535115" w:rsidR="00EB3D35" w:rsidRDefault="00EB3D35" w:rsidP="007E6CA8">
            <w:pPr>
              <w:pStyle w:val="Table"/>
              <w:numPr>
                <w:ilvl w:val="0"/>
                <w:numId w:val="66"/>
              </w:numPr>
            </w:pPr>
            <w:r w:rsidRPr="00AC6482">
              <w:t>less than $1,000 (GST exclusive)</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FCC3284" w14:textId="77777777" w:rsidR="00EB3D35" w:rsidRDefault="00EB3D35"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7BAC0ED" w14:textId="77777777" w:rsidR="00EB3D35" w:rsidRDefault="00EB3D35" w:rsidP="001D3D5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2882F2B" w14:textId="77777777" w:rsidR="00EB3D35" w:rsidRPr="00AF24CF" w:rsidRDefault="00EB3D35" w:rsidP="001D3D54">
            <w:pPr>
              <w:pStyle w:val="Table"/>
              <w:jc w:val="center"/>
            </w:pPr>
          </w:p>
        </w:tc>
      </w:tr>
      <w:tr w:rsidR="00367616" w14:paraId="3735595C"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E6A9D05" w14:textId="77777777" w:rsidR="00367616" w:rsidRDefault="00367616" w:rsidP="007C2D15">
            <w:pPr>
              <w:pStyle w:val="TableBullet"/>
            </w:pPr>
            <w:r>
              <w:t>required to be made by court order or law</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B167972" w14:textId="77777777" w:rsidR="00367616" w:rsidRDefault="00367616"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83DDFD6" w14:textId="77777777" w:rsidR="00367616" w:rsidRDefault="00367616" w:rsidP="001D3D5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8C0CAEB" w14:textId="77777777" w:rsidR="00367616" w:rsidRPr="00AF24CF" w:rsidRDefault="00367616" w:rsidP="001D3D54">
            <w:pPr>
              <w:pStyle w:val="Table"/>
              <w:jc w:val="center"/>
            </w:pPr>
          </w:p>
        </w:tc>
      </w:tr>
      <w:tr w:rsidR="00367616" w14:paraId="2D571B47"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4B1FCE9" w14:textId="798956E9" w:rsidR="00367616" w:rsidRDefault="004F0863" w:rsidP="007C2D15">
            <w:pPr>
              <w:pStyle w:val="TableBullet"/>
            </w:pPr>
            <w:r>
              <w:t xml:space="preserve">payments </w:t>
            </w:r>
            <w:r w:rsidR="00367616">
              <w:t>made under a contract of service e.g. salary and wages</w:t>
            </w:r>
            <w:r w:rsidR="00EC2D37">
              <w:t>.</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B402BFF" w14:textId="77777777" w:rsidR="00367616" w:rsidRDefault="00367616"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E495B4" w14:textId="77777777" w:rsidR="00367616" w:rsidRDefault="00367616" w:rsidP="001D3D5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74FD97B" w14:textId="77777777" w:rsidR="00367616" w:rsidRPr="00AF24CF" w:rsidRDefault="00367616" w:rsidP="001D3D54">
            <w:pPr>
              <w:pStyle w:val="Table"/>
              <w:jc w:val="center"/>
            </w:pPr>
          </w:p>
        </w:tc>
      </w:tr>
      <w:tr w:rsidR="007C6148" w:rsidRPr="00AF24CF" w14:paraId="358F8D1E"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2C047CE" w14:textId="77777777" w:rsidR="007C6148" w:rsidRPr="00AF24CF" w:rsidRDefault="007C6148" w:rsidP="007C6148">
            <w:pPr>
              <w:pStyle w:val="Tableheading"/>
            </w:pPr>
            <w:r w:rsidRPr="00CF4387">
              <w:t>Realisation of assets</w:t>
            </w:r>
          </w:p>
        </w:tc>
      </w:tr>
      <w:tr w:rsidR="00367616" w14:paraId="66D6D660"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5AD37DF" w14:textId="77777777" w:rsidR="00367616" w:rsidRDefault="00367616" w:rsidP="00D13F12">
            <w:pPr>
              <w:pStyle w:val="Table"/>
            </w:pPr>
            <w:r w:rsidRPr="00CF4387">
              <w:t xml:space="preserve">Consider realising assets that will produce capital or revenue losses which can be used to offset capital </w:t>
            </w:r>
            <w:r w:rsidR="00D13F12">
              <w:t xml:space="preserve">gains </w:t>
            </w:r>
            <w:r w:rsidRPr="00CF4387">
              <w:t>or revenue income in the income year.</w:t>
            </w:r>
          </w:p>
          <w:p w14:paraId="5F258539" w14:textId="37B37B9D" w:rsidR="00991332" w:rsidRPr="00ED1CC2" w:rsidRDefault="00991332" w:rsidP="00717576">
            <w:pPr>
              <w:pStyle w:val="Table"/>
            </w:pPr>
            <w:r w:rsidRPr="009F0C8F">
              <w:rPr>
                <w:b/>
                <w:sz w:val="14"/>
                <w:szCs w:val="14"/>
              </w:rPr>
              <w:t>Note</w:t>
            </w:r>
            <w:r w:rsidRPr="009F0C8F">
              <w:rPr>
                <w:sz w:val="14"/>
                <w:szCs w:val="14"/>
              </w:rPr>
              <w:t xml:space="preserve">: </w:t>
            </w:r>
            <w:r>
              <w:rPr>
                <w:sz w:val="14"/>
                <w:szCs w:val="14"/>
              </w:rPr>
              <w:t xml:space="preserve">in considering whether any such sales should proceed it is </w:t>
            </w:r>
            <w:r w:rsidR="00717576">
              <w:rPr>
                <w:sz w:val="14"/>
                <w:szCs w:val="14"/>
              </w:rPr>
              <w:t xml:space="preserve">also </w:t>
            </w:r>
            <w:r>
              <w:rPr>
                <w:sz w:val="14"/>
                <w:szCs w:val="14"/>
              </w:rPr>
              <w:t>necessary to consider the application of the general anti-avoidance provisions of Part IVA of the</w:t>
            </w:r>
            <w:r w:rsidRPr="007E6CA8">
              <w:rPr>
                <w:i/>
                <w:sz w:val="14"/>
                <w:szCs w:val="14"/>
              </w:rPr>
              <w:t xml:space="preserve"> Income Tax Assessment Act (1936)</w:t>
            </w:r>
            <w:r>
              <w:rPr>
                <w:sz w:val="14"/>
                <w:szCs w:val="14"/>
              </w:rPr>
              <w:t xml:space="preserve">. </w:t>
            </w:r>
            <w:r w:rsidR="00717576">
              <w:rPr>
                <w:sz w:val="14"/>
                <w:szCs w:val="14"/>
              </w:rPr>
              <w:t xml:space="preserve">In this regard, the ATO has issued </w:t>
            </w:r>
            <w:r w:rsidR="00EE349F">
              <w:rPr>
                <w:sz w:val="14"/>
                <w:szCs w:val="14"/>
              </w:rPr>
              <w:t>Taxation</w:t>
            </w:r>
            <w:r w:rsidR="00FF3A46">
              <w:rPr>
                <w:sz w:val="14"/>
                <w:szCs w:val="14"/>
              </w:rPr>
              <w:t xml:space="preserve"> Ruling</w:t>
            </w:r>
            <w:r w:rsidR="00717576">
              <w:rPr>
                <w:sz w:val="14"/>
                <w:szCs w:val="14"/>
              </w:rPr>
              <w:t xml:space="preserve"> T</w:t>
            </w:r>
            <w:r w:rsidR="00FF3A46">
              <w:rPr>
                <w:sz w:val="14"/>
                <w:szCs w:val="14"/>
              </w:rPr>
              <w:t>R 2008/1</w:t>
            </w:r>
            <w:r w:rsidR="00717576">
              <w:rPr>
                <w:sz w:val="14"/>
                <w:szCs w:val="14"/>
              </w:rPr>
              <w:t xml:space="preserve"> which provides that an asset sold under a ‘wash sale’ to generate a capital or revenue loss will have those amounts cancelled under Part IVA where in substance there has been no significant change in the taxpayer’s economic exposure in the asset (e.g. selling a CGT asset and creating a trust over the asset or transferring the asset to a related trust). </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D74C6EE"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4006F87"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FC36A6E" w14:textId="77777777" w:rsidR="00367616" w:rsidRPr="00AF24CF" w:rsidRDefault="00367616" w:rsidP="00184E12">
            <w:pPr>
              <w:pStyle w:val="Table"/>
              <w:jc w:val="center"/>
            </w:pPr>
          </w:p>
        </w:tc>
      </w:tr>
      <w:tr w:rsidR="007C6148" w:rsidRPr="00AF24CF" w14:paraId="058F79EA"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AEB079A" w14:textId="11CA9EBD" w:rsidR="007C6148" w:rsidRPr="00AF24CF" w:rsidRDefault="007C6148" w:rsidP="007C6148">
            <w:pPr>
              <w:pStyle w:val="Tableheading"/>
            </w:pPr>
            <w:r w:rsidRPr="00CF4387">
              <w:t>Superannuation contributions</w:t>
            </w:r>
            <w:r w:rsidR="00717576">
              <w:t xml:space="preserve"> </w:t>
            </w:r>
          </w:p>
        </w:tc>
      </w:tr>
      <w:tr w:rsidR="00367616" w14:paraId="3F7E4EAF"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92D048E" w14:textId="2C22D689" w:rsidR="00367616" w:rsidRDefault="00367616" w:rsidP="00792839">
            <w:pPr>
              <w:pStyle w:val="Table"/>
            </w:pPr>
            <w:r w:rsidRPr="0045581E">
              <w:t xml:space="preserve">Ensure superannuation contributions are paid by year-end and meet any required conditions as is the case </w:t>
            </w:r>
            <w:r w:rsidR="00792839">
              <w:t>with deductions claimed by self-</w:t>
            </w:r>
            <w:r w:rsidRPr="0045581E">
              <w:t>employed</w:t>
            </w:r>
            <w:r w:rsidR="00792839">
              <w:t>,</w:t>
            </w:r>
            <w:r w:rsidRPr="0045581E">
              <w:t xml:space="preserve"> </w:t>
            </w:r>
            <w:r w:rsidR="00792839">
              <w:t>or substantially self-</w:t>
            </w:r>
            <w:r w:rsidR="00D13F12">
              <w:t>employed</w:t>
            </w:r>
            <w:r w:rsidR="00792839">
              <w:t>,</w:t>
            </w:r>
            <w:r w:rsidR="00D13F12">
              <w:t xml:space="preserve"> </w:t>
            </w:r>
            <w:r w:rsidRPr="0045581E">
              <w:t>taxpayers</w:t>
            </w:r>
            <w:r w:rsidR="00FD20B8">
              <w:t xml:space="preserve"> who need to notify their fund of their intention to claim a deduction for </w:t>
            </w:r>
            <w:r w:rsidR="00BF2666">
              <w:t xml:space="preserve">personal </w:t>
            </w:r>
            <w:r w:rsidR="00FD20B8">
              <w:t>superannuation contributions</w:t>
            </w:r>
            <w:r w:rsidRPr="0045581E">
              <w:t>.</w:t>
            </w:r>
          </w:p>
          <w:p w14:paraId="5DA9A49C" w14:textId="249A24D9" w:rsidR="0009445A" w:rsidRDefault="001035F8" w:rsidP="0009445A">
            <w:pPr>
              <w:spacing w:before="60" w:after="60"/>
              <w:rPr>
                <w:sz w:val="14"/>
                <w:szCs w:val="14"/>
              </w:rPr>
            </w:pPr>
            <w:r w:rsidRPr="009F0C8F">
              <w:rPr>
                <w:b/>
                <w:sz w:val="14"/>
                <w:szCs w:val="14"/>
              </w:rPr>
              <w:t>Note</w:t>
            </w:r>
            <w:r w:rsidRPr="009F0C8F">
              <w:rPr>
                <w:sz w:val="14"/>
                <w:szCs w:val="14"/>
              </w:rPr>
              <w:t xml:space="preserve">: </w:t>
            </w:r>
            <w:r w:rsidR="00D71281">
              <w:rPr>
                <w:sz w:val="14"/>
                <w:szCs w:val="14"/>
              </w:rPr>
              <w:t>t</w:t>
            </w:r>
            <w:r w:rsidR="0009445A">
              <w:rPr>
                <w:sz w:val="14"/>
                <w:szCs w:val="14"/>
              </w:rPr>
              <w:t xml:space="preserve">he cap on concessional contributions for the 2017 year is $35,000 for each individual aged 49 years or over at 30 June 2016 and $30,000 for individuals under that age. However, the amount of the concessional contributions cap for the 2018 year </w:t>
            </w:r>
            <w:r w:rsidR="00FD20B8">
              <w:rPr>
                <w:sz w:val="14"/>
                <w:szCs w:val="14"/>
              </w:rPr>
              <w:t>has been</w:t>
            </w:r>
            <w:r w:rsidR="0009445A">
              <w:rPr>
                <w:sz w:val="14"/>
                <w:szCs w:val="14"/>
              </w:rPr>
              <w:t xml:space="preserve"> reduced to $25,000 regardless of age. Accordingly, consult an appropriately licensed financial planner to consider the merits of maximising </w:t>
            </w:r>
            <w:r w:rsidR="00BF2666">
              <w:rPr>
                <w:sz w:val="14"/>
                <w:szCs w:val="14"/>
              </w:rPr>
              <w:t xml:space="preserve">concessional </w:t>
            </w:r>
            <w:r w:rsidR="0009445A">
              <w:rPr>
                <w:sz w:val="14"/>
                <w:szCs w:val="14"/>
              </w:rPr>
              <w:t>superannuation contributions in the 2017 year before the lower cap on concessional contributions applies in the 2018 year.</w:t>
            </w:r>
          </w:p>
          <w:p w14:paraId="6C44A6C0" w14:textId="1692C2D2" w:rsidR="001035F8" w:rsidRPr="00ED1CC2" w:rsidRDefault="0009445A" w:rsidP="007E6CA8">
            <w:pPr>
              <w:spacing w:before="60" w:after="60"/>
            </w:pPr>
            <w:r w:rsidRPr="009F0C8F">
              <w:rPr>
                <w:b/>
                <w:sz w:val="14"/>
                <w:szCs w:val="14"/>
              </w:rPr>
              <w:t>Note</w:t>
            </w:r>
            <w:r w:rsidRPr="009F0C8F">
              <w:rPr>
                <w:sz w:val="14"/>
                <w:szCs w:val="14"/>
              </w:rPr>
              <w:t xml:space="preserve">: </w:t>
            </w:r>
            <w:r w:rsidR="00D71281">
              <w:rPr>
                <w:sz w:val="14"/>
                <w:szCs w:val="14"/>
              </w:rPr>
              <w:t>t</w:t>
            </w:r>
            <w:r>
              <w:rPr>
                <w:sz w:val="14"/>
                <w:szCs w:val="14"/>
              </w:rPr>
              <w:t xml:space="preserve">he </w:t>
            </w:r>
            <w:r w:rsidR="00BF2666">
              <w:rPr>
                <w:sz w:val="14"/>
                <w:szCs w:val="14"/>
              </w:rPr>
              <w:t xml:space="preserve">annual </w:t>
            </w:r>
            <w:r>
              <w:rPr>
                <w:sz w:val="14"/>
                <w:szCs w:val="14"/>
              </w:rPr>
              <w:t xml:space="preserve">cap on non-concessional contributions for the 2017 year is $180,000 but will be reduced to $100,000 in the 2018 year. </w:t>
            </w:r>
            <w:r w:rsidR="00BF2666">
              <w:rPr>
                <w:sz w:val="14"/>
                <w:szCs w:val="14"/>
              </w:rPr>
              <w:t>Similarly, consider consulting an appropriately licensed financial planner to consider the merits of making additional non-concessional contributions for the 2017 year taking into account the superannuation reforms that take effect from 1 July 2017. A</w:t>
            </w:r>
            <w:r>
              <w:rPr>
                <w:sz w:val="14"/>
                <w:szCs w:val="14"/>
              </w:rPr>
              <w:t>s a corollary</w:t>
            </w:r>
            <w:r w:rsidR="00FD20B8">
              <w:rPr>
                <w:sz w:val="14"/>
                <w:szCs w:val="14"/>
              </w:rPr>
              <w:t>,</w:t>
            </w:r>
            <w:r>
              <w:rPr>
                <w:sz w:val="14"/>
                <w:szCs w:val="14"/>
              </w:rPr>
              <w:t xml:space="preserve"> the amount of</w:t>
            </w:r>
            <w:r w:rsidR="00BF2666">
              <w:rPr>
                <w:sz w:val="14"/>
                <w:szCs w:val="14"/>
              </w:rPr>
              <w:t xml:space="preserve"> non-concessional contributions that a person aged under 65 can bring forward under the three-year rule will be reduced from $540,000 to $300,000 (subject to transitional arrangements).</w:t>
            </w:r>
            <w:r>
              <w:rPr>
                <w:sz w:val="14"/>
                <w:szCs w:val="14"/>
              </w:rPr>
              <w:t xml:space="preserve"> </w:t>
            </w:r>
            <w:r w:rsidR="00615875">
              <w:rPr>
                <w:sz w:val="14"/>
                <w:szCs w:val="14"/>
              </w:rPr>
              <w:t>However, these transitional arrangements do not apply where the full $540,000 non-concessional contribution is made under the three</w:t>
            </w:r>
            <w:r w:rsidR="004F0863">
              <w:rPr>
                <w:sz w:val="14"/>
                <w:szCs w:val="14"/>
              </w:rPr>
              <w:t>-</w:t>
            </w:r>
            <w:r w:rsidR="00615875">
              <w:rPr>
                <w:sz w:val="14"/>
                <w:szCs w:val="14"/>
              </w:rPr>
              <w:t xml:space="preserve">year brought forward rule in the year ended 30 June 2017.       </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0BDFC0D"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37B5292"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D1B6855" w14:textId="77777777" w:rsidR="00367616" w:rsidRPr="00AF24CF" w:rsidRDefault="00367616" w:rsidP="00184E12">
            <w:pPr>
              <w:pStyle w:val="Table"/>
              <w:jc w:val="center"/>
            </w:pPr>
          </w:p>
        </w:tc>
      </w:tr>
      <w:tr w:rsidR="007C6148" w:rsidRPr="00AF24CF" w14:paraId="10663EBE"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B9D6630" w14:textId="77777777" w:rsidR="007C6148" w:rsidRPr="00AF24CF" w:rsidRDefault="007C6148" w:rsidP="007C6148">
            <w:pPr>
              <w:pStyle w:val="Tableheading"/>
            </w:pPr>
            <w:r w:rsidRPr="00CF4387">
              <w:t>Employee bonuses</w:t>
            </w:r>
          </w:p>
        </w:tc>
      </w:tr>
      <w:tr w:rsidR="00367616" w14:paraId="2A0F0453"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D81C9E1" w14:textId="759276D8" w:rsidR="00367616" w:rsidRPr="00ED1CC2" w:rsidRDefault="00367616" w:rsidP="001035F8">
            <w:pPr>
              <w:pStyle w:val="Table"/>
            </w:pPr>
            <w:r w:rsidRPr="00CF4387">
              <w:t xml:space="preserve">Ensure that staff bonuses are quantified and documented </w:t>
            </w:r>
            <w:r w:rsidR="004F0863">
              <w:t xml:space="preserve">in a resolution </w:t>
            </w:r>
            <w:r w:rsidRPr="00CF4387">
              <w:t xml:space="preserve">prior to year-end to enable a deduction to be </w:t>
            </w:r>
            <w:r w:rsidR="004F0863">
              <w:t xml:space="preserve">incurred </w:t>
            </w:r>
            <w:r w:rsidRPr="00CF4387">
              <w:t xml:space="preserve">for </w:t>
            </w:r>
            <w:r w:rsidR="004F0863">
              <w:t xml:space="preserve">employee </w:t>
            </w:r>
            <w:r w:rsidRPr="00CF4387">
              <w:t xml:space="preserve">bonuses </w:t>
            </w:r>
            <w:r w:rsidRPr="005A1D6C">
              <w:rPr>
                <w:i/>
              </w:rPr>
              <w:t>(</w:t>
            </w:r>
            <w:r w:rsidR="004F0863" w:rsidRPr="00D71281">
              <w:t>see</w:t>
            </w:r>
            <w:r w:rsidR="004F0863">
              <w:rPr>
                <w:i/>
              </w:rPr>
              <w:t xml:space="preserve"> Income Tax Ruling IT 2534 </w:t>
            </w:r>
            <w:r w:rsidR="004F0863" w:rsidRPr="00D71281">
              <w:t>and</w:t>
            </w:r>
            <w:r w:rsidR="004F0863">
              <w:rPr>
                <w:i/>
              </w:rPr>
              <w:t xml:space="preserve"> </w:t>
            </w:r>
            <w:r w:rsidRPr="005A1D6C">
              <w:rPr>
                <w:i/>
              </w:rPr>
              <w:t xml:space="preserve">Merrill Lynch </w:t>
            </w:r>
            <w:r w:rsidR="00E25073">
              <w:rPr>
                <w:i/>
              </w:rPr>
              <w:t xml:space="preserve">International </w:t>
            </w:r>
            <w:r w:rsidR="001035F8">
              <w:rPr>
                <w:i/>
              </w:rPr>
              <w:t xml:space="preserve">(Australia) Ltd </w:t>
            </w:r>
            <w:r w:rsidRPr="005A1D6C">
              <w:rPr>
                <w:i/>
              </w:rPr>
              <w:t>v FCT</w:t>
            </w:r>
            <w:r w:rsidR="001035F8">
              <w:rPr>
                <w:i/>
              </w:rPr>
              <w:t xml:space="preserve"> (2001) </w:t>
            </w:r>
            <w:r w:rsidR="001035F8" w:rsidRPr="00D71281">
              <w:rPr>
                <w:i/>
              </w:rPr>
              <w:t>47 ATR 611</w:t>
            </w:r>
            <w:r w:rsidRPr="005A1D6C">
              <w:rPr>
                <w:i/>
              </w:rPr>
              <w:t>).</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2A81D3"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4C34142"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1AB775E" w14:textId="77777777" w:rsidR="00367616" w:rsidRPr="00AF24CF" w:rsidRDefault="00367616" w:rsidP="00184E12">
            <w:pPr>
              <w:pStyle w:val="Table"/>
              <w:jc w:val="center"/>
            </w:pPr>
          </w:p>
        </w:tc>
      </w:tr>
      <w:tr w:rsidR="009065E2" w:rsidRPr="00AE2EA6" w14:paraId="74EA7E33" w14:textId="77777777" w:rsidTr="009F6590">
        <w:trPr>
          <w:tblHeader/>
        </w:trPr>
        <w:tc>
          <w:tcPr>
            <w:tcW w:w="3906" w:type="pct"/>
            <w:tcBorders>
              <w:top w:val="single" w:sz="4" w:space="0" w:color="939598"/>
              <w:bottom w:val="single" w:sz="4" w:space="0" w:color="808080" w:themeColor="background1" w:themeShade="80"/>
              <w:right w:val="single" w:sz="4" w:space="0" w:color="939598"/>
            </w:tcBorders>
            <w:shd w:val="clear" w:color="auto" w:fill="051C3C"/>
          </w:tcPr>
          <w:p w14:paraId="581438E1" w14:textId="09CC1C6E" w:rsidR="009065E2" w:rsidRPr="00AE2EA6" w:rsidRDefault="009065E2" w:rsidP="009065E2">
            <w:pPr>
              <w:pStyle w:val="Tableheading"/>
              <w:rPr>
                <w:color w:val="FFFFFF" w:themeColor="background1"/>
                <w:sz w:val="18"/>
              </w:rPr>
            </w:pPr>
            <w:r>
              <w:rPr>
                <w:color w:val="FFFFFF" w:themeColor="background1"/>
                <w:sz w:val="18"/>
              </w:rPr>
              <w:lastRenderedPageBreak/>
              <w:t>Accelerating Deductions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AD7023B" w14:textId="77777777" w:rsidR="009065E2" w:rsidRPr="00AE2EA6" w:rsidRDefault="009065E2" w:rsidP="009F6590">
            <w:pPr>
              <w:pStyle w:val="Tableheading"/>
              <w:jc w:val="center"/>
              <w:rPr>
                <w:color w:val="FFFFFF" w:themeColor="background1"/>
                <w:sz w:val="18"/>
              </w:rPr>
            </w:pPr>
            <w:r w:rsidRPr="00AE2EA6">
              <w:rPr>
                <w:color w:val="FFFFFF" w:themeColor="background1"/>
                <w:sz w:val="18"/>
              </w:rPr>
              <w:t>Yes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457D59E4" w14:textId="77777777" w:rsidR="009065E2" w:rsidRPr="00AE2EA6" w:rsidRDefault="009065E2" w:rsidP="009F6590">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51C3C"/>
          </w:tcPr>
          <w:p w14:paraId="74EE4C1A" w14:textId="77777777" w:rsidR="009065E2" w:rsidRPr="00AE2EA6" w:rsidRDefault="009065E2" w:rsidP="009F6590">
            <w:pPr>
              <w:pStyle w:val="Tableheading"/>
              <w:jc w:val="center"/>
              <w:rPr>
                <w:color w:val="FFFFFF" w:themeColor="background1"/>
                <w:sz w:val="18"/>
              </w:rPr>
            </w:pPr>
            <w:r w:rsidRPr="00AE2EA6">
              <w:rPr>
                <w:color w:val="FFFFFF" w:themeColor="background1"/>
                <w:sz w:val="18"/>
              </w:rPr>
              <w:t>N/A</w:t>
            </w:r>
          </w:p>
        </w:tc>
      </w:tr>
      <w:tr w:rsidR="009065E2" w:rsidRPr="00AF24CF" w14:paraId="332123FD" w14:textId="77777777" w:rsidTr="009F6590">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FE6C504" w14:textId="77777777" w:rsidR="009065E2" w:rsidRPr="00AF24CF" w:rsidRDefault="009065E2" w:rsidP="009F6590">
            <w:pPr>
              <w:pStyle w:val="Tableheading"/>
            </w:pPr>
            <w:r w:rsidRPr="00CF4387">
              <w:t>Foreign exchange losses</w:t>
            </w:r>
          </w:p>
        </w:tc>
      </w:tr>
      <w:tr w:rsidR="00367616" w14:paraId="05FC771F"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A368A36" w14:textId="77777777" w:rsidR="00367616" w:rsidRPr="00ED1CC2" w:rsidRDefault="00367616" w:rsidP="009B6248">
            <w:pPr>
              <w:pStyle w:val="Table"/>
            </w:pPr>
            <w:r w:rsidRPr="00CF4387">
              <w:t>Consider realising foreign exchange losses before year-end so that a deduction can be claimed.</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611449"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C53DFC0"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8BBC188" w14:textId="77777777" w:rsidR="00367616" w:rsidRPr="00AF24CF" w:rsidRDefault="00367616" w:rsidP="00184E12">
            <w:pPr>
              <w:pStyle w:val="Table"/>
              <w:jc w:val="center"/>
            </w:pPr>
          </w:p>
        </w:tc>
      </w:tr>
      <w:tr w:rsidR="007C6148" w:rsidRPr="00AF24CF" w14:paraId="616FC44A"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728547" w14:textId="77777777" w:rsidR="007C6148" w:rsidRPr="00AF24CF" w:rsidRDefault="007C6148" w:rsidP="007C6148">
            <w:pPr>
              <w:pStyle w:val="Tableheading"/>
            </w:pPr>
            <w:r w:rsidRPr="00CF4387">
              <w:t>Capital allowances</w:t>
            </w:r>
          </w:p>
        </w:tc>
      </w:tr>
      <w:tr w:rsidR="00367616" w14:paraId="3A9927E5"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2609558" w14:textId="0EE64105" w:rsidR="00861A3F" w:rsidRDefault="0099437F" w:rsidP="0099437F">
            <w:pPr>
              <w:pStyle w:val="Table"/>
            </w:pPr>
            <w:r>
              <w:t>For an SBE taxpayer c</w:t>
            </w:r>
            <w:r w:rsidR="00367616" w:rsidRPr="00CF4387">
              <w:t xml:space="preserve">heck whether assets </w:t>
            </w:r>
            <w:r>
              <w:t xml:space="preserve">acquired during the </w:t>
            </w:r>
            <w:r w:rsidR="004B44B3">
              <w:t xml:space="preserve">2017 </w:t>
            </w:r>
            <w:r>
              <w:t xml:space="preserve">year </w:t>
            </w:r>
            <w:r w:rsidR="00367616" w:rsidRPr="00CF4387">
              <w:t>costing less than $</w:t>
            </w:r>
            <w:r>
              <w:t>20,0</w:t>
            </w:r>
            <w:r w:rsidR="00367616" w:rsidRPr="00CF4387">
              <w:t>00 can be immediately written off</w:t>
            </w:r>
            <w:r w:rsidR="004B44B3">
              <w:t xml:space="preserve"> if used or installed ready for used by 30 June 2017</w:t>
            </w:r>
            <w:r w:rsidR="00367616" w:rsidRPr="00CF4387">
              <w:t>.</w:t>
            </w:r>
            <w:r>
              <w:t xml:space="preserve"> Also, the closing balance of the SBE taxpayer’s depreciating assets </w:t>
            </w:r>
            <w:r w:rsidR="00717576">
              <w:t xml:space="preserve">in a </w:t>
            </w:r>
            <w:r w:rsidR="00861A3F">
              <w:t xml:space="preserve">general </w:t>
            </w:r>
            <w:r w:rsidR="00717576">
              <w:t xml:space="preserve">small business pool </w:t>
            </w:r>
            <w:r>
              <w:t>may be written off if less than $20,000.</w:t>
            </w:r>
          </w:p>
          <w:p w14:paraId="3E7B3319" w14:textId="77777777" w:rsidR="004B44B3" w:rsidRDefault="00861A3F" w:rsidP="0099437F">
            <w:pPr>
              <w:pStyle w:val="Table"/>
            </w:pPr>
            <w:r>
              <w:t xml:space="preserve">Depreciating assets costing more than $20,000 </w:t>
            </w:r>
            <w:r w:rsidR="004B44B3">
              <w:t xml:space="preserve">acquired during the 2017 year </w:t>
            </w:r>
            <w:r>
              <w:t xml:space="preserve">can be depreciated as an addition to the general small business pool at 15% (regardless of the date of acquisition) if used or installed ready for use by 30 June 2017 (and at 30% in subsequent years).  </w:t>
            </w:r>
          </w:p>
          <w:p w14:paraId="372D7184" w14:textId="52907B03" w:rsidR="00367616" w:rsidRDefault="004B44B3" w:rsidP="0099437F">
            <w:pPr>
              <w:pStyle w:val="Table"/>
            </w:pPr>
            <w:r>
              <w:t>Assets excluded from this concessional treatment include horticultural plants</w:t>
            </w:r>
            <w:r w:rsidR="00DE3A23">
              <w:t xml:space="preserve">, assets allocated to a low value pool or software development pool and certain other assets. </w:t>
            </w:r>
            <w:r>
              <w:t xml:space="preserve">     </w:t>
            </w:r>
            <w:r w:rsidR="00861A3F">
              <w:t xml:space="preserve">        </w:t>
            </w:r>
          </w:p>
          <w:p w14:paraId="6390E60C" w14:textId="13C4702F" w:rsidR="001035F8" w:rsidRDefault="001035F8" w:rsidP="00270FF8">
            <w:pPr>
              <w:pStyle w:val="Table"/>
              <w:rPr>
                <w:sz w:val="14"/>
                <w:szCs w:val="14"/>
              </w:rPr>
            </w:pPr>
            <w:r w:rsidRPr="009F0C8F">
              <w:rPr>
                <w:b/>
                <w:sz w:val="14"/>
                <w:szCs w:val="14"/>
              </w:rPr>
              <w:t>Note</w:t>
            </w:r>
            <w:r w:rsidRPr="009F0C8F">
              <w:rPr>
                <w:sz w:val="14"/>
                <w:szCs w:val="14"/>
              </w:rPr>
              <w:t>:</w:t>
            </w:r>
            <w:r w:rsidR="00270FF8">
              <w:rPr>
                <w:sz w:val="14"/>
                <w:szCs w:val="14"/>
              </w:rPr>
              <w:t xml:space="preserve"> </w:t>
            </w:r>
            <w:r w:rsidR="00717576">
              <w:rPr>
                <w:sz w:val="14"/>
                <w:szCs w:val="14"/>
              </w:rPr>
              <w:t>the number of entities eligible to be regarded as an SBE has substantially increased in the 2017 year as the aggregated turnover threshold increased from $2 million to $10 million effective from 1 July 2016</w:t>
            </w:r>
            <w:r w:rsidR="00270FF8">
              <w:rPr>
                <w:sz w:val="14"/>
                <w:szCs w:val="14"/>
              </w:rPr>
              <w:t>.</w:t>
            </w:r>
          </w:p>
          <w:p w14:paraId="17CA4060" w14:textId="2E3BB2D8" w:rsidR="00270FF8" w:rsidRPr="00ED1CC2" w:rsidRDefault="00270FF8" w:rsidP="00270FF8">
            <w:pPr>
              <w:pStyle w:val="Table"/>
            </w:pPr>
            <w:r w:rsidRPr="009F0C8F">
              <w:rPr>
                <w:b/>
                <w:sz w:val="14"/>
                <w:szCs w:val="14"/>
              </w:rPr>
              <w:t>Note</w:t>
            </w:r>
            <w:r w:rsidRPr="009F0C8F">
              <w:rPr>
                <w:sz w:val="14"/>
                <w:szCs w:val="14"/>
              </w:rPr>
              <w:t>:</w:t>
            </w:r>
            <w:r>
              <w:rPr>
                <w:sz w:val="14"/>
                <w:szCs w:val="14"/>
              </w:rPr>
              <w:t xml:space="preserve"> </w:t>
            </w:r>
            <w:r w:rsidRPr="00F650C9">
              <w:rPr>
                <w:sz w:val="14"/>
                <w:szCs w:val="14"/>
              </w:rPr>
              <w:t>the</w:t>
            </w:r>
            <w:r w:rsidR="00F650C9" w:rsidRPr="00F650C9">
              <w:rPr>
                <w:sz w:val="14"/>
                <w:szCs w:val="14"/>
              </w:rPr>
              <w:t xml:space="preserve"> </w:t>
            </w:r>
            <w:r w:rsidR="00F650C9">
              <w:rPr>
                <w:sz w:val="14"/>
                <w:szCs w:val="14"/>
              </w:rPr>
              <w:t>Government proposed</w:t>
            </w:r>
            <w:r w:rsidR="00F10391">
              <w:rPr>
                <w:sz w:val="14"/>
                <w:szCs w:val="14"/>
              </w:rPr>
              <w:t xml:space="preserve"> in the 2017-18 Federal Budget to extend </w:t>
            </w:r>
            <w:r w:rsidR="004B44B3">
              <w:rPr>
                <w:sz w:val="14"/>
                <w:szCs w:val="14"/>
              </w:rPr>
              <w:t xml:space="preserve">the $20,000 threshold applied under the small business entity depreciation rules for a further 12 months until 30 June 2018. Accordingly, small business entities will be able to, amongst other things, claim an immediate deduction for eligible depreciating assets that cost less than $20.000 if used or installed ready for use by 30 June 2018.    </w:t>
            </w:r>
            <w:r w:rsidR="00F10391">
              <w:rPr>
                <w:sz w:val="14"/>
                <w:szCs w:val="14"/>
              </w:rPr>
              <w:t xml:space="preserve">  </w:t>
            </w:r>
            <w:r w:rsidR="00F650C9">
              <w:rPr>
                <w:sz w:val="14"/>
                <w:szCs w:val="14"/>
              </w:rPr>
              <w:t xml:space="preserve">  </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5144F28"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2D98C9"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B4B1608" w14:textId="77777777" w:rsidR="00367616" w:rsidRPr="00AF24CF" w:rsidRDefault="00367616" w:rsidP="00184E12">
            <w:pPr>
              <w:pStyle w:val="Table"/>
              <w:jc w:val="center"/>
            </w:pPr>
          </w:p>
        </w:tc>
      </w:tr>
      <w:tr w:rsidR="00367616" w14:paraId="5124D66F"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B72F568" w14:textId="721080FB" w:rsidR="00367616" w:rsidRDefault="0099437F" w:rsidP="0099437F">
            <w:pPr>
              <w:pStyle w:val="Table"/>
            </w:pPr>
            <w:r>
              <w:t>For non SBE taxpayers c</w:t>
            </w:r>
            <w:r w:rsidR="00367616" w:rsidRPr="00CF4387">
              <w:t>heck if there are assets costing $1,000 or less (other than a horticultural plant</w:t>
            </w:r>
            <w:r w:rsidR="002536F1">
              <w:t xml:space="preserve"> and certain R&amp;D depreciating assets) </w:t>
            </w:r>
            <w:r w:rsidR="00367616" w:rsidRPr="00CF4387">
              <w:t>th</w:t>
            </w:r>
            <w:r w:rsidR="006828A9">
              <w:t>ey</w:t>
            </w:r>
            <w:r w:rsidR="00367616" w:rsidRPr="00CF4387">
              <w:t xml:space="preserve"> can be allocated to a low-value pool.</w:t>
            </w:r>
            <w:r w:rsidR="00390F56">
              <w:t xml:space="preserve">  </w:t>
            </w:r>
          </w:p>
          <w:p w14:paraId="209C40C1" w14:textId="627D7E5D" w:rsidR="00DE3A23" w:rsidRPr="00CF4387" w:rsidRDefault="00DE3A23" w:rsidP="0099437F">
            <w:pPr>
              <w:pStyle w:val="Table"/>
            </w:pPr>
            <w:r w:rsidRPr="009F0C8F">
              <w:rPr>
                <w:b/>
                <w:sz w:val="14"/>
                <w:szCs w:val="14"/>
              </w:rPr>
              <w:t>Note</w:t>
            </w:r>
            <w:r w:rsidRPr="009F0C8F">
              <w:rPr>
                <w:sz w:val="14"/>
                <w:szCs w:val="14"/>
              </w:rPr>
              <w:t>:</w:t>
            </w:r>
            <w:r>
              <w:rPr>
                <w:sz w:val="14"/>
                <w:szCs w:val="14"/>
              </w:rPr>
              <w:t xml:space="preserve"> </w:t>
            </w:r>
            <w:r w:rsidRPr="00F650C9">
              <w:rPr>
                <w:sz w:val="14"/>
                <w:szCs w:val="14"/>
              </w:rPr>
              <w:t xml:space="preserve">the </w:t>
            </w:r>
            <w:r>
              <w:rPr>
                <w:sz w:val="14"/>
                <w:szCs w:val="14"/>
              </w:rPr>
              <w:t xml:space="preserve">depreciation rate for such low-cost assets is 18.75% in the year of addition and 37.5% in subsequent years. </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56CE74F"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DF28835"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C60302C" w14:textId="77777777" w:rsidR="00367616" w:rsidRPr="00AF24CF" w:rsidRDefault="00367616" w:rsidP="00184E12">
            <w:pPr>
              <w:pStyle w:val="Table"/>
              <w:jc w:val="center"/>
            </w:pPr>
          </w:p>
        </w:tc>
      </w:tr>
      <w:tr w:rsidR="00367616" w14:paraId="06D82468"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BEBDDE6" w14:textId="11004885" w:rsidR="00B1159F" w:rsidRPr="00CF4387" w:rsidRDefault="00367616" w:rsidP="008C5F4C">
            <w:pPr>
              <w:pStyle w:val="Table"/>
            </w:pPr>
            <w:r w:rsidRPr="00CF4387">
              <w:t>Check to see if there are any depreciating assets which have stopped being used in the business in which case a balancing deduction may be available in respect of their adjustable value.</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2ACB0E0"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60A3F91"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2356E5F" w14:textId="77777777" w:rsidR="00367616" w:rsidRPr="00AF24CF" w:rsidRDefault="00367616" w:rsidP="00184E12">
            <w:pPr>
              <w:pStyle w:val="Table"/>
              <w:jc w:val="center"/>
            </w:pPr>
          </w:p>
        </w:tc>
      </w:tr>
      <w:tr w:rsidR="0078761B" w14:paraId="63DA4129"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CF960DB" w14:textId="77777777" w:rsidR="0078761B" w:rsidRPr="00706804" w:rsidDel="00706804" w:rsidRDefault="0078761B">
            <w:pPr>
              <w:pStyle w:val="Table"/>
            </w:pPr>
            <w:r>
              <w:t>Check whether item</w:t>
            </w:r>
            <w:r w:rsidR="00792839">
              <w:t>s</w:t>
            </w:r>
            <w:r>
              <w:t xml:space="preserve"> of depreciating assets with a</w:t>
            </w:r>
            <w:r w:rsidR="00792839">
              <w:t>n</w:t>
            </w:r>
            <w:r>
              <w:t xml:space="preserve"> adjustable value greater than nil are obsolete and can be scrapped.</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6057870" w14:textId="77777777" w:rsidR="0078761B" w:rsidRDefault="0078761B"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AEA5A72" w14:textId="77777777" w:rsidR="0078761B" w:rsidRDefault="0078761B"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B9CA7B3" w14:textId="77777777" w:rsidR="0078761B" w:rsidRPr="00AF24CF" w:rsidRDefault="0078761B" w:rsidP="00184E12">
            <w:pPr>
              <w:pStyle w:val="Table"/>
              <w:jc w:val="center"/>
            </w:pPr>
          </w:p>
        </w:tc>
      </w:tr>
      <w:tr w:rsidR="007C6148" w:rsidRPr="00AF24CF" w14:paraId="4E6D1B4F"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702B882" w14:textId="77777777" w:rsidR="007C6148" w:rsidRPr="00AF24CF" w:rsidRDefault="007C6148" w:rsidP="007C6148">
            <w:pPr>
              <w:pStyle w:val="Tableheading"/>
            </w:pPr>
            <w:r w:rsidRPr="00CF4387">
              <w:t>Trading stock write-offs</w:t>
            </w:r>
          </w:p>
        </w:tc>
      </w:tr>
      <w:tr w:rsidR="00367616" w14:paraId="116938EB" w14:textId="77777777" w:rsidTr="00EC2D37">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BD757F" w14:textId="5183B0E3" w:rsidR="00367616" w:rsidRPr="00ED1CC2" w:rsidRDefault="00367616" w:rsidP="009B6248">
            <w:pPr>
              <w:pStyle w:val="Table"/>
            </w:pPr>
            <w:r w:rsidRPr="00CF4387">
              <w:t>Determine whether items or lines of trading stock should be scrapped or have become obsolete. These may be tax deductible</w:t>
            </w:r>
            <w:r w:rsidR="00DE3A23">
              <w:t xml:space="preserve"> (see </w:t>
            </w:r>
            <w:r w:rsidR="00DE3A23" w:rsidRPr="007E6CA8">
              <w:rPr>
                <w:i/>
              </w:rPr>
              <w:t>Taxation Ruling TR93/23</w:t>
            </w:r>
            <w:r w:rsidR="00DE3A23">
              <w:t>)</w:t>
            </w:r>
            <w:r w:rsidRPr="00CF4387">
              <w:t>.</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1517422"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CE124E1"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4508E20" w14:textId="77777777" w:rsidR="00367616" w:rsidRPr="00AF24CF" w:rsidRDefault="00367616" w:rsidP="00184E12">
            <w:pPr>
              <w:pStyle w:val="Table"/>
              <w:jc w:val="center"/>
            </w:pPr>
          </w:p>
        </w:tc>
      </w:tr>
      <w:tr w:rsidR="00050E73" w:rsidRPr="00AF24CF" w14:paraId="3DCA0806"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B95A4E" w14:textId="3C83E70D" w:rsidR="00050E73" w:rsidRPr="00AF24CF" w:rsidRDefault="00050E73" w:rsidP="007C6148">
            <w:pPr>
              <w:pStyle w:val="Tableheading"/>
            </w:pPr>
            <w:r>
              <w:t>“</w:t>
            </w:r>
            <w:r w:rsidRPr="00CF4387">
              <w:t>Black</w:t>
            </w:r>
            <w:r>
              <w:t>-</w:t>
            </w:r>
            <w:r w:rsidRPr="00CF4387">
              <w:t>hole</w:t>
            </w:r>
            <w:r>
              <w:t>”</w:t>
            </w:r>
            <w:r w:rsidRPr="00CF4387">
              <w:t xml:space="preserve"> expenditure</w:t>
            </w:r>
          </w:p>
        </w:tc>
      </w:tr>
      <w:tr w:rsidR="00050E73" w14:paraId="046E0D24" w14:textId="77777777" w:rsidTr="00D71281">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5F1D43E" w14:textId="4C699E4F" w:rsidR="00720C38" w:rsidRDefault="00050E73" w:rsidP="009B6248">
            <w:pPr>
              <w:pStyle w:val="Table"/>
            </w:pPr>
            <w:r w:rsidRPr="00CF4387">
              <w:t xml:space="preserve">Determine whether business </w:t>
            </w:r>
            <w:r w:rsidR="00720C38">
              <w:t xml:space="preserve">capital </w:t>
            </w:r>
            <w:r w:rsidRPr="00CF4387">
              <w:t xml:space="preserve">expenditure incurred that is not deductible, </w:t>
            </w:r>
            <w:r w:rsidR="00720C38">
              <w:t xml:space="preserve">depreciable or included in the cost base of an asset may </w:t>
            </w:r>
            <w:r w:rsidRPr="00CF4387">
              <w:t xml:space="preserve">be deductible </w:t>
            </w:r>
            <w:r w:rsidR="00720C38">
              <w:t>as ‘</w:t>
            </w:r>
            <w:proofErr w:type="spellStart"/>
            <w:r w:rsidR="00720C38">
              <w:t>blackhole</w:t>
            </w:r>
            <w:proofErr w:type="spellEnd"/>
            <w:r w:rsidR="00720C38">
              <w:t xml:space="preserve"> expenditure’ under</w:t>
            </w:r>
            <w:r w:rsidRPr="00CF4387">
              <w:t xml:space="preserve"> s</w:t>
            </w:r>
            <w:r>
              <w:t>ection</w:t>
            </w:r>
            <w:r w:rsidRPr="00CF4387">
              <w:t xml:space="preserve"> 40-880 of the ITAA 1997.</w:t>
            </w:r>
          </w:p>
          <w:p w14:paraId="247A3065" w14:textId="015D0F56" w:rsidR="00720C38" w:rsidRDefault="00720C38" w:rsidP="009B6248">
            <w:pPr>
              <w:pStyle w:val="Table"/>
            </w:pPr>
            <w:r>
              <w:t xml:space="preserve">Eligible </w:t>
            </w:r>
            <w:proofErr w:type="spellStart"/>
            <w:r>
              <w:t>blackhole</w:t>
            </w:r>
            <w:proofErr w:type="spellEnd"/>
            <w:r>
              <w:t xml:space="preserve"> expenditure is deductible over </w:t>
            </w:r>
            <w:r w:rsidR="00D71281">
              <w:t>five</w:t>
            </w:r>
            <w:r>
              <w:t xml:space="preserve"> years in equal proportions (and there is no pro-rating of the deduction in the year the expenditure is incurred</w:t>
            </w:r>
            <w:r w:rsidR="0065010F">
              <w:t xml:space="preserve"> by the taxpayer</w:t>
            </w:r>
            <w:r>
              <w:t>).</w:t>
            </w:r>
          </w:p>
          <w:p w14:paraId="20660862" w14:textId="374324DD" w:rsidR="0065010F" w:rsidRDefault="00D71281" w:rsidP="0065010F">
            <w:pPr>
              <w:pStyle w:val="Table"/>
              <w:rPr>
                <w:b/>
                <w:sz w:val="14"/>
                <w:szCs w:val="14"/>
              </w:rPr>
            </w:pPr>
            <w:r>
              <w:t>It m</w:t>
            </w:r>
            <w:r w:rsidR="0065010F">
              <w:t xml:space="preserve">ay be available in relation to the taxpayer’s business or in respect of a former business that used to be carried on or in respect of a business that is proposed to be carried on provided there is a sufficient and relevant connection between the expenditure incurred and the business carried on (see </w:t>
            </w:r>
            <w:r w:rsidR="0065010F" w:rsidRPr="007E6CA8">
              <w:rPr>
                <w:i/>
              </w:rPr>
              <w:t>Taxation Ruling TR 2011/6</w:t>
            </w:r>
            <w:r w:rsidR="0065010F">
              <w:t xml:space="preserve">). </w:t>
            </w:r>
          </w:p>
          <w:p w14:paraId="21AB5B6B" w14:textId="1B8A3FB6" w:rsidR="0065010F" w:rsidRPr="007E6CA8" w:rsidRDefault="0065010F" w:rsidP="0065010F">
            <w:pPr>
              <w:pStyle w:val="Table"/>
              <w:rPr>
                <w:sz w:val="14"/>
                <w:szCs w:val="14"/>
              </w:rPr>
            </w:pPr>
            <w:r>
              <w:rPr>
                <w:b/>
                <w:sz w:val="14"/>
                <w:szCs w:val="14"/>
              </w:rPr>
              <w:t>Note</w:t>
            </w:r>
            <w:r w:rsidR="00D71281">
              <w:rPr>
                <w:b/>
                <w:sz w:val="14"/>
                <w:szCs w:val="14"/>
              </w:rPr>
              <w:t>:</w:t>
            </w:r>
            <w:r>
              <w:rPr>
                <w:b/>
                <w:sz w:val="14"/>
                <w:szCs w:val="14"/>
              </w:rPr>
              <w:t xml:space="preserve"> </w:t>
            </w:r>
            <w:r w:rsidRPr="007E6CA8">
              <w:rPr>
                <w:sz w:val="14"/>
                <w:szCs w:val="14"/>
              </w:rPr>
              <w:t>section 40-880(</w:t>
            </w:r>
            <w:r w:rsidR="00063A55">
              <w:rPr>
                <w:sz w:val="14"/>
                <w:szCs w:val="14"/>
              </w:rPr>
              <w:t>5</w:t>
            </w:r>
            <w:r w:rsidRPr="007E6CA8">
              <w:rPr>
                <w:sz w:val="14"/>
                <w:szCs w:val="14"/>
              </w:rPr>
              <w:t xml:space="preserve">) provides that no deduction is available under the </w:t>
            </w:r>
            <w:proofErr w:type="spellStart"/>
            <w:r w:rsidRPr="007E6CA8">
              <w:rPr>
                <w:sz w:val="14"/>
                <w:szCs w:val="14"/>
              </w:rPr>
              <w:t>blackhole</w:t>
            </w:r>
            <w:proofErr w:type="spellEnd"/>
            <w:r w:rsidRPr="007E6CA8">
              <w:rPr>
                <w:sz w:val="14"/>
                <w:szCs w:val="14"/>
              </w:rPr>
              <w:t xml:space="preserve"> deductibility rules where, amongst other things, </w:t>
            </w:r>
            <w:r w:rsidR="00063A55">
              <w:rPr>
                <w:sz w:val="14"/>
                <w:szCs w:val="14"/>
              </w:rPr>
              <w:t>t</w:t>
            </w:r>
            <w:r w:rsidRPr="007E6CA8">
              <w:rPr>
                <w:sz w:val="14"/>
                <w:szCs w:val="14"/>
              </w:rPr>
              <w:t>he expenditure</w:t>
            </w:r>
            <w:r>
              <w:rPr>
                <w:b/>
                <w:sz w:val="14"/>
                <w:szCs w:val="14"/>
              </w:rPr>
              <w:t xml:space="preserve"> </w:t>
            </w:r>
            <w:r w:rsidRPr="007E6CA8">
              <w:rPr>
                <w:sz w:val="14"/>
                <w:szCs w:val="14"/>
              </w:rPr>
              <w:t xml:space="preserve">forms part of the cost of land or depreciating asset; it would be taken into account in working out an assessable profit, </w:t>
            </w:r>
            <w:r w:rsidR="00063A55">
              <w:rPr>
                <w:sz w:val="14"/>
                <w:szCs w:val="14"/>
              </w:rPr>
              <w:t>deductible loss</w:t>
            </w:r>
            <w:r w:rsidRPr="007E6CA8">
              <w:rPr>
                <w:sz w:val="14"/>
                <w:szCs w:val="14"/>
              </w:rPr>
              <w:t xml:space="preserve">, capital gain or capital loss; </w:t>
            </w:r>
            <w:r w:rsidR="00063A55">
              <w:rPr>
                <w:sz w:val="14"/>
                <w:szCs w:val="14"/>
              </w:rPr>
              <w:t xml:space="preserve">it </w:t>
            </w:r>
            <w:r w:rsidRPr="007E6CA8">
              <w:rPr>
                <w:sz w:val="14"/>
                <w:szCs w:val="14"/>
              </w:rPr>
              <w:t xml:space="preserve">relates to a lease or other legal or equitable right; or if </w:t>
            </w:r>
            <w:r w:rsidR="00063A55">
              <w:rPr>
                <w:sz w:val="14"/>
                <w:szCs w:val="14"/>
              </w:rPr>
              <w:t xml:space="preserve">it </w:t>
            </w:r>
            <w:r w:rsidRPr="007E6CA8">
              <w:rPr>
                <w:sz w:val="14"/>
                <w:szCs w:val="14"/>
              </w:rPr>
              <w:t xml:space="preserve">is deductible under another provision of the income tax assessment acts.          </w:t>
            </w:r>
          </w:p>
          <w:p w14:paraId="1F2E214E" w14:textId="6F7C5A75" w:rsidR="00050E73" w:rsidRPr="00ED1CC2" w:rsidRDefault="00050E73" w:rsidP="0065010F">
            <w:pPr>
              <w:pStyle w:val="Table"/>
            </w:pPr>
            <w:r w:rsidRPr="009F0C8F">
              <w:rPr>
                <w:b/>
                <w:sz w:val="14"/>
                <w:szCs w:val="14"/>
              </w:rPr>
              <w:t>Note</w:t>
            </w:r>
            <w:r w:rsidRPr="009F0C8F">
              <w:rPr>
                <w:sz w:val="14"/>
                <w:szCs w:val="14"/>
              </w:rPr>
              <w:t xml:space="preserve">: </w:t>
            </w:r>
            <w:r>
              <w:rPr>
                <w:sz w:val="14"/>
                <w:szCs w:val="14"/>
              </w:rPr>
              <w:t xml:space="preserve">there is a 100% </w:t>
            </w:r>
            <w:r w:rsidR="00063A55">
              <w:rPr>
                <w:sz w:val="14"/>
                <w:szCs w:val="14"/>
              </w:rPr>
              <w:t xml:space="preserve">immediate </w:t>
            </w:r>
            <w:r>
              <w:rPr>
                <w:sz w:val="14"/>
                <w:szCs w:val="14"/>
              </w:rPr>
              <w:t>write off available to small business entities for expenditure on capital items regarded as “start-up” costs if incurred on or after 1 July 2015.</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7C0835A" w14:textId="77777777" w:rsidR="00050E73" w:rsidRDefault="00050E73"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F7C019E" w14:textId="77777777" w:rsidR="00050E73" w:rsidRDefault="00050E73"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356CFC9" w14:textId="77777777" w:rsidR="00050E73" w:rsidRPr="00AF24CF" w:rsidRDefault="00050E73" w:rsidP="00184E12">
            <w:pPr>
              <w:pStyle w:val="Table"/>
              <w:jc w:val="center"/>
            </w:pPr>
          </w:p>
        </w:tc>
      </w:tr>
      <w:tr w:rsidR="00050E73" w:rsidRPr="00AF24CF" w14:paraId="0F14D171"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FADD9F" w14:textId="77777777" w:rsidR="00050E73" w:rsidRPr="00AF24CF" w:rsidRDefault="00050E73" w:rsidP="007C6148">
            <w:pPr>
              <w:pStyle w:val="Tableheading"/>
            </w:pPr>
            <w:r w:rsidRPr="00CF4387">
              <w:t>Bad debts</w:t>
            </w:r>
          </w:p>
        </w:tc>
      </w:tr>
      <w:tr w:rsidR="00050E73" w14:paraId="2967B7FB" w14:textId="77777777" w:rsidTr="00D71281">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CB383C4" w14:textId="4EBBF6D9" w:rsidR="00050E73" w:rsidRPr="00626B8C" w:rsidRDefault="00050E73" w:rsidP="001035F8">
            <w:pPr>
              <w:pStyle w:val="Table"/>
            </w:pPr>
            <w:r w:rsidRPr="00626B8C">
              <w:t>Check whether any debts can be written off as bad debts.</w:t>
            </w:r>
            <w:r>
              <w:t xml:space="preserve"> Ensure that the debt has not been compromised or released before it is written off, and that documentation has been retained evidencing that the debt was non-recoverable.</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DD2B404" w14:textId="77777777" w:rsidR="00050E73" w:rsidRDefault="00050E73"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750F80A" w14:textId="77777777" w:rsidR="00050E73" w:rsidRDefault="00050E73"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8485168" w14:textId="77777777" w:rsidR="00050E73" w:rsidRPr="00AF24CF" w:rsidRDefault="00050E73" w:rsidP="00184E12">
            <w:pPr>
              <w:pStyle w:val="Table"/>
              <w:jc w:val="center"/>
            </w:pPr>
          </w:p>
        </w:tc>
      </w:tr>
      <w:tr w:rsidR="009065E2" w14:paraId="2B600119" w14:textId="77777777" w:rsidTr="00D71281">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84A8573" w14:textId="77777777" w:rsidR="009065E2" w:rsidRDefault="009065E2" w:rsidP="009065E2">
            <w:pPr>
              <w:pStyle w:val="Table"/>
            </w:pPr>
            <w:r w:rsidRPr="00626B8C">
              <w:t xml:space="preserve">Where there is a change in the ownership or control of the company, check that the </w:t>
            </w:r>
            <w:r>
              <w:t>company</w:t>
            </w:r>
            <w:r w:rsidRPr="00626B8C">
              <w:t xml:space="preserve"> passes the same business test</w:t>
            </w:r>
            <w:r>
              <w:t xml:space="preserve"> in seeking to deduct bad debts</w:t>
            </w:r>
            <w:r w:rsidRPr="00626B8C">
              <w:t>.</w:t>
            </w:r>
          </w:p>
          <w:p w14:paraId="1DEE5310" w14:textId="77777777" w:rsidR="009065E2" w:rsidRDefault="009065E2" w:rsidP="009065E2">
            <w:pPr>
              <w:pStyle w:val="Table"/>
              <w:rPr>
                <w:sz w:val="14"/>
                <w:szCs w:val="14"/>
              </w:rPr>
            </w:pPr>
            <w:r w:rsidRPr="009F0C8F">
              <w:rPr>
                <w:b/>
                <w:sz w:val="14"/>
                <w:szCs w:val="14"/>
              </w:rPr>
              <w:t>Note</w:t>
            </w:r>
            <w:r w:rsidRPr="009F0C8F">
              <w:rPr>
                <w:sz w:val="14"/>
                <w:szCs w:val="14"/>
              </w:rPr>
              <w:t xml:space="preserve">: </w:t>
            </w:r>
            <w:r>
              <w:rPr>
                <w:sz w:val="14"/>
                <w:szCs w:val="14"/>
              </w:rPr>
              <w:t>c</w:t>
            </w:r>
            <w:r w:rsidRPr="003A1122">
              <w:rPr>
                <w:sz w:val="14"/>
                <w:szCs w:val="14"/>
              </w:rPr>
              <w:t xml:space="preserve">onsider the </w:t>
            </w:r>
            <w:r>
              <w:rPr>
                <w:sz w:val="14"/>
                <w:szCs w:val="14"/>
              </w:rPr>
              <w:t xml:space="preserve">proposed alternate </w:t>
            </w:r>
            <w:r w:rsidRPr="003A1122">
              <w:rPr>
                <w:sz w:val="14"/>
                <w:szCs w:val="14"/>
              </w:rPr>
              <w:t xml:space="preserve">“similar business” test for </w:t>
            </w:r>
            <w:r>
              <w:rPr>
                <w:sz w:val="14"/>
                <w:szCs w:val="14"/>
              </w:rPr>
              <w:t>bad debts</w:t>
            </w:r>
            <w:r w:rsidRPr="003A1122">
              <w:rPr>
                <w:sz w:val="14"/>
                <w:szCs w:val="14"/>
              </w:rPr>
              <w:t xml:space="preserve"> incurred </w:t>
            </w:r>
            <w:r>
              <w:rPr>
                <w:sz w:val="14"/>
                <w:szCs w:val="14"/>
              </w:rPr>
              <w:t xml:space="preserve">on or after </w:t>
            </w:r>
            <w:r w:rsidRPr="003A1122">
              <w:rPr>
                <w:sz w:val="14"/>
                <w:szCs w:val="14"/>
              </w:rPr>
              <w:t>1 July 2015</w:t>
            </w:r>
            <w:r>
              <w:rPr>
                <w:sz w:val="14"/>
                <w:szCs w:val="14"/>
              </w:rPr>
              <w:t>.</w:t>
            </w:r>
          </w:p>
          <w:p w14:paraId="4769E419" w14:textId="5AF54ED3" w:rsidR="009065E2" w:rsidRPr="00626B8C" w:rsidRDefault="009065E2" w:rsidP="009065E2">
            <w:pPr>
              <w:pStyle w:val="Table"/>
            </w:pPr>
            <w:r>
              <w:t>W</w:t>
            </w:r>
            <w:r w:rsidRPr="007E6CA8">
              <w:t xml:space="preserve">here a </w:t>
            </w:r>
            <w:r>
              <w:t xml:space="preserve">fixed or non-fixed </w:t>
            </w:r>
            <w:r w:rsidRPr="007E6CA8">
              <w:t xml:space="preserve">trust seeks to deduct </w:t>
            </w:r>
            <w:r>
              <w:t xml:space="preserve">a </w:t>
            </w:r>
            <w:r w:rsidRPr="007E6CA8">
              <w:t xml:space="preserve">bad debt it must satisfy the applicable trust loss tests.     </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46074A4" w14:textId="77777777" w:rsidR="009065E2" w:rsidRDefault="009065E2"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3677E16" w14:textId="77777777" w:rsidR="009065E2" w:rsidRDefault="009065E2"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45CE8E8" w14:textId="77777777" w:rsidR="009065E2" w:rsidRPr="00AF24CF" w:rsidRDefault="009065E2" w:rsidP="00184E12">
            <w:pPr>
              <w:pStyle w:val="Table"/>
              <w:jc w:val="center"/>
            </w:pPr>
          </w:p>
        </w:tc>
      </w:tr>
    </w:tbl>
    <w:p w14:paraId="5A809D5C" w14:textId="77777777" w:rsidR="00D71281" w:rsidRDefault="00D71281">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42"/>
        <w:gridCol w:w="10"/>
        <w:gridCol w:w="746"/>
        <w:gridCol w:w="6"/>
        <w:gridCol w:w="750"/>
      </w:tblGrid>
      <w:tr w:rsidR="009065E2" w:rsidRPr="00AE2EA6" w14:paraId="15E5BAF1" w14:textId="77777777" w:rsidTr="009F6590">
        <w:trPr>
          <w:tblHeader/>
        </w:trPr>
        <w:tc>
          <w:tcPr>
            <w:tcW w:w="3906" w:type="pct"/>
            <w:tcBorders>
              <w:top w:val="single" w:sz="4" w:space="0" w:color="939598"/>
              <w:bottom w:val="single" w:sz="4" w:space="0" w:color="808080" w:themeColor="background1" w:themeShade="80"/>
              <w:right w:val="single" w:sz="4" w:space="0" w:color="939598"/>
            </w:tcBorders>
            <w:shd w:val="clear" w:color="auto" w:fill="051C3C"/>
          </w:tcPr>
          <w:p w14:paraId="4E963F83" w14:textId="21344CDD" w:rsidR="009065E2" w:rsidRPr="00AE2EA6" w:rsidRDefault="009065E2" w:rsidP="009065E2">
            <w:pPr>
              <w:pStyle w:val="Tableheading"/>
              <w:rPr>
                <w:color w:val="FFFFFF" w:themeColor="background1"/>
                <w:sz w:val="18"/>
              </w:rPr>
            </w:pPr>
            <w:r>
              <w:rPr>
                <w:color w:val="FFFFFF" w:themeColor="background1"/>
                <w:sz w:val="18"/>
              </w:rPr>
              <w:lastRenderedPageBreak/>
              <w:t>Accelerating Deductions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50F66F8" w14:textId="77777777" w:rsidR="009065E2" w:rsidRPr="00AE2EA6" w:rsidRDefault="009065E2" w:rsidP="009F6590">
            <w:pPr>
              <w:pStyle w:val="Tableheading"/>
              <w:jc w:val="center"/>
              <w:rPr>
                <w:color w:val="FFFFFF" w:themeColor="background1"/>
                <w:sz w:val="18"/>
              </w:rPr>
            </w:pPr>
            <w:r w:rsidRPr="00AE2EA6">
              <w:rPr>
                <w:color w:val="FFFFFF" w:themeColor="background1"/>
                <w:sz w:val="18"/>
              </w:rPr>
              <w:t>Yes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AEE24E3" w14:textId="77777777" w:rsidR="009065E2" w:rsidRPr="00AE2EA6" w:rsidRDefault="009065E2" w:rsidP="009F6590">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51C3C"/>
          </w:tcPr>
          <w:p w14:paraId="4D0A0EC7" w14:textId="77777777" w:rsidR="009065E2" w:rsidRPr="00AE2EA6" w:rsidRDefault="009065E2" w:rsidP="009F6590">
            <w:pPr>
              <w:pStyle w:val="Tableheading"/>
              <w:jc w:val="center"/>
              <w:rPr>
                <w:color w:val="FFFFFF" w:themeColor="background1"/>
                <w:sz w:val="18"/>
              </w:rPr>
            </w:pPr>
            <w:r w:rsidRPr="00AE2EA6">
              <w:rPr>
                <w:color w:val="FFFFFF" w:themeColor="background1"/>
                <w:sz w:val="18"/>
              </w:rPr>
              <w:t>N/A</w:t>
            </w:r>
          </w:p>
        </w:tc>
      </w:tr>
      <w:tr w:rsidR="00D71281" w:rsidRPr="00AF24CF" w14:paraId="039699EF" w14:textId="77777777" w:rsidTr="00F00EA6">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4C13839" w14:textId="1321A765" w:rsidR="00D71281" w:rsidRPr="00AF24CF" w:rsidRDefault="00D71281" w:rsidP="00F00EA6">
            <w:pPr>
              <w:pStyle w:val="Tableheading"/>
            </w:pPr>
            <w:r w:rsidRPr="00CF4387">
              <w:t>Bad debts</w:t>
            </w:r>
            <w:r>
              <w:t xml:space="preserve"> </w:t>
            </w:r>
            <w:r w:rsidRPr="00D71281">
              <w:rPr>
                <w:b w:val="0"/>
              </w:rPr>
              <w:t>(continued)</w:t>
            </w:r>
          </w:p>
        </w:tc>
      </w:tr>
      <w:tr w:rsidR="00050E73" w14:paraId="69CA1C0E" w14:textId="77777777" w:rsidTr="00D71281">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230B83E" w14:textId="1BAFEC3D" w:rsidR="00050E73" w:rsidRPr="00626B8C" w:rsidRDefault="00050E73" w:rsidP="00C15FAD">
            <w:pPr>
              <w:pStyle w:val="Table"/>
            </w:pPr>
            <w:r w:rsidRPr="00214673">
              <w:t>Ensure that all necessary steps required to write off a debt are completed prior to year</w:t>
            </w:r>
            <w:r>
              <w:t>-</w:t>
            </w:r>
            <w:r w:rsidRPr="00214673">
              <w:t xml:space="preserve">end, and that the debt was previously returned as assessable income or was made in the </w:t>
            </w:r>
            <w:r w:rsidR="003759A2">
              <w:t xml:space="preserve">ordinary </w:t>
            </w:r>
            <w:r w:rsidRPr="00214673">
              <w:t>course of a money lending business.</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219080E" w14:textId="77777777" w:rsidR="00050E73" w:rsidRDefault="00050E73"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556C7AC" w14:textId="77777777" w:rsidR="00050E73" w:rsidRDefault="00050E73"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D36C901" w14:textId="77777777" w:rsidR="00050E73" w:rsidRPr="00AF24CF" w:rsidRDefault="00050E73" w:rsidP="00184E12">
            <w:pPr>
              <w:pStyle w:val="Table"/>
              <w:jc w:val="center"/>
            </w:pPr>
          </w:p>
        </w:tc>
      </w:tr>
      <w:tr w:rsidR="007C6148" w:rsidRPr="00AF24CF" w14:paraId="252BA1D7"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C33DED" w14:textId="77777777" w:rsidR="007C6148" w:rsidRPr="00AF24CF" w:rsidRDefault="007C6148" w:rsidP="007C6148">
            <w:pPr>
              <w:pStyle w:val="Tableheading"/>
            </w:pPr>
            <w:r w:rsidRPr="00CF4387">
              <w:t>Gifts, donations or contributions</w:t>
            </w:r>
          </w:p>
        </w:tc>
      </w:tr>
      <w:tr w:rsidR="00367616" w14:paraId="6C47F49A" w14:textId="77777777" w:rsidTr="00D71281">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075139F" w14:textId="3E42E72B" w:rsidR="003759A2" w:rsidRDefault="00367616" w:rsidP="003759A2">
            <w:pPr>
              <w:pStyle w:val="Table"/>
              <w:keepNext/>
            </w:pPr>
            <w:r w:rsidRPr="002F20EC">
              <w:t>Check whether deductions have been claimed for gifts or contributions made to</w:t>
            </w:r>
            <w:r w:rsidR="003759A2">
              <w:t xml:space="preserve"> endorsed</w:t>
            </w:r>
            <w:r w:rsidRPr="002F20EC">
              <w:t xml:space="preserve"> ‘Deductible Gift Recipients’</w:t>
            </w:r>
            <w:r w:rsidR="00C5357F">
              <w:t>.</w:t>
            </w:r>
          </w:p>
          <w:p w14:paraId="5EFA86A0" w14:textId="27AB400E" w:rsidR="002E502C" w:rsidRDefault="003759A2" w:rsidP="007E6CA8">
            <w:pPr>
              <w:pStyle w:val="Table"/>
              <w:keepNext/>
            </w:pPr>
            <w:r>
              <w:t>If so, confirm that</w:t>
            </w:r>
            <w:r w:rsidRPr="005E76D2">
              <w:t xml:space="preserve"> the client did not receive any tangible benefit from making the donation</w:t>
            </w:r>
            <w:r>
              <w:t xml:space="preserve"> and has receipts to evidence the making of such donations.  </w:t>
            </w:r>
          </w:p>
          <w:p w14:paraId="15EC686F" w14:textId="4FFFE8C8" w:rsidR="00367616" w:rsidRPr="00ED1CC2" w:rsidRDefault="003759A2" w:rsidP="007E6CA8">
            <w:pPr>
              <w:pStyle w:val="Table"/>
              <w:keepNext/>
            </w:pPr>
            <w:r w:rsidRPr="00C108A5">
              <w:rPr>
                <w:b/>
                <w:sz w:val="14"/>
                <w:szCs w:val="14"/>
              </w:rPr>
              <w:t>Note</w:t>
            </w:r>
            <w:r w:rsidRPr="00C108A5">
              <w:rPr>
                <w:sz w:val="14"/>
                <w:szCs w:val="14"/>
              </w:rPr>
              <w:t xml:space="preserve">: section 26-55 of the </w:t>
            </w:r>
            <w:r w:rsidRPr="00C108A5">
              <w:rPr>
                <w:i/>
                <w:sz w:val="14"/>
                <w:szCs w:val="14"/>
              </w:rPr>
              <w:t>Income Tax Assessment Act</w:t>
            </w:r>
            <w:r w:rsidRPr="00C108A5">
              <w:rPr>
                <w:sz w:val="14"/>
                <w:szCs w:val="14"/>
              </w:rPr>
              <w:t xml:space="preserve"> </w:t>
            </w:r>
            <w:r w:rsidRPr="00C108A5">
              <w:rPr>
                <w:i/>
                <w:sz w:val="14"/>
                <w:szCs w:val="14"/>
              </w:rPr>
              <w:t>1997</w:t>
            </w:r>
            <w:r w:rsidRPr="00C108A5">
              <w:rPr>
                <w:sz w:val="14"/>
                <w:szCs w:val="14"/>
              </w:rPr>
              <w:t xml:space="preserve"> (ITAA 1997) limits the amount of the donation deduction</w:t>
            </w:r>
            <w:r>
              <w:rPr>
                <w:sz w:val="14"/>
                <w:szCs w:val="14"/>
              </w:rPr>
              <w:t xml:space="preserve"> as the making of a deductible gift</w:t>
            </w:r>
            <w:r w:rsidRPr="00C108A5">
              <w:rPr>
                <w:sz w:val="14"/>
                <w:szCs w:val="14"/>
              </w:rPr>
              <w:t xml:space="preserve"> cannot create a tax loss. Where the deductible donation amount exceeds this limit, you </w:t>
            </w:r>
            <w:r>
              <w:rPr>
                <w:sz w:val="14"/>
                <w:szCs w:val="14"/>
              </w:rPr>
              <w:t>may</w:t>
            </w:r>
            <w:r w:rsidRPr="00C108A5">
              <w:rPr>
                <w:sz w:val="14"/>
                <w:szCs w:val="14"/>
              </w:rPr>
              <w:t xml:space="preserve"> elect to carry forward the donation deduction and claim this over a maximum of five years (for certain gifts where the conditions of </w:t>
            </w:r>
            <w:r w:rsidR="006828A9">
              <w:rPr>
                <w:sz w:val="14"/>
                <w:szCs w:val="14"/>
              </w:rPr>
              <w:t>S</w:t>
            </w:r>
            <w:r w:rsidRPr="00C108A5">
              <w:rPr>
                <w:sz w:val="14"/>
                <w:szCs w:val="14"/>
              </w:rPr>
              <w:t>ubdivision 30DB of the ITAA 1997 are met).</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96F2E10"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946D715"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DB60E1B" w14:textId="77777777" w:rsidR="00367616" w:rsidRPr="00AF24CF" w:rsidRDefault="00367616" w:rsidP="00184E12">
            <w:pPr>
              <w:pStyle w:val="Table"/>
              <w:jc w:val="center"/>
            </w:pPr>
          </w:p>
        </w:tc>
      </w:tr>
      <w:tr w:rsidR="00A90318" w14:paraId="5AB58FB4" w14:textId="77777777" w:rsidTr="00A90318">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BCD90" w14:textId="03C9BA6C" w:rsidR="00A90318" w:rsidRPr="00A90318" w:rsidRDefault="00A90318" w:rsidP="00A90318">
            <w:pPr>
              <w:pStyle w:val="Table"/>
              <w:rPr>
                <w:b/>
              </w:rPr>
            </w:pPr>
            <w:r w:rsidRPr="00A90318">
              <w:rPr>
                <w:b/>
              </w:rPr>
              <w:t>Comments:</w:t>
            </w:r>
          </w:p>
          <w:p w14:paraId="6D01820C" w14:textId="77777777" w:rsidR="00A90318" w:rsidRDefault="00A90318" w:rsidP="00A90318">
            <w:pPr>
              <w:pStyle w:val="Table"/>
            </w:pPr>
          </w:p>
          <w:p w14:paraId="6DE6E4C4" w14:textId="7222C0A4" w:rsidR="00A90318" w:rsidRDefault="00A90318" w:rsidP="00A90318">
            <w:pPr>
              <w:pStyle w:val="Table"/>
            </w:pPr>
          </w:p>
          <w:p w14:paraId="3A4555CE" w14:textId="08EE0F26" w:rsidR="009065E2" w:rsidRDefault="009065E2" w:rsidP="00A90318">
            <w:pPr>
              <w:pStyle w:val="Table"/>
            </w:pPr>
          </w:p>
          <w:p w14:paraId="2FC7C793" w14:textId="0C5EC3A4" w:rsidR="009065E2" w:rsidRDefault="009065E2" w:rsidP="00A90318">
            <w:pPr>
              <w:pStyle w:val="Table"/>
            </w:pPr>
          </w:p>
          <w:p w14:paraId="2A8414B1" w14:textId="731E3B75" w:rsidR="009065E2" w:rsidRDefault="009065E2" w:rsidP="00A90318">
            <w:pPr>
              <w:pStyle w:val="Table"/>
            </w:pPr>
          </w:p>
          <w:p w14:paraId="69DBF5E8" w14:textId="28D09555" w:rsidR="009065E2" w:rsidRDefault="009065E2" w:rsidP="00A90318">
            <w:pPr>
              <w:pStyle w:val="Table"/>
            </w:pPr>
          </w:p>
          <w:p w14:paraId="64FDA6B5" w14:textId="777F7984" w:rsidR="009065E2" w:rsidRDefault="009065E2" w:rsidP="00A90318">
            <w:pPr>
              <w:pStyle w:val="Table"/>
            </w:pPr>
          </w:p>
          <w:p w14:paraId="040131B0" w14:textId="04609C89" w:rsidR="009065E2" w:rsidRDefault="009065E2" w:rsidP="00A90318">
            <w:pPr>
              <w:pStyle w:val="Table"/>
            </w:pPr>
          </w:p>
          <w:p w14:paraId="4DE32E4F" w14:textId="77777777" w:rsidR="00A90318" w:rsidRDefault="00A90318" w:rsidP="00A90318">
            <w:pPr>
              <w:pStyle w:val="Table"/>
            </w:pPr>
          </w:p>
          <w:p w14:paraId="1F747753" w14:textId="77777777" w:rsidR="00A90318" w:rsidRDefault="00A90318" w:rsidP="00A90318">
            <w:pPr>
              <w:pStyle w:val="Table"/>
            </w:pPr>
          </w:p>
          <w:p w14:paraId="43381CCC" w14:textId="77777777" w:rsidR="00A90318" w:rsidRPr="00AF24CF" w:rsidRDefault="00A90318" w:rsidP="00A90318">
            <w:pPr>
              <w:pStyle w:val="Table"/>
            </w:pPr>
          </w:p>
        </w:tc>
      </w:tr>
    </w:tbl>
    <w:p w14:paraId="68ABD75A" w14:textId="77777777" w:rsidR="00367616" w:rsidRPr="005B7704" w:rsidRDefault="00367616" w:rsidP="005B770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52"/>
        <w:gridCol w:w="752"/>
        <w:gridCol w:w="750"/>
      </w:tblGrid>
      <w:tr w:rsidR="00367616" w:rsidRPr="005B7704" w14:paraId="52CFC2CC" w14:textId="77777777" w:rsidTr="00952FCB">
        <w:trPr>
          <w:tblHeader/>
        </w:trPr>
        <w:tc>
          <w:tcPr>
            <w:tcW w:w="3906" w:type="pct"/>
            <w:tcBorders>
              <w:top w:val="single" w:sz="4" w:space="0" w:color="939598"/>
              <w:bottom w:val="single" w:sz="4" w:space="0" w:color="808080" w:themeColor="background1" w:themeShade="80"/>
              <w:right w:val="single" w:sz="4" w:space="0" w:color="939598"/>
            </w:tcBorders>
            <w:shd w:val="clear" w:color="auto" w:fill="051C3C"/>
          </w:tcPr>
          <w:p w14:paraId="23719248" w14:textId="77777777" w:rsidR="00367616" w:rsidRPr="00AE2EA6" w:rsidRDefault="00367616" w:rsidP="009B6248">
            <w:pPr>
              <w:pStyle w:val="Tableheading"/>
              <w:rPr>
                <w:color w:val="FFFFFF" w:themeColor="background1"/>
                <w:sz w:val="18"/>
              </w:rPr>
            </w:pPr>
            <w:r w:rsidRPr="00AE2EA6">
              <w:rPr>
                <w:color w:val="FFFFFF" w:themeColor="background1"/>
                <w:sz w:val="18"/>
              </w:rPr>
              <w:t>Capital Gains Tax</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7058DED" w14:textId="77777777" w:rsidR="00367616" w:rsidRPr="00AE2EA6" w:rsidRDefault="00367616" w:rsidP="005B7704">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B2298AA" w14:textId="77777777" w:rsidR="00367616" w:rsidRPr="00AE2EA6" w:rsidRDefault="00367616" w:rsidP="005B7704">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51C3C"/>
          </w:tcPr>
          <w:p w14:paraId="494763E2" w14:textId="77777777" w:rsidR="00367616" w:rsidRPr="00AE2EA6" w:rsidRDefault="00367616" w:rsidP="005B7704">
            <w:pPr>
              <w:pStyle w:val="Tableheading"/>
              <w:jc w:val="center"/>
              <w:rPr>
                <w:color w:val="FFFFFF" w:themeColor="background1"/>
                <w:sz w:val="18"/>
              </w:rPr>
            </w:pPr>
            <w:r w:rsidRPr="00AE2EA6">
              <w:rPr>
                <w:color w:val="FFFFFF" w:themeColor="background1"/>
                <w:sz w:val="18"/>
              </w:rPr>
              <w:t>N/A</w:t>
            </w:r>
          </w:p>
        </w:tc>
      </w:tr>
      <w:tr w:rsidR="007C6148" w:rsidRPr="00B340A7" w14:paraId="10BF7220"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70E2F4" w14:textId="77777777" w:rsidR="007C6148" w:rsidRPr="00B340A7" w:rsidRDefault="007C6148" w:rsidP="007C6148">
            <w:pPr>
              <w:pStyle w:val="Tableheading"/>
            </w:pPr>
            <w:r w:rsidRPr="00294357">
              <w:t>CGT discount</w:t>
            </w:r>
          </w:p>
        </w:tc>
      </w:tr>
      <w:tr w:rsidR="00367616" w14:paraId="6E078256"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6429E96" w14:textId="77777777" w:rsidR="00946530" w:rsidRDefault="00367616" w:rsidP="009B6248">
            <w:pPr>
              <w:pStyle w:val="Table"/>
            </w:pPr>
            <w:r w:rsidRPr="00294357">
              <w:t>If the taxpayer is a trust, individual or complying superannuation fund check whether the capital gains made by the taxpayer are eligible for the CGT discount (e.g. capital gain has arisen from the disposal of an asset and the asset has been held by the taxpayer for at least 12 months).</w:t>
            </w:r>
          </w:p>
          <w:p w14:paraId="20538880" w14:textId="049653C3" w:rsidR="00946530" w:rsidRDefault="00946530" w:rsidP="008601F9">
            <w:pPr>
              <w:pStyle w:val="Table"/>
              <w:rPr>
                <w:b/>
                <w:sz w:val="14"/>
                <w:szCs w:val="14"/>
              </w:rPr>
            </w:pPr>
            <w:r w:rsidRPr="009F0C8F">
              <w:rPr>
                <w:b/>
                <w:sz w:val="14"/>
                <w:szCs w:val="14"/>
              </w:rPr>
              <w:t>Note:</w:t>
            </w:r>
            <w:r>
              <w:rPr>
                <w:b/>
                <w:sz w:val="14"/>
                <w:szCs w:val="14"/>
              </w:rPr>
              <w:t xml:space="preserve"> </w:t>
            </w:r>
            <w:r w:rsidRPr="007E6CA8">
              <w:rPr>
                <w:sz w:val="14"/>
                <w:szCs w:val="14"/>
              </w:rPr>
              <w:t xml:space="preserve">check to see if the asset has been held for the full 12 months before any sale at year-end. </w:t>
            </w:r>
            <w:r w:rsidR="00EE349F" w:rsidRPr="00EE349F">
              <w:rPr>
                <w:sz w:val="14"/>
                <w:szCs w:val="14"/>
              </w:rPr>
              <w:t>It</w:t>
            </w:r>
            <w:r w:rsidRPr="007E6CA8">
              <w:rPr>
                <w:sz w:val="14"/>
                <w:szCs w:val="14"/>
              </w:rPr>
              <w:t xml:space="preserve"> should be noted that the date of acquisition and the day of the CGT event are not included in satisfying the 12</w:t>
            </w:r>
            <w:r>
              <w:rPr>
                <w:sz w:val="14"/>
                <w:szCs w:val="14"/>
              </w:rPr>
              <w:t>-</w:t>
            </w:r>
            <w:r w:rsidRPr="007E6CA8">
              <w:rPr>
                <w:sz w:val="14"/>
                <w:szCs w:val="14"/>
              </w:rPr>
              <w:t xml:space="preserve">month holding period (see </w:t>
            </w:r>
            <w:r w:rsidRPr="007E6CA8">
              <w:rPr>
                <w:i/>
                <w:sz w:val="14"/>
                <w:szCs w:val="14"/>
              </w:rPr>
              <w:t>Taxation Determination TD2002/10</w:t>
            </w:r>
            <w:r w:rsidRPr="007E6CA8">
              <w:rPr>
                <w:sz w:val="14"/>
                <w:szCs w:val="14"/>
              </w:rPr>
              <w:t>)</w:t>
            </w:r>
            <w:r>
              <w:rPr>
                <w:sz w:val="14"/>
                <w:szCs w:val="14"/>
              </w:rPr>
              <w:t xml:space="preserve">. Also, </w:t>
            </w:r>
            <w:r w:rsidR="006828A9">
              <w:rPr>
                <w:sz w:val="14"/>
                <w:szCs w:val="14"/>
              </w:rPr>
              <w:t xml:space="preserve">determine whether </w:t>
            </w:r>
            <w:r w:rsidR="00F64E56">
              <w:rPr>
                <w:sz w:val="14"/>
                <w:szCs w:val="14"/>
              </w:rPr>
              <w:t xml:space="preserve">the capital </w:t>
            </w:r>
            <w:r>
              <w:rPr>
                <w:sz w:val="14"/>
                <w:szCs w:val="14"/>
              </w:rPr>
              <w:t>gain is non-discountable because it arose in respect of a</w:t>
            </w:r>
            <w:r w:rsidR="00F64E56">
              <w:rPr>
                <w:sz w:val="14"/>
                <w:szCs w:val="14"/>
              </w:rPr>
              <w:t xml:space="preserve"> CGT event which resulted in the creation of a CGT asset as set out in section 115-25(3) of the </w:t>
            </w:r>
            <w:r w:rsidR="00F64E56" w:rsidRPr="007E6CA8">
              <w:rPr>
                <w:i/>
                <w:sz w:val="14"/>
                <w:szCs w:val="14"/>
              </w:rPr>
              <w:t>Income Tax Assessment Act (1997</w:t>
            </w:r>
            <w:r w:rsidR="00F64E56">
              <w:rPr>
                <w:sz w:val="14"/>
                <w:szCs w:val="14"/>
              </w:rPr>
              <w:t xml:space="preserve">).  </w:t>
            </w:r>
            <w:r>
              <w:rPr>
                <w:sz w:val="14"/>
                <w:szCs w:val="14"/>
              </w:rPr>
              <w:t xml:space="preserve">     </w:t>
            </w:r>
            <w:r w:rsidRPr="007E6CA8">
              <w:rPr>
                <w:sz w:val="14"/>
                <w:szCs w:val="14"/>
              </w:rPr>
              <w:t xml:space="preserve"> </w:t>
            </w:r>
            <w:r>
              <w:rPr>
                <w:b/>
                <w:sz w:val="14"/>
                <w:szCs w:val="14"/>
              </w:rPr>
              <w:t xml:space="preserve">    </w:t>
            </w:r>
          </w:p>
          <w:p w14:paraId="16C32854" w14:textId="521270D6" w:rsidR="00455A37" w:rsidRPr="003A1122" w:rsidRDefault="008E1AD9" w:rsidP="00455A37">
            <w:pPr>
              <w:pStyle w:val="Table"/>
              <w:rPr>
                <w:sz w:val="14"/>
                <w:szCs w:val="14"/>
              </w:rPr>
            </w:pPr>
            <w:r w:rsidRPr="009F0C8F">
              <w:rPr>
                <w:b/>
                <w:sz w:val="14"/>
                <w:szCs w:val="14"/>
              </w:rPr>
              <w:t>Note:</w:t>
            </w:r>
            <w:r w:rsidRPr="009F0C8F">
              <w:rPr>
                <w:sz w:val="14"/>
                <w:szCs w:val="14"/>
              </w:rPr>
              <w:t xml:space="preserve"> i</w:t>
            </w:r>
            <w:r w:rsidR="004346FA" w:rsidRPr="009F0C8F">
              <w:rPr>
                <w:sz w:val="14"/>
                <w:szCs w:val="14"/>
              </w:rPr>
              <w:t xml:space="preserve">f the taxpayer is a foreign resident they will not be eligible for the CGT discount on any capital gain that accrued </w:t>
            </w:r>
            <w:r w:rsidR="00E47710" w:rsidRPr="009F0C8F">
              <w:rPr>
                <w:sz w:val="14"/>
                <w:szCs w:val="14"/>
              </w:rPr>
              <w:t xml:space="preserve">after 8 May 2012. </w:t>
            </w:r>
            <w:r w:rsidR="00595138">
              <w:rPr>
                <w:sz w:val="14"/>
                <w:szCs w:val="14"/>
              </w:rPr>
              <w:t xml:space="preserve">Where the </w:t>
            </w:r>
            <w:r w:rsidR="00E47710" w:rsidRPr="009F0C8F">
              <w:rPr>
                <w:sz w:val="14"/>
                <w:szCs w:val="14"/>
              </w:rPr>
              <w:t xml:space="preserve">foreign resident </w:t>
            </w:r>
            <w:r w:rsidR="006828A9">
              <w:rPr>
                <w:sz w:val="14"/>
                <w:szCs w:val="14"/>
              </w:rPr>
              <w:t>acquired</w:t>
            </w:r>
            <w:r w:rsidR="00E47710" w:rsidRPr="009F0C8F">
              <w:rPr>
                <w:sz w:val="14"/>
                <w:szCs w:val="14"/>
              </w:rPr>
              <w:t xml:space="preserve"> </w:t>
            </w:r>
            <w:r w:rsidR="002536F1" w:rsidRPr="009F0C8F">
              <w:rPr>
                <w:sz w:val="14"/>
                <w:szCs w:val="14"/>
              </w:rPr>
              <w:t>‘</w:t>
            </w:r>
            <w:r w:rsidR="00E47710" w:rsidRPr="009F0C8F">
              <w:rPr>
                <w:sz w:val="14"/>
                <w:szCs w:val="14"/>
              </w:rPr>
              <w:t>taxable Australia real property</w:t>
            </w:r>
            <w:r w:rsidR="002536F1" w:rsidRPr="009F0C8F">
              <w:rPr>
                <w:sz w:val="14"/>
                <w:szCs w:val="14"/>
              </w:rPr>
              <w:t>’</w:t>
            </w:r>
            <w:r w:rsidR="00E47710" w:rsidRPr="009F0C8F">
              <w:rPr>
                <w:sz w:val="14"/>
                <w:szCs w:val="14"/>
              </w:rPr>
              <w:t xml:space="preserve"> </w:t>
            </w:r>
            <w:r w:rsidR="006828A9">
              <w:rPr>
                <w:sz w:val="14"/>
                <w:szCs w:val="14"/>
              </w:rPr>
              <w:t>b</w:t>
            </w:r>
            <w:r w:rsidR="00595138">
              <w:rPr>
                <w:sz w:val="14"/>
                <w:szCs w:val="14"/>
              </w:rPr>
              <w:t xml:space="preserve">efore 8 May 2012 </w:t>
            </w:r>
            <w:r w:rsidR="00E47710" w:rsidRPr="009F0C8F">
              <w:rPr>
                <w:sz w:val="14"/>
                <w:szCs w:val="14"/>
              </w:rPr>
              <w:t>it is recommended that a valuation is obtained to determine the market value of the asset at 8 May 2012</w:t>
            </w:r>
            <w:r w:rsidRPr="009F0C8F">
              <w:rPr>
                <w:sz w:val="14"/>
                <w:szCs w:val="14"/>
              </w:rPr>
              <w:t>,</w:t>
            </w:r>
            <w:r w:rsidR="00E47710" w:rsidRPr="009F0C8F">
              <w:rPr>
                <w:sz w:val="14"/>
                <w:szCs w:val="14"/>
              </w:rPr>
              <w:t xml:space="preserve"> </w:t>
            </w:r>
            <w:r w:rsidR="002536F1" w:rsidRPr="009F0C8F">
              <w:rPr>
                <w:sz w:val="14"/>
                <w:szCs w:val="14"/>
              </w:rPr>
              <w:t>which</w:t>
            </w:r>
            <w:r w:rsidR="00E47710" w:rsidRPr="009F0C8F">
              <w:rPr>
                <w:sz w:val="14"/>
                <w:szCs w:val="14"/>
              </w:rPr>
              <w:t xml:space="preserve"> will enable the CGT discount to be applied to discount the gain (if any) that accrued from acquisition until this date.</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7EED6B6" w14:textId="77777777" w:rsidR="00367616" w:rsidRDefault="00367616" w:rsidP="005B770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0AFE6CD" w14:textId="77777777" w:rsidR="00367616" w:rsidRDefault="00367616" w:rsidP="005B770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736026A" w14:textId="77777777" w:rsidR="00367616" w:rsidRDefault="00367616" w:rsidP="005B7704">
            <w:pPr>
              <w:pStyle w:val="Table"/>
              <w:jc w:val="center"/>
            </w:pPr>
          </w:p>
        </w:tc>
      </w:tr>
      <w:tr w:rsidR="00A90318" w:rsidRPr="00B340A7" w14:paraId="7A4698F3" w14:textId="77777777" w:rsidTr="00F00EA6">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23FF27D" w14:textId="32EF1F83" w:rsidR="00A90318" w:rsidRPr="00B340A7" w:rsidRDefault="00A90318" w:rsidP="00A90318">
            <w:pPr>
              <w:pStyle w:val="Tableheading"/>
            </w:pPr>
            <w:r w:rsidRPr="00294357">
              <w:t>C</w:t>
            </w:r>
            <w:r>
              <w:t>apital gains withholding</w:t>
            </w:r>
          </w:p>
        </w:tc>
      </w:tr>
      <w:tr w:rsidR="00EC1AE3" w14:paraId="23E97FEA"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C9100B9" w14:textId="1A98BC09" w:rsidR="00EC1AE3" w:rsidRDefault="00F06314" w:rsidP="009B6248">
            <w:pPr>
              <w:pStyle w:val="Table"/>
            </w:pPr>
            <w:r>
              <w:t>A</w:t>
            </w:r>
            <w:r w:rsidR="00EC1AE3" w:rsidRPr="007E6CA8">
              <w:t xml:space="preserve"> 10% non-final withholding tax applies to vendors selling certain taxable Australian property on or after 1 July 2016</w:t>
            </w:r>
            <w:r w:rsidR="00A90318">
              <w:t>,</w:t>
            </w:r>
            <w:r w:rsidR="00EC1AE3" w:rsidRPr="007E6CA8">
              <w:t xml:space="preserve"> which needs to be retained by the purchaser at settlement and remitted to the ATO. </w:t>
            </w:r>
            <w:r w:rsidR="0073201B">
              <w:t xml:space="preserve"> </w:t>
            </w:r>
            <w:r w:rsidR="00EC1AE3" w:rsidRPr="007E6CA8">
              <w:t xml:space="preserve">However, such tax will not need to be retained on a sale of </w:t>
            </w:r>
            <w:r w:rsidR="0073201B">
              <w:t>such p</w:t>
            </w:r>
            <w:r w:rsidR="00EC1AE3" w:rsidRPr="007E6CA8">
              <w:t>roperty if the vendor obtains a clearance certificate from the ATO prior to settlement</w:t>
            </w:r>
            <w:r w:rsidR="0073201B">
              <w:t xml:space="preserve"> or if an exemption or variation otherwise applies</w:t>
            </w:r>
            <w:r w:rsidR="00EC1AE3" w:rsidRPr="007E6CA8">
              <w:t xml:space="preserve">. </w:t>
            </w:r>
          </w:p>
          <w:p w14:paraId="5D9D1C90" w14:textId="0597B624" w:rsidR="00EC1AE3" w:rsidRPr="00EC1AE3" w:rsidRDefault="00A90318" w:rsidP="00A90318">
            <w:pPr>
              <w:pStyle w:val="Table"/>
              <w:rPr>
                <w:b/>
              </w:rPr>
            </w:pPr>
            <w:r>
              <w:rPr>
                <w:b/>
                <w:sz w:val="14"/>
                <w:szCs w:val="14"/>
              </w:rPr>
              <w:t>Note:</w:t>
            </w:r>
            <w:r w:rsidR="00EC1AE3">
              <w:rPr>
                <w:b/>
                <w:sz w:val="14"/>
                <w:szCs w:val="14"/>
              </w:rPr>
              <w:t xml:space="preserve"> </w:t>
            </w:r>
            <w:r w:rsidRPr="00A90318">
              <w:rPr>
                <w:sz w:val="14"/>
                <w:szCs w:val="14"/>
              </w:rPr>
              <w:t>t</w:t>
            </w:r>
            <w:r w:rsidR="00EC1AE3">
              <w:rPr>
                <w:sz w:val="14"/>
                <w:szCs w:val="14"/>
              </w:rPr>
              <w:t xml:space="preserve">he Government proposed various amendments to these rules in the 2017-18 Federal Budget </w:t>
            </w:r>
            <w:r w:rsidR="0073201B">
              <w:rPr>
                <w:sz w:val="14"/>
                <w:szCs w:val="14"/>
              </w:rPr>
              <w:t>in relation to contracts entered into on or after</w:t>
            </w:r>
            <w:r w:rsidR="00EC1AE3">
              <w:rPr>
                <w:sz w:val="14"/>
                <w:szCs w:val="14"/>
              </w:rPr>
              <w:t xml:space="preserve"> 1 July 2017</w:t>
            </w:r>
            <w:r>
              <w:rPr>
                <w:sz w:val="14"/>
                <w:szCs w:val="14"/>
              </w:rPr>
              <w:t>,</w:t>
            </w:r>
            <w:r w:rsidR="00EC1AE3">
              <w:rPr>
                <w:sz w:val="14"/>
                <w:szCs w:val="14"/>
              </w:rPr>
              <w:t xml:space="preserve"> including increasing the rate of withholding tax from 10% to 12.5%.</w:t>
            </w:r>
            <w:r w:rsidR="0073201B">
              <w:rPr>
                <w:sz w:val="14"/>
                <w:szCs w:val="14"/>
              </w:rPr>
              <w:t xml:space="preserve"> </w:t>
            </w:r>
            <w:r w:rsidR="00EC1AE3">
              <w:rPr>
                <w:sz w:val="14"/>
                <w:szCs w:val="14"/>
              </w:rPr>
              <w:t xml:space="preserve">The </w:t>
            </w:r>
            <w:r w:rsidR="0073201B">
              <w:rPr>
                <w:sz w:val="14"/>
                <w:szCs w:val="14"/>
              </w:rPr>
              <w:t xml:space="preserve">operation of the </w:t>
            </w:r>
            <w:r w:rsidR="00EC1AE3">
              <w:rPr>
                <w:sz w:val="14"/>
                <w:szCs w:val="14"/>
              </w:rPr>
              <w:t xml:space="preserve">foreign resident capital gains withholding regime is complex and specialist advice should be sought where required.      </w:t>
            </w:r>
            <w:r w:rsidR="00EC1AE3" w:rsidRPr="003A1122">
              <w:rPr>
                <w:sz w:val="14"/>
                <w:szCs w:val="14"/>
              </w:rPr>
              <w:t xml:space="preserve">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F5D9DBF" w14:textId="77777777" w:rsidR="00EC1AE3" w:rsidRDefault="00EC1AE3" w:rsidP="005B770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57995A1" w14:textId="77777777" w:rsidR="00EC1AE3" w:rsidRDefault="00EC1AE3" w:rsidP="005B770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46E3B65" w14:textId="77777777" w:rsidR="00EC1AE3" w:rsidRDefault="00EC1AE3" w:rsidP="005B7704">
            <w:pPr>
              <w:pStyle w:val="Table"/>
              <w:jc w:val="center"/>
            </w:pPr>
          </w:p>
        </w:tc>
      </w:tr>
      <w:tr w:rsidR="007C6148" w:rsidRPr="00AF24CF" w14:paraId="3336E84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11FFCED" w14:textId="77777777" w:rsidR="007C6148" w:rsidRPr="00AF24CF" w:rsidRDefault="007C6148" w:rsidP="007C6148">
            <w:pPr>
              <w:pStyle w:val="Tableheading"/>
            </w:pPr>
            <w:r w:rsidRPr="00294357">
              <w:t>Unrealised losses and CGT</w:t>
            </w:r>
          </w:p>
        </w:tc>
      </w:tr>
      <w:tr w:rsidR="00367616" w14:paraId="53550840"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C7A30B4" w14:textId="29DD3134" w:rsidR="00367616" w:rsidRPr="00ED1CC2" w:rsidRDefault="00367616" w:rsidP="00961B8A">
            <w:pPr>
              <w:pStyle w:val="Table"/>
              <w:ind w:right="-57"/>
            </w:pPr>
            <w:r w:rsidRPr="00294357">
              <w:t xml:space="preserve">If the taxpayer is a company, have you considered the unrealised loss rules in Subdivision 165-CC of the </w:t>
            </w:r>
            <w:r w:rsidRPr="007E6CA8">
              <w:rPr>
                <w:i/>
              </w:rPr>
              <w:t>I</w:t>
            </w:r>
            <w:r w:rsidR="0073201B" w:rsidRPr="007E6CA8">
              <w:rPr>
                <w:i/>
              </w:rPr>
              <w:t>ncome Tax Assessment Act (</w:t>
            </w:r>
            <w:r w:rsidRPr="007E6CA8">
              <w:rPr>
                <w:i/>
              </w:rPr>
              <w:t>1997</w:t>
            </w:r>
            <w:r w:rsidR="0073201B" w:rsidRPr="007E6CA8">
              <w:rPr>
                <w:i/>
              </w:rPr>
              <w:t>)</w:t>
            </w:r>
            <w:r w:rsidRPr="00294357">
              <w:t xml:space="preserve"> in relation to the disposal of CGT assets that were held at a change over time (i.e. change in the ownership or control of the company).</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6AB50B7" w14:textId="77777777" w:rsidR="00367616" w:rsidRDefault="00367616" w:rsidP="005B770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54468D5" w14:textId="77777777" w:rsidR="00367616" w:rsidRDefault="00367616" w:rsidP="005B770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C765985" w14:textId="77777777" w:rsidR="00367616" w:rsidRPr="00AF24CF" w:rsidRDefault="00367616" w:rsidP="005B7704">
            <w:pPr>
              <w:pStyle w:val="Table"/>
              <w:jc w:val="center"/>
            </w:pPr>
          </w:p>
        </w:tc>
      </w:tr>
    </w:tbl>
    <w:p w14:paraId="46DE8AA1" w14:textId="283CBA42" w:rsidR="00F16659" w:rsidRDefault="00910C31">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52"/>
        <w:gridCol w:w="752"/>
        <w:gridCol w:w="750"/>
      </w:tblGrid>
      <w:tr w:rsidR="00F16659" w14:paraId="2DA79145" w14:textId="77777777" w:rsidTr="00952FCB">
        <w:tc>
          <w:tcPr>
            <w:tcW w:w="3906" w:type="pct"/>
            <w:tcBorders>
              <w:top w:val="single" w:sz="4" w:space="0" w:color="939598"/>
              <w:bottom w:val="single" w:sz="4" w:space="0" w:color="808080" w:themeColor="background1" w:themeShade="80"/>
              <w:right w:val="single" w:sz="4" w:space="0" w:color="939598"/>
            </w:tcBorders>
            <w:shd w:val="clear" w:color="auto" w:fill="0F243E" w:themeFill="text2" w:themeFillShade="80"/>
          </w:tcPr>
          <w:p w14:paraId="627928EA" w14:textId="77777777" w:rsidR="00F16659" w:rsidRPr="00F16659" w:rsidRDefault="00F16659" w:rsidP="00F16659">
            <w:pPr>
              <w:pStyle w:val="TableBullet"/>
              <w:numPr>
                <w:ilvl w:val="0"/>
                <w:numId w:val="0"/>
              </w:numPr>
              <w:ind w:left="360" w:hanging="360"/>
              <w:rPr>
                <w:b/>
              </w:rPr>
            </w:pPr>
            <w:r w:rsidRPr="00F16659">
              <w:rPr>
                <w:b/>
                <w:color w:val="FFFFFF" w:themeColor="background1"/>
                <w:sz w:val="18"/>
              </w:rPr>
              <w:lastRenderedPageBreak/>
              <w:t>Capital Gains Tax</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5D237E76" w14:textId="77777777" w:rsidR="00F16659" w:rsidRPr="00AE2EA6" w:rsidRDefault="00F16659" w:rsidP="005C0F0C">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35B74C76" w14:textId="77777777" w:rsidR="00F16659" w:rsidRPr="00AE2EA6" w:rsidRDefault="00F16659" w:rsidP="005C0F0C">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F243E" w:themeFill="text2" w:themeFillShade="80"/>
          </w:tcPr>
          <w:p w14:paraId="53FD0B4E" w14:textId="77777777" w:rsidR="00F16659" w:rsidRPr="00AE2EA6" w:rsidRDefault="00F16659" w:rsidP="005C0F0C">
            <w:pPr>
              <w:pStyle w:val="Tableheading"/>
              <w:jc w:val="center"/>
              <w:rPr>
                <w:color w:val="FFFFFF" w:themeColor="background1"/>
                <w:sz w:val="18"/>
              </w:rPr>
            </w:pPr>
            <w:r w:rsidRPr="00AE2EA6">
              <w:rPr>
                <w:color w:val="FFFFFF" w:themeColor="background1"/>
                <w:sz w:val="18"/>
              </w:rPr>
              <w:t>N/A</w:t>
            </w:r>
          </w:p>
        </w:tc>
      </w:tr>
      <w:tr w:rsidR="00F16659" w14:paraId="1DED2666"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07CC70E" w14:textId="778153F3" w:rsidR="00F16659" w:rsidRPr="001E7F2A" w:rsidRDefault="00F16659" w:rsidP="005C0F0C">
            <w:pPr>
              <w:pStyle w:val="Table"/>
              <w:keepNext/>
              <w:rPr>
                <w:b/>
              </w:rPr>
            </w:pPr>
            <w:r w:rsidRPr="001E7F2A">
              <w:rPr>
                <w:b/>
              </w:rPr>
              <w:t>Small busi</w:t>
            </w:r>
            <w:r w:rsidR="00910C31">
              <w:rPr>
                <w:b/>
              </w:rPr>
              <w:t>ness CGT concessions</w:t>
            </w:r>
          </w:p>
        </w:tc>
      </w:tr>
      <w:tr w:rsidR="00910C31" w14:paraId="4FC8C319"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0258B" w14:textId="77777777" w:rsidR="00910C31" w:rsidRDefault="00910C31" w:rsidP="00910C31">
            <w:pPr>
              <w:pStyle w:val="Table"/>
            </w:pPr>
            <w:r>
              <w:t xml:space="preserve">Check whether the taxpayer satisfies all of the </w:t>
            </w:r>
            <w:r w:rsidRPr="00294357">
              <w:rPr>
                <w:b/>
              </w:rPr>
              <w:t>basic conditions</w:t>
            </w:r>
            <w:r>
              <w:t xml:space="preserve"> set out below for the small business CGT relief:</w:t>
            </w:r>
          </w:p>
          <w:p w14:paraId="25BD0C88" w14:textId="77777777" w:rsidR="00910C31" w:rsidRDefault="00910C31" w:rsidP="00910C31">
            <w:pPr>
              <w:pStyle w:val="Tablealphabullet"/>
              <w:ind w:left="709" w:hanging="425"/>
            </w:pPr>
            <w:r>
              <w:t>a CGT event happens in relation to a CGT asset and a capital gain arises</w:t>
            </w:r>
          </w:p>
          <w:p w14:paraId="60967860" w14:textId="77777777" w:rsidR="00910C31" w:rsidRDefault="00910C31" w:rsidP="00910C31">
            <w:pPr>
              <w:pStyle w:val="Tablealphabullet"/>
              <w:ind w:left="709" w:hanging="425"/>
            </w:pPr>
            <w:r>
              <w:t>the taxpayer satisfies either the:</w:t>
            </w:r>
          </w:p>
          <w:p w14:paraId="0794D2D8" w14:textId="77777777" w:rsidR="00910C31" w:rsidRDefault="00910C31" w:rsidP="00910C31">
            <w:pPr>
              <w:pStyle w:val="Tablealphabullet"/>
              <w:numPr>
                <w:ilvl w:val="0"/>
                <w:numId w:val="36"/>
              </w:numPr>
              <w:tabs>
                <w:tab w:val="clear" w:pos="709"/>
                <w:tab w:val="left" w:pos="1134"/>
              </w:tabs>
              <w:ind w:left="1134" w:hanging="425"/>
            </w:pPr>
            <w:r>
              <w:t>$6m maximum net asset value test or</w:t>
            </w:r>
          </w:p>
          <w:p w14:paraId="73696562" w14:textId="77777777" w:rsidR="00910C31" w:rsidRDefault="00910C31" w:rsidP="00910C31">
            <w:pPr>
              <w:pStyle w:val="Tablealphabullet"/>
              <w:tabs>
                <w:tab w:val="clear" w:pos="709"/>
                <w:tab w:val="left" w:pos="1134"/>
              </w:tabs>
              <w:ind w:left="1134" w:hanging="425"/>
            </w:pPr>
            <w:r>
              <w:t>$2m small business entity test and</w:t>
            </w:r>
          </w:p>
          <w:p w14:paraId="2D63544B" w14:textId="25B57268" w:rsidR="00910C31" w:rsidRDefault="00910C31" w:rsidP="00910C31">
            <w:pPr>
              <w:pStyle w:val="Tablealphabullet"/>
              <w:ind w:left="709" w:hanging="425"/>
            </w:pPr>
            <w:r>
              <w:t xml:space="preserve">the </w:t>
            </w:r>
            <w:r w:rsidR="00C92BE7">
              <w:t>CGT asset</w:t>
            </w:r>
            <w:r>
              <w:t xml:space="preserve"> satisfies the active asset test.</w:t>
            </w:r>
          </w:p>
          <w:p w14:paraId="56A5861B" w14:textId="5F23859E" w:rsidR="00910C31" w:rsidRPr="009F0C8F" w:rsidRDefault="00910C31" w:rsidP="00910C31">
            <w:pPr>
              <w:rPr>
                <w:sz w:val="14"/>
                <w:szCs w:val="14"/>
              </w:rPr>
            </w:pPr>
            <w:r w:rsidRPr="009F0C8F">
              <w:rPr>
                <w:b/>
                <w:sz w:val="14"/>
                <w:szCs w:val="14"/>
              </w:rPr>
              <w:t>Note:</w:t>
            </w:r>
            <w:r w:rsidRPr="009F0C8F">
              <w:rPr>
                <w:sz w:val="14"/>
                <w:szCs w:val="14"/>
              </w:rPr>
              <w:t xml:space="preserve"> </w:t>
            </w:r>
            <w:r>
              <w:rPr>
                <w:sz w:val="14"/>
                <w:szCs w:val="14"/>
              </w:rPr>
              <w:t>t</w:t>
            </w:r>
            <w:r w:rsidRPr="003A1122">
              <w:rPr>
                <w:sz w:val="14"/>
                <w:szCs w:val="14"/>
              </w:rPr>
              <w:t xml:space="preserve">he $6 million maximum net asset value test </w:t>
            </w:r>
            <w:r w:rsidRPr="00C15FAD">
              <w:rPr>
                <w:sz w:val="14"/>
                <w:szCs w:val="14"/>
              </w:rPr>
              <w:t xml:space="preserve">requires that </w:t>
            </w:r>
            <w:r w:rsidRPr="003A1122">
              <w:rPr>
                <w:sz w:val="14"/>
                <w:szCs w:val="14"/>
              </w:rPr>
              <w:t xml:space="preserve">the aggregate net market value of CGT assets of the taxpayer, the taxpayer’s affiliates and entities connected with the taxpayer cannot exceed $6 million just before the CGT event occurs in an income year. </w:t>
            </w:r>
            <w:r w:rsidRPr="00C15FAD">
              <w:rPr>
                <w:sz w:val="14"/>
                <w:szCs w:val="14"/>
              </w:rPr>
              <w:t>By comparison the</w:t>
            </w:r>
            <w:r w:rsidRPr="003A1122">
              <w:rPr>
                <w:sz w:val="14"/>
                <w:szCs w:val="14"/>
              </w:rPr>
              <w:t xml:space="preserve"> small business entity test the taxpayer must be carrying on a business, and the aggregated turnover of the taxpayer, the taxpayer’s affiliates and entities connected with the taxpayer must be less than $2 million</w:t>
            </w:r>
            <w:r w:rsidR="00F64E56">
              <w:rPr>
                <w:sz w:val="14"/>
                <w:szCs w:val="14"/>
              </w:rPr>
              <w:t>.</w:t>
            </w:r>
            <w:r w:rsidR="00DB25A2">
              <w:rPr>
                <w:sz w:val="14"/>
                <w:szCs w:val="14"/>
              </w:rPr>
              <w:t xml:space="preserve"> </w:t>
            </w:r>
            <w:r>
              <w:rPr>
                <w:sz w:val="14"/>
                <w:szCs w:val="14"/>
              </w:rPr>
              <w:t xml:space="preserve">Very broadly, </w:t>
            </w:r>
            <w:r w:rsidR="00DB25A2">
              <w:rPr>
                <w:sz w:val="14"/>
                <w:szCs w:val="14"/>
              </w:rPr>
              <w:t>the asset must be used in carrying on a business but can extend to certain assets held by connected entities, affiliates and partners in a partnership where those entities do not carry on a business if</w:t>
            </w:r>
            <w:r>
              <w:rPr>
                <w:sz w:val="14"/>
                <w:szCs w:val="14"/>
              </w:rPr>
              <w:t xml:space="preserve"> the basic conditions are otherwise met</w:t>
            </w:r>
            <w:r w:rsidRPr="009F0C8F">
              <w:rPr>
                <w:sz w:val="14"/>
                <w:szCs w:val="14"/>
              </w:rPr>
              <w:t>.</w:t>
            </w:r>
          </w:p>
          <w:p w14:paraId="271690E1" w14:textId="77777777" w:rsidR="00910C31" w:rsidRPr="009F0C8F" w:rsidRDefault="00910C31" w:rsidP="00910C31">
            <w:pPr>
              <w:pStyle w:val="Table"/>
              <w:keepNext/>
              <w:rPr>
                <w:sz w:val="14"/>
                <w:szCs w:val="14"/>
              </w:rPr>
            </w:pPr>
            <w:r w:rsidRPr="009F0C8F">
              <w:rPr>
                <w:sz w:val="14"/>
                <w:szCs w:val="14"/>
              </w:rPr>
              <w:t xml:space="preserve">If the CGT asset is a directly owned share in a company or an interest in a trust, the taxpayer must be a CGT concession stakeholder in the company or trust. </w:t>
            </w:r>
          </w:p>
          <w:p w14:paraId="3B375E37" w14:textId="27C0BDC3" w:rsidR="00910C31" w:rsidRDefault="00910C31" w:rsidP="00910C31">
            <w:pPr>
              <w:pStyle w:val="TableBullet"/>
              <w:numPr>
                <w:ilvl w:val="0"/>
                <w:numId w:val="0"/>
              </w:numPr>
            </w:pPr>
            <w:r w:rsidRPr="009F0C8F">
              <w:rPr>
                <w:sz w:val="14"/>
                <w:szCs w:val="14"/>
              </w:rPr>
              <w:t>If the CGT asset is a share in a company or an interest in a trust which is owned by an interposed entity the taxpayer must be a CGT concession stakeholder in respect of the object company or trust. In addition, CGT concession stakeholders in that object company or trust must together also have a small business participation percentage of at least 90% in the interposed entity which makes the capital gain in respect of the share or interests in the object company or trust.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2632E1" w14:textId="77777777" w:rsidR="00910C31" w:rsidRDefault="00910C31"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AC5D8" w14:textId="77777777" w:rsidR="00910C31" w:rsidRDefault="00910C31"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4BCB9" w14:textId="77777777" w:rsidR="00910C31" w:rsidRPr="00AF24CF" w:rsidRDefault="00910C31" w:rsidP="005B7704">
            <w:pPr>
              <w:pStyle w:val="Table"/>
              <w:jc w:val="center"/>
            </w:pPr>
          </w:p>
        </w:tc>
      </w:tr>
      <w:tr w:rsidR="00F16659" w14:paraId="6AFBF3E3"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6E761" w14:textId="77777777" w:rsidR="00F16659" w:rsidRDefault="00F16659" w:rsidP="00F16659">
            <w:pPr>
              <w:pStyle w:val="TableBullet"/>
              <w:numPr>
                <w:ilvl w:val="0"/>
                <w:numId w:val="0"/>
              </w:numPr>
            </w:pPr>
            <w:r>
              <w:t>Consider whether the taxpayer is eligible to utilise any of the following concessions:</w:t>
            </w:r>
          </w:p>
          <w:p w14:paraId="0E47434A" w14:textId="17EBEB73" w:rsidR="00F16659" w:rsidRDefault="00F16659" w:rsidP="00F16659">
            <w:pPr>
              <w:pStyle w:val="TableBullet"/>
            </w:pPr>
            <w:r>
              <w:t xml:space="preserve">the small business </w:t>
            </w:r>
            <w:r w:rsidR="00CE0E38">
              <w:t>15-year</w:t>
            </w:r>
            <w:r>
              <w:t xml:space="preserve"> exemption</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D398F" w14:textId="77777777" w:rsidR="00F16659" w:rsidRDefault="00F16659"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60E52" w14:textId="77777777" w:rsidR="00F16659" w:rsidRDefault="00F16659"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2044CB" w14:textId="77777777" w:rsidR="00F16659" w:rsidRPr="00AF24CF" w:rsidRDefault="00F16659" w:rsidP="005B7704">
            <w:pPr>
              <w:pStyle w:val="Table"/>
              <w:jc w:val="center"/>
            </w:pPr>
          </w:p>
        </w:tc>
      </w:tr>
      <w:tr w:rsidR="00F16659" w14:paraId="361CF064"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C84AFE" w14:textId="77777777" w:rsidR="00F16659" w:rsidRPr="00294357" w:rsidRDefault="00F16659" w:rsidP="00D107C9">
            <w:pPr>
              <w:pStyle w:val="TableBullet"/>
            </w:pPr>
            <w:r>
              <w:t>the small business 50% reduction</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1D21B" w14:textId="77777777" w:rsidR="00F16659" w:rsidRDefault="00F16659"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63BDD" w14:textId="77777777" w:rsidR="00F16659" w:rsidRDefault="00F16659"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034FE5" w14:textId="77777777" w:rsidR="00F16659" w:rsidRPr="00AF24CF" w:rsidRDefault="00F16659" w:rsidP="005B7704">
            <w:pPr>
              <w:pStyle w:val="Table"/>
              <w:jc w:val="center"/>
            </w:pPr>
          </w:p>
        </w:tc>
      </w:tr>
      <w:tr w:rsidR="00F16659" w14:paraId="64744A6F"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3EEAE6" w14:textId="77777777" w:rsidR="00F16659" w:rsidRPr="00070D23" w:rsidRDefault="00F16659" w:rsidP="007C2D15">
            <w:pPr>
              <w:pStyle w:val="TableBullet"/>
            </w:pPr>
            <w:r w:rsidRPr="00294357">
              <w:t>the small business retirement exemption</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6205D" w14:textId="77777777" w:rsidR="00F16659" w:rsidRDefault="00F16659"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4936E" w14:textId="77777777" w:rsidR="00F16659" w:rsidRDefault="00F16659"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8E8B5" w14:textId="77777777" w:rsidR="00F16659" w:rsidRPr="00AF24CF" w:rsidRDefault="00F16659" w:rsidP="005B7704">
            <w:pPr>
              <w:pStyle w:val="Table"/>
              <w:jc w:val="center"/>
            </w:pPr>
          </w:p>
        </w:tc>
      </w:tr>
      <w:tr w:rsidR="00F16659" w14:paraId="499B25AF"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CE7EF" w14:textId="77777777" w:rsidR="00F16659" w:rsidRDefault="00F16659" w:rsidP="007C2D15">
            <w:pPr>
              <w:pStyle w:val="TableBullet"/>
            </w:pPr>
            <w:r w:rsidRPr="00294357">
              <w:t>the small business roll-over.</w:t>
            </w:r>
          </w:p>
          <w:p w14:paraId="3DC44C70" w14:textId="54606D69" w:rsidR="00DB25A2" w:rsidRDefault="001F2E3A" w:rsidP="008B461C">
            <w:pPr>
              <w:pStyle w:val="Tableheading"/>
              <w:rPr>
                <w:b w:val="0"/>
                <w:sz w:val="14"/>
                <w:szCs w:val="14"/>
              </w:rPr>
            </w:pPr>
            <w:r w:rsidRPr="003A1122">
              <w:rPr>
                <w:sz w:val="14"/>
                <w:szCs w:val="14"/>
              </w:rPr>
              <w:t>Note</w:t>
            </w:r>
            <w:r w:rsidRPr="003A1122">
              <w:rPr>
                <w:b w:val="0"/>
                <w:sz w:val="14"/>
                <w:szCs w:val="14"/>
              </w:rPr>
              <w:t>:</w:t>
            </w:r>
            <w:r w:rsidR="00DB25A2">
              <w:rPr>
                <w:b w:val="0"/>
                <w:sz w:val="14"/>
                <w:szCs w:val="14"/>
              </w:rPr>
              <w:t xml:space="preserve"> compliance with</w:t>
            </w:r>
            <w:r w:rsidRPr="003A1122">
              <w:rPr>
                <w:b w:val="0"/>
                <w:sz w:val="14"/>
                <w:szCs w:val="14"/>
              </w:rPr>
              <w:t xml:space="preserve"> </w:t>
            </w:r>
            <w:r w:rsidR="00DB25A2">
              <w:rPr>
                <w:b w:val="0"/>
                <w:sz w:val="14"/>
                <w:szCs w:val="14"/>
              </w:rPr>
              <w:t>the small business CGT concessions is an area of ATO focus and the eligibility conditions are difficult to satisfy</w:t>
            </w:r>
            <w:r w:rsidR="004B0C9B">
              <w:rPr>
                <w:b w:val="0"/>
                <w:sz w:val="14"/>
                <w:szCs w:val="14"/>
              </w:rPr>
              <w:t>,</w:t>
            </w:r>
            <w:r w:rsidR="00DB25A2">
              <w:rPr>
                <w:b w:val="0"/>
                <w:sz w:val="14"/>
                <w:szCs w:val="14"/>
              </w:rPr>
              <w:t xml:space="preserve"> especially the $6 million maximum net asset value test which has been litigated on several occasions. Accordingly, care should be taken and specialist advice obtained where required.   </w:t>
            </w:r>
          </w:p>
          <w:p w14:paraId="5C5866A1" w14:textId="6272E5B6" w:rsidR="001F2E3A" w:rsidRPr="00070D23" w:rsidRDefault="00C92BE7" w:rsidP="008B461C">
            <w:pPr>
              <w:pStyle w:val="Tableheading"/>
            </w:pPr>
            <w:r w:rsidRPr="003A1122">
              <w:rPr>
                <w:sz w:val="14"/>
                <w:szCs w:val="14"/>
              </w:rPr>
              <w:t>Note</w:t>
            </w:r>
            <w:r w:rsidRPr="003A1122">
              <w:rPr>
                <w:b w:val="0"/>
                <w:sz w:val="14"/>
                <w:szCs w:val="14"/>
              </w:rPr>
              <w:t>:</w:t>
            </w:r>
            <w:r>
              <w:rPr>
                <w:b w:val="0"/>
                <w:sz w:val="14"/>
                <w:szCs w:val="14"/>
              </w:rPr>
              <w:t xml:space="preserve"> where not all </w:t>
            </w:r>
            <w:r w:rsidR="00E119EC">
              <w:rPr>
                <w:b w:val="0"/>
                <w:sz w:val="14"/>
                <w:szCs w:val="14"/>
              </w:rPr>
              <w:t xml:space="preserve">of </w:t>
            </w:r>
            <w:r>
              <w:rPr>
                <w:b w:val="0"/>
                <w:sz w:val="14"/>
                <w:szCs w:val="14"/>
              </w:rPr>
              <w:t xml:space="preserve">the capital gain can be reduced under the CGT Discount and small business concessions consider whether rollover relief should be sought under </w:t>
            </w:r>
            <w:r w:rsidR="001F2E3A" w:rsidRPr="003A1122">
              <w:rPr>
                <w:b w:val="0"/>
                <w:sz w:val="14"/>
                <w:szCs w:val="14"/>
              </w:rPr>
              <w:t>the small business entity CGT</w:t>
            </w:r>
            <w:r w:rsidR="001F2E3A">
              <w:rPr>
                <w:b w:val="0"/>
                <w:sz w:val="14"/>
                <w:szCs w:val="14"/>
              </w:rPr>
              <w:t xml:space="preserve"> restructure </w:t>
            </w:r>
            <w:r w:rsidR="001F2E3A" w:rsidRPr="003A1122">
              <w:rPr>
                <w:b w:val="0"/>
                <w:sz w:val="14"/>
                <w:szCs w:val="14"/>
              </w:rPr>
              <w:t>rollover</w:t>
            </w:r>
            <w:r w:rsidR="001F2E3A">
              <w:rPr>
                <w:b w:val="0"/>
                <w:sz w:val="14"/>
                <w:szCs w:val="14"/>
              </w:rPr>
              <w:t xml:space="preserve"> relief</w:t>
            </w:r>
            <w:r>
              <w:rPr>
                <w:b w:val="0"/>
                <w:sz w:val="14"/>
                <w:szCs w:val="14"/>
              </w:rPr>
              <w:t xml:space="preserve"> under </w:t>
            </w:r>
            <w:r w:rsidR="00E119EC">
              <w:rPr>
                <w:b w:val="0"/>
                <w:sz w:val="14"/>
                <w:szCs w:val="14"/>
              </w:rPr>
              <w:t xml:space="preserve">Subdivision 328-G of the </w:t>
            </w:r>
            <w:r w:rsidR="00E119EC" w:rsidRPr="007E6CA8">
              <w:rPr>
                <w:b w:val="0"/>
                <w:i/>
                <w:sz w:val="14"/>
                <w:szCs w:val="14"/>
              </w:rPr>
              <w:t>Income Tax Assessment Act (1997)</w:t>
            </w:r>
            <w:r w:rsidR="001F2E3A" w:rsidRPr="003A1122">
              <w:rPr>
                <w:b w:val="0"/>
                <w:sz w:val="14"/>
                <w:szCs w:val="14"/>
              </w:rPr>
              <w:t xml:space="preserve">. </w:t>
            </w:r>
            <w:r w:rsidR="00E119EC">
              <w:rPr>
                <w:b w:val="0"/>
                <w:sz w:val="14"/>
                <w:szCs w:val="14"/>
              </w:rPr>
              <w:t>Very b</w:t>
            </w:r>
            <w:r w:rsidR="001F2E3A" w:rsidRPr="003A1122">
              <w:rPr>
                <w:b w:val="0"/>
                <w:sz w:val="14"/>
                <w:szCs w:val="14"/>
              </w:rPr>
              <w:t xml:space="preserve">roadly, these provisions apply </w:t>
            </w:r>
            <w:r w:rsidR="00455A37">
              <w:rPr>
                <w:b w:val="0"/>
                <w:sz w:val="14"/>
                <w:szCs w:val="14"/>
              </w:rPr>
              <w:t xml:space="preserve">on or after 1 July 2016 </w:t>
            </w:r>
            <w:r w:rsidR="001F2E3A" w:rsidRPr="003A1122">
              <w:rPr>
                <w:b w:val="0"/>
                <w:sz w:val="14"/>
                <w:szCs w:val="14"/>
              </w:rPr>
              <w:t xml:space="preserve">to genuine business restructures </w:t>
            </w:r>
            <w:r w:rsidR="00E119EC">
              <w:rPr>
                <w:b w:val="0"/>
                <w:sz w:val="14"/>
                <w:szCs w:val="14"/>
              </w:rPr>
              <w:t>from one small business entity who transfers active asset</w:t>
            </w:r>
            <w:r w:rsidR="00566B41">
              <w:rPr>
                <w:b w:val="0"/>
                <w:sz w:val="14"/>
                <w:szCs w:val="14"/>
              </w:rPr>
              <w:t>s</w:t>
            </w:r>
            <w:r w:rsidR="00E119EC">
              <w:rPr>
                <w:b w:val="0"/>
                <w:sz w:val="14"/>
                <w:szCs w:val="14"/>
              </w:rPr>
              <w:t xml:space="preserve"> to another small business entity </w:t>
            </w:r>
            <w:r w:rsidR="001F2E3A" w:rsidRPr="003A1122">
              <w:rPr>
                <w:b w:val="0"/>
                <w:sz w:val="14"/>
                <w:szCs w:val="14"/>
              </w:rPr>
              <w:t>that do</w:t>
            </w:r>
            <w:r w:rsidR="00E119EC">
              <w:rPr>
                <w:b w:val="0"/>
                <w:sz w:val="14"/>
                <w:szCs w:val="14"/>
              </w:rPr>
              <w:t>es</w:t>
            </w:r>
            <w:r w:rsidR="001F2E3A" w:rsidRPr="003A1122">
              <w:rPr>
                <w:b w:val="0"/>
                <w:sz w:val="14"/>
                <w:szCs w:val="14"/>
              </w:rPr>
              <w:t xml:space="preserve"> not result in any change to the underlying economic ownership of assets</w:t>
            </w:r>
            <w:r w:rsidR="001F2E3A">
              <w:rPr>
                <w:b w:val="0"/>
                <w:sz w:val="14"/>
                <w:szCs w:val="14"/>
              </w:rPr>
              <w:t>.</w:t>
            </w:r>
            <w:r w:rsidR="00E119EC">
              <w:rPr>
                <w:b w:val="0"/>
                <w:sz w:val="14"/>
                <w:szCs w:val="14"/>
              </w:rPr>
              <w:t xml:space="preserve"> Care should be taken in choosing this rollover to ensure all eligibility conditions are met including the </w:t>
            </w:r>
            <w:proofErr w:type="spellStart"/>
            <w:r w:rsidR="00E119EC">
              <w:rPr>
                <w:b w:val="0"/>
                <w:sz w:val="14"/>
                <w:szCs w:val="14"/>
              </w:rPr>
              <w:t>lodgment</w:t>
            </w:r>
            <w:proofErr w:type="spellEnd"/>
            <w:r w:rsidR="00E119EC">
              <w:rPr>
                <w:b w:val="0"/>
                <w:sz w:val="14"/>
                <w:szCs w:val="14"/>
              </w:rPr>
              <w:t xml:space="preserve"> of a family trust election if required.  </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61451" w14:textId="77777777" w:rsidR="00F16659" w:rsidRDefault="00F16659"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63B7F" w14:textId="77777777" w:rsidR="00F16659" w:rsidRDefault="00F16659"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54955" w14:textId="77777777" w:rsidR="00F16659" w:rsidRPr="00AF24CF" w:rsidRDefault="00F16659" w:rsidP="005B7704">
            <w:pPr>
              <w:pStyle w:val="Table"/>
              <w:jc w:val="center"/>
            </w:pPr>
          </w:p>
        </w:tc>
      </w:tr>
      <w:tr w:rsidR="00F16659" w:rsidRPr="00AF24CF" w14:paraId="168080E8" w14:textId="77777777" w:rsidTr="00952FCB">
        <w:tc>
          <w:tcPr>
            <w:tcW w:w="5000" w:type="pct"/>
            <w:gridSpan w:val="4"/>
            <w:tcBorders>
              <w:top w:val="single" w:sz="4" w:space="0" w:color="808080" w:themeColor="background1" w:themeShade="80"/>
              <w:bottom w:val="nil"/>
            </w:tcBorders>
          </w:tcPr>
          <w:p w14:paraId="232A312A" w14:textId="355D089B" w:rsidR="00F16659" w:rsidRDefault="00F16659" w:rsidP="00422929">
            <w:pPr>
              <w:pStyle w:val="Tableheading"/>
            </w:pPr>
            <w:r>
              <w:t>Comments:</w:t>
            </w:r>
          </w:p>
          <w:p w14:paraId="24ACDBFF" w14:textId="77777777" w:rsidR="00F16659" w:rsidRPr="00AF24CF" w:rsidRDefault="00F16659" w:rsidP="00422929">
            <w:pPr>
              <w:pStyle w:val="Tableheading"/>
            </w:pPr>
          </w:p>
        </w:tc>
      </w:tr>
    </w:tbl>
    <w:p w14:paraId="5ADE11C1" w14:textId="77777777" w:rsidR="00367616" w:rsidRPr="004816EF" w:rsidRDefault="00367616" w:rsidP="004816EF">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367616" w:rsidRPr="000A401A" w14:paraId="49457C24" w14:textId="77777777" w:rsidTr="00952FCB">
        <w:trPr>
          <w:tblHeader/>
        </w:trPr>
        <w:tc>
          <w:tcPr>
            <w:tcW w:w="3905" w:type="pct"/>
            <w:tcBorders>
              <w:top w:val="single" w:sz="4" w:space="0" w:color="939598"/>
              <w:bottom w:val="single" w:sz="4" w:space="0" w:color="808080" w:themeColor="background1" w:themeShade="80"/>
              <w:right w:val="single" w:sz="4" w:space="0" w:color="939598"/>
            </w:tcBorders>
            <w:shd w:val="clear" w:color="auto" w:fill="051C3C"/>
          </w:tcPr>
          <w:p w14:paraId="145C1246" w14:textId="77777777" w:rsidR="00367616" w:rsidRPr="00AE2EA6" w:rsidRDefault="00367616" w:rsidP="009B6248">
            <w:pPr>
              <w:pStyle w:val="Tableheading"/>
              <w:rPr>
                <w:color w:val="FFFFFF" w:themeColor="background1"/>
                <w:sz w:val="18"/>
              </w:rPr>
            </w:pPr>
            <w:r w:rsidRPr="00AE2EA6">
              <w:rPr>
                <w:color w:val="FFFFFF" w:themeColor="background1"/>
                <w:sz w:val="18"/>
              </w:rPr>
              <w:t>Debt and Equity</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B35D641"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4B6958C0"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237E8F20"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N/A</w:t>
            </w:r>
          </w:p>
        </w:tc>
      </w:tr>
      <w:tr w:rsidR="007C6148" w:rsidRPr="00B340A7" w14:paraId="7ED9C2A2"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9B84FCB" w14:textId="77777777" w:rsidR="007C6148" w:rsidRPr="00B340A7" w:rsidRDefault="007C6148" w:rsidP="007C6148">
            <w:pPr>
              <w:pStyle w:val="Tableheading"/>
            </w:pPr>
            <w:r>
              <w:t>Related party at call loans</w:t>
            </w:r>
          </w:p>
        </w:tc>
      </w:tr>
      <w:tr w:rsidR="00367616" w14:paraId="56182BF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30CC148" w14:textId="77777777" w:rsidR="00367616" w:rsidRDefault="00367616" w:rsidP="009B6248">
            <w:pPr>
              <w:pStyle w:val="Table"/>
            </w:pPr>
            <w:r w:rsidRPr="00294357">
              <w:t>Determine whether any interest deductions may be denied as a result of loans or other debt instruments being reclassified as equity.</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B5FA786"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FAA7448"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93BCC45" w14:textId="77777777" w:rsidR="00367616" w:rsidRDefault="00367616" w:rsidP="000A401A">
            <w:pPr>
              <w:pStyle w:val="Table"/>
              <w:jc w:val="center"/>
            </w:pPr>
          </w:p>
        </w:tc>
      </w:tr>
      <w:tr w:rsidR="00367616" w14:paraId="1ED91725"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785A6ADA" w14:textId="77777777" w:rsidR="00367616" w:rsidRDefault="00367616" w:rsidP="009B6248">
            <w:pPr>
              <w:pStyle w:val="Table"/>
            </w:pPr>
            <w:r>
              <w:t>Ascertain whether:</w:t>
            </w:r>
          </w:p>
          <w:p w14:paraId="3FC23723" w14:textId="2CD654F9" w:rsidR="00367616" w:rsidRDefault="00367616" w:rsidP="00896CDF">
            <w:pPr>
              <w:pStyle w:val="TableBullet"/>
            </w:pPr>
            <w:r>
              <w:t>the carve-out for companies with less than $20</w:t>
            </w:r>
            <w:r w:rsidR="00E119EC">
              <w:t xml:space="preserve"> </w:t>
            </w:r>
            <w:r>
              <w:t>m</w:t>
            </w:r>
            <w:r w:rsidR="00E119EC">
              <w:t>illion</w:t>
            </w:r>
            <w:r>
              <w:t xml:space="preserve"> turnover applie</w:t>
            </w:r>
            <w:r w:rsidR="00767636">
              <w:t xml:space="preserve">d during the current year </w:t>
            </w:r>
            <w:r>
              <w:t>or</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8CA22FE"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DAD259E"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688F2D8" w14:textId="77777777" w:rsidR="00367616" w:rsidRDefault="00367616" w:rsidP="000A401A">
            <w:pPr>
              <w:pStyle w:val="Table"/>
              <w:jc w:val="center"/>
            </w:pPr>
          </w:p>
        </w:tc>
      </w:tr>
      <w:tr w:rsidR="00367616" w14:paraId="1EBFCB16" w14:textId="77777777" w:rsidTr="003304B6">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666930A" w14:textId="77777777" w:rsidR="00367616" w:rsidRDefault="00896CDF" w:rsidP="007C2D15">
            <w:pPr>
              <w:pStyle w:val="TableBullet"/>
            </w:pPr>
            <w:r>
              <w:t xml:space="preserve">whether </w:t>
            </w:r>
            <w:r w:rsidR="00367616" w:rsidRPr="00294357">
              <w:t>any at call loans should be put under a written loan agreement.</w:t>
            </w:r>
          </w:p>
          <w:p w14:paraId="0959B5A5" w14:textId="755F56EF" w:rsidR="00BE5D13" w:rsidRPr="007E6CA8" w:rsidRDefault="00BE5D13" w:rsidP="007E6CA8">
            <w:pPr>
              <w:pStyle w:val="TableBullet"/>
              <w:numPr>
                <w:ilvl w:val="0"/>
                <w:numId w:val="0"/>
              </w:numPr>
              <w:rPr>
                <w:b/>
              </w:rPr>
            </w:pPr>
            <w:r w:rsidRPr="007E6CA8">
              <w:rPr>
                <w:b/>
                <w:sz w:val="14"/>
                <w:szCs w:val="14"/>
              </w:rPr>
              <w:t>Note</w:t>
            </w:r>
            <w:r w:rsidRPr="00BE5D13">
              <w:rPr>
                <w:b/>
                <w:sz w:val="14"/>
                <w:szCs w:val="14"/>
              </w:rPr>
              <w:t xml:space="preserve">: </w:t>
            </w:r>
            <w:r w:rsidRPr="007E6CA8">
              <w:rPr>
                <w:sz w:val="14"/>
                <w:szCs w:val="14"/>
              </w:rPr>
              <w:t xml:space="preserve">the calculation of a company’s $20 million turnover </w:t>
            </w:r>
            <w:r>
              <w:rPr>
                <w:sz w:val="14"/>
                <w:szCs w:val="14"/>
              </w:rPr>
              <w:t xml:space="preserve">is worked out at the end of the year and will be based on the calculation of the company’s GST turnover. </w:t>
            </w:r>
            <w:r w:rsidRPr="007E6CA8">
              <w:rPr>
                <w:sz w:val="14"/>
                <w:szCs w:val="14"/>
              </w:rPr>
              <w:t xml:space="preserve">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19A2E31"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2EAF0EF"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A29C037" w14:textId="77777777" w:rsidR="00367616" w:rsidRDefault="00367616" w:rsidP="000A401A">
            <w:pPr>
              <w:pStyle w:val="Table"/>
              <w:jc w:val="center"/>
            </w:pPr>
          </w:p>
        </w:tc>
      </w:tr>
      <w:tr w:rsidR="00367616" w:rsidRPr="00AF24CF" w14:paraId="2648A354" w14:textId="77777777" w:rsidTr="003304B6">
        <w:tc>
          <w:tcPr>
            <w:tcW w:w="5000" w:type="pct"/>
            <w:gridSpan w:val="4"/>
            <w:tcBorders>
              <w:top w:val="single" w:sz="4" w:space="0" w:color="808080" w:themeColor="background1" w:themeShade="80"/>
              <w:bottom w:val="single" w:sz="4" w:space="0" w:color="939598"/>
            </w:tcBorders>
          </w:tcPr>
          <w:p w14:paraId="3EDEBAF2" w14:textId="77777777" w:rsidR="00367616" w:rsidRDefault="00367616" w:rsidP="00422929">
            <w:pPr>
              <w:pStyle w:val="Tableheading"/>
            </w:pPr>
            <w:r>
              <w:t>Comments:</w:t>
            </w:r>
          </w:p>
          <w:p w14:paraId="01B6B959" w14:textId="77777777" w:rsidR="002B3EEE" w:rsidRDefault="002B3EEE" w:rsidP="00422929">
            <w:pPr>
              <w:pStyle w:val="Tableheading"/>
            </w:pPr>
          </w:p>
          <w:p w14:paraId="1739FA6B" w14:textId="6198A949" w:rsidR="002B3EEE" w:rsidRPr="00AF24CF" w:rsidRDefault="002B3EEE" w:rsidP="00422929">
            <w:pPr>
              <w:pStyle w:val="Tableheading"/>
            </w:pPr>
          </w:p>
        </w:tc>
      </w:tr>
    </w:tbl>
    <w:p w14:paraId="4BAE99CB" w14:textId="77777777" w:rsidR="00367616" w:rsidRPr="004816EF" w:rsidRDefault="00367616" w:rsidP="000A401A">
      <w:pPr>
        <w:pStyle w:val="Bet"/>
        <w:spacing w:before="0" w:after="0"/>
        <w:ind w:left="-125" w:right="-119"/>
        <w:rPr>
          <w:sz w:val="6"/>
        </w:rPr>
      </w:pPr>
    </w:p>
    <w:p w14:paraId="01592F15" w14:textId="77777777" w:rsidR="008B461C" w:rsidRDefault="008B461C">
      <w:bookmarkStart w:id="0" w:name="_GoBack"/>
      <w:bookmarkEnd w:id="0"/>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367616" w:rsidRPr="000A401A" w14:paraId="5B806A2F" w14:textId="77777777" w:rsidTr="00952FCB">
        <w:trPr>
          <w:tblHeader/>
        </w:trPr>
        <w:tc>
          <w:tcPr>
            <w:tcW w:w="3905" w:type="pct"/>
            <w:tcBorders>
              <w:top w:val="single" w:sz="4" w:space="0" w:color="939598"/>
              <w:bottom w:val="single" w:sz="4" w:space="0" w:color="808080" w:themeColor="background1" w:themeShade="80"/>
              <w:right w:val="single" w:sz="4" w:space="0" w:color="939598"/>
            </w:tcBorders>
            <w:shd w:val="clear" w:color="auto" w:fill="051C3C"/>
          </w:tcPr>
          <w:p w14:paraId="044ED724" w14:textId="0EE1A3E5" w:rsidR="00367616" w:rsidRPr="00AE2EA6" w:rsidRDefault="00367616" w:rsidP="000A401A">
            <w:pPr>
              <w:pStyle w:val="Tableheading"/>
              <w:rPr>
                <w:color w:val="FFFFFF" w:themeColor="background1"/>
                <w:sz w:val="18"/>
              </w:rPr>
            </w:pPr>
            <w:r w:rsidRPr="00AE2EA6">
              <w:rPr>
                <w:color w:val="FFFFFF" w:themeColor="background1"/>
                <w:sz w:val="18"/>
              </w:rPr>
              <w:lastRenderedPageBreak/>
              <w:t>Debt Issues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FA0441D"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261E3AE"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20684734"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N/A</w:t>
            </w:r>
          </w:p>
        </w:tc>
      </w:tr>
      <w:tr w:rsidR="007C6148" w:rsidRPr="00B340A7" w14:paraId="2353B9C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76742C" w14:textId="77777777" w:rsidR="007C6148" w:rsidRPr="00B340A7" w:rsidRDefault="007C6148" w:rsidP="007C6148">
            <w:pPr>
              <w:pStyle w:val="Tableheading"/>
            </w:pPr>
            <w:r>
              <w:t>Thin capitalisation</w:t>
            </w:r>
          </w:p>
        </w:tc>
      </w:tr>
      <w:tr w:rsidR="00367616" w14:paraId="1BEC107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E0B533F" w14:textId="6B0F715C" w:rsidR="00367616" w:rsidRDefault="00367616" w:rsidP="000A401A">
            <w:pPr>
              <w:pStyle w:val="Table"/>
            </w:pPr>
            <w:r w:rsidRPr="000A401A">
              <w:t xml:space="preserve">Consider whether </w:t>
            </w:r>
            <w:r w:rsidR="003A4780">
              <w:t>an Australian resident</w:t>
            </w:r>
            <w:r w:rsidRPr="000A401A">
              <w:t xml:space="preserve"> taxpayer’s foreign assets represent less than 10% of its total assets. If so</w:t>
            </w:r>
            <w:r w:rsidR="003A4780">
              <w:t>,</w:t>
            </w:r>
            <w:r w:rsidRPr="000A401A">
              <w:t xml:space="preserve"> the</w:t>
            </w:r>
            <w:r>
              <w:t xml:space="preserve"> </w:t>
            </w:r>
            <w:r w:rsidRPr="000A401A">
              <w:t xml:space="preserve">exemption in section 820-37 of the </w:t>
            </w:r>
            <w:r w:rsidR="003A4780" w:rsidRPr="00FF2F84">
              <w:rPr>
                <w:i/>
              </w:rPr>
              <w:t>Income Tax Assessment Act (1997)</w:t>
            </w:r>
            <w:r w:rsidRPr="000A401A">
              <w:t xml:space="preserve"> may apply.</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385820F"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3DB620C"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24D5613" w14:textId="77777777" w:rsidR="00367616" w:rsidRDefault="00367616" w:rsidP="00184E12">
            <w:pPr>
              <w:pStyle w:val="Table"/>
              <w:jc w:val="center"/>
            </w:pPr>
          </w:p>
        </w:tc>
      </w:tr>
      <w:tr w:rsidR="00367616" w14:paraId="08F678F1"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3F6424" w14:textId="2E6B761A" w:rsidR="00367616" w:rsidRPr="000A401A" w:rsidRDefault="00367616" w:rsidP="001F2E3A">
            <w:pPr>
              <w:pStyle w:val="Table"/>
              <w:ind w:right="74"/>
            </w:pPr>
            <w:r w:rsidRPr="00422929">
              <w:t>Consider whether the sum of the taxpayer’s debt deductions together with those of its associate</w:t>
            </w:r>
            <w:r>
              <w:t xml:space="preserve"> </w:t>
            </w:r>
            <w:r w:rsidRPr="00422929">
              <w:t xml:space="preserve">entities </w:t>
            </w:r>
            <w:r w:rsidR="003A4780">
              <w:t>is</w:t>
            </w:r>
            <w:r w:rsidRPr="00422929">
              <w:t xml:space="preserve"> $2</w:t>
            </w:r>
            <w:r w:rsidR="001F2E3A">
              <w:t xml:space="preserve"> million </w:t>
            </w:r>
            <w:r w:rsidR="003A4780">
              <w:t xml:space="preserve">or less </w:t>
            </w:r>
            <w:r w:rsidRPr="00422929">
              <w:t xml:space="preserve">in </w:t>
            </w:r>
            <w:r w:rsidR="003A4780">
              <w:t xml:space="preserve">the </w:t>
            </w:r>
            <w:r w:rsidRPr="00422929">
              <w:t>year of income</w:t>
            </w:r>
            <w:r>
              <w:t>.</w:t>
            </w:r>
            <w:r w:rsidR="003A4780" w:rsidRPr="000A401A">
              <w:t xml:space="preserve"> </w:t>
            </w:r>
            <w:r w:rsidR="003A4780">
              <w:t>I</w:t>
            </w:r>
            <w:r w:rsidR="003A4780" w:rsidRPr="000A401A">
              <w:t>f so</w:t>
            </w:r>
            <w:r w:rsidR="003A4780">
              <w:t>,</w:t>
            </w:r>
            <w:r w:rsidR="003A4780" w:rsidRPr="000A401A">
              <w:t xml:space="preserve"> the</w:t>
            </w:r>
            <w:r w:rsidR="003A4780">
              <w:t xml:space="preserve"> </w:t>
            </w:r>
            <w:r w:rsidR="003A4780" w:rsidRPr="000A401A">
              <w:t>exemption in section 820-3</w:t>
            </w:r>
            <w:r w:rsidR="003A4780">
              <w:t>5</w:t>
            </w:r>
            <w:r w:rsidR="003A4780" w:rsidRPr="000A401A">
              <w:t xml:space="preserve"> of the </w:t>
            </w:r>
            <w:r w:rsidR="003A4780" w:rsidRPr="00FF2F84">
              <w:rPr>
                <w:i/>
              </w:rPr>
              <w:t>Income Tax Assessment Act (1997)</w:t>
            </w:r>
            <w:r w:rsidR="003A4780" w:rsidRPr="000A401A">
              <w:t xml:space="preserve"> may apply.</w:t>
            </w:r>
            <w:r w:rsidR="003A4780">
              <w:t xml:space="preserve">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CF18F8B"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A1CB8DD"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AECC962" w14:textId="77777777" w:rsidR="00367616" w:rsidRDefault="00367616" w:rsidP="00184E12">
            <w:pPr>
              <w:pStyle w:val="Table"/>
              <w:jc w:val="center"/>
            </w:pPr>
          </w:p>
        </w:tc>
      </w:tr>
      <w:tr w:rsidR="00367616" w14:paraId="6DEEA14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728A5BD6" w14:textId="306182D4" w:rsidR="00367616" w:rsidRPr="00422929" w:rsidRDefault="00367616" w:rsidP="001F2E3A">
            <w:pPr>
              <w:pStyle w:val="Table"/>
              <w:ind w:right="74"/>
            </w:pPr>
            <w:r w:rsidRPr="00422929">
              <w:t>Consider whether the taxpayer should seek to reduce the incurrence of ‘debt deductions’ coming up</w:t>
            </w:r>
            <w:r>
              <w:t xml:space="preserve"> </w:t>
            </w:r>
            <w:r w:rsidRPr="00422929">
              <w:t xml:space="preserve">to year end to qualify under the de </w:t>
            </w:r>
            <w:proofErr w:type="spellStart"/>
            <w:r w:rsidRPr="00422929">
              <w:t>minimus</w:t>
            </w:r>
            <w:proofErr w:type="spellEnd"/>
            <w:r w:rsidRPr="00422929">
              <w:t xml:space="preserve"> rule</w:t>
            </w:r>
            <w:r w:rsidR="00896CDF">
              <w:t>,</w:t>
            </w:r>
            <w:r w:rsidR="00767636">
              <w:t xml:space="preserve"> which is currently set at $2</w:t>
            </w:r>
            <w:r w:rsidR="001F2E3A">
              <w:t xml:space="preserve"> million</w:t>
            </w:r>
            <w:r w:rsidRPr="00422929">
              <w:t>.</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0F219FA"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2DB61C4"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5425CCA" w14:textId="77777777" w:rsidR="00367616" w:rsidRDefault="00367616" w:rsidP="00184E12">
            <w:pPr>
              <w:pStyle w:val="Table"/>
              <w:jc w:val="center"/>
            </w:pPr>
          </w:p>
        </w:tc>
      </w:tr>
      <w:tr w:rsidR="00367616" w:rsidRPr="00422929" w14:paraId="1A8724B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6FAEE6D" w14:textId="0F25DE3C" w:rsidR="00896CDF" w:rsidRPr="00422929" w:rsidRDefault="00367616" w:rsidP="001D5211">
            <w:pPr>
              <w:pStyle w:val="Table"/>
              <w:spacing w:before="120"/>
              <w:ind w:right="72"/>
            </w:pPr>
            <w:r w:rsidRPr="00422929">
              <w:t>Consider any current year asset impairments and consequential reduction in the safe harbour debt amount and the risk of breaching this safe harbour.</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3999ED7" w14:textId="77777777" w:rsidR="00367616" w:rsidRDefault="00367616" w:rsidP="00184E12">
            <w:pPr>
              <w:pStyle w:val="Table"/>
              <w:ind w:right="74"/>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76F96BD" w14:textId="77777777" w:rsidR="00367616" w:rsidRDefault="00367616" w:rsidP="00184E12">
            <w:pPr>
              <w:pStyle w:val="Table"/>
              <w:ind w:right="74"/>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EF6BB95" w14:textId="77777777" w:rsidR="00367616" w:rsidRDefault="00367616" w:rsidP="00184E12">
            <w:pPr>
              <w:pStyle w:val="Table"/>
              <w:ind w:right="74"/>
              <w:jc w:val="center"/>
            </w:pPr>
          </w:p>
        </w:tc>
      </w:tr>
      <w:tr w:rsidR="00ED5335" w:rsidRPr="00422929" w14:paraId="61F017DE"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97BC825" w14:textId="25917727" w:rsidR="00ED5335" w:rsidRPr="00422929" w:rsidRDefault="00ED5335" w:rsidP="001D5211">
            <w:pPr>
              <w:pStyle w:val="Table"/>
              <w:spacing w:before="120"/>
              <w:ind w:right="72"/>
            </w:pPr>
            <w:r>
              <w:t xml:space="preserve">Consider the interaction of the thin capitalisation and transfer pricing provisions under Subdivision 815-B of the </w:t>
            </w:r>
            <w:r w:rsidRPr="00FF2F84">
              <w:rPr>
                <w:i/>
              </w:rPr>
              <w:t>Income Tax Assessment Act (1997)</w:t>
            </w:r>
            <w:r>
              <w:rPr>
                <w:i/>
              </w:rPr>
              <w:t xml:space="preserve"> </w:t>
            </w:r>
            <w:r>
              <w:t xml:space="preserve">on interest claimed on any cross-border related party debt.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CB9F946" w14:textId="77777777" w:rsidR="00ED5335" w:rsidRDefault="00ED5335" w:rsidP="00184E12">
            <w:pPr>
              <w:pStyle w:val="Table"/>
              <w:ind w:right="74"/>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59CD75B" w14:textId="77777777" w:rsidR="00ED5335" w:rsidRDefault="00ED5335" w:rsidP="00184E12">
            <w:pPr>
              <w:pStyle w:val="Table"/>
              <w:ind w:right="74"/>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4CFEB199" w14:textId="77777777" w:rsidR="00ED5335" w:rsidRDefault="00ED5335" w:rsidP="00184E12">
            <w:pPr>
              <w:pStyle w:val="Table"/>
              <w:ind w:right="74"/>
              <w:jc w:val="center"/>
            </w:pPr>
          </w:p>
        </w:tc>
      </w:tr>
      <w:tr w:rsidR="007C6148" w:rsidRPr="00B340A7" w14:paraId="3DA9FE5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973A72" w14:textId="77777777" w:rsidR="007C6148" w:rsidRPr="00B340A7" w:rsidRDefault="007C6148" w:rsidP="007C6148">
            <w:pPr>
              <w:pStyle w:val="Tableheading"/>
            </w:pPr>
            <w:r>
              <w:t>Capital protected loan facilities</w:t>
            </w:r>
          </w:p>
        </w:tc>
      </w:tr>
      <w:tr w:rsidR="00367616" w14:paraId="050DB193"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D8ED154" w14:textId="77777777" w:rsidR="00367616" w:rsidRPr="00422929" w:rsidRDefault="00367616" w:rsidP="00422929">
            <w:pPr>
              <w:pStyle w:val="Table"/>
            </w:pPr>
            <w:r w:rsidRPr="00422929">
              <w:t>Consider whether the taxpayer has obtained any capital protected loans to fund investments?</w:t>
            </w:r>
          </w:p>
          <w:p w14:paraId="2B01642D" w14:textId="6EDB4958" w:rsidR="00367616" w:rsidRDefault="00367616" w:rsidP="00422929">
            <w:pPr>
              <w:pStyle w:val="Table"/>
            </w:pPr>
            <w:r w:rsidRPr="00422929">
              <w:t>If they have, any capital protection fee payable or any capital protection fee component incorporated</w:t>
            </w:r>
            <w:r>
              <w:t xml:space="preserve"> </w:t>
            </w:r>
            <w:r w:rsidRPr="00422929">
              <w:t>with</w:t>
            </w:r>
            <w:r w:rsidR="00ED5335">
              <w:t>in</w:t>
            </w:r>
            <w:r w:rsidRPr="00422929">
              <w:t xml:space="preserve"> the overall interest charge payable to the lender will be non-deductible.</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F6CD1F6" w14:textId="77777777" w:rsidR="00367616" w:rsidRDefault="00367616" w:rsidP="00422929">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CBFAC60" w14:textId="77777777" w:rsidR="00367616" w:rsidRDefault="00367616" w:rsidP="00422929">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044A8D5" w14:textId="77777777" w:rsidR="00367616" w:rsidRDefault="00367616" w:rsidP="00422929">
            <w:pPr>
              <w:pStyle w:val="Table"/>
              <w:jc w:val="center"/>
            </w:pPr>
          </w:p>
        </w:tc>
      </w:tr>
      <w:tr w:rsidR="007C6148" w:rsidRPr="00B340A7" w14:paraId="3F766430"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961FEBC" w14:textId="77777777" w:rsidR="007C6148" w:rsidRDefault="007C6148" w:rsidP="007C6148">
            <w:pPr>
              <w:pStyle w:val="Tableheading"/>
              <w:keepNext/>
            </w:pPr>
            <w:r>
              <w:t>Debt forgiveness</w:t>
            </w:r>
          </w:p>
        </w:tc>
      </w:tr>
      <w:tr w:rsidR="00367616" w14:paraId="66F5ACD7"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BEE62E0" w14:textId="371DE977" w:rsidR="00367616" w:rsidRDefault="00367616">
            <w:pPr>
              <w:pStyle w:val="Table"/>
              <w:keepNext/>
            </w:pPr>
            <w:r w:rsidRPr="00422929">
              <w:t>For debts you owe that have been released, waived or extinguished or assigned</w:t>
            </w:r>
            <w:r w:rsidR="003F6097">
              <w:t xml:space="preserve"> during the year</w:t>
            </w:r>
            <w:r w:rsidRPr="00422929">
              <w:t>, consider the</w:t>
            </w:r>
            <w:r>
              <w:t xml:space="preserve"> </w:t>
            </w:r>
            <w:r w:rsidRPr="00422929">
              <w:t>commercial debt forgiveness</w:t>
            </w:r>
            <w:r>
              <w:t xml:space="preserve"> (“CDF”)</w:t>
            </w:r>
            <w:r w:rsidRPr="00422929">
              <w:t xml:space="preserve"> provisions</w:t>
            </w:r>
            <w:r w:rsidR="00494EDB">
              <w:t xml:space="preserve"> under Division 245 of the </w:t>
            </w:r>
            <w:r w:rsidR="00494EDB" w:rsidRPr="007E6CA8">
              <w:rPr>
                <w:i/>
              </w:rPr>
              <w:t>Income Tax Assessment Act (1997)</w:t>
            </w:r>
            <w:r w:rsidRPr="007E6CA8">
              <w:rPr>
                <w:i/>
              </w:rPr>
              <w:t>.</w:t>
            </w:r>
            <w:r w:rsidRPr="00422929">
              <w:t xml:space="preserve"> </w:t>
            </w:r>
          </w:p>
          <w:p w14:paraId="4353F242" w14:textId="759D74EA" w:rsidR="00367616" w:rsidRDefault="00367616">
            <w:pPr>
              <w:pStyle w:val="Table"/>
              <w:keepNext/>
            </w:pPr>
            <w:r w:rsidRPr="00422929">
              <w:t>The</w:t>
            </w:r>
            <w:r w:rsidR="004A1198">
              <w:t xml:space="preserve"> C</w:t>
            </w:r>
            <w:r>
              <w:t>D</w:t>
            </w:r>
            <w:r w:rsidR="004A1198">
              <w:t>F</w:t>
            </w:r>
            <w:r>
              <w:t xml:space="preserve"> </w:t>
            </w:r>
            <w:r w:rsidRPr="00422929">
              <w:t xml:space="preserve">provisions may apply to reduce </w:t>
            </w:r>
            <w:r w:rsidR="003F6097">
              <w:t xml:space="preserve">any net forgiven amount by </w:t>
            </w:r>
            <w:r w:rsidRPr="00422929">
              <w:t>the following amounts</w:t>
            </w:r>
            <w:r w:rsidR="003F6097">
              <w:t xml:space="preserve"> applied </w:t>
            </w:r>
            <w:r>
              <w:t xml:space="preserve"> </w:t>
            </w:r>
            <w:r w:rsidRPr="00422929">
              <w:t>in</w:t>
            </w:r>
            <w:r>
              <w:t> </w:t>
            </w:r>
            <w:r w:rsidRPr="00422929">
              <w:t>the following order:</w:t>
            </w:r>
            <w:r w:rsidR="00494EDB">
              <w:t xml:space="preserve"> </w:t>
            </w:r>
          </w:p>
          <w:p w14:paraId="0681A160" w14:textId="77777777" w:rsidR="00367616" w:rsidRDefault="00367616">
            <w:pPr>
              <w:pStyle w:val="Table"/>
              <w:keepNext/>
              <w:tabs>
                <w:tab w:val="left" w:pos="709"/>
              </w:tabs>
              <w:ind w:left="709" w:hanging="283"/>
            </w:pPr>
            <w:r w:rsidRPr="00422929">
              <w:t xml:space="preserve">1. </w:t>
            </w:r>
            <w:r>
              <w:tab/>
            </w:r>
            <w:r w:rsidRPr="00422929">
              <w:t>prior year revenue losses</w:t>
            </w:r>
          </w:p>
          <w:p w14:paraId="361899B8" w14:textId="77777777" w:rsidR="00367616" w:rsidRDefault="00367616">
            <w:pPr>
              <w:pStyle w:val="Table"/>
              <w:keepNext/>
              <w:tabs>
                <w:tab w:val="left" w:pos="709"/>
              </w:tabs>
              <w:ind w:left="709" w:hanging="283"/>
            </w:pPr>
            <w:r w:rsidRPr="00422929">
              <w:t xml:space="preserve">2. </w:t>
            </w:r>
            <w:r>
              <w:tab/>
            </w:r>
            <w:r w:rsidRPr="00422929">
              <w:t>carried forward net capital losses</w:t>
            </w:r>
          </w:p>
          <w:p w14:paraId="68CE0A5F" w14:textId="77777777" w:rsidR="00367616" w:rsidRDefault="00367616">
            <w:pPr>
              <w:pStyle w:val="Table"/>
              <w:keepNext/>
              <w:tabs>
                <w:tab w:val="left" w:pos="709"/>
              </w:tabs>
              <w:ind w:left="709" w:hanging="283"/>
            </w:pPr>
            <w:r w:rsidRPr="00422929">
              <w:t xml:space="preserve">3. </w:t>
            </w:r>
            <w:r>
              <w:tab/>
            </w:r>
            <w:r w:rsidRPr="00422929">
              <w:t>deductible expenditures including the opening adjustable value of depreciating assets</w:t>
            </w:r>
          </w:p>
          <w:p w14:paraId="4370D93F" w14:textId="77777777" w:rsidR="00367616" w:rsidRDefault="00367616">
            <w:pPr>
              <w:pStyle w:val="Table"/>
              <w:keepNext/>
              <w:tabs>
                <w:tab w:val="left" w:pos="709"/>
              </w:tabs>
              <w:ind w:left="709" w:hanging="283"/>
            </w:pPr>
            <w:r w:rsidRPr="00422929">
              <w:t xml:space="preserve">4. </w:t>
            </w:r>
            <w:r>
              <w:tab/>
            </w:r>
            <w:r w:rsidRPr="00422929">
              <w:t>the cost base of certain CGT assets.</w:t>
            </w:r>
          </w:p>
          <w:p w14:paraId="5B4B0D97" w14:textId="6B9E99C3" w:rsidR="00367616" w:rsidRDefault="00367616" w:rsidP="00390F56">
            <w:pPr>
              <w:pStyle w:val="Table"/>
              <w:keepNext/>
            </w:pPr>
            <w:r>
              <w:t>In particular</w:t>
            </w:r>
            <w:r w:rsidR="004A1198">
              <w:t>,</w:t>
            </w:r>
            <w:r>
              <w:t xml:space="preserve"> consider whether there are any timing advantages of </w:t>
            </w:r>
            <w:r w:rsidR="00767636">
              <w:t xml:space="preserve">postponing a </w:t>
            </w:r>
            <w:r>
              <w:t>debt forgiven</w:t>
            </w:r>
            <w:r w:rsidR="00767636">
              <w:t xml:space="preserve">ess until </w:t>
            </w:r>
            <w:r>
              <w:t xml:space="preserve">after </w:t>
            </w:r>
            <w:r w:rsidR="005C1E49">
              <w:t>30 June</w:t>
            </w:r>
            <w:r w:rsidR="00090483">
              <w:t xml:space="preserve"> </w:t>
            </w:r>
            <w:r>
              <w:t>201</w:t>
            </w:r>
            <w:r w:rsidR="00494EDB">
              <w:t>7</w:t>
            </w:r>
            <w:r>
              <w:t>.</w:t>
            </w:r>
          </w:p>
          <w:p w14:paraId="69555389" w14:textId="449743FA" w:rsidR="00651813" w:rsidRPr="009F0C8F" w:rsidRDefault="00B931DE" w:rsidP="00970849">
            <w:pPr>
              <w:pStyle w:val="Table"/>
              <w:keepNext/>
              <w:rPr>
                <w:sz w:val="14"/>
                <w:szCs w:val="14"/>
              </w:rPr>
            </w:pPr>
            <w:r w:rsidRPr="009F0C8F">
              <w:rPr>
                <w:b/>
                <w:sz w:val="14"/>
                <w:szCs w:val="14"/>
              </w:rPr>
              <w:t>Note:</w:t>
            </w:r>
            <w:r w:rsidR="00651813" w:rsidRPr="009F0C8F">
              <w:rPr>
                <w:b/>
                <w:sz w:val="14"/>
                <w:szCs w:val="14"/>
              </w:rPr>
              <w:t xml:space="preserve"> </w:t>
            </w:r>
            <w:r w:rsidR="00651813" w:rsidRPr="009F0C8F">
              <w:rPr>
                <w:sz w:val="14"/>
                <w:szCs w:val="14"/>
              </w:rPr>
              <w:t>in some circumstances</w:t>
            </w:r>
            <w:r w:rsidR="00494EDB">
              <w:rPr>
                <w:sz w:val="14"/>
                <w:szCs w:val="14"/>
              </w:rPr>
              <w:t>,</w:t>
            </w:r>
            <w:r w:rsidR="00651813" w:rsidRPr="009F0C8F">
              <w:rPr>
                <w:sz w:val="14"/>
                <w:szCs w:val="14"/>
              </w:rPr>
              <w:t xml:space="preserve"> the forgiveness of a debt by a private company</w:t>
            </w:r>
            <w:r w:rsidR="0078761B" w:rsidRPr="009F0C8F">
              <w:rPr>
                <w:sz w:val="14"/>
                <w:szCs w:val="14"/>
              </w:rPr>
              <w:t xml:space="preserve"> or even a trust</w:t>
            </w:r>
            <w:r w:rsidR="00651813" w:rsidRPr="009F0C8F">
              <w:rPr>
                <w:sz w:val="14"/>
                <w:szCs w:val="14"/>
              </w:rPr>
              <w:t xml:space="preserve"> </w:t>
            </w:r>
            <w:r w:rsidR="00C9239B">
              <w:rPr>
                <w:sz w:val="14"/>
                <w:szCs w:val="14"/>
              </w:rPr>
              <w:t>to a shareholder or an associate</w:t>
            </w:r>
            <w:r w:rsidR="00C9239B" w:rsidRPr="009F0C8F">
              <w:rPr>
                <w:sz w:val="14"/>
                <w:szCs w:val="14"/>
              </w:rPr>
              <w:t xml:space="preserve"> </w:t>
            </w:r>
            <w:r w:rsidR="00651813" w:rsidRPr="009F0C8F">
              <w:rPr>
                <w:sz w:val="14"/>
                <w:szCs w:val="14"/>
              </w:rPr>
              <w:t>may give rise to a deemed dividend under Division 7A</w:t>
            </w:r>
            <w:r w:rsidR="00767636" w:rsidRPr="009F0C8F">
              <w:rPr>
                <w:sz w:val="14"/>
                <w:szCs w:val="14"/>
              </w:rPr>
              <w:t xml:space="preserve"> under separate but similar rules</w:t>
            </w:r>
            <w:r w:rsidR="00651813" w:rsidRPr="009F0C8F">
              <w:rPr>
                <w:sz w:val="14"/>
                <w:szCs w:val="14"/>
              </w:rPr>
              <w:t>.</w:t>
            </w:r>
            <w:r w:rsidR="00494EDB">
              <w:rPr>
                <w:sz w:val="14"/>
                <w:szCs w:val="14"/>
              </w:rPr>
              <w:t xml:space="preserve"> Please refer to </w:t>
            </w:r>
            <w:r w:rsidR="00494EDB" w:rsidRPr="007E6CA8">
              <w:rPr>
                <w:sz w:val="14"/>
                <w:szCs w:val="14"/>
              </w:rPr>
              <w:t xml:space="preserve">CPA Australia’s </w:t>
            </w:r>
            <w:hyperlink r:id="rId13" w:history="1">
              <w:r w:rsidR="004B0C9B" w:rsidRPr="00970849">
                <w:rPr>
                  <w:rStyle w:val="Hyperlink"/>
                  <w:sz w:val="14"/>
                  <w:szCs w:val="14"/>
                </w:rPr>
                <w:t xml:space="preserve">2017 </w:t>
              </w:r>
              <w:r w:rsidR="00494EDB" w:rsidRPr="00970849">
                <w:rPr>
                  <w:rStyle w:val="Hyperlink"/>
                  <w:sz w:val="14"/>
                  <w:szCs w:val="14"/>
                </w:rPr>
                <w:t>Division 7A checklist</w:t>
              </w:r>
            </w:hyperlink>
            <w:r w:rsidR="00494EDB">
              <w:rPr>
                <w:sz w:val="14"/>
                <w:szCs w:val="14"/>
              </w:rPr>
              <w:t xml:space="preserve"> and </w:t>
            </w:r>
            <w:hyperlink r:id="rId14" w:history="1">
              <w:r w:rsidR="00970849" w:rsidRPr="00970849">
                <w:rPr>
                  <w:rStyle w:val="Hyperlink"/>
                  <w:sz w:val="14"/>
                  <w:szCs w:val="14"/>
                </w:rPr>
                <w:t xml:space="preserve">2017 </w:t>
              </w:r>
              <w:r w:rsidR="00494EDB" w:rsidRPr="00970849">
                <w:rPr>
                  <w:rStyle w:val="Hyperlink"/>
                  <w:sz w:val="14"/>
                  <w:szCs w:val="14"/>
                </w:rPr>
                <w:t>Division 7A UPE checklist</w:t>
              </w:r>
            </w:hyperlink>
            <w:r w:rsidR="00494EDB" w:rsidRPr="007E6CA8">
              <w:rPr>
                <w:sz w:val="14"/>
                <w:szCs w:val="14"/>
              </w:rPr>
              <w:t xml:space="preserve"> for further information.</w:t>
            </w:r>
            <w:r w:rsidR="00494EDB" w:rsidRPr="00494EDB">
              <w:rPr>
                <w:sz w:val="14"/>
                <w:szCs w:val="14"/>
              </w:rPr>
              <w:t xml:space="preserve"> </w:t>
            </w:r>
            <w:r w:rsidR="00494EDB">
              <w:rPr>
                <w:sz w:val="14"/>
                <w:szCs w:val="14"/>
              </w:rPr>
              <w:t>Also, where it is determined that Division 7A does not apply to a debt forgiveness</w:t>
            </w:r>
            <w:r w:rsidR="00C9239B">
              <w:rPr>
                <w:sz w:val="14"/>
                <w:szCs w:val="14"/>
              </w:rPr>
              <w:t xml:space="preserve"> to a shareholder or an associate</w:t>
            </w:r>
            <w:r w:rsidR="00494EDB">
              <w:rPr>
                <w:sz w:val="14"/>
                <w:szCs w:val="14"/>
              </w:rPr>
              <w:t xml:space="preserve"> it is still necessary to determine if the CDF provisions apply to that debt forgiveness.   </w:t>
            </w:r>
            <w:r w:rsidR="00494EDB" w:rsidRPr="00494EDB">
              <w:rPr>
                <w:sz w:val="14"/>
                <w:szCs w:val="14"/>
              </w:rPr>
              <w:t xml:space="preserve">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72AE60" w14:textId="77777777" w:rsidR="00367616" w:rsidRDefault="00367616">
            <w:pPr>
              <w:pStyle w:val="Table"/>
              <w:keepNext/>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F98592B" w14:textId="77777777" w:rsidR="00367616" w:rsidRDefault="00367616">
            <w:pPr>
              <w:pStyle w:val="Table"/>
              <w:keepNext/>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2A17440" w14:textId="77777777" w:rsidR="00367616" w:rsidRDefault="00367616">
            <w:pPr>
              <w:pStyle w:val="Table"/>
              <w:keepNext/>
              <w:jc w:val="center"/>
            </w:pPr>
          </w:p>
        </w:tc>
      </w:tr>
      <w:tr w:rsidR="00367616" w:rsidRPr="00AF24CF" w14:paraId="38038C6C" w14:textId="77777777" w:rsidTr="00952FCB">
        <w:tc>
          <w:tcPr>
            <w:tcW w:w="5000" w:type="pct"/>
            <w:gridSpan w:val="4"/>
            <w:tcBorders>
              <w:top w:val="single" w:sz="4" w:space="0" w:color="808080" w:themeColor="background1" w:themeShade="80"/>
              <w:bottom w:val="nil"/>
            </w:tcBorders>
          </w:tcPr>
          <w:p w14:paraId="79F49C07" w14:textId="77777777" w:rsidR="00367616" w:rsidRDefault="00367616" w:rsidP="00422929">
            <w:pPr>
              <w:pStyle w:val="Tableheading"/>
            </w:pPr>
            <w:r>
              <w:t>Comments:</w:t>
            </w:r>
          </w:p>
          <w:p w14:paraId="3812B646" w14:textId="77777777" w:rsidR="005A3784" w:rsidRDefault="005A3784" w:rsidP="00422929">
            <w:pPr>
              <w:pStyle w:val="Tableheading"/>
            </w:pPr>
          </w:p>
          <w:p w14:paraId="40E76D7A" w14:textId="77777777" w:rsidR="005A3784" w:rsidRDefault="005A3784" w:rsidP="00422929">
            <w:pPr>
              <w:pStyle w:val="Tableheading"/>
            </w:pPr>
          </w:p>
          <w:p w14:paraId="095FB731" w14:textId="77777777" w:rsidR="005A3784" w:rsidRPr="00AF24CF" w:rsidRDefault="005A3784" w:rsidP="00422929">
            <w:pPr>
              <w:pStyle w:val="Tableheading"/>
            </w:pPr>
          </w:p>
        </w:tc>
      </w:tr>
    </w:tbl>
    <w:p w14:paraId="7B2ED8DB" w14:textId="77777777" w:rsidR="00367616" w:rsidRPr="004816EF" w:rsidRDefault="00367616" w:rsidP="00422929">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367616" w:rsidRPr="000A401A" w14:paraId="4819B21F" w14:textId="77777777" w:rsidTr="00952FCB">
        <w:trPr>
          <w:tblHeader/>
        </w:trPr>
        <w:tc>
          <w:tcPr>
            <w:tcW w:w="3905" w:type="pct"/>
            <w:tcBorders>
              <w:top w:val="single" w:sz="4" w:space="0" w:color="939598"/>
              <w:bottom w:val="single" w:sz="4" w:space="0" w:color="808080" w:themeColor="background1" w:themeShade="80"/>
              <w:right w:val="single" w:sz="4" w:space="0" w:color="939598"/>
            </w:tcBorders>
            <w:shd w:val="clear" w:color="auto" w:fill="051C3C"/>
          </w:tcPr>
          <w:p w14:paraId="4F4250A7" w14:textId="77777777" w:rsidR="00367616" w:rsidRPr="00AE2EA6" w:rsidRDefault="00367616" w:rsidP="00422929">
            <w:pPr>
              <w:pStyle w:val="Tableheading"/>
              <w:rPr>
                <w:color w:val="FFFFFF" w:themeColor="background1"/>
                <w:sz w:val="18"/>
              </w:rPr>
            </w:pPr>
            <w:r w:rsidRPr="00AE2EA6">
              <w:rPr>
                <w:color w:val="FFFFFF" w:themeColor="background1"/>
                <w:sz w:val="18"/>
              </w:rPr>
              <w:t>Individuals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E1D03B0" w14:textId="77777777" w:rsidR="00367616" w:rsidRPr="00AE2EA6" w:rsidRDefault="00367616" w:rsidP="00422929">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A235BCA" w14:textId="77777777" w:rsidR="00367616" w:rsidRPr="00AE2EA6" w:rsidRDefault="00367616" w:rsidP="00422929">
            <w:pPr>
              <w:pStyle w:val="Tableheading"/>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398540F4" w14:textId="77777777" w:rsidR="00367616" w:rsidRPr="00AE2EA6" w:rsidRDefault="00367616" w:rsidP="00422929">
            <w:pPr>
              <w:pStyle w:val="Tableheading"/>
              <w:jc w:val="center"/>
              <w:rPr>
                <w:color w:val="FFFFFF" w:themeColor="background1"/>
                <w:sz w:val="18"/>
              </w:rPr>
            </w:pPr>
            <w:r w:rsidRPr="00AE2EA6">
              <w:rPr>
                <w:color w:val="FFFFFF" w:themeColor="background1"/>
                <w:sz w:val="18"/>
              </w:rPr>
              <w:t>N/A</w:t>
            </w:r>
          </w:p>
        </w:tc>
      </w:tr>
      <w:tr w:rsidR="007C6148" w:rsidRPr="00B340A7" w14:paraId="6DAB674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CD3352B" w14:textId="77777777" w:rsidR="007C6148" w:rsidRPr="00B340A7" w:rsidRDefault="007C6148" w:rsidP="007C6148">
            <w:pPr>
              <w:pStyle w:val="Tableheading"/>
            </w:pPr>
            <w:r>
              <w:t>Salary sacrifice</w:t>
            </w:r>
          </w:p>
        </w:tc>
      </w:tr>
      <w:tr w:rsidR="00367616" w14:paraId="0EFEA51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FB57678" w14:textId="77777777" w:rsidR="00367616" w:rsidRDefault="00367616" w:rsidP="004774F0">
            <w:pPr>
              <w:pStyle w:val="Table"/>
              <w:ind w:right="-57"/>
            </w:pPr>
            <w:r w:rsidRPr="004774F0">
              <w:t>Ensure that salary sacrifice arrangements have been considered in light of TR 2001/10 so that any gross</w:t>
            </w:r>
            <w:r>
              <w:t xml:space="preserve"> </w:t>
            </w:r>
            <w:r w:rsidRPr="004774F0">
              <w:t xml:space="preserve">salary foregone for fringe benefits or additional </w:t>
            </w:r>
            <w:r w:rsidR="003F6097">
              <w:t xml:space="preserve">employer </w:t>
            </w:r>
            <w:r w:rsidRPr="004774F0">
              <w:t>superannuation contributions is under an agreement</w:t>
            </w:r>
            <w:r>
              <w:t xml:space="preserve"> </w:t>
            </w:r>
            <w:r w:rsidRPr="004774F0">
              <w:t>entered into before gross salary is derived.</w:t>
            </w:r>
          </w:p>
          <w:p w14:paraId="63A69CAF" w14:textId="38349A7E" w:rsidR="003F6097" w:rsidRDefault="003F6097" w:rsidP="004774F0">
            <w:pPr>
              <w:pStyle w:val="Table"/>
              <w:ind w:right="-57"/>
            </w:pPr>
            <w:r w:rsidRPr="009F0C8F">
              <w:rPr>
                <w:b/>
                <w:sz w:val="14"/>
                <w:szCs w:val="14"/>
              </w:rPr>
              <w:t xml:space="preserve">Note: </w:t>
            </w:r>
            <w:r w:rsidRPr="009F0C8F">
              <w:rPr>
                <w:sz w:val="14"/>
                <w:szCs w:val="14"/>
              </w:rPr>
              <w:t xml:space="preserve">in </w:t>
            </w:r>
            <w:r>
              <w:rPr>
                <w:sz w:val="14"/>
                <w:szCs w:val="14"/>
              </w:rPr>
              <w:t xml:space="preserve">entering into a salary sacrifice arrangement make sure that any additional employer superannuation contributions do not result in the total of compulsory superannuation contributions and salary sacrificed contributions exceeding the concessional contributions cap.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D5C9E8" w14:textId="77777777" w:rsidR="00367616" w:rsidRDefault="00367616" w:rsidP="00422929">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9AF8512" w14:textId="77777777" w:rsidR="00367616" w:rsidRDefault="00367616" w:rsidP="00422929">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D9101CC" w14:textId="77777777" w:rsidR="00367616" w:rsidRDefault="00367616" w:rsidP="00422929">
            <w:pPr>
              <w:pStyle w:val="Table"/>
              <w:jc w:val="center"/>
            </w:pPr>
          </w:p>
        </w:tc>
      </w:tr>
    </w:tbl>
    <w:p w14:paraId="78C14D7A" w14:textId="77777777" w:rsidR="00970849" w:rsidRDefault="00970849">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E50EE4" w:rsidRPr="00B340A7" w14:paraId="0306015F"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F243E" w:themeFill="text2" w:themeFillShade="80"/>
          </w:tcPr>
          <w:p w14:paraId="2CEC653E" w14:textId="2AC63B61" w:rsidR="00E50EE4" w:rsidRDefault="00231098" w:rsidP="002252BE">
            <w:pPr>
              <w:pStyle w:val="Tableheading"/>
            </w:pPr>
            <w:r>
              <w:lastRenderedPageBreak/>
              <w:br w:type="page"/>
            </w:r>
            <w:r w:rsidR="00E50EE4" w:rsidRPr="00AE2EA6">
              <w:rPr>
                <w:color w:val="FFFFFF" w:themeColor="background1"/>
                <w:sz w:val="18"/>
              </w:rPr>
              <w:t>Individuals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03F4B8E5" w14:textId="77777777" w:rsidR="00E50EE4" w:rsidRPr="00B340A7" w:rsidRDefault="00E50EE4" w:rsidP="002252BE">
            <w:pPr>
              <w:pStyle w:val="Tableheading"/>
              <w:jc w:val="cente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5E65D399" w14:textId="77777777" w:rsidR="00E50EE4" w:rsidRPr="00B340A7" w:rsidRDefault="00E50EE4" w:rsidP="002252BE">
            <w:pPr>
              <w:pStyle w:val="Tableheading"/>
              <w:jc w:val="cente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03738D72" w14:textId="77777777" w:rsidR="00E50EE4" w:rsidRPr="00B340A7" w:rsidRDefault="00E50EE4" w:rsidP="002252BE">
            <w:pPr>
              <w:pStyle w:val="Tableheading"/>
              <w:jc w:val="center"/>
            </w:pPr>
            <w:r w:rsidRPr="00AE2EA6">
              <w:rPr>
                <w:color w:val="FFFFFF" w:themeColor="background1"/>
                <w:sz w:val="18"/>
              </w:rPr>
              <w:t>N/A</w:t>
            </w:r>
          </w:p>
        </w:tc>
      </w:tr>
      <w:tr w:rsidR="00970849" w:rsidRPr="00B340A7" w14:paraId="0F095F19" w14:textId="77777777" w:rsidTr="00F00EA6">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6B9393" w14:textId="77777777" w:rsidR="00970849" w:rsidRPr="00B340A7" w:rsidRDefault="00970849" w:rsidP="00F00EA6">
            <w:pPr>
              <w:pStyle w:val="Tableheading"/>
            </w:pPr>
            <w:r>
              <w:t>Low income tax offset</w:t>
            </w:r>
          </w:p>
        </w:tc>
      </w:tr>
      <w:tr w:rsidR="00970849" w:rsidRPr="00B340A7" w14:paraId="117380AB" w14:textId="77777777" w:rsidTr="00970849">
        <w:tc>
          <w:tcPr>
            <w:tcW w:w="3905" w:type="pct"/>
            <w:tcBorders>
              <w:top w:val="single" w:sz="4" w:space="0" w:color="939598"/>
              <w:bottom w:val="single" w:sz="4" w:space="0" w:color="808080" w:themeColor="background1" w:themeShade="80"/>
              <w:right w:val="single" w:sz="4" w:space="0" w:color="939598"/>
            </w:tcBorders>
            <w:shd w:val="clear" w:color="auto" w:fill="auto"/>
          </w:tcPr>
          <w:p w14:paraId="0192EBFE" w14:textId="77777777" w:rsidR="00970849" w:rsidRPr="00E9415D" w:rsidRDefault="00970849" w:rsidP="00970849">
            <w:pPr>
              <w:pStyle w:val="Table"/>
              <w:ind w:right="-57"/>
            </w:pPr>
            <w:r w:rsidRPr="00E9415D">
              <w:t>Check whether the taxpayer is eligible for the $</w:t>
            </w:r>
            <w:r>
              <w:t>445 low income tax offset (LITO). Note that the full offset</w:t>
            </w:r>
            <w:r w:rsidRPr="00E9415D">
              <w:t xml:space="preserve"> </w:t>
            </w:r>
            <w:r>
              <w:t xml:space="preserve">is available for </w:t>
            </w:r>
            <w:r w:rsidRPr="00E9415D">
              <w:t>individuals with</w:t>
            </w:r>
            <w:r>
              <w:t xml:space="preserve"> </w:t>
            </w:r>
            <w:r w:rsidRPr="00E9415D">
              <w:t xml:space="preserve">taxable income </w:t>
            </w:r>
            <w:r>
              <w:t xml:space="preserve">of </w:t>
            </w:r>
            <w:r w:rsidRPr="00E9415D">
              <w:t>less than $</w:t>
            </w:r>
            <w:r>
              <w:t>3</w:t>
            </w:r>
            <w:r w:rsidRPr="00E9415D">
              <w:t>7,000</w:t>
            </w:r>
            <w:r>
              <w:t xml:space="preserve"> but fully phases out where taxable income is $66,667 or more</w:t>
            </w:r>
            <w:r w:rsidRPr="00E9415D">
              <w:t>.</w:t>
            </w:r>
          </w:p>
          <w:p w14:paraId="2B05DB30" w14:textId="7C7413C3" w:rsidR="00970849" w:rsidRPr="00970849" w:rsidRDefault="00970849" w:rsidP="00970849">
            <w:pPr>
              <w:pStyle w:val="Tableheading"/>
              <w:spacing w:before="60" w:after="60"/>
              <w:rPr>
                <w:b w:val="0"/>
              </w:rPr>
            </w:pPr>
            <w:r w:rsidRPr="00970849">
              <w:rPr>
                <w:sz w:val="14"/>
                <w:szCs w:val="14"/>
              </w:rPr>
              <w:t>Note:</w:t>
            </w:r>
            <w:r w:rsidRPr="00970849">
              <w:rPr>
                <w:b w:val="0"/>
                <w:sz w:val="14"/>
                <w:szCs w:val="14"/>
              </w:rPr>
              <w:t xml:space="preserve"> since 1 July 2012 minors (i.e. children under 18 years of age) have not been eligible to receive the LITO to reduce tax payable under Division 6AA.</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1AB68C1E" w14:textId="77777777" w:rsidR="00970849" w:rsidRPr="00AE2EA6" w:rsidRDefault="00970849" w:rsidP="002252BE">
            <w:pPr>
              <w:pStyle w:val="Tableheading"/>
              <w:jc w:val="center"/>
              <w:rPr>
                <w:color w:val="FFFFFF" w:themeColor="background1"/>
                <w:sz w:val="18"/>
              </w:rPr>
            </w:pP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682A1FE8" w14:textId="77777777" w:rsidR="00970849" w:rsidRPr="00AE2EA6" w:rsidRDefault="00970849" w:rsidP="002252BE">
            <w:pPr>
              <w:pStyle w:val="Tableheading"/>
              <w:jc w:val="center"/>
              <w:rPr>
                <w:color w:val="FFFFFF" w:themeColor="background1"/>
                <w:sz w:val="18"/>
              </w:rPr>
            </w:pP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auto"/>
          </w:tcPr>
          <w:p w14:paraId="3316EC49" w14:textId="77777777" w:rsidR="00970849" w:rsidRPr="00AE2EA6" w:rsidRDefault="00970849" w:rsidP="002252BE">
            <w:pPr>
              <w:pStyle w:val="Tableheading"/>
              <w:jc w:val="center"/>
              <w:rPr>
                <w:color w:val="FFFFFF" w:themeColor="background1"/>
                <w:sz w:val="18"/>
              </w:rPr>
            </w:pPr>
          </w:p>
        </w:tc>
      </w:tr>
      <w:tr w:rsidR="00231098" w:rsidRPr="00B340A7" w14:paraId="4CB8061E"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4622F5" w14:textId="1478B448" w:rsidR="00231098" w:rsidRPr="00231098" w:rsidRDefault="00231098" w:rsidP="00231098">
            <w:pPr>
              <w:pStyle w:val="Tableheading"/>
              <w:rPr>
                <w:color w:val="FFFFFF" w:themeColor="background1"/>
                <w:sz w:val="18"/>
              </w:rPr>
            </w:pPr>
            <w:r w:rsidRPr="00231098">
              <w:t>Small business tax offset</w:t>
            </w:r>
          </w:p>
        </w:tc>
      </w:tr>
      <w:tr w:rsidR="00231098" w:rsidRPr="00B340A7" w14:paraId="34B05FC4"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6ED860" w14:textId="6178D23A" w:rsidR="00231098" w:rsidRPr="00231098" w:rsidRDefault="00231098" w:rsidP="000054EC">
            <w:pPr>
              <w:spacing w:before="60" w:after="60"/>
              <w:rPr>
                <w:rFonts w:eastAsia="Times New Roman"/>
                <w:sz w:val="22"/>
                <w:szCs w:val="20"/>
                <w:lang w:val="en-US"/>
              </w:rPr>
            </w:pPr>
            <w:r w:rsidRPr="003A1122">
              <w:rPr>
                <w:rFonts w:eastAsia="Times New Roman"/>
                <w:sz w:val="17"/>
                <w:szCs w:val="17"/>
                <w:lang w:val="en-US"/>
              </w:rPr>
              <w:t xml:space="preserve">Check whether the individual is entitled to the small business income tax offset </w:t>
            </w:r>
            <w:r>
              <w:rPr>
                <w:rFonts w:eastAsia="Times New Roman"/>
                <w:sz w:val="17"/>
                <w:szCs w:val="17"/>
                <w:lang w:val="en-US"/>
              </w:rPr>
              <w:t>for the year ended 30 June 201</w:t>
            </w:r>
            <w:r w:rsidR="000054EC">
              <w:rPr>
                <w:rFonts w:eastAsia="Times New Roman"/>
                <w:sz w:val="17"/>
                <w:szCs w:val="17"/>
                <w:lang w:val="en-US"/>
              </w:rPr>
              <w:t>7</w:t>
            </w:r>
            <w:r>
              <w:rPr>
                <w:rFonts w:eastAsia="Times New Roman"/>
                <w:sz w:val="17"/>
                <w:szCs w:val="17"/>
                <w:lang w:val="en-US"/>
              </w:rPr>
              <w:t xml:space="preserve"> </w:t>
            </w:r>
            <w:r w:rsidRPr="003A1122">
              <w:rPr>
                <w:rFonts w:eastAsia="Times New Roman"/>
                <w:sz w:val="17"/>
                <w:szCs w:val="17"/>
                <w:lang w:val="en-US"/>
              </w:rPr>
              <w:t xml:space="preserve">being </w:t>
            </w:r>
            <w:r w:rsidR="000054EC">
              <w:rPr>
                <w:rFonts w:eastAsia="Times New Roman"/>
                <w:sz w:val="17"/>
                <w:szCs w:val="17"/>
                <w:lang w:val="en-US"/>
              </w:rPr>
              <w:t>8</w:t>
            </w:r>
            <w:r w:rsidRPr="003A1122">
              <w:rPr>
                <w:rFonts w:eastAsia="Times New Roman"/>
                <w:sz w:val="17"/>
                <w:szCs w:val="17"/>
                <w:lang w:val="en-US"/>
              </w:rPr>
              <w:t xml:space="preserve"> per cent of the income tax payable on the portion of an individual’s taxable income that is their ‘total net small business income’. Th</w:t>
            </w:r>
            <w:r w:rsidRPr="00321755">
              <w:rPr>
                <w:rFonts w:eastAsia="Times New Roman"/>
                <w:sz w:val="17"/>
                <w:szCs w:val="17"/>
                <w:lang w:val="en-US"/>
              </w:rPr>
              <w:t>is</w:t>
            </w:r>
            <w:r w:rsidRPr="003A1122">
              <w:rPr>
                <w:rFonts w:eastAsia="Times New Roman"/>
                <w:sz w:val="17"/>
                <w:szCs w:val="17"/>
                <w:lang w:val="en-US"/>
              </w:rPr>
              <w:t xml:space="preserve"> offset is available to s</w:t>
            </w:r>
            <w:r w:rsidR="000054EC">
              <w:rPr>
                <w:rFonts w:eastAsia="Times New Roman"/>
                <w:sz w:val="17"/>
                <w:szCs w:val="17"/>
                <w:lang w:val="en-US"/>
              </w:rPr>
              <w:t>ole traders</w:t>
            </w:r>
            <w:r w:rsidRPr="003A1122">
              <w:rPr>
                <w:rFonts w:eastAsia="Times New Roman"/>
                <w:sz w:val="17"/>
                <w:szCs w:val="17"/>
                <w:lang w:val="en-US"/>
              </w:rPr>
              <w:t xml:space="preserve"> who </w:t>
            </w:r>
            <w:r w:rsidR="000054EC">
              <w:rPr>
                <w:rFonts w:eastAsia="Times New Roman"/>
                <w:sz w:val="17"/>
                <w:szCs w:val="17"/>
                <w:lang w:val="en-US"/>
              </w:rPr>
              <w:t>would meet the requirements of being a small business entity</w:t>
            </w:r>
            <w:r w:rsidRPr="003A1122">
              <w:rPr>
                <w:rFonts w:eastAsia="Times New Roman"/>
                <w:sz w:val="17"/>
                <w:szCs w:val="17"/>
                <w:lang w:val="en-US"/>
              </w:rPr>
              <w:t xml:space="preserve">, and to individuals who are not a small business entity, but who are assessed on </w:t>
            </w:r>
            <w:r>
              <w:rPr>
                <w:rFonts w:eastAsia="Times New Roman"/>
                <w:sz w:val="17"/>
                <w:szCs w:val="17"/>
                <w:lang w:val="en-US"/>
              </w:rPr>
              <w:t xml:space="preserve">a share of </w:t>
            </w:r>
            <w:r w:rsidRPr="003A1122">
              <w:rPr>
                <w:rFonts w:eastAsia="Times New Roman"/>
                <w:sz w:val="17"/>
                <w:szCs w:val="17"/>
                <w:lang w:val="en-US"/>
              </w:rPr>
              <w:t xml:space="preserve">the income of a small business entity in that they are a partner in a partnership that is a small business entity or a beneficiary of a trust that is a small business entity. </w:t>
            </w:r>
            <w:r w:rsidR="000054EC">
              <w:rPr>
                <w:rFonts w:eastAsia="Times New Roman"/>
                <w:sz w:val="17"/>
                <w:szCs w:val="17"/>
                <w:lang w:val="en-US"/>
              </w:rPr>
              <w:t xml:space="preserve">An entity is a small business entity if it carries on business and its aggregated turnover for the </w:t>
            </w:r>
            <w:r w:rsidR="002B4B40">
              <w:rPr>
                <w:rFonts w:eastAsia="Times New Roman"/>
                <w:sz w:val="17"/>
                <w:szCs w:val="17"/>
                <w:lang w:val="en-US"/>
              </w:rPr>
              <w:t xml:space="preserve">2017 </w:t>
            </w:r>
            <w:r w:rsidR="000054EC">
              <w:rPr>
                <w:rFonts w:eastAsia="Times New Roman"/>
                <w:sz w:val="17"/>
                <w:szCs w:val="17"/>
                <w:lang w:val="en-US"/>
              </w:rPr>
              <w:t xml:space="preserve">year is less than $5 million. </w:t>
            </w:r>
            <w:r w:rsidRPr="003A1122">
              <w:rPr>
                <w:rFonts w:eastAsia="Times New Roman"/>
                <w:sz w:val="17"/>
                <w:szCs w:val="17"/>
                <w:lang w:val="en-US"/>
              </w:rPr>
              <w:t xml:space="preserve">An individual is only able to claim one small business tax offset for an income year irrespective of the number of sources of small business income </w:t>
            </w:r>
            <w:r>
              <w:rPr>
                <w:rFonts w:eastAsia="Times New Roman"/>
                <w:sz w:val="17"/>
                <w:szCs w:val="17"/>
                <w:lang w:val="en-US"/>
              </w:rPr>
              <w:t>derived by that individual and the maximum amount of the offset is capped to $1,000 per year</w:t>
            </w:r>
            <w:r w:rsidRPr="003A1122">
              <w:rPr>
                <w:rFonts w:eastAsia="Times New Roman"/>
                <w:sz w:val="17"/>
                <w:szCs w:val="17"/>
                <w:lang w:val="en-US"/>
              </w:rPr>
              <w:t xml:space="preserve">. </w:t>
            </w:r>
            <w:r>
              <w:rPr>
                <w:sz w:val="14"/>
                <w:szCs w:val="14"/>
              </w:rPr>
              <w:t xml:space="preserve">    </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6FAC40"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2FD0C4"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68CDEA" w14:textId="77777777" w:rsidR="00231098" w:rsidRPr="00AE2EA6" w:rsidRDefault="00231098" w:rsidP="002252BE">
            <w:pPr>
              <w:pStyle w:val="Tableheading"/>
              <w:jc w:val="center"/>
              <w:rPr>
                <w:color w:val="FFFFFF" w:themeColor="background1"/>
                <w:sz w:val="18"/>
              </w:rPr>
            </w:pPr>
          </w:p>
        </w:tc>
      </w:tr>
      <w:tr w:rsidR="00231098" w:rsidRPr="00B340A7" w14:paraId="0511D5D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F60459" w14:textId="431E0C04" w:rsidR="00231098" w:rsidRPr="00AE2EA6" w:rsidRDefault="00231098" w:rsidP="00231098">
            <w:pPr>
              <w:pStyle w:val="Tableheading"/>
              <w:rPr>
                <w:color w:val="FFFFFF" w:themeColor="background1"/>
                <w:sz w:val="18"/>
              </w:rPr>
            </w:pPr>
            <w:r>
              <w:t>Superannuation</w:t>
            </w:r>
          </w:p>
        </w:tc>
      </w:tr>
      <w:tr w:rsidR="00231098" w:rsidRPr="00B340A7" w14:paraId="7A582D5B"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D8BEE" w14:textId="7325D535" w:rsidR="00231098" w:rsidRDefault="00231098" w:rsidP="006712F7">
            <w:pPr>
              <w:pStyle w:val="Table"/>
              <w:ind w:right="-57"/>
            </w:pPr>
            <w:r w:rsidRPr="00BA3646">
              <w:t>Consider the limits</w:t>
            </w:r>
            <w:r w:rsidR="00285DA9">
              <w:t xml:space="preserve"> that apply to the making of concessional and non-concessional contributions for the year ended 30 June 2017</w:t>
            </w:r>
            <w:r w:rsidRPr="00BA3646">
              <w:t>:</w:t>
            </w:r>
          </w:p>
          <w:p w14:paraId="5CD78B83" w14:textId="2373CB11" w:rsidR="00285DA9" w:rsidRDefault="001759A0" w:rsidP="001759A0">
            <w:pPr>
              <w:pStyle w:val="TableBullet"/>
            </w:pPr>
            <w:r>
              <w:t>t</w:t>
            </w:r>
            <w:r w:rsidR="00285DA9" w:rsidRPr="007E6CA8">
              <w:t>he cap on concessional contributions for the 2017 year is $35,000 for each individual aged 49 years or over at 30 June 2016 and $30,000 for individuals under that age</w:t>
            </w:r>
          </w:p>
          <w:p w14:paraId="442C963A" w14:textId="7F2E6C28" w:rsidR="00285DA9" w:rsidRPr="00285DA9" w:rsidRDefault="001759A0" w:rsidP="001759A0">
            <w:pPr>
              <w:pStyle w:val="TableBullet"/>
            </w:pPr>
            <w:r>
              <w:t>t</w:t>
            </w:r>
            <w:r w:rsidR="00285DA9" w:rsidRPr="007E6CA8">
              <w:t>he annual cap on non-concessional contributions for the 2017 year is $180,000</w:t>
            </w:r>
            <w:r w:rsidR="002B4B40">
              <w:t>.</w:t>
            </w:r>
          </w:p>
          <w:p w14:paraId="610E8ACB" w14:textId="79B83B9B" w:rsidR="00285DA9" w:rsidRDefault="00285DA9" w:rsidP="00285DA9">
            <w:pPr>
              <w:spacing w:before="60" w:after="60"/>
              <w:rPr>
                <w:sz w:val="14"/>
                <w:szCs w:val="14"/>
              </w:rPr>
            </w:pPr>
            <w:r w:rsidRPr="009F0C8F">
              <w:rPr>
                <w:b/>
                <w:sz w:val="14"/>
                <w:szCs w:val="14"/>
              </w:rPr>
              <w:t>Note</w:t>
            </w:r>
            <w:r w:rsidRPr="009F0C8F">
              <w:rPr>
                <w:sz w:val="14"/>
                <w:szCs w:val="14"/>
              </w:rPr>
              <w:t xml:space="preserve">: </w:t>
            </w:r>
            <w:r w:rsidR="001759A0">
              <w:rPr>
                <w:sz w:val="14"/>
                <w:szCs w:val="14"/>
              </w:rPr>
              <w:t>t</w:t>
            </w:r>
            <w:r>
              <w:rPr>
                <w:sz w:val="14"/>
                <w:szCs w:val="14"/>
              </w:rPr>
              <w:t>he amount of the concessional contributions cap for the 2018 year has been reduced to $25,000 regardless of age. Accordingly, consult an appropriately licensed financial planner to consider the merits of maximising concessional superannuation contributions in the 2017 year before the lower cap on concessional contributions applies in the 2018 year.</w:t>
            </w:r>
          </w:p>
          <w:p w14:paraId="460088B6" w14:textId="733D2B32" w:rsidR="00231098" w:rsidRPr="001759A0" w:rsidRDefault="00285DA9" w:rsidP="001759A0">
            <w:pPr>
              <w:pStyle w:val="Tableheading"/>
              <w:spacing w:before="60" w:after="60"/>
              <w:rPr>
                <w:b w:val="0"/>
                <w:color w:val="FFFFFF" w:themeColor="background1"/>
                <w:sz w:val="18"/>
              </w:rPr>
            </w:pPr>
            <w:r w:rsidRPr="001759A0">
              <w:rPr>
                <w:sz w:val="14"/>
                <w:szCs w:val="14"/>
              </w:rPr>
              <w:t>Note:</w:t>
            </w:r>
            <w:r w:rsidRPr="001759A0">
              <w:rPr>
                <w:b w:val="0"/>
                <w:sz w:val="14"/>
                <w:szCs w:val="14"/>
              </w:rPr>
              <w:t xml:space="preserve"> </w:t>
            </w:r>
            <w:r w:rsidR="001759A0">
              <w:rPr>
                <w:b w:val="0"/>
                <w:sz w:val="14"/>
                <w:szCs w:val="14"/>
              </w:rPr>
              <w:t>t</w:t>
            </w:r>
            <w:r w:rsidRPr="001759A0">
              <w:rPr>
                <w:b w:val="0"/>
                <w:sz w:val="14"/>
                <w:szCs w:val="14"/>
              </w:rPr>
              <w:t xml:space="preserve">he annual non-concessional contributions cap will be reduced to $100,000 in the 2018 year. Similarly, consider consulting an appropriately licensed financial planner to consider the merits of making additional non-concessional contributions for the 2017 year taking into account the superannuation reforms that take effect from 1 July 2017. As a corollary, the amount of non-concessional contributions that a person aged under 65 can bring forward under the three-year rule will be reduced from $540,000 to $300,000 </w:t>
            </w:r>
            <w:r w:rsidR="000054EC" w:rsidRPr="001759A0">
              <w:rPr>
                <w:b w:val="0"/>
                <w:sz w:val="14"/>
                <w:szCs w:val="14"/>
              </w:rPr>
              <w:t xml:space="preserve">for the 2018 year </w:t>
            </w:r>
            <w:r w:rsidRPr="001759A0">
              <w:rPr>
                <w:b w:val="0"/>
                <w:sz w:val="14"/>
                <w:szCs w:val="14"/>
              </w:rPr>
              <w:t xml:space="preserve">(subject to transitional arrangements). However, these transitional arrangements do not apply where the full $540,000 non-concessional contribution is made under the three-year brought forward rule in the year ended 30 June 2017.       </w:t>
            </w:r>
            <w:r w:rsidR="00231098" w:rsidRPr="001759A0">
              <w:rPr>
                <w:b w:val="0"/>
                <w:sz w:val="14"/>
                <w:szCs w:val="14"/>
              </w:rPr>
              <w:t xml:space="preserve"> </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8976F3"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A51108"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8B4810" w14:textId="77777777" w:rsidR="00231098" w:rsidRPr="00AE2EA6" w:rsidRDefault="00231098" w:rsidP="002252BE">
            <w:pPr>
              <w:pStyle w:val="Tableheading"/>
              <w:jc w:val="center"/>
              <w:rPr>
                <w:color w:val="FFFFFF" w:themeColor="background1"/>
                <w:sz w:val="18"/>
              </w:rPr>
            </w:pPr>
          </w:p>
        </w:tc>
      </w:tr>
      <w:tr w:rsidR="000054EC" w:rsidRPr="00B340A7" w14:paraId="5416731D"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A1C902" w14:textId="3F263A08" w:rsidR="002B4B40" w:rsidRDefault="000054EC" w:rsidP="006712F7">
            <w:pPr>
              <w:pStyle w:val="Table"/>
              <w:ind w:right="-57"/>
            </w:pPr>
            <w:r>
              <w:t xml:space="preserve">Consider the impact of superannuation reforms that </w:t>
            </w:r>
            <w:r w:rsidR="002B4B40">
              <w:t>limit the amount of funds that can be held in the retirement phase of a taxed fund to support an account</w:t>
            </w:r>
            <w:r w:rsidR="00BF59FE">
              <w:t>-</w:t>
            </w:r>
            <w:r w:rsidR="002B4B40">
              <w:t>based pension to $1.6 million</w:t>
            </w:r>
            <w:r w:rsidR="00BF59FE">
              <w:t>,</w:t>
            </w:r>
            <w:r w:rsidR="002B4B40">
              <w:t xml:space="preserve"> which will commence from 1 July 2017</w:t>
            </w:r>
            <w:r w:rsidR="00E83C14">
              <w:t>.</w:t>
            </w:r>
          </w:p>
          <w:p w14:paraId="4E43C32F" w14:textId="4503B8BF" w:rsidR="000054EC" w:rsidRPr="00BA3646" w:rsidRDefault="002B4B40" w:rsidP="006712F7">
            <w:pPr>
              <w:pStyle w:val="Table"/>
              <w:ind w:right="-57"/>
            </w:pPr>
            <w:r w:rsidRPr="007E6CA8">
              <w:rPr>
                <w:b/>
                <w:sz w:val="14"/>
                <w:szCs w:val="14"/>
              </w:rPr>
              <w:t>Note:</w:t>
            </w:r>
            <w:r w:rsidRPr="009F0C8F">
              <w:rPr>
                <w:sz w:val="14"/>
                <w:szCs w:val="14"/>
              </w:rPr>
              <w:t xml:space="preserve"> </w:t>
            </w:r>
            <w:r>
              <w:rPr>
                <w:sz w:val="14"/>
                <w:szCs w:val="14"/>
              </w:rPr>
              <w:t>check to see if the individual is already in retirement phase and has a personal balance cap in excess of $1.6 million</w:t>
            </w:r>
            <w:r w:rsidR="00E83C14">
              <w:rPr>
                <w:sz w:val="14"/>
                <w:szCs w:val="14"/>
              </w:rPr>
              <w:t xml:space="preserve"> before 30 June 2017</w:t>
            </w:r>
            <w:r>
              <w:rPr>
                <w:sz w:val="14"/>
                <w:szCs w:val="14"/>
              </w:rPr>
              <w:t xml:space="preserve">. If so, </w:t>
            </w:r>
            <w:r w:rsidRPr="007E6CA8">
              <w:rPr>
                <w:sz w:val="14"/>
                <w:szCs w:val="14"/>
              </w:rPr>
              <w:t>consult an appropriately licensed financial planner</w:t>
            </w:r>
            <w:r>
              <w:rPr>
                <w:sz w:val="14"/>
                <w:szCs w:val="14"/>
              </w:rPr>
              <w:t xml:space="preserve"> on commuting that excess or withdrawing it from the superannuation regime</w:t>
            </w:r>
            <w:r w:rsidR="00E83C14">
              <w:rPr>
                <w:sz w:val="14"/>
                <w:szCs w:val="14"/>
              </w:rPr>
              <w:t>, and the merits of electing to apply related CGT transitional relief.</w:t>
            </w:r>
            <w:r>
              <w:rPr>
                <w:sz w:val="14"/>
                <w:szCs w:val="14"/>
              </w:rPr>
              <w:t xml:space="preserve">        </w:t>
            </w:r>
            <w:r>
              <w:t xml:space="preserve">   </w:t>
            </w:r>
            <w:r w:rsidR="000054EC">
              <w:t xml:space="preserve"> </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BA6B" w14:textId="77777777" w:rsidR="000054EC" w:rsidRPr="00AE2EA6" w:rsidRDefault="000054EC"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335444" w14:textId="77777777" w:rsidR="000054EC" w:rsidRPr="00AE2EA6" w:rsidRDefault="000054EC"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3493CA" w14:textId="77777777" w:rsidR="000054EC" w:rsidRPr="00AE2EA6" w:rsidRDefault="000054EC" w:rsidP="002252BE">
            <w:pPr>
              <w:pStyle w:val="Tableheading"/>
              <w:jc w:val="center"/>
              <w:rPr>
                <w:color w:val="FFFFFF" w:themeColor="background1"/>
                <w:sz w:val="18"/>
              </w:rPr>
            </w:pPr>
          </w:p>
        </w:tc>
      </w:tr>
      <w:tr w:rsidR="00231098" w:rsidRPr="00B340A7" w14:paraId="76B3B581"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F578A0" w14:textId="68E9994B" w:rsidR="00231098" w:rsidRPr="00231098" w:rsidRDefault="00231098" w:rsidP="002252BE">
            <w:pPr>
              <w:pStyle w:val="Tableheading"/>
              <w:rPr>
                <w:b w:val="0"/>
                <w:color w:val="FFFFFF" w:themeColor="background1"/>
                <w:sz w:val="18"/>
              </w:rPr>
            </w:pPr>
            <w:r w:rsidRPr="00231098">
              <w:rPr>
                <w:b w:val="0"/>
              </w:rPr>
              <w:t>Check whether the taxpayer is entitled to the Federal Government co-contribution for personal after-tax contributions made up to $500</w:t>
            </w:r>
            <w:r w:rsidR="00E83C14">
              <w:rPr>
                <w:b w:val="0"/>
              </w:rPr>
              <w:t xml:space="preserve">, or the low-income superannuation contribution. </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216E36"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8DF086"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11587" w14:textId="77777777" w:rsidR="00231098" w:rsidRPr="00AE2EA6" w:rsidRDefault="00231098" w:rsidP="002252BE">
            <w:pPr>
              <w:pStyle w:val="Tableheading"/>
              <w:jc w:val="center"/>
              <w:rPr>
                <w:color w:val="FFFFFF" w:themeColor="background1"/>
                <w:sz w:val="18"/>
              </w:rPr>
            </w:pPr>
          </w:p>
        </w:tc>
      </w:tr>
      <w:tr w:rsidR="00231098" w:rsidRPr="00B340A7" w14:paraId="6A8D2349"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613723" w14:textId="5E09C603" w:rsidR="00231098" w:rsidRPr="00AE2EA6" w:rsidRDefault="00231098" w:rsidP="00231098">
            <w:pPr>
              <w:pStyle w:val="Tableheading"/>
              <w:rPr>
                <w:color w:val="FFFFFF" w:themeColor="background1"/>
                <w:sz w:val="18"/>
              </w:rPr>
            </w:pPr>
            <w:r>
              <w:t>Luxury cars</w:t>
            </w:r>
          </w:p>
        </w:tc>
      </w:tr>
      <w:tr w:rsidR="00231098" w:rsidRPr="00B340A7" w14:paraId="0284ECDA"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BA39D1" w14:textId="065E6E37" w:rsidR="00231098" w:rsidRPr="00231098" w:rsidRDefault="00231098" w:rsidP="002252BE">
            <w:pPr>
              <w:pStyle w:val="Tableheading"/>
              <w:rPr>
                <w:b w:val="0"/>
                <w:color w:val="FFFFFF" w:themeColor="background1"/>
                <w:sz w:val="18"/>
              </w:rPr>
            </w:pPr>
            <w:r w:rsidRPr="00231098">
              <w:rPr>
                <w:b w:val="0"/>
              </w:rPr>
              <w:t>Check whether the taxpayer is intending to purchase a luxury car (i.e. acquisition cost greater than $57,</w:t>
            </w:r>
            <w:r w:rsidR="00A1672C">
              <w:rPr>
                <w:b w:val="0"/>
              </w:rPr>
              <w:t>581</w:t>
            </w:r>
            <w:r w:rsidRPr="00231098">
              <w:rPr>
                <w:b w:val="0"/>
              </w:rPr>
              <w:t>). If so, ensure that the depreciation claimed is based on an acquisition cost not exceeding $57,</w:t>
            </w:r>
            <w:r w:rsidR="00A1672C">
              <w:rPr>
                <w:b w:val="0"/>
              </w:rPr>
              <w:t>581</w:t>
            </w:r>
            <w:r w:rsidRPr="00231098">
              <w:rPr>
                <w:b w:val="0"/>
              </w:rPr>
              <w:t xml:space="preserve"> rather than its actual cost.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48F18C"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6773E8"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D66245" w14:textId="77777777" w:rsidR="00231098" w:rsidRPr="00AE2EA6" w:rsidRDefault="00231098" w:rsidP="002252BE">
            <w:pPr>
              <w:pStyle w:val="Tableheading"/>
              <w:jc w:val="center"/>
              <w:rPr>
                <w:color w:val="FFFFFF" w:themeColor="background1"/>
                <w:sz w:val="18"/>
              </w:rPr>
            </w:pPr>
          </w:p>
        </w:tc>
      </w:tr>
      <w:tr w:rsidR="00231098" w:rsidRPr="00B340A7" w14:paraId="5D3A6ACF"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638ED6" w14:textId="563F0C29" w:rsidR="00231098" w:rsidRPr="00231098" w:rsidRDefault="00231098" w:rsidP="002252BE">
            <w:pPr>
              <w:pStyle w:val="Tableheading"/>
              <w:rPr>
                <w:b w:val="0"/>
                <w:color w:val="FFFFFF" w:themeColor="background1"/>
                <w:sz w:val="18"/>
              </w:rPr>
            </w:pPr>
            <w:r w:rsidRPr="00231098">
              <w:rPr>
                <w:b w:val="0"/>
              </w:rPr>
              <w:t xml:space="preserve">Check whether the taxpayer is intending to lease a luxury car. If so, ensure that the taxpayer does not claim the lease payment but rather works out a notional interest and depreciation deduction based on the notional </w:t>
            </w:r>
            <w:r w:rsidR="00A1672C">
              <w:rPr>
                <w:b w:val="0"/>
              </w:rPr>
              <w:t xml:space="preserve">loan to the lessee equal to the </w:t>
            </w:r>
            <w:r w:rsidRPr="00231098">
              <w:rPr>
                <w:b w:val="0"/>
              </w:rPr>
              <w:t>cost</w:t>
            </w:r>
            <w:r w:rsidR="00A1672C">
              <w:rPr>
                <w:b w:val="0"/>
              </w:rPr>
              <w:t xml:space="preserve"> of the leased car</w:t>
            </w:r>
            <w:r w:rsidRPr="00231098">
              <w:rPr>
                <w:b w:val="0"/>
              </w:rPr>
              <w: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6B8D1E"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11AEE2"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6EFF07" w14:textId="77777777" w:rsidR="00231098" w:rsidRPr="00AE2EA6" w:rsidRDefault="00231098" w:rsidP="002252BE">
            <w:pPr>
              <w:pStyle w:val="Tableheading"/>
              <w:jc w:val="center"/>
              <w:rPr>
                <w:color w:val="FFFFFF" w:themeColor="background1"/>
                <w:sz w:val="18"/>
              </w:rPr>
            </w:pPr>
          </w:p>
        </w:tc>
      </w:tr>
    </w:tbl>
    <w:p w14:paraId="26FCBB8C" w14:textId="77777777" w:rsidR="00BF59FE" w:rsidRDefault="00BF59FE">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BF59FE" w:rsidRPr="00B340A7" w14:paraId="345C1363" w14:textId="77777777" w:rsidTr="00F00EA6">
        <w:tc>
          <w:tcPr>
            <w:tcW w:w="3905" w:type="pct"/>
            <w:tcBorders>
              <w:top w:val="single" w:sz="4" w:space="0" w:color="939598"/>
              <w:bottom w:val="single" w:sz="4" w:space="0" w:color="808080" w:themeColor="background1" w:themeShade="80"/>
              <w:right w:val="single" w:sz="4" w:space="0" w:color="939598"/>
            </w:tcBorders>
            <w:shd w:val="clear" w:color="auto" w:fill="0F243E" w:themeFill="text2" w:themeFillShade="80"/>
          </w:tcPr>
          <w:p w14:paraId="76CF00E7" w14:textId="50F6CBFE" w:rsidR="00BF59FE" w:rsidRDefault="00BF59FE" w:rsidP="00F00EA6">
            <w:pPr>
              <w:pStyle w:val="Tableheading"/>
            </w:pPr>
            <w:r>
              <w:lastRenderedPageBreak/>
              <w:br w:type="page"/>
            </w:r>
            <w:r w:rsidRPr="00AE2EA6">
              <w:rPr>
                <w:color w:val="FFFFFF" w:themeColor="background1"/>
                <w:sz w:val="18"/>
              </w:rPr>
              <w:t>Individuals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7E629BA5" w14:textId="77777777" w:rsidR="00BF59FE" w:rsidRPr="00B340A7" w:rsidRDefault="00BF59FE" w:rsidP="00F00EA6">
            <w:pPr>
              <w:pStyle w:val="Tableheading"/>
              <w:jc w:val="cente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27FA0134" w14:textId="77777777" w:rsidR="00BF59FE" w:rsidRPr="00B340A7" w:rsidRDefault="00BF59FE" w:rsidP="00F00EA6">
            <w:pPr>
              <w:pStyle w:val="Tableheading"/>
              <w:jc w:val="cente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3D0CEFE6" w14:textId="77777777" w:rsidR="00BF59FE" w:rsidRPr="00B340A7" w:rsidRDefault="00BF59FE" w:rsidP="00F00EA6">
            <w:pPr>
              <w:pStyle w:val="Tableheading"/>
              <w:jc w:val="center"/>
            </w:pPr>
            <w:r w:rsidRPr="00AE2EA6">
              <w:rPr>
                <w:color w:val="FFFFFF" w:themeColor="background1"/>
                <w:sz w:val="18"/>
              </w:rPr>
              <w:t>N/A</w:t>
            </w:r>
          </w:p>
        </w:tc>
      </w:tr>
      <w:tr w:rsidR="00231098" w:rsidRPr="00B340A7" w14:paraId="7E2077A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86F3A68" w14:textId="6BFACD9C" w:rsidR="00231098" w:rsidRPr="00B340A7" w:rsidRDefault="00231098" w:rsidP="007C6148">
            <w:pPr>
              <w:pStyle w:val="Tableheading"/>
            </w:pPr>
            <w:r>
              <w:t>Non-commercial losses</w:t>
            </w:r>
          </w:p>
        </w:tc>
      </w:tr>
      <w:tr w:rsidR="00231098" w14:paraId="52C64882" w14:textId="77777777" w:rsidTr="003304B6">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B4AA3" w14:textId="77777777" w:rsidR="00231098" w:rsidRDefault="00231098" w:rsidP="00C53128">
            <w:pPr>
              <w:pStyle w:val="Table"/>
              <w:ind w:right="-57"/>
            </w:pPr>
            <w:r>
              <w:t>I</w:t>
            </w:r>
            <w:r w:rsidRPr="00C53128">
              <w:t xml:space="preserve">f the taxpayer satisfies </w:t>
            </w:r>
            <w:r>
              <w:t>the non-commercial loss</w:t>
            </w:r>
            <w:r w:rsidRPr="00C53128">
              <w:t xml:space="preserve"> tests</w:t>
            </w:r>
            <w:r>
              <w:t xml:space="preserve"> (i.e. t</w:t>
            </w:r>
            <w:r w:rsidRPr="00BA3646">
              <w:t xml:space="preserve">he real property test, </w:t>
            </w:r>
            <w:r>
              <w:t xml:space="preserve">the </w:t>
            </w:r>
            <w:r w:rsidRPr="00BA3646">
              <w:t>profits test, other assets test or the assessable income test</w:t>
            </w:r>
            <w:r>
              <w:t>)</w:t>
            </w:r>
            <w:r w:rsidRPr="00C53128">
              <w:t xml:space="preserve"> losses from conducting certain business activities </w:t>
            </w:r>
            <w:r>
              <w:t>will be able to be</w:t>
            </w:r>
            <w:r w:rsidRPr="00C53128">
              <w:t xml:space="preserve"> offset</w:t>
            </w:r>
            <w:r>
              <w:t xml:space="preserve"> </w:t>
            </w:r>
            <w:r w:rsidRPr="00C53128">
              <w:t>against other income.</w:t>
            </w:r>
            <w:r>
              <w:t xml:space="preserve"> If these tests are failed (and the Commissioner does not exercise a discretion) such losses must be quarantined and carried forward</w:t>
            </w:r>
          </w:p>
          <w:p w14:paraId="3435CC52" w14:textId="0677FCCF" w:rsidR="00231098" w:rsidRDefault="00231098" w:rsidP="008E54EE">
            <w:pPr>
              <w:pStyle w:val="Table"/>
              <w:ind w:right="-57"/>
            </w:pPr>
            <w:r w:rsidRPr="00BA3646">
              <w:t xml:space="preserve">Only </w:t>
            </w:r>
            <w:r w:rsidRPr="00EA6EC3">
              <w:t xml:space="preserve">taxpayers with adjusted taxable income </w:t>
            </w:r>
            <w:r>
              <w:t xml:space="preserve">of </w:t>
            </w:r>
            <w:r w:rsidRPr="00EA6EC3">
              <w:t>less than $250,000</w:t>
            </w:r>
            <w:r>
              <w:t xml:space="preserve"> will be able to apply the non-commercial loss tests against salary and wages income. </w:t>
            </w:r>
            <w:r w:rsidRPr="00BA3646">
              <w:t>Taxpayers with adjusted taxable income</w:t>
            </w:r>
            <w:r w:rsidRPr="00EA6EC3">
              <w:t xml:space="preserve"> greater than $250,000 </w:t>
            </w:r>
            <w:r>
              <w:t>must seek</w:t>
            </w:r>
            <w:r w:rsidRPr="00BA3646">
              <w:t xml:space="preserve"> the Commissioner’s discretion to be able to offset such losses against their other income</w:t>
            </w:r>
            <w:r>
              <w:t>, or must only apply such losses against income derived from the same business activity</w:t>
            </w:r>
            <w:r w:rsidRPr="00BA3646">
              <w:t>.</w:t>
            </w:r>
          </w:p>
          <w:p w14:paraId="442A46D9" w14:textId="305C7EBF" w:rsidR="00A1672C" w:rsidRPr="00BF59FE" w:rsidRDefault="00A1672C" w:rsidP="00BF59FE">
            <w:pPr>
              <w:spacing w:before="60" w:after="60"/>
              <w:ind w:right="-57"/>
              <w:rPr>
                <w:sz w:val="14"/>
                <w:szCs w:val="14"/>
              </w:rPr>
            </w:pPr>
            <w:r w:rsidRPr="003A1122">
              <w:rPr>
                <w:b/>
                <w:sz w:val="14"/>
                <w:szCs w:val="14"/>
              </w:rPr>
              <w:t>Note</w:t>
            </w:r>
            <w:r w:rsidRPr="003A1122">
              <w:rPr>
                <w:sz w:val="14"/>
                <w:szCs w:val="14"/>
              </w:rPr>
              <w:t>:</w:t>
            </w:r>
            <w:r>
              <w:rPr>
                <w:sz w:val="14"/>
                <w:szCs w:val="14"/>
              </w:rPr>
              <w:t xml:space="preserve"> the non-commercial loss rules will also not apply if the individual </w:t>
            </w:r>
            <w:r w:rsidRPr="006F493C">
              <w:rPr>
                <w:sz w:val="14"/>
                <w:szCs w:val="14"/>
              </w:rPr>
              <w:t>operate</w:t>
            </w:r>
            <w:r>
              <w:rPr>
                <w:sz w:val="14"/>
                <w:szCs w:val="14"/>
              </w:rPr>
              <w:t>d</w:t>
            </w:r>
            <w:r w:rsidRPr="006F493C">
              <w:rPr>
                <w:sz w:val="14"/>
                <w:szCs w:val="14"/>
              </w:rPr>
              <w:t xml:space="preserve"> a primary production or professional arts business</w:t>
            </w:r>
            <w:r w:rsidR="00E21265">
              <w:rPr>
                <w:sz w:val="14"/>
                <w:szCs w:val="14"/>
              </w:rPr>
              <w:t xml:space="preserve"> at a loss</w:t>
            </w:r>
            <w:r w:rsidRPr="006F493C">
              <w:rPr>
                <w:sz w:val="14"/>
                <w:szCs w:val="14"/>
              </w:rPr>
              <w:t xml:space="preserve"> (subject to a $40,000 limit on other source</w:t>
            </w:r>
            <w:r>
              <w:rPr>
                <w:sz w:val="14"/>
                <w:szCs w:val="14"/>
              </w:rPr>
              <w:t>s</w:t>
            </w:r>
            <w:r w:rsidRPr="006F493C">
              <w:rPr>
                <w:sz w:val="14"/>
                <w:szCs w:val="14"/>
              </w:rPr>
              <w:t xml:space="preserve"> </w:t>
            </w:r>
            <w:r>
              <w:rPr>
                <w:sz w:val="14"/>
                <w:szCs w:val="14"/>
              </w:rPr>
              <w:t xml:space="preserve">of </w:t>
            </w:r>
            <w:r w:rsidRPr="006F493C">
              <w:rPr>
                <w:sz w:val="14"/>
                <w:szCs w:val="14"/>
              </w:rPr>
              <w:t>income</w:t>
            </w:r>
            <w:r>
              <w:rPr>
                <w:sz w:val="14"/>
                <w:szCs w:val="14"/>
              </w:rPr>
              <w:t xml:space="preserve"> excluding capital gains</w:t>
            </w:r>
            <w:r w:rsidRPr="006F493C">
              <w:rPr>
                <w:sz w:val="14"/>
                <w:szCs w:val="14"/>
              </w:rPr>
              <w:t xml:space="preserve">). </w:t>
            </w:r>
          </w:p>
          <w:p w14:paraId="668B2A8D" w14:textId="20DE538A" w:rsidR="00231098" w:rsidRDefault="00231098" w:rsidP="00792BE5">
            <w:pPr>
              <w:pStyle w:val="Table"/>
              <w:ind w:right="-57"/>
            </w:pPr>
            <w:r w:rsidRPr="003A1122">
              <w:rPr>
                <w:b/>
                <w:sz w:val="14"/>
                <w:szCs w:val="14"/>
              </w:rPr>
              <w:t>Note</w:t>
            </w:r>
            <w:r w:rsidRPr="003A1122">
              <w:rPr>
                <w:sz w:val="14"/>
                <w:szCs w:val="14"/>
              </w:rPr>
              <w:t>:</w:t>
            </w:r>
            <w:r>
              <w:rPr>
                <w:sz w:val="14"/>
                <w:szCs w:val="14"/>
              </w:rPr>
              <w:t xml:space="preserve"> adjusted taxable income is the total of the taxpayer’s taxable income, total reportable fringe benefits, reportable superannuation contributions and total net investment losses.</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C4D2D" w14:textId="77777777" w:rsidR="00231098" w:rsidRDefault="00231098" w:rsidP="002252BE">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5964AF" w14:textId="77777777" w:rsidR="00231098" w:rsidRDefault="00231098" w:rsidP="002252BE">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83CEE" w14:textId="77777777" w:rsidR="00231098" w:rsidRDefault="00231098" w:rsidP="002252BE">
            <w:pPr>
              <w:pStyle w:val="Table"/>
              <w:jc w:val="center"/>
            </w:pPr>
          </w:p>
        </w:tc>
      </w:tr>
      <w:tr w:rsidR="00231098" w:rsidRPr="00AF24CF" w14:paraId="59B7AA05" w14:textId="77777777" w:rsidTr="003304B6">
        <w:tc>
          <w:tcPr>
            <w:tcW w:w="5000" w:type="pct"/>
            <w:gridSpan w:val="4"/>
            <w:tcBorders>
              <w:top w:val="single" w:sz="4" w:space="0" w:color="808080" w:themeColor="background1" w:themeShade="80"/>
              <w:bottom w:val="single" w:sz="4" w:space="0" w:color="939598"/>
            </w:tcBorders>
          </w:tcPr>
          <w:p w14:paraId="1BD87919" w14:textId="77777777" w:rsidR="00231098" w:rsidRDefault="00231098" w:rsidP="002252BE">
            <w:pPr>
              <w:pStyle w:val="Tableheading"/>
            </w:pPr>
            <w:r>
              <w:t>Comments:</w:t>
            </w:r>
          </w:p>
          <w:p w14:paraId="5AAA6DB3" w14:textId="77777777" w:rsidR="00231098" w:rsidRDefault="00231098" w:rsidP="002252BE">
            <w:pPr>
              <w:pStyle w:val="Tableheading"/>
            </w:pPr>
          </w:p>
          <w:p w14:paraId="573F6004" w14:textId="77777777" w:rsidR="00231098" w:rsidRDefault="00231098" w:rsidP="002252BE">
            <w:pPr>
              <w:pStyle w:val="Tableheading"/>
            </w:pPr>
          </w:p>
          <w:p w14:paraId="35535A30" w14:textId="6FC87FE8" w:rsidR="00231098" w:rsidRPr="00AF24CF" w:rsidRDefault="00231098" w:rsidP="002252BE">
            <w:pPr>
              <w:pStyle w:val="Tableheading"/>
            </w:pPr>
          </w:p>
        </w:tc>
      </w:tr>
    </w:tbl>
    <w:p w14:paraId="76025FB3" w14:textId="77777777" w:rsidR="0040635C" w:rsidRDefault="0040635C" w:rsidP="00C53128">
      <w:pPr>
        <w:pStyle w:val="Bet"/>
        <w:spacing w:before="0" w:after="0"/>
        <w:ind w:left="-125" w:right="-119"/>
        <w:rPr>
          <w:sz w:val="6"/>
        </w:rPr>
      </w:pPr>
    </w:p>
    <w:p w14:paraId="541E46B8" w14:textId="77777777" w:rsidR="00D06BF0" w:rsidRDefault="00D06BF0" w:rsidP="00C53128">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37"/>
        <w:gridCol w:w="705"/>
        <w:gridCol w:w="10"/>
        <w:gridCol w:w="748"/>
      </w:tblGrid>
      <w:tr w:rsidR="00367616" w:rsidRPr="000A401A" w14:paraId="53B90409"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51C3C"/>
          </w:tcPr>
          <w:p w14:paraId="196530D5" w14:textId="77777777" w:rsidR="00367616" w:rsidRPr="00AE2EA6" w:rsidRDefault="00367616" w:rsidP="002252BE">
            <w:pPr>
              <w:pStyle w:val="Tableheading"/>
              <w:rPr>
                <w:color w:val="FFFFFF" w:themeColor="background1"/>
                <w:sz w:val="18"/>
              </w:rPr>
            </w:pPr>
            <w:r w:rsidRPr="00AE2EA6">
              <w:rPr>
                <w:color w:val="FFFFFF" w:themeColor="background1"/>
                <w:sz w:val="18"/>
              </w:rPr>
              <w:t>Trusts</w:t>
            </w:r>
          </w:p>
        </w:tc>
        <w:tc>
          <w:tcPr>
            <w:tcW w:w="367"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A0F28C7" w14:textId="77777777" w:rsidR="00367616" w:rsidRPr="00AE2EA6" w:rsidRDefault="00367616" w:rsidP="002252BE">
            <w:pPr>
              <w:pStyle w:val="Tableheading"/>
              <w:jc w:val="center"/>
              <w:rPr>
                <w:color w:val="FFFFFF" w:themeColor="background1"/>
                <w:sz w:val="18"/>
              </w:rPr>
            </w:pPr>
            <w:r w:rsidRPr="00AE2EA6">
              <w:rPr>
                <w:color w:val="FFFFFF" w:themeColor="background1"/>
                <w:sz w:val="18"/>
              </w:rPr>
              <w:t>Yes</w:t>
            </w:r>
          </w:p>
        </w:tc>
        <w:tc>
          <w:tcPr>
            <w:tcW w:w="365" w:type="pct"/>
            <w:gridSpan w:val="3"/>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29C4C7D" w14:textId="77777777" w:rsidR="00367616" w:rsidRPr="00AE2EA6" w:rsidRDefault="00367616" w:rsidP="002252BE">
            <w:pPr>
              <w:pStyle w:val="Tableheading"/>
              <w:jc w:val="center"/>
              <w:rPr>
                <w:color w:val="FFFFFF" w:themeColor="background1"/>
                <w:sz w:val="18"/>
              </w:rPr>
            </w:pPr>
            <w:r w:rsidRPr="00AE2EA6">
              <w:rPr>
                <w:color w:val="FFFFFF" w:themeColor="background1"/>
                <w:sz w:val="18"/>
              </w:rPr>
              <w:t>No</w:t>
            </w:r>
          </w:p>
        </w:tc>
        <w:tc>
          <w:tcPr>
            <w:tcW w:w="363" w:type="pct"/>
            <w:tcBorders>
              <w:top w:val="single" w:sz="4" w:space="0" w:color="939598"/>
              <w:left w:val="single" w:sz="4" w:space="0" w:color="939598"/>
              <w:bottom w:val="single" w:sz="4" w:space="0" w:color="808080" w:themeColor="background1" w:themeShade="80"/>
            </w:tcBorders>
            <w:shd w:val="clear" w:color="auto" w:fill="051C3C"/>
          </w:tcPr>
          <w:p w14:paraId="112F03FF" w14:textId="77777777" w:rsidR="00367616" w:rsidRPr="00AE2EA6" w:rsidRDefault="00367616" w:rsidP="002252BE">
            <w:pPr>
              <w:pStyle w:val="Tableheading"/>
              <w:jc w:val="center"/>
              <w:rPr>
                <w:color w:val="FFFFFF" w:themeColor="background1"/>
                <w:sz w:val="18"/>
              </w:rPr>
            </w:pPr>
            <w:r w:rsidRPr="00AE2EA6">
              <w:rPr>
                <w:color w:val="FFFFFF" w:themeColor="background1"/>
                <w:sz w:val="18"/>
              </w:rPr>
              <w:t>N/A</w:t>
            </w:r>
          </w:p>
        </w:tc>
      </w:tr>
      <w:tr w:rsidR="007C6148" w:rsidRPr="00B340A7" w14:paraId="5A45F761"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DCA229" w14:textId="77777777" w:rsidR="007C6148" w:rsidRPr="00B340A7" w:rsidRDefault="007C6148" w:rsidP="007C6148">
            <w:pPr>
              <w:pStyle w:val="Tableheading"/>
            </w:pPr>
            <w:r>
              <w:t>Trust distributions</w:t>
            </w:r>
          </w:p>
        </w:tc>
      </w:tr>
      <w:tr w:rsidR="00367616" w14:paraId="72588FC8"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9302113" w14:textId="77777777" w:rsidR="00367616" w:rsidRDefault="00367616" w:rsidP="002252BE">
            <w:pPr>
              <w:pStyle w:val="Table"/>
              <w:ind w:right="-57"/>
            </w:pPr>
            <w:r w:rsidRPr="00C53128">
              <w:t>Does the trust deed allow the trustee to stream franked dividends and capital gains?</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671B1C3" w14:textId="77777777" w:rsidR="00367616" w:rsidRDefault="00367616" w:rsidP="002252BE">
            <w:pPr>
              <w:pStyle w:val="Table"/>
              <w:jc w:val="center"/>
            </w:pPr>
          </w:p>
        </w:tc>
        <w:tc>
          <w:tcPr>
            <w:tcW w:w="365" w:type="pct"/>
            <w:gridSpan w:val="3"/>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2BD7A34" w14:textId="77777777" w:rsidR="00367616" w:rsidRDefault="00367616" w:rsidP="002252BE">
            <w:pPr>
              <w:pStyle w:val="Table"/>
              <w:jc w:val="center"/>
            </w:pPr>
          </w:p>
        </w:tc>
        <w:tc>
          <w:tcPr>
            <w:tcW w:w="363" w:type="pct"/>
            <w:tcBorders>
              <w:top w:val="single" w:sz="4" w:space="0" w:color="939598"/>
              <w:left w:val="single" w:sz="4" w:space="0" w:color="808080" w:themeColor="background1" w:themeShade="80"/>
              <w:bottom w:val="single" w:sz="4" w:space="0" w:color="939598"/>
            </w:tcBorders>
          </w:tcPr>
          <w:p w14:paraId="1A05FA1B" w14:textId="77777777" w:rsidR="00367616" w:rsidRDefault="00367616" w:rsidP="002252BE">
            <w:pPr>
              <w:pStyle w:val="Table"/>
              <w:jc w:val="center"/>
            </w:pPr>
          </w:p>
        </w:tc>
      </w:tr>
      <w:tr w:rsidR="00367616" w14:paraId="6B4577DC"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90F1C7" w14:textId="72DF3C52" w:rsidR="00367616" w:rsidRPr="00C53128" w:rsidRDefault="00367616" w:rsidP="000820B3">
            <w:pPr>
              <w:pStyle w:val="Table"/>
              <w:ind w:right="-57"/>
            </w:pPr>
            <w:r w:rsidRPr="00C53128">
              <w:t xml:space="preserve">Where the trustee has the power to stream </w:t>
            </w:r>
            <w:r w:rsidR="000820B3">
              <w:t xml:space="preserve">franked dividends and capital gains </w:t>
            </w:r>
            <w:r w:rsidRPr="00C53128">
              <w:t>has the trustee’s exercise of this power been</w:t>
            </w:r>
            <w:r>
              <w:t xml:space="preserve"> </w:t>
            </w:r>
            <w:r w:rsidRPr="00C53128">
              <w:t>evidenced in a trustee resolution?</w:t>
            </w:r>
            <w:r w:rsidR="000820B3">
              <w:t xml:space="preserve"> </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5983E87" w14:textId="77777777" w:rsidR="00367616" w:rsidRDefault="00367616" w:rsidP="002252BE">
            <w:pPr>
              <w:pStyle w:val="Table"/>
              <w:jc w:val="center"/>
            </w:pPr>
          </w:p>
        </w:tc>
        <w:tc>
          <w:tcPr>
            <w:tcW w:w="365" w:type="pct"/>
            <w:gridSpan w:val="3"/>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CA395B7" w14:textId="77777777" w:rsidR="00367616" w:rsidRDefault="00367616" w:rsidP="002252BE">
            <w:pPr>
              <w:pStyle w:val="Table"/>
              <w:jc w:val="center"/>
            </w:pPr>
          </w:p>
        </w:tc>
        <w:tc>
          <w:tcPr>
            <w:tcW w:w="363" w:type="pct"/>
            <w:tcBorders>
              <w:top w:val="single" w:sz="4" w:space="0" w:color="939598"/>
              <w:left w:val="single" w:sz="4" w:space="0" w:color="808080" w:themeColor="background1" w:themeShade="80"/>
              <w:bottom w:val="single" w:sz="4" w:space="0" w:color="939598"/>
            </w:tcBorders>
          </w:tcPr>
          <w:p w14:paraId="1AB34AB3" w14:textId="77777777" w:rsidR="00367616" w:rsidRDefault="00367616" w:rsidP="002252BE">
            <w:pPr>
              <w:pStyle w:val="Table"/>
              <w:jc w:val="center"/>
            </w:pPr>
          </w:p>
        </w:tc>
      </w:tr>
      <w:tr w:rsidR="00367616" w14:paraId="5CCC5BAA"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3143406" w14:textId="77777777" w:rsidR="00367616" w:rsidRPr="00C53128" w:rsidRDefault="00367616" w:rsidP="00C53128">
            <w:pPr>
              <w:pStyle w:val="Table"/>
              <w:ind w:right="-57"/>
            </w:pPr>
            <w:r w:rsidRPr="00C53128">
              <w:t>Where the trustee has the power to stream</w:t>
            </w:r>
            <w:r w:rsidR="0026206D">
              <w:t>,</w:t>
            </w:r>
            <w:r w:rsidRPr="00C53128">
              <w:t xml:space="preserve"> and this is evidenced by resolution</w:t>
            </w:r>
            <w:r w:rsidR="0026206D">
              <w:t>,</w:t>
            </w:r>
            <w:r w:rsidRPr="00C53128">
              <w:t xml:space="preserve"> have trust funds been</w:t>
            </w:r>
            <w:r>
              <w:t xml:space="preserve"> </w:t>
            </w:r>
            <w:r w:rsidRPr="00C53128">
              <w:t>distributed optimally? Consider the tax status of the beneficiaries:</w:t>
            </w:r>
          </w:p>
          <w:p w14:paraId="191CA2D3" w14:textId="4BC252A4" w:rsidR="00367616" w:rsidRPr="00C53128" w:rsidRDefault="00367616" w:rsidP="007C2D15">
            <w:pPr>
              <w:pStyle w:val="TableBullet"/>
            </w:pPr>
            <w:r w:rsidRPr="00C53128">
              <w:t>franked dividends should then be distributed to low-taxed Australian residents as the excess</w:t>
            </w:r>
            <w:r>
              <w:t xml:space="preserve"> </w:t>
            </w:r>
            <w:r w:rsidRPr="00C53128">
              <w:t>franking credits are available to reduce tax payable on other</w:t>
            </w:r>
            <w:r>
              <w:t xml:space="preserve"> </w:t>
            </w:r>
            <w:r w:rsidRPr="00C53128">
              <w:t>income derived by individual taxpayers</w:t>
            </w:r>
          </w:p>
          <w:p w14:paraId="46BD678D" w14:textId="77777777" w:rsidR="00367616" w:rsidRPr="00C53128" w:rsidRDefault="00367616" w:rsidP="007C2D15">
            <w:pPr>
              <w:pStyle w:val="TableBullet"/>
            </w:pPr>
            <w:r w:rsidRPr="00C53128">
              <w:t>franked dividends distributed to company beneficiaries will not generally suffer further tax</w:t>
            </w:r>
          </w:p>
          <w:p w14:paraId="6B3A5487" w14:textId="77777777" w:rsidR="00367616" w:rsidRDefault="00367616" w:rsidP="007C2D15">
            <w:pPr>
              <w:pStyle w:val="TableBullet"/>
            </w:pPr>
            <w:r w:rsidRPr="00C53128">
              <w:t>companies</w:t>
            </w:r>
            <w:r w:rsidR="0026206D">
              <w:t xml:space="preserve"> </w:t>
            </w:r>
            <w:r w:rsidRPr="00C53128">
              <w:t>do not have access to the CGT discount and are not an efficient vehicle for capital</w:t>
            </w:r>
            <w:r>
              <w:t xml:space="preserve"> </w:t>
            </w:r>
            <w:r w:rsidR="00D06BF0">
              <w:t>gain distributions</w:t>
            </w:r>
          </w:p>
          <w:p w14:paraId="37C9A3BF" w14:textId="77777777" w:rsidR="00A042D1" w:rsidRDefault="00A042D1" w:rsidP="007C2D15">
            <w:pPr>
              <w:pStyle w:val="TableBullet"/>
            </w:pPr>
            <w:r>
              <w:t xml:space="preserve">foreign residents do not have access to the CGT </w:t>
            </w:r>
            <w:r w:rsidR="001A499B">
              <w:t>d</w:t>
            </w:r>
            <w:r>
              <w:t>iscount for capital gains that accrue on or after 8 May 2012</w:t>
            </w:r>
            <w:r w:rsidR="00D06BF0">
              <w:t>.</w:t>
            </w:r>
          </w:p>
          <w:p w14:paraId="4D9BB505" w14:textId="46E032D3" w:rsidR="003F4489" w:rsidRPr="009F0C8F" w:rsidRDefault="00367616" w:rsidP="00BF59FE">
            <w:pPr>
              <w:spacing w:before="60" w:after="60"/>
              <w:rPr>
                <w:rFonts w:cs="Arial"/>
                <w:sz w:val="14"/>
                <w:szCs w:val="14"/>
              </w:rPr>
            </w:pPr>
            <w:r w:rsidRPr="009F0C8F">
              <w:rPr>
                <w:color w:val="000000"/>
                <w:sz w:val="14"/>
                <w:szCs w:val="14"/>
              </w:rPr>
              <w:t>For further information and guidance in relation to the streaming of capital gains and franked distributions please refer to CPA Australia</w:t>
            </w:r>
            <w:r w:rsidR="004A1198" w:rsidRPr="009F0C8F">
              <w:rPr>
                <w:color w:val="000000"/>
                <w:sz w:val="14"/>
                <w:szCs w:val="14"/>
              </w:rPr>
              <w:t>’s</w:t>
            </w:r>
            <w:r w:rsidRPr="009F0C8F">
              <w:rPr>
                <w:color w:val="000000"/>
                <w:sz w:val="14"/>
                <w:szCs w:val="14"/>
              </w:rPr>
              <w:t xml:space="preserve"> </w:t>
            </w:r>
            <w:hyperlink r:id="rId15" w:history="1">
              <w:r w:rsidRPr="00BF59FE">
                <w:rPr>
                  <w:rStyle w:val="Hyperlink"/>
                  <w:i/>
                  <w:sz w:val="14"/>
                  <w:szCs w:val="14"/>
                </w:rPr>
                <w:t>Trust</w:t>
              </w:r>
              <w:r w:rsidRPr="00BF59FE">
                <w:rPr>
                  <w:rStyle w:val="Hyperlink"/>
                  <w:sz w:val="14"/>
                  <w:szCs w:val="14"/>
                </w:rPr>
                <w:t xml:space="preserve"> </w:t>
              </w:r>
              <w:r w:rsidR="004A1198" w:rsidRPr="00BF59FE">
                <w:rPr>
                  <w:rStyle w:val="Hyperlink"/>
                  <w:i/>
                  <w:sz w:val="14"/>
                  <w:szCs w:val="14"/>
                </w:rPr>
                <w:t>Streaming Manual</w:t>
              </w:r>
            </w:hyperlink>
            <w:r w:rsidR="00BF59FE">
              <w:rPr>
                <w:color w:val="000000"/>
                <w:sz w:val="14"/>
                <w:szCs w:val="14"/>
              </w:rPr>
              <w:t>.</w:t>
            </w:r>
            <w:r w:rsidR="005C3424">
              <w:rPr>
                <w:rFonts w:cs="Arial"/>
                <w:sz w:val="14"/>
                <w:szCs w:val="14"/>
              </w:rPr>
              <w:t xml:space="preserve"> </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97C6A77" w14:textId="77777777" w:rsidR="00367616" w:rsidRDefault="00367616" w:rsidP="002252BE">
            <w:pPr>
              <w:pStyle w:val="Table"/>
              <w:jc w:val="center"/>
            </w:pPr>
          </w:p>
        </w:tc>
        <w:tc>
          <w:tcPr>
            <w:tcW w:w="365" w:type="pct"/>
            <w:gridSpan w:val="3"/>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50D356A" w14:textId="77777777" w:rsidR="00367616" w:rsidRDefault="00367616" w:rsidP="002252BE">
            <w:pPr>
              <w:pStyle w:val="Table"/>
              <w:jc w:val="center"/>
            </w:pPr>
          </w:p>
        </w:tc>
        <w:tc>
          <w:tcPr>
            <w:tcW w:w="363" w:type="pct"/>
            <w:tcBorders>
              <w:top w:val="single" w:sz="4" w:space="0" w:color="939598"/>
              <w:left w:val="single" w:sz="4" w:space="0" w:color="808080" w:themeColor="background1" w:themeShade="80"/>
              <w:bottom w:val="single" w:sz="4" w:space="0" w:color="808080" w:themeColor="background1" w:themeShade="80"/>
            </w:tcBorders>
          </w:tcPr>
          <w:p w14:paraId="46C709B6" w14:textId="77777777" w:rsidR="00367616" w:rsidRDefault="00367616" w:rsidP="002252BE">
            <w:pPr>
              <w:pStyle w:val="Table"/>
              <w:jc w:val="center"/>
            </w:pPr>
          </w:p>
        </w:tc>
      </w:tr>
      <w:tr w:rsidR="007A76B2" w14:paraId="540D97CD"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56CB7" w14:textId="297D4BE9" w:rsidR="007A76B2" w:rsidRDefault="007A76B2" w:rsidP="00C53128">
            <w:pPr>
              <w:pStyle w:val="Table"/>
              <w:ind w:right="-57"/>
            </w:pPr>
            <w:r w:rsidRPr="00C53128">
              <w:t xml:space="preserve">Review the trust deed of </w:t>
            </w:r>
            <w:r w:rsidR="00E21265">
              <w:t xml:space="preserve">a discretionary </w:t>
            </w:r>
            <w:r w:rsidR="003813BC">
              <w:t xml:space="preserve">or hybrid </w:t>
            </w:r>
            <w:r w:rsidRPr="00C53128">
              <w:t xml:space="preserve">trust to ensure that the relevant beneficiaries are being made </w:t>
            </w:r>
            <w:r w:rsidR="00E21265">
              <w:t xml:space="preserve">presently </w:t>
            </w:r>
            <w:r w:rsidRPr="00C53128">
              <w:t>entitled</w:t>
            </w:r>
            <w:r>
              <w:t xml:space="preserve"> </w:t>
            </w:r>
            <w:r w:rsidRPr="00C53128">
              <w:t xml:space="preserve">to </w:t>
            </w:r>
            <w:r w:rsidR="00E7523D">
              <w:t xml:space="preserve">a share of </w:t>
            </w:r>
            <w:r w:rsidRPr="00C53128">
              <w:t>the</w:t>
            </w:r>
            <w:r w:rsidR="00E7523D">
              <w:t xml:space="preserve"> income of the trust estate (subject to beneficiaries being made specifically entitled to any capital gains or franked distributions)</w:t>
            </w:r>
            <w:r w:rsidRPr="00C53128">
              <w:t>.</w:t>
            </w:r>
          </w:p>
          <w:p w14:paraId="4A8867CB" w14:textId="1DFE311F" w:rsidR="007A76B2" w:rsidRPr="009F0C8F" w:rsidRDefault="007A76B2" w:rsidP="00D06BF0">
            <w:pPr>
              <w:spacing w:before="60" w:after="60"/>
              <w:rPr>
                <w:color w:val="000000"/>
                <w:sz w:val="14"/>
                <w:szCs w:val="14"/>
              </w:rPr>
            </w:pPr>
            <w:r w:rsidRPr="009F0C8F">
              <w:rPr>
                <w:b/>
                <w:color w:val="000000"/>
                <w:sz w:val="14"/>
                <w:szCs w:val="14"/>
              </w:rPr>
              <w:t>Note:</w:t>
            </w:r>
            <w:r w:rsidRPr="009F0C8F">
              <w:rPr>
                <w:sz w:val="14"/>
                <w:szCs w:val="14"/>
              </w:rPr>
              <w:t xml:space="preserve"> </w:t>
            </w:r>
            <w:r w:rsidRPr="009F0C8F">
              <w:rPr>
                <w:color w:val="000000"/>
                <w:sz w:val="14"/>
                <w:szCs w:val="14"/>
              </w:rPr>
              <w:t>the ATO has withdrawn its administrative treatment that previously permitted trustees to make resolutions after 30 June. If the trust deed requires the trustee to make a beneficiary presently entitled to trust income by way of a resolution, this resolution must now be made by the end of the income year (i.e. 30 June). This resolution will determine each beneficiary’s share of the trust income</w:t>
            </w:r>
            <w:r w:rsidR="00792BE5">
              <w:rPr>
                <w:color w:val="000000"/>
                <w:sz w:val="14"/>
                <w:szCs w:val="14"/>
              </w:rPr>
              <w:t xml:space="preserve"> which </w:t>
            </w:r>
            <w:r w:rsidRPr="009F0C8F">
              <w:rPr>
                <w:color w:val="000000"/>
                <w:sz w:val="14"/>
                <w:szCs w:val="14"/>
              </w:rPr>
              <w:t xml:space="preserve">in turn will establish who is to be assessed on </w:t>
            </w:r>
            <w:r w:rsidR="00792BE5">
              <w:rPr>
                <w:color w:val="000000"/>
                <w:sz w:val="14"/>
                <w:szCs w:val="14"/>
              </w:rPr>
              <w:t xml:space="preserve">share of </w:t>
            </w:r>
            <w:r w:rsidRPr="009F0C8F">
              <w:rPr>
                <w:color w:val="000000"/>
                <w:sz w:val="14"/>
                <w:szCs w:val="14"/>
              </w:rPr>
              <w:t xml:space="preserve">the trust's </w:t>
            </w:r>
            <w:r w:rsidR="00792BE5">
              <w:rPr>
                <w:color w:val="000000"/>
                <w:sz w:val="14"/>
                <w:szCs w:val="14"/>
              </w:rPr>
              <w:t xml:space="preserve">net income (i.e. </w:t>
            </w:r>
            <w:r w:rsidRPr="009F0C8F">
              <w:rPr>
                <w:color w:val="000000"/>
                <w:sz w:val="14"/>
                <w:szCs w:val="14"/>
              </w:rPr>
              <w:t>taxable income</w:t>
            </w:r>
            <w:r w:rsidR="00792BE5">
              <w:rPr>
                <w:color w:val="000000"/>
                <w:sz w:val="14"/>
                <w:szCs w:val="14"/>
              </w:rPr>
              <w:t>)</w:t>
            </w:r>
            <w:r w:rsidRPr="009F0C8F">
              <w:rPr>
                <w:color w:val="000000"/>
                <w:sz w:val="14"/>
                <w:szCs w:val="14"/>
              </w:rPr>
              <w:t xml:space="preserve">. If the trust deed requires a resolution to be made at a date before 30 June the trustee should comply with the requirements of the deed.  </w:t>
            </w:r>
          </w:p>
          <w:p w14:paraId="6E02C33D" w14:textId="417BEF4B" w:rsidR="007A76B2" w:rsidRPr="00EB5FA9" w:rsidRDefault="007A76B2" w:rsidP="00BF59FE">
            <w:pPr>
              <w:spacing w:after="60"/>
              <w:rPr>
                <w:sz w:val="12"/>
                <w:szCs w:val="12"/>
              </w:rPr>
            </w:pPr>
            <w:r w:rsidRPr="009F0C8F">
              <w:rPr>
                <w:color w:val="000000"/>
                <w:sz w:val="14"/>
                <w:szCs w:val="14"/>
              </w:rPr>
              <w:t xml:space="preserve">For further information and guidance in relation to trust resolutions please refer to CPA Australia’s </w:t>
            </w:r>
            <w:hyperlink r:id="rId16" w:history="1">
              <w:r w:rsidR="00BF59FE" w:rsidRPr="00BF59FE">
                <w:rPr>
                  <w:rStyle w:val="Hyperlink"/>
                  <w:i/>
                  <w:sz w:val="14"/>
                  <w:szCs w:val="14"/>
                </w:rPr>
                <w:t>Trustee Guidance Resolutions</w:t>
              </w:r>
            </w:hyperlink>
            <w:r w:rsidR="00BF59FE">
              <w:rPr>
                <w:i/>
                <w:color w:val="000000"/>
                <w:sz w:val="14"/>
                <w:szCs w:val="14"/>
              </w:rPr>
              <w:t xml:space="preserve"> </w:t>
            </w:r>
            <w:r w:rsidR="00BF59FE" w:rsidRPr="00BF59FE">
              <w:rPr>
                <w:color w:val="000000"/>
                <w:sz w:val="14"/>
                <w:szCs w:val="14"/>
              </w:rPr>
              <w:t>publication</w:t>
            </w:r>
            <w:r w:rsidR="00BF59FE">
              <w:rPr>
                <w:i/>
                <w:color w:val="000000"/>
                <w:sz w:val="14"/>
                <w:szCs w:val="14"/>
              </w:rPr>
              <w:t>.</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8FBF5" w14:textId="77777777" w:rsidR="007A76B2" w:rsidRDefault="007A76B2" w:rsidP="002252BE">
            <w:pPr>
              <w:pStyle w:val="Table"/>
              <w:jc w:val="center"/>
            </w:pPr>
          </w:p>
        </w:tc>
        <w:tc>
          <w:tcPr>
            <w:tcW w:w="34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6EF80" w14:textId="77777777" w:rsidR="007A76B2" w:rsidRDefault="007A76B2" w:rsidP="002252BE">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0EC0F6" w14:textId="77777777" w:rsidR="007A76B2" w:rsidRDefault="007A76B2" w:rsidP="002252BE">
            <w:pPr>
              <w:pStyle w:val="Table"/>
              <w:jc w:val="center"/>
            </w:pPr>
          </w:p>
        </w:tc>
      </w:tr>
      <w:tr w:rsidR="007A76B2" w14:paraId="1227ED6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565AC" w14:textId="0372BBEA" w:rsidR="007A76B2" w:rsidRPr="0026206D" w:rsidRDefault="007A76B2" w:rsidP="008601F9">
            <w:pPr>
              <w:pStyle w:val="Table"/>
              <w:keepNext/>
              <w:ind w:right="-57"/>
            </w:pPr>
            <w:r w:rsidRPr="00C53128">
              <w:t>Where relevant, has the trustee made a determination about what amounts should be treated as income</w:t>
            </w:r>
            <w:r>
              <w:t xml:space="preserve"> of the trust estate </w:t>
            </w:r>
            <w:r w:rsidRPr="00C53128">
              <w:t>e</w:t>
            </w:r>
            <w:r>
              <w:t>.g</w:t>
            </w:r>
            <w:r w:rsidRPr="00C53128">
              <w:t xml:space="preserve">. </w:t>
            </w:r>
            <w:r w:rsidR="00E7523D">
              <w:t xml:space="preserve">trust </w:t>
            </w:r>
            <w:r w:rsidRPr="00C53128">
              <w:t>capital gains ma</w:t>
            </w:r>
            <w:r w:rsidR="00606BDD">
              <w:t>y</w:t>
            </w:r>
            <w:r w:rsidRPr="00C53128">
              <w:t xml:space="preserve"> be treated as </w:t>
            </w:r>
            <w:r>
              <w:t xml:space="preserve">trust </w:t>
            </w:r>
            <w:r w:rsidRPr="00C53128">
              <w:t>income in certain circumstances if permitted by the trust deed?</w:t>
            </w:r>
            <w:r>
              <w:t xml:space="preserve"> </w:t>
            </w:r>
            <w:r w:rsidRPr="00C53128">
              <w:rPr>
                <w:i/>
              </w:rPr>
              <w:t>(</w:t>
            </w:r>
            <w:r w:rsidRPr="0006488A">
              <w:t>refer to</w:t>
            </w:r>
            <w:r w:rsidRPr="00C53128">
              <w:rPr>
                <w:i/>
              </w:rPr>
              <w:t xml:space="preserve"> Commissioner of Taxation v Bamford [2010] HCA 10)</w:t>
            </w:r>
            <w:r>
              <w:t>.</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A34EE" w14:textId="77777777" w:rsidR="007A76B2" w:rsidRDefault="007A76B2">
            <w:pPr>
              <w:pStyle w:val="Table"/>
              <w:keepNext/>
              <w:jc w:val="center"/>
            </w:pPr>
          </w:p>
        </w:tc>
        <w:tc>
          <w:tcPr>
            <w:tcW w:w="34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ED3FD6" w14:textId="77777777" w:rsidR="007A76B2" w:rsidRDefault="007A76B2">
            <w:pPr>
              <w:pStyle w:val="Table"/>
              <w:keepNext/>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6E97A" w14:textId="77777777" w:rsidR="007A76B2" w:rsidRDefault="007A76B2">
            <w:pPr>
              <w:pStyle w:val="Table"/>
              <w:keepNext/>
              <w:jc w:val="center"/>
            </w:pPr>
          </w:p>
        </w:tc>
      </w:tr>
      <w:tr w:rsidR="007A76B2" w:rsidRPr="002252BE" w14:paraId="6508BC3F"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A3F9D" w14:textId="4A97F4CD" w:rsidR="007A76B2" w:rsidRPr="002252BE" w:rsidRDefault="007A76B2" w:rsidP="00B54455">
            <w:pPr>
              <w:pStyle w:val="Table"/>
            </w:pPr>
            <w:r w:rsidRPr="002252BE">
              <w:t>Check that trust income has been fully distributed to beneficiaries</w:t>
            </w:r>
            <w:r w:rsidR="00E7523D">
              <w:t xml:space="preserve"> so that all net income of the trust is assessed to beneficiaries</w:t>
            </w:r>
            <w:r w:rsidRPr="002252BE">
              <w:t xml:space="preserve">. If not, section 99A will </w:t>
            </w:r>
            <w:r>
              <w:t xml:space="preserve">usually </w:t>
            </w:r>
            <w:r w:rsidRPr="002252BE">
              <w:t xml:space="preserve">apply to tax the trustee at the </w:t>
            </w:r>
            <w:r w:rsidR="00792BE5">
              <w:t xml:space="preserve">effective </w:t>
            </w:r>
            <w:r w:rsidRPr="002252BE">
              <w:t>highest marginal tax rate</w:t>
            </w:r>
            <w:r w:rsidR="00E7523D">
              <w:t xml:space="preserve"> on any net income which is not assessed to beneficiaries</w:t>
            </w:r>
            <w:r w:rsidR="00BF59FE">
              <w:t>,</w:t>
            </w:r>
            <w:r w:rsidR="00792BE5">
              <w:t xml:space="preserve"> </w:t>
            </w:r>
            <w:r w:rsidR="00B54455">
              <w:t xml:space="preserve">which is currently </w:t>
            </w:r>
            <w:r w:rsidR="00792BE5">
              <w:t xml:space="preserve">49% where no beneficiary is presently entitled to trust income.  </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7254F" w14:textId="77777777" w:rsidR="007A76B2" w:rsidRPr="002252BE" w:rsidRDefault="007A76B2" w:rsidP="00184E12">
            <w:pPr>
              <w:pStyle w:val="Table"/>
              <w:jc w:val="center"/>
            </w:pPr>
          </w:p>
        </w:tc>
        <w:tc>
          <w:tcPr>
            <w:tcW w:w="3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5EEECF" w14:textId="77777777" w:rsidR="007A76B2" w:rsidRPr="002252BE" w:rsidRDefault="007A76B2" w:rsidP="00184E12">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C745B" w14:textId="77777777" w:rsidR="007A76B2" w:rsidRPr="002252BE" w:rsidRDefault="007A76B2" w:rsidP="00184E12">
            <w:pPr>
              <w:pStyle w:val="Table"/>
              <w:jc w:val="center"/>
            </w:pPr>
          </w:p>
        </w:tc>
      </w:tr>
      <w:tr w:rsidR="00BF59FE" w:rsidRPr="00AE2EA6" w14:paraId="05879C4D" w14:textId="77777777" w:rsidTr="00F00EA6">
        <w:tc>
          <w:tcPr>
            <w:tcW w:w="3905" w:type="pct"/>
            <w:tcBorders>
              <w:top w:val="single" w:sz="4" w:space="0" w:color="939598"/>
              <w:bottom w:val="single" w:sz="4" w:space="0" w:color="808080" w:themeColor="background1" w:themeShade="80"/>
              <w:right w:val="single" w:sz="4" w:space="0" w:color="939598"/>
            </w:tcBorders>
            <w:shd w:val="clear" w:color="auto" w:fill="051C3C"/>
          </w:tcPr>
          <w:p w14:paraId="6B432D48" w14:textId="77777777" w:rsidR="00BF59FE" w:rsidRPr="00AE2EA6" w:rsidRDefault="00BF59FE" w:rsidP="00F00EA6">
            <w:pPr>
              <w:pStyle w:val="Tableheading"/>
              <w:rPr>
                <w:color w:val="FFFFFF" w:themeColor="background1"/>
                <w:sz w:val="18"/>
              </w:rPr>
            </w:pPr>
            <w:r w:rsidRPr="00AE2EA6">
              <w:rPr>
                <w:color w:val="FFFFFF" w:themeColor="background1"/>
                <w:sz w:val="18"/>
              </w:rPr>
              <w:lastRenderedPageBreak/>
              <w:t>Trusts</w:t>
            </w:r>
          </w:p>
        </w:tc>
        <w:tc>
          <w:tcPr>
            <w:tcW w:w="367"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B2D0DEF" w14:textId="77777777" w:rsidR="00BF59FE" w:rsidRPr="00AE2EA6" w:rsidRDefault="00BF59FE" w:rsidP="00F00EA6">
            <w:pPr>
              <w:pStyle w:val="Tableheading"/>
              <w:jc w:val="center"/>
              <w:rPr>
                <w:color w:val="FFFFFF" w:themeColor="background1"/>
                <w:sz w:val="18"/>
              </w:rPr>
            </w:pPr>
            <w:r w:rsidRPr="00AE2EA6">
              <w:rPr>
                <w:color w:val="FFFFFF" w:themeColor="background1"/>
                <w:sz w:val="18"/>
              </w:rPr>
              <w:t>Yes</w:t>
            </w:r>
          </w:p>
        </w:tc>
        <w:tc>
          <w:tcPr>
            <w:tcW w:w="365" w:type="pct"/>
            <w:gridSpan w:val="3"/>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A7C3728" w14:textId="77777777" w:rsidR="00BF59FE" w:rsidRPr="00AE2EA6" w:rsidRDefault="00BF59FE" w:rsidP="00F00EA6">
            <w:pPr>
              <w:pStyle w:val="Tableheading"/>
              <w:jc w:val="center"/>
              <w:rPr>
                <w:color w:val="FFFFFF" w:themeColor="background1"/>
                <w:sz w:val="18"/>
              </w:rPr>
            </w:pPr>
            <w:r w:rsidRPr="00AE2EA6">
              <w:rPr>
                <w:color w:val="FFFFFF" w:themeColor="background1"/>
                <w:sz w:val="18"/>
              </w:rPr>
              <w:t>No</w:t>
            </w:r>
          </w:p>
        </w:tc>
        <w:tc>
          <w:tcPr>
            <w:tcW w:w="363" w:type="pct"/>
            <w:tcBorders>
              <w:top w:val="single" w:sz="4" w:space="0" w:color="939598"/>
              <w:left w:val="single" w:sz="4" w:space="0" w:color="939598"/>
              <w:bottom w:val="single" w:sz="4" w:space="0" w:color="808080" w:themeColor="background1" w:themeShade="80"/>
            </w:tcBorders>
            <w:shd w:val="clear" w:color="auto" w:fill="051C3C"/>
          </w:tcPr>
          <w:p w14:paraId="6A5CCF3F" w14:textId="77777777" w:rsidR="00BF59FE" w:rsidRPr="00AE2EA6" w:rsidRDefault="00BF59FE" w:rsidP="00F00EA6">
            <w:pPr>
              <w:pStyle w:val="Tableheading"/>
              <w:jc w:val="center"/>
              <w:rPr>
                <w:color w:val="FFFFFF" w:themeColor="background1"/>
                <w:sz w:val="18"/>
              </w:rPr>
            </w:pPr>
            <w:r w:rsidRPr="00AE2EA6">
              <w:rPr>
                <w:color w:val="FFFFFF" w:themeColor="background1"/>
                <w:sz w:val="18"/>
              </w:rPr>
              <w:t>N/A</w:t>
            </w:r>
          </w:p>
        </w:tc>
      </w:tr>
      <w:tr w:rsidR="00BF59FE" w:rsidRPr="00B340A7" w14:paraId="1C36071A" w14:textId="77777777" w:rsidTr="00F00EA6">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A2F1B46" w14:textId="0BD2B69A" w:rsidR="00BF59FE" w:rsidRPr="00B340A7" w:rsidRDefault="00BF59FE" w:rsidP="00F00EA6">
            <w:pPr>
              <w:pStyle w:val="Tableheading"/>
            </w:pPr>
            <w:r>
              <w:t>Trust distributions</w:t>
            </w:r>
            <w:r w:rsidR="00376E69">
              <w:t xml:space="preserve"> </w:t>
            </w:r>
            <w:r w:rsidR="00376E69" w:rsidRPr="00376E69">
              <w:rPr>
                <w:b w:val="0"/>
              </w:rPr>
              <w:t>(continued)</w:t>
            </w:r>
          </w:p>
        </w:tc>
      </w:tr>
      <w:tr w:rsidR="007A76B2" w:rsidRPr="002252BE" w14:paraId="38A336C9"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3C063" w14:textId="19AFB079" w:rsidR="007A76B2" w:rsidRDefault="007A76B2" w:rsidP="0002678A">
            <w:pPr>
              <w:pStyle w:val="Table"/>
            </w:pPr>
            <w:r w:rsidRPr="002252BE">
              <w:t>Check whether a beneficiary has been made presently entitled to trust income due to a reimbursement agreement with a third party</w:t>
            </w:r>
            <w:r w:rsidR="0002678A">
              <w:t>.</w:t>
            </w:r>
            <w:r w:rsidRPr="002252BE">
              <w:t xml:space="preserve"> If so, section 100A</w:t>
            </w:r>
            <w:r w:rsidR="00596CD9">
              <w:t xml:space="preserve"> of the </w:t>
            </w:r>
            <w:r w:rsidR="00E7523D">
              <w:rPr>
                <w:i/>
              </w:rPr>
              <w:t>Income Tax Assessment Act (1936)</w:t>
            </w:r>
            <w:r w:rsidRPr="002252BE">
              <w:t xml:space="preserve"> may deem a beneficiary not to be presently entitled.</w:t>
            </w:r>
          </w:p>
          <w:p w14:paraId="363A9C8A" w14:textId="77777777" w:rsidR="0002678A" w:rsidRPr="009F0C8F" w:rsidRDefault="0002678A" w:rsidP="0002678A">
            <w:pPr>
              <w:pStyle w:val="Table"/>
              <w:rPr>
                <w:sz w:val="14"/>
                <w:szCs w:val="14"/>
              </w:rPr>
            </w:pPr>
            <w:r w:rsidRPr="009F0C8F">
              <w:rPr>
                <w:b/>
                <w:sz w:val="14"/>
                <w:szCs w:val="14"/>
              </w:rPr>
              <w:t>Note:</w:t>
            </w:r>
            <w:r w:rsidRPr="009F0C8F">
              <w:rPr>
                <w:sz w:val="14"/>
                <w:szCs w:val="14"/>
              </w:rPr>
              <w:t xml:space="preserve"> if a tax exempt entity is being made presently entitled to a proportion of trust income, the trustee should ensure that a similar proportion of the net income </w:t>
            </w:r>
            <w:r>
              <w:rPr>
                <w:sz w:val="14"/>
                <w:szCs w:val="14"/>
              </w:rPr>
              <w:t xml:space="preserve">(i.e. taxable income) </w:t>
            </w:r>
            <w:r w:rsidRPr="009F0C8F">
              <w:rPr>
                <w:sz w:val="14"/>
                <w:szCs w:val="14"/>
              </w:rPr>
              <w:t>is attributed to the entitlement.</w:t>
            </w:r>
          </w:p>
          <w:p w14:paraId="11CF85BA" w14:textId="77777777" w:rsidR="00AE3ACC" w:rsidRDefault="0002678A" w:rsidP="00AE3ACC">
            <w:pPr>
              <w:pStyle w:val="Table"/>
              <w:rPr>
                <w:sz w:val="14"/>
                <w:szCs w:val="14"/>
              </w:rPr>
            </w:pPr>
            <w:r w:rsidRPr="009F0C8F">
              <w:rPr>
                <w:sz w:val="14"/>
                <w:szCs w:val="14"/>
              </w:rPr>
              <w:t>Furthermore, if the tax exempt entity has not received a payment in respect of their entitlement within two months of the end of the year, the trustee should ensure that the tax exempt beneficiary is notified</w:t>
            </w:r>
            <w:r w:rsidR="00AE3ACC">
              <w:rPr>
                <w:sz w:val="14"/>
                <w:szCs w:val="14"/>
              </w:rPr>
              <w:t xml:space="preserve"> of this entitlement in writing.</w:t>
            </w:r>
          </w:p>
          <w:p w14:paraId="1B2A9A06" w14:textId="6A2618E2" w:rsidR="0002678A" w:rsidRPr="0002678A" w:rsidRDefault="0002678A" w:rsidP="00AE3ACC">
            <w:pPr>
              <w:pStyle w:val="Table"/>
            </w:pPr>
            <w:r w:rsidRPr="0002678A">
              <w:rPr>
                <w:sz w:val="14"/>
                <w:szCs w:val="14"/>
              </w:rPr>
              <w:t>If there is a mismatch between the proportion of trust income compared to the proportion of net income, or if the trustee fails to</w:t>
            </w:r>
            <w:r w:rsidR="00376E69">
              <w:rPr>
                <w:sz w:val="14"/>
                <w:szCs w:val="14"/>
              </w:rPr>
              <w:t xml:space="preserve"> notify </w:t>
            </w:r>
            <w:r w:rsidRPr="0002678A">
              <w:rPr>
                <w:sz w:val="14"/>
                <w:szCs w:val="14"/>
              </w:rPr>
              <w:t xml:space="preserve">the </w:t>
            </w:r>
            <w:r w:rsidR="00AE3ACC">
              <w:rPr>
                <w:sz w:val="14"/>
                <w:szCs w:val="14"/>
              </w:rPr>
              <w:t>e</w:t>
            </w:r>
            <w:r w:rsidRPr="0002678A">
              <w:rPr>
                <w:sz w:val="14"/>
                <w:szCs w:val="14"/>
              </w:rPr>
              <w:t xml:space="preserve">xempt entity of their entitlement, then sections 100AA and 100AB of the </w:t>
            </w:r>
            <w:r w:rsidR="00E7523D">
              <w:rPr>
                <w:i/>
              </w:rPr>
              <w:t>I</w:t>
            </w:r>
            <w:r w:rsidR="00E7523D" w:rsidRPr="007E6CA8">
              <w:rPr>
                <w:i/>
                <w:sz w:val="14"/>
                <w:szCs w:val="14"/>
              </w:rPr>
              <w:t>ncome Tax Assessment Act (1936)</w:t>
            </w:r>
            <w:r w:rsidRPr="0002678A">
              <w:rPr>
                <w:sz w:val="14"/>
                <w:szCs w:val="14"/>
              </w:rPr>
              <w:t xml:space="preserve"> may deem the exempt entity to not be presently entitled to the income of the trust estate. The trustee will therefore pay tax on net income at the effective highest marginal rate being currently 49%.</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3A98D" w14:textId="77777777" w:rsidR="007A76B2" w:rsidRPr="002252BE" w:rsidRDefault="007A76B2" w:rsidP="00184E12">
            <w:pPr>
              <w:pStyle w:val="Table"/>
              <w:jc w:val="center"/>
            </w:pPr>
          </w:p>
        </w:tc>
        <w:tc>
          <w:tcPr>
            <w:tcW w:w="3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C6A1B" w14:textId="77777777" w:rsidR="007A76B2" w:rsidRPr="002252BE" w:rsidRDefault="007A76B2" w:rsidP="00184E12">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939598"/>
              <w:right w:val="single" w:sz="4" w:space="0" w:color="808080" w:themeColor="background1" w:themeShade="80"/>
            </w:tcBorders>
          </w:tcPr>
          <w:p w14:paraId="282F4628" w14:textId="77777777" w:rsidR="007A76B2" w:rsidRPr="002252BE" w:rsidRDefault="007A76B2" w:rsidP="00184E12">
            <w:pPr>
              <w:pStyle w:val="Table"/>
              <w:jc w:val="center"/>
            </w:pPr>
          </w:p>
        </w:tc>
      </w:tr>
      <w:tr w:rsidR="007A76B2" w:rsidRPr="002252BE" w14:paraId="0B2D2DAE"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FCF34E6" w14:textId="77777777" w:rsidR="007A76B2" w:rsidRPr="002252BE" w:rsidRDefault="007A76B2" w:rsidP="00FD2A3A">
            <w:pPr>
              <w:pStyle w:val="Tableheading"/>
              <w:keepNext/>
            </w:pPr>
            <w:r w:rsidRPr="002252BE">
              <w:t>Trustee unpaid present entitlements owing to companies</w:t>
            </w:r>
          </w:p>
        </w:tc>
      </w:tr>
      <w:tr w:rsidR="007A76B2" w:rsidRPr="002252BE" w14:paraId="1EE3F324"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E22AF" w14:textId="77777777" w:rsidR="007A76B2" w:rsidRPr="002252BE" w:rsidRDefault="007A76B2" w:rsidP="00FD2A3A">
            <w:pPr>
              <w:pStyle w:val="Table"/>
            </w:pPr>
            <w:r w:rsidRPr="002252BE">
              <w:t>Consider whether the trust has a post 16 December 2009 unpaid present entitlement (UPE) owing</w:t>
            </w:r>
            <w:r>
              <w:t xml:space="preserve"> by a trust </w:t>
            </w:r>
            <w:r w:rsidRPr="002252BE">
              <w:t>to</w:t>
            </w:r>
            <w:r>
              <w:t xml:space="preserve"> a </w:t>
            </w:r>
            <w:r w:rsidRPr="002252BE">
              <w:t>company</w:t>
            </w:r>
            <w:r>
              <w:t xml:space="preserve"> which is part of the same family group</w:t>
            </w:r>
            <w:r w:rsidRPr="002252BE">
              <w:t>.</w:t>
            </w:r>
          </w:p>
          <w:p w14:paraId="6DC56F6F" w14:textId="7468595D" w:rsidR="007A76B2" w:rsidRPr="002252BE" w:rsidRDefault="007A76B2" w:rsidP="00FD2A3A">
            <w:pPr>
              <w:pStyle w:val="Table"/>
            </w:pPr>
            <w:r w:rsidRPr="002252BE">
              <w:t>In relation to 201</w:t>
            </w:r>
            <w:r w:rsidR="00E7523D">
              <w:t>7</w:t>
            </w:r>
            <w:r w:rsidRPr="002252BE">
              <w:t xml:space="preserve"> UPEs has (where the trust deed permits it) the UPE been put on sub-trust for the sole benefit of the private company per the Commissioner’s Practi</w:t>
            </w:r>
            <w:r>
              <w:t>c</w:t>
            </w:r>
            <w:r w:rsidRPr="002252BE">
              <w:t xml:space="preserve">e Statement PS LA 2010/4 </w:t>
            </w:r>
            <w:r>
              <w:t xml:space="preserve">by the </w:t>
            </w:r>
            <w:proofErr w:type="spellStart"/>
            <w:r>
              <w:t>lodgment</w:t>
            </w:r>
            <w:proofErr w:type="spellEnd"/>
            <w:r>
              <w:t xml:space="preserve"> date of the trust</w:t>
            </w:r>
            <w:r w:rsidR="00220DF3">
              <w:t>’s 201</w:t>
            </w:r>
            <w:r w:rsidR="00E7523D">
              <w:t>7</w:t>
            </w:r>
            <w:r w:rsidR="00220DF3">
              <w:t xml:space="preserve"> </w:t>
            </w:r>
            <w:r>
              <w:t>tax return</w:t>
            </w:r>
            <w:r w:rsidRPr="002252BE">
              <w:t>?</w:t>
            </w:r>
          </w:p>
          <w:p w14:paraId="4A50E9B0" w14:textId="4AB0C8BA" w:rsidR="007A76B2" w:rsidRDefault="007A76B2" w:rsidP="00B8137A">
            <w:pPr>
              <w:pStyle w:val="Table"/>
            </w:pPr>
            <w:r w:rsidRPr="002252BE">
              <w:t>Where the 201</w:t>
            </w:r>
            <w:r w:rsidR="00E7523D">
              <w:t>7</w:t>
            </w:r>
            <w:r w:rsidRPr="002252BE">
              <w:t xml:space="preserve"> UPE has not been put on a sub trust the Commissioner considers that this </w:t>
            </w:r>
            <w:r>
              <w:t>U</w:t>
            </w:r>
            <w:r w:rsidRPr="002252BE">
              <w:t xml:space="preserve">PE will be </w:t>
            </w:r>
            <w:r>
              <w:t xml:space="preserve">deemed to be </w:t>
            </w:r>
            <w:r w:rsidRPr="002252BE">
              <w:t>a loan made from the company to the trust on</w:t>
            </w:r>
            <w:r>
              <w:t xml:space="preserve"> the trust’s</w:t>
            </w:r>
            <w:r w:rsidRPr="002252BE">
              <w:t xml:space="preserve"> </w:t>
            </w:r>
            <w:proofErr w:type="spellStart"/>
            <w:r>
              <w:t>lodgment</w:t>
            </w:r>
            <w:proofErr w:type="spellEnd"/>
            <w:r>
              <w:t xml:space="preserve"> day (e.g. 15 May 201</w:t>
            </w:r>
            <w:r w:rsidR="00E7523D">
              <w:t>8</w:t>
            </w:r>
            <w:r>
              <w:t>)</w:t>
            </w:r>
            <w:r w:rsidRPr="002252BE">
              <w:t xml:space="preserve">. Subject to the relevant company having distributable surplus, the Division 7A rules need to be considered in relation to this new deemed loan. Refer to </w:t>
            </w:r>
            <w:r>
              <w:t xml:space="preserve">Taxation Ruling </w:t>
            </w:r>
            <w:r w:rsidRPr="002252BE">
              <w:t>TR 2010/3</w:t>
            </w:r>
            <w:r>
              <w:t xml:space="preserve">. </w:t>
            </w:r>
          </w:p>
          <w:p w14:paraId="1D21E23A" w14:textId="26DDBCB0" w:rsidR="007A76B2" w:rsidRPr="009F0C8F" w:rsidRDefault="007A76B2" w:rsidP="00B8137A">
            <w:pPr>
              <w:pStyle w:val="Table"/>
              <w:rPr>
                <w:sz w:val="14"/>
                <w:szCs w:val="14"/>
              </w:rPr>
            </w:pPr>
            <w:r w:rsidRPr="009F0C8F">
              <w:rPr>
                <w:b/>
                <w:sz w:val="14"/>
                <w:szCs w:val="14"/>
              </w:rPr>
              <w:t>Note</w:t>
            </w:r>
            <w:r w:rsidRPr="009F0C8F">
              <w:rPr>
                <w:sz w:val="14"/>
                <w:szCs w:val="14"/>
              </w:rPr>
              <w:t xml:space="preserve">: please refer to CPA Australia’s </w:t>
            </w:r>
            <w:hyperlink r:id="rId17" w:history="1">
              <w:r w:rsidRPr="00AE3ACC">
                <w:rPr>
                  <w:rStyle w:val="Hyperlink"/>
                  <w:sz w:val="14"/>
                  <w:szCs w:val="14"/>
                </w:rPr>
                <w:t xml:space="preserve">Division 7A </w:t>
              </w:r>
              <w:r w:rsidR="00E7523D" w:rsidRPr="00AE3ACC">
                <w:rPr>
                  <w:rStyle w:val="Hyperlink"/>
                  <w:sz w:val="14"/>
                  <w:szCs w:val="14"/>
                </w:rPr>
                <w:t xml:space="preserve">and Division 7A UPE </w:t>
              </w:r>
              <w:r w:rsidRPr="00AE3ACC">
                <w:rPr>
                  <w:rStyle w:val="Hyperlink"/>
                  <w:sz w:val="14"/>
                  <w:szCs w:val="14"/>
                </w:rPr>
                <w:t>checklist</w:t>
              </w:r>
              <w:r w:rsidR="007C220F" w:rsidRPr="00AE3ACC">
                <w:rPr>
                  <w:rStyle w:val="Hyperlink"/>
                  <w:sz w:val="14"/>
                  <w:szCs w:val="14"/>
                </w:rPr>
                <w:t>s</w:t>
              </w:r>
            </w:hyperlink>
            <w:r w:rsidRPr="009F0C8F">
              <w:rPr>
                <w:sz w:val="14"/>
                <w:szCs w:val="14"/>
              </w:rPr>
              <w:t xml:space="preserve"> for further information</w:t>
            </w:r>
            <w:r w:rsidRPr="009F0C8F">
              <w:rPr>
                <w:i/>
                <w:sz w:val="14"/>
                <w:szCs w:val="14"/>
              </w:rPr>
              <w:t>.</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08404" w14:textId="77777777" w:rsidR="007A76B2" w:rsidRPr="002252BE" w:rsidRDefault="007A76B2" w:rsidP="00FD2A3A">
            <w:pPr>
              <w:pStyle w:val="Table"/>
            </w:pPr>
          </w:p>
        </w:tc>
        <w:tc>
          <w:tcPr>
            <w:tcW w:w="3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56918" w14:textId="77777777" w:rsidR="007A76B2" w:rsidRPr="002252BE" w:rsidRDefault="007A76B2" w:rsidP="00FD2A3A">
            <w:pPr>
              <w:pStyle w:val="Table"/>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D76D0" w14:textId="77777777" w:rsidR="007A76B2" w:rsidRPr="002252BE" w:rsidRDefault="007A76B2" w:rsidP="00FD2A3A">
            <w:pPr>
              <w:pStyle w:val="Table"/>
            </w:pPr>
          </w:p>
        </w:tc>
      </w:tr>
      <w:tr w:rsidR="007A76B2" w:rsidRPr="002252BE" w14:paraId="6C3FC187"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29F35CEF" w14:textId="77777777" w:rsidR="007A76B2" w:rsidRPr="002252BE" w:rsidRDefault="007A76B2" w:rsidP="00FD2A3A">
            <w:pPr>
              <w:pStyle w:val="Table"/>
            </w:pPr>
            <w:r w:rsidRPr="002252BE">
              <w:t>Consider whether the trust has a pre</w:t>
            </w:r>
            <w:r>
              <w:t>-</w:t>
            </w:r>
            <w:r w:rsidRPr="002252BE">
              <w:t>16 December 2009 UPE owning to a company.  If so, to the extent that these have been properly recorded as a UPE (and not a loan), then ensure that these UPE’s are not disturbed. These UPE’s should not generally be subject to deemed loan treatment.</w:t>
            </w:r>
          </w:p>
        </w:tc>
        <w:tc>
          <w:tcPr>
            <w:tcW w:w="367"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84100C8" w14:textId="77777777" w:rsidR="007A76B2" w:rsidRPr="002252BE" w:rsidRDefault="007A76B2" w:rsidP="00FD2A3A">
            <w:pPr>
              <w:pStyle w:val="Table"/>
            </w:pPr>
          </w:p>
        </w:tc>
        <w:tc>
          <w:tcPr>
            <w:tcW w:w="3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C7EF31" w14:textId="77777777" w:rsidR="007A76B2" w:rsidRPr="002252BE" w:rsidRDefault="007A76B2" w:rsidP="00FD2A3A">
            <w:pPr>
              <w:pStyle w:val="Table"/>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0126D" w14:textId="77777777" w:rsidR="007A76B2" w:rsidRPr="002252BE" w:rsidRDefault="007A76B2" w:rsidP="00FD2A3A">
            <w:pPr>
              <w:pStyle w:val="Table"/>
            </w:pPr>
          </w:p>
        </w:tc>
      </w:tr>
      <w:tr w:rsidR="007A76B2" w:rsidRPr="002252BE" w14:paraId="6C6B7BBB"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41857675" w14:textId="7B116CB8" w:rsidR="007A76B2" w:rsidRDefault="007A76B2" w:rsidP="00F91E77">
            <w:pPr>
              <w:pStyle w:val="Table"/>
            </w:pPr>
            <w:r w:rsidRPr="002252BE">
              <w:t>Where the trust has a pre</w:t>
            </w:r>
            <w:r>
              <w:t>-</w:t>
            </w:r>
            <w:r w:rsidRPr="002252BE">
              <w:t>16 December UPE, or has put a post 16 December UPE on sub trust terms, you should consider the application of subdivision EA of the ITAA 1936 - where the trustee makes any loans</w:t>
            </w:r>
            <w:r>
              <w:t>,</w:t>
            </w:r>
            <w:r w:rsidRPr="002252BE">
              <w:t xml:space="preserve"> payments</w:t>
            </w:r>
            <w:r>
              <w:t xml:space="preserve"> or forgives a debt in favour of</w:t>
            </w:r>
            <w:r w:rsidRPr="002252BE">
              <w:t xml:space="preserve"> shareholders or associates</w:t>
            </w:r>
            <w:r w:rsidR="00F91E77">
              <w:t xml:space="preserve"> of the private company</w:t>
            </w:r>
            <w:r w:rsidRPr="002252BE">
              <w:t>.</w:t>
            </w:r>
          </w:p>
          <w:p w14:paraId="64F04164" w14:textId="17BC2F0B" w:rsidR="00E7523D" w:rsidRPr="002252BE" w:rsidRDefault="00E7523D" w:rsidP="00F91E77">
            <w:pPr>
              <w:pStyle w:val="Table"/>
            </w:pPr>
            <w:r w:rsidRPr="009F0C8F">
              <w:rPr>
                <w:b/>
                <w:sz w:val="14"/>
                <w:szCs w:val="14"/>
              </w:rPr>
              <w:t>Note</w:t>
            </w:r>
            <w:r w:rsidRPr="009F0C8F">
              <w:rPr>
                <w:sz w:val="14"/>
                <w:szCs w:val="14"/>
              </w:rPr>
              <w:t xml:space="preserve">: please refer to CPA Australia’s </w:t>
            </w:r>
            <w:hyperlink r:id="rId18" w:history="1">
              <w:r w:rsidRPr="00AE3ACC">
                <w:rPr>
                  <w:rStyle w:val="Hyperlink"/>
                  <w:sz w:val="14"/>
                  <w:szCs w:val="14"/>
                </w:rPr>
                <w:t>Division 7A UPE checklist</w:t>
              </w:r>
            </w:hyperlink>
            <w:r w:rsidRPr="009F0C8F">
              <w:rPr>
                <w:sz w:val="14"/>
                <w:szCs w:val="14"/>
              </w:rPr>
              <w:t xml:space="preserve"> for further information</w:t>
            </w:r>
            <w:r w:rsidRPr="009F0C8F">
              <w:rPr>
                <w:i/>
                <w:sz w:val="14"/>
                <w:szCs w:val="14"/>
              </w:rPr>
              <w:t>.</w:t>
            </w:r>
          </w:p>
        </w:tc>
        <w:tc>
          <w:tcPr>
            <w:tcW w:w="367"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0098226" w14:textId="77777777" w:rsidR="007A76B2" w:rsidRPr="002252BE" w:rsidRDefault="007A76B2" w:rsidP="00FD2A3A">
            <w:pPr>
              <w:pStyle w:val="Table"/>
            </w:pPr>
          </w:p>
        </w:tc>
        <w:tc>
          <w:tcPr>
            <w:tcW w:w="3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2F06E" w14:textId="77777777" w:rsidR="007A76B2" w:rsidRPr="002252BE" w:rsidRDefault="007A76B2" w:rsidP="00FD2A3A">
            <w:pPr>
              <w:pStyle w:val="Table"/>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E72EB" w14:textId="77777777" w:rsidR="007A76B2" w:rsidRPr="002252BE" w:rsidRDefault="007A76B2" w:rsidP="00FD2A3A">
            <w:pPr>
              <w:pStyle w:val="Table"/>
            </w:pPr>
          </w:p>
        </w:tc>
      </w:tr>
      <w:tr w:rsidR="007A76B2" w:rsidRPr="002252BE" w14:paraId="08FA592D"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7276B762" w14:textId="77777777" w:rsidR="007A76B2" w:rsidRPr="002252BE" w:rsidRDefault="007A76B2" w:rsidP="00FD2A3A">
            <w:pPr>
              <w:pStyle w:val="Table"/>
            </w:pPr>
            <w:r w:rsidRPr="002252BE">
              <w:t>Has the trust used a conduit trust previously in making distributions to a company beneficiary?</w:t>
            </w:r>
          </w:p>
          <w:p w14:paraId="4F660D95" w14:textId="77777777" w:rsidR="007A76B2" w:rsidRPr="002252BE" w:rsidRDefault="007A76B2" w:rsidP="003F2337">
            <w:pPr>
              <w:pStyle w:val="Table"/>
            </w:pPr>
            <w:r w:rsidRPr="002252BE">
              <w:t xml:space="preserve">If so, consider the implication of the interposed entity rules </w:t>
            </w:r>
            <w:r>
              <w:t>in</w:t>
            </w:r>
            <w:r w:rsidRPr="002252BE">
              <w:t xml:space="preserve"> Division 7A from 1 July 2009.</w:t>
            </w:r>
          </w:p>
        </w:tc>
        <w:tc>
          <w:tcPr>
            <w:tcW w:w="367"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1923E506" w14:textId="77777777" w:rsidR="007A76B2" w:rsidRPr="002252BE" w:rsidRDefault="007A76B2" w:rsidP="00FD2A3A">
            <w:pPr>
              <w:pStyle w:val="Table"/>
            </w:pPr>
          </w:p>
        </w:tc>
        <w:tc>
          <w:tcPr>
            <w:tcW w:w="3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5CD22" w14:textId="77777777" w:rsidR="007A76B2" w:rsidRPr="002252BE" w:rsidRDefault="007A76B2" w:rsidP="00FD2A3A">
            <w:pPr>
              <w:pStyle w:val="Table"/>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B3C70" w14:textId="77777777" w:rsidR="007A76B2" w:rsidRPr="002252BE" w:rsidRDefault="007A76B2" w:rsidP="00FD2A3A">
            <w:pPr>
              <w:pStyle w:val="Table"/>
            </w:pPr>
          </w:p>
        </w:tc>
      </w:tr>
      <w:tr w:rsidR="00310B6A" w:rsidRPr="00B340A7" w14:paraId="1B641D09"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3BC794" w14:textId="77777777" w:rsidR="00310B6A" w:rsidRPr="00B340A7" w:rsidRDefault="00310B6A" w:rsidP="00310B6A">
            <w:pPr>
              <w:pStyle w:val="Tableheading"/>
            </w:pPr>
            <w:r w:rsidRPr="002252BE">
              <w:t>Closely held and family trusts – TFN withholding tax</w:t>
            </w:r>
            <w:r>
              <w:t xml:space="preserve"> </w:t>
            </w:r>
          </w:p>
        </w:tc>
      </w:tr>
      <w:tr w:rsidR="007A76B2" w:rsidRPr="002252BE" w14:paraId="290CDCF4"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BA9272" w14:textId="6684D749" w:rsidR="007A76B2" w:rsidRPr="002252BE" w:rsidRDefault="007A76B2" w:rsidP="00FD2A3A">
            <w:pPr>
              <w:pStyle w:val="Table"/>
              <w:ind w:right="-57"/>
            </w:pPr>
            <w:r w:rsidRPr="002252BE">
              <w:t xml:space="preserve">Have you disclosed the TFNs of all the beneficiaries that have received distributions of ordinary or statutory income or that are made presently entitled to a share of the </w:t>
            </w:r>
            <w:r>
              <w:t>income of the trust</w:t>
            </w:r>
            <w:r w:rsidR="00F91E77">
              <w:t xml:space="preserve"> estate</w:t>
            </w:r>
            <w:r>
              <w:t>.</w:t>
            </w:r>
            <w:r w:rsidR="00E7523D">
              <w:t xml:space="preserve"> </w:t>
            </w:r>
            <w:r w:rsidRPr="002252BE">
              <w:t xml:space="preserve">(No disclosure is required for beneficiaries that are </w:t>
            </w:r>
            <w:r w:rsidR="00F91E77">
              <w:t xml:space="preserve">under a legal disability (e.g. </w:t>
            </w:r>
            <w:r w:rsidRPr="002252BE">
              <w:t>minors</w:t>
            </w:r>
            <w:r w:rsidR="00F91E77">
              <w:t>)</w:t>
            </w:r>
            <w:r w:rsidRPr="002252BE">
              <w:t xml:space="preserve">, </w:t>
            </w:r>
            <w:r w:rsidR="00F91E77">
              <w:t>non-</w:t>
            </w:r>
            <w:r w:rsidRPr="002252BE">
              <w:t>residents or tax exempt</w:t>
            </w:r>
            <w:r w:rsidR="00F91E77">
              <w:t xml:space="preserve"> entities</w:t>
            </w:r>
            <w:r w:rsidR="00433CA7">
              <w:t>. Nor will these measures apply to complying superannuation funds, listed trusts, certain deceased estates and trusts which have been subject to the trustee beneficiary reporting rules or family trust distribution tax</w:t>
            </w:r>
            <w:r w:rsidR="00EA0959">
              <w:t>)</w:t>
            </w:r>
            <w:r w:rsidR="00433CA7">
              <w:t xml:space="preserve">.       </w:t>
            </w:r>
          </w:p>
          <w:p w14:paraId="0178B623" w14:textId="287B8708" w:rsidR="0035696D" w:rsidRDefault="007A76B2" w:rsidP="00665517">
            <w:pPr>
              <w:spacing w:after="60"/>
              <w:rPr>
                <w:rFonts w:eastAsia="Times New Roman"/>
                <w:sz w:val="14"/>
                <w:szCs w:val="14"/>
                <w:lang w:eastAsia="en-AU"/>
              </w:rPr>
            </w:pPr>
            <w:r w:rsidRPr="009F0C8F">
              <w:rPr>
                <w:rFonts w:eastAsia="Times New Roman"/>
                <w:b/>
                <w:sz w:val="14"/>
                <w:szCs w:val="14"/>
                <w:lang w:eastAsia="en-AU"/>
              </w:rPr>
              <w:t>Note:</w:t>
            </w:r>
            <w:r w:rsidRPr="009F0C8F">
              <w:rPr>
                <w:rFonts w:eastAsia="Times New Roman"/>
                <w:sz w:val="14"/>
                <w:szCs w:val="14"/>
                <w:lang w:eastAsia="en-AU"/>
              </w:rPr>
              <w:t xml:space="preserve"> where no TFN is quoted before the </w:t>
            </w:r>
            <w:r w:rsidR="0035696D">
              <w:rPr>
                <w:rFonts w:eastAsia="Times New Roman"/>
                <w:sz w:val="14"/>
                <w:szCs w:val="14"/>
                <w:lang w:eastAsia="en-AU"/>
              </w:rPr>
              <w:t xml:space="preserve">distribution </w:t>
            </w:r>
            <w:r w:rsidRPr="009F0C8F">
              <w:rPr>
                <w:rFonts w:eastAsia="Times New Roman"/>
                <w:sz w:val="14"/>
                <w:szCs w:val="14"/>
                <w:lang w:eastAsia="en-AU"/>
              </w:rPr>
              <w:t>or present entitlement arises the trustee must withhold tax from any future</w:t>
            </w:r>
            <w:r w:rsidR="00EA0959">
              <w:rPr>
                <w:rFonts w:eastAsia="Times New Roman"/>
                <w:sz w:val="14"/>
                <w:szCs w:val="14"/>
                <w:lang w:eastAsia="en-AU"/>
              </w:rPr>
              <w:t xml:space="preserve"> payments at the effective highest marginal tax rate of 49%</w:t>
            </w:r>
            <w:r w:rsidRPr="009F0C8F">
              <w:rPr>
                <w:rFonts w:eastAsia="Times New Roman"/>
                <w:sz w:val="14"/>
                <w:szCs w:val="14"/>
                <w:lang w:eastAsia="en-AU"/>
              </w:rPr>
              <w:t xml:space="preserve"> unless a TFN is quoted</w:t>
            </w:r>
            <w:r w:rsidR="00EA0959">
              <w:rPr>
                <w:rFonts w:eastAsia="Times New Roman"/>
                <w:sz w:val="14"/>
                <w:szCs w:val="14"/>
                <w:lang w:eastAsia="en-AU"/>
              </w:rPr>
              <w:t xml:space="preserve">. However, once a trustee has provided a beneficiary’s TFN details to the ATO it will not need </w:t>
            </w:r>
            <w:r w:rsidR="0035696D">
              <w:rPr>
                <w:rFonts w:eastAsia="Times New Roman"/>
                <w:sz w:val="14"/>
                <w:szCs w:val="14"/>
                <w:lang w:eastAsia="en-AU"/>
              </w:rPr>
              <w:t>to be quoted again. Where a TFN has not been quoted a trustee must:</w:t>
            </w:r>
          </w:p>
          <w:p w14:paraId="6348EFA6" w14:textId="3B9F929C" w:rsidR="007A76B2" w:rsidRPr="0035696D" w:rsidRDefault="007A76B2" w:rsidP="007E6CA8">
            <w:pPr>
              <w:pStyle w:val="ListParagraph"/>
              <w:numPr>
                <w:ilvl w:val="0"/>
                <w:numId w:val="67"/>
              </w:numPr>
              <w:spacing w:after="60"/>
              <w:rPr>
                <w:sz w:val="14"/>
                <w:szCs w:val="14"/>
              </w:rPr>
            </w:pPr>
            <w:r w:rsidRPr="007E6CA8">
              <w:rPr>
                <w:sz w:val="14"/>
                <w:szCs w:val="14"/>
              </w:rPr>
              <w:t>lodge an annual TFN withholding report containing details of all withheld amounts by 30 September</w:t>
            </w:r>
          </w:p>
          <w:p w14:paraId="001E976A" w14:textId="73C845EF" w:rsidR="007A76B2" w:rsidRPr="009F0C8F" w:rsidRDefault="007A76B2" w:rsidP="00665517">
            <w:pPr>
              <w:pStyle w:val="TableBullet"/>
              <w:rPr>
                <w:rFonts w:eastAsia="Times New Roman"/>
                <w:sz w:val="14"/>
                <w:szCs w:val="14"/>
                <w:lang w:eastAsia="en-AU"/>
              </w:rPr>
            </w:pPr>
            <w:r w:rsidRPr="009F0C8F">
              <w:rPr>
                <w:rFonts w:eastAsia="Times New Roman"/>
                <w:sz w:val="14"/>
                <w:szCs w:val="14"/>
                <w:lang w:eastAsia="en-AU"/>
              </w:rPr>
              <w:t>provid</w:t>
            </w:r>
            <w:r w:rsidR="0035696D">
              <w:rPr>
                <w:rFonts w:eastAsia="Times New Roman"/>
                <w:sz w:val="14"/>
                <w:szCs w:val="14"/>
                <w:lang w:eastAsia="en-AU"/>
              </w:rPr>
              <w:t>e</w:t>
            </w:r>
            <w:r w:rsidRPr="009F0C8F">
              <w:rPr>
                <w:rFonts w:eastAsia="Times New Roman"/>
                <w:sz w:val="14"/>
                <w:szCs w:val="14"/>
                <w:lang w:eastAsia="en-AU"/>
              </w:rPr>
              <w:t xml:space="preserve"> an annual payment summary to the beneficiary where tax has been withheld</w:t>
            </w:r>
          </w:p>
          <w:p w14:paraId="30A36466" w14:textId="652FC4CD" w:rsidR="007A76B2" w:rsidRPr="009F0C8F" w:rsidRDefault="007A76B2" w:rsidP="00665517">
            <w:pPr>
              <w:pStyle w:val="TableBullet"/>
              <w:rPr>
                <w:rFonts w:eastAsia="Times New Roman"/>
                <w:sz w:val="14"/>
                <w:szCs w:val="14"/>
                <w:lang w:eastAsia="en-AU"/>
              </w:rPr>
            </w:pPr>
            <w:r w:rsidRPr="009F0C8F">
              <w:rPr>
                <w:rFonts w:eastAsia="Times New Roman"/>
                <w:sz w:val="14"/>
                <w:szCs w:val="14"/>
                <w:lang w:eastAsia="en-AU"/>
              </w:rPr>
              <w:t>register pay as you go (PAYG) withholding for closely held trusts</w:t>
            </w:r>
          </w:p>
          <w:p w14:paraId="074F5AF3" w14:textId="749DEAB9" w:rsidR="007A76B2" w:rsidRPr="00665517" w:rsidRDefault="007A76B2" w:rsidP="00665517">
            <w:pPr>
              <w:pStyle w:val="TableBullet"/>
              <w:rPr>
                <w:rFonts w:eastAsia="Times New Roman"/>
                <w:lang w:eastAsia="en-AU"/>
              </w:rPr>
            </w:pPr>
            <w:r w:rsidRPr="009F0C8F">
              <w:rPr>
                <w:rFonts w:eastAsia="Times New Roman"/>
                <w:sz w:val="14"/>
                <w:szCs w:val="14"/>
                <w:lang w:eastAsia="en-AU"/>
              </w:rPr>
              <w:t>remit</w:t>
            </w:r>
            <w:r w:rsidR="0035696D">
              <w:rPr>
                <w:rFonts w:eastAsia="Times New Roman"/>
                <w:sz w:val="14"/>
                <w:szCs w:val="14"/>
                <w:lang w:eastAsia="en-AU"/>
              </w:rPr>
              <w:t xml:space="preserve"> </w:t>
            </w:r>
            <w:r w:rsidRPr="009F0C8F">
              <w:rPr>
                <w:rFonts w:eastAsia="Times New Roman"/>
                <w:sz w:val="14"/>
                <w:szCs w:val="14"/>
                <w:lang w:eastAsia="en-AU"/>
              </w:rPr>
              <w:t>tax withheld to the ATO.</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0DF7E" w14:textId="77777777" w:rsidR="007A76B2" w:rsidRPr="002252BE" w:rsidRDefault="007A76B2" w:rsidP="00184E12">
            <w:pPr>
              <w:pStyle w:val="Table"/>
              <w:jc w:val="center"/>
            </w:pPr>
          </w:p>
        </w:tc>
        <w:tc>
          <w:tcPr>
            <w:tcW w:w="36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A95A0" w14:textId="77777777" w:rsidR="007A76B2" w:rsidRPr="002252BE" w:rsidRDefault="007A76B2" w:rsidP="00184E12">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FB0573" w14:textId="77777777" w:rsidR="007A76B2" w:rsidRPr="002252BE" w:rsidRDefault="007A76B2" w:rsidP="00184E12">
            <w:pPr>
              <w:pStyle w:val="Table"/>
              <w:jc w:val="center"/>
            </w:pPr>
          </w:p>
        </w:tc>
      </w:tr>
    </w:tbl>
    <w:p w14:paraId="687248EE" w14:textId="77777777" w:rsidR="00AE3ACC" w:rsidRDefault="00AE3ACC">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AE3ACC" w:rsidRPr="00AE2EA6" w14:paraId="7E2BFEB2" w14:textId="77777777" w:rsidTr="00F00EA6">
        <w:tc>
          <w:tcPr>
            <w:tcW w:w="3905" w:type="pct"/>
            <w:tcBorders>
              <w:top w:val="single" w:sz="4" w:space="0" w:color="939598"/>
              <w:bottom w:val="single" w:sz="4" w:space="0" w:color="808080" w:themeColor="background1" w:themeShade="80"/>
              <w:right w:val="single" w:sz="4" w:space="0" w:color="939598"/>
            </w:tcBorders>
            <w:shd w:val="clear" w:color="auto" w:fill="051C3C"/>
          </w:tcPr>
          <w:p w14:paraId="1C5167E9" w14:textId="78D6EDEB" w:rsidR="00AE3ACC" w:rsidRPr="00AE2EA6" w:rsidRDefault="00AE3ACC" w:rsidP="00F00EA6">
            <w:pPr>
              <w:pStyle w:val="Tableheading"/>
              <w:rPr>
                <w:color w:val="FFFFFF" w:themeColor="background1"/>
                <w:sz w:val="18"/>
              </w:rPr>
            </w:pPr>
            <w:r w:rsidRPr="00AE2EA6">
              <w:rPr>
                <w:color w:val="FFFFFF" w:themeColor="background1"/>
                <w:sz w:val="18"/>
              </w:rPr>
              <w:lastRenderedPageBreak/>
              <w:t>Trusts</w:t>
            </w:r>
          </w:p>
        </w:tc>
        <w:tc>
          <w:tcPr>
            <w:tcW w:w="367"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A0C19FA" w14:textId="77777777" w:rsidR="00AE3ACC" w:rsidRPr="00AE2EA6" w:rsidRDefault="00AE3ACC" w:rsidP="00F00EA6">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D4D7ED6" w14:textId="77777777" w:rsidR="00AE3ACC" w:rsidRPr="00AE2EA6" w:rsidRDefault="00AE3ACC" w:rsidP="00F00EA6">
            <w:pPr>
              <w:pStyle w:val="Tableheading"/>
              <w:jc w:val="center"/>
              <w:rPr>
                <w:color w:val="FFFFFF" w:themeColor="background1"/>
                <w:sz w:val="18"/>
              </w:rPr>
            </w:pPr>
            <w:r w:rsidRPr="00AE2EA6">
              <w:rPr>
                <w:color w:val="FFFFFF" w:themeColor="background1"/>
                <w:sz w:val="18"/>
              </w:rPr>
              <w:t>No</w:t>
            </w:r>
          </w:p>
        </w:tc>
        <w:tc>
          <w:tcPr>
            <w:tcW w:w="363" w:type="pct"/>
            <w:tcBorders>
              <w:top w:val="single" w:sz="4" w:space="0" w:color="939598"/>
              <w:left w:val="single" w:sz="4" w:space="0" w:color="939598"/>
              <w:bottom w:val="single" w:sz="4" w:space="0" w:color="808080" w:themeColor="background1" w:themeShade="80"/>
            </w:tcBorders>
            <w:shd w:val="clear" w:color="auto" w:fill="051C3C"/>
          </w:tcPr>
          <w:p w14:paraId="6107AAB0" w14:textId="77777777" w:rsidR="00AE3ACC" w:rsidRPr="00AE2EA6" w:rsidRDefault="00AE3ACC" w:rsidP="00F00EA6">
            <w:pPr>
              <w:pStyle w:val="Tableheading"/>
              <w:jc w:val="center"/>
              <w:rPr>
                <w:color w:val="FFFFFF" w:themeColor="background1"/>
                <w:sz w:val="18"/>
              </w:rPr>
            </w:pPr>
            <w:r w:rsidRPr="00AE2EA6">
              <w:rPr>
                <w:color w:val="FFFFFF" w:themeColor="background1"/>
                <w:sz w:val="18"/>
              </w:rPr>
              <w:t>N/A</w:t>
            </w:r>
          </w:p>
        </w:tc>
      </w:tr>
      <w:tr w:rsidR="00310B6A" w:rsidRPr="00B340A7" w14:paraId="2B9EE909"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853DC0" w14:textId="77777777" w:rsidR="00310B6A" w:rsidRPr="00B340A7" w:rsidRDefault="00310B6A" w:rsidP="00310B6A">
            <w:pPr>
              <w:pStyle w:val="Tableheading"/>
            </w:pPr>
            <w:r w:rsidRPr="002252BE">
              <w:t>Family trust election</w:t>
            </w:r>
            <w:r>
              <w:t xml:space="preserve"> </w:t>
            </w:r>
          </w:p>
        </w:tc>
      </w:tr>
      <w:tr w:rsidR="007A76B2" w:rsidRPr="002252BE" w14:paraId="1769B917"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5EC288" w14:textId="5700DDB5" w:rsidR="007A76B2" w:rsidRDefault="007A76B2" w:rsidP="00FD2A3A">
            <w:pPr>
              <w:pStyle w:val="Table"/>
            </w:pPr>
            <w:r w:rsidRPr="002252BE">
              <w:t xml:space="preserve">Determine whether </w:t>
            </w:r>
            <w:r w:rsidR="00433CA7">
              <w:t>the trustee of</w:t>
            </w:r>
            <w:r w:rsidRPr="002252BE">
              <w:t xml:space="preserve"> </w:t>
            </w:r>
            <w:r w:rsidR="00433CA7">
              <w:t xml:space="preserve">a non-fixed trust should make a </w:t>
            </w:r>
            <w:r w:rsidRPr="002252BE">
              <w:t>Family Trust Election for the purposes of</w:t>
            </w:r>
            <w:r>
              <w:t>:</w:t>
            </w:r>
          </w:p>
          <w:p w14:paraId="7059A116" w14:textId="0364B658" w:rsidR="007A76B2" w:rsidRDefault="007A76B2" w:rsidP="008C241E">
            <w:pPr>
              <w:pStyle w:val="TableBullet"/>
            </w:pPr>
            <w:r w:rsidRPr="002252BE">
              <w:t>loss recoupment</w:t>
            </w:r>
            <w:r w:rsidR="00AE3ACC">
              <w:t>,</w:t>
            </w:r>
            <w:r w:rsidR="006A3A0E">
              <w:t xml:space="preserve"> as any non-fixed trust electing such relief will only be subject to a modified version of the income injection test </w:t>
            </w:r>
          </w:p>
          <w:p w14:paraId="32CBBE2E" w14:textId="1126BB1A" w:rsidR="00F91E77" w:rsidRDefault="007A76B2" w:rsidP="00F91E77">
            <w:pPr>
              <w:pStyle w:val="TableBullet"/>
            </w:pPr>
            <w:r w:rsidRPr="002252BE">
              <w:t>satisfying the 45/90 day holding period rules for franking purposes</w:t>
            </w:r>
            <w:r w:rsidR="006A3A0E">
              <w:t xml:space="preserve"> so that franking credits can be passed on to beneficiaries of non-fixed trusts who are not otherwise eligible for the small shareholder </w:t>
            </w:r>
            <w:r w:rsidR="006828A9">
              <w:t>exemption</w:t>
            </w:r>
            <w:r w:rsidR="006A3A0E">
              <w:t xml:space="preserve">    </w:t>
            </w:r>
            <w:r w:rsidRPr="002252BE">
              <w:t xml:space="preserve"> </w:t>
            </w:r>
          </w:p>
          <w:p w14:paraId="15CD9E99" w14:textId="3D925199" w:rsidR="00F91E77" w:rsidRDefault="007A76B2" w:rsidP="00F91E77">
            <w:pPr>
              <w:pStyle w:val="TableBullet"/>
            </w:pPr>
            <w:r>
              <w:t>assisting</w:t>
            </w:r>
            <w:r w:rsidRPr="002252BE">
              <w:t xml:space="preserve"> a loss company (in which the trust holds shares) to satisfy the continuity of ownership test</w:t>
            </w:r>
            <w:r w:rsidR="00F91E77">
              <w:t xml:space="preserve"> </w:t>
            </w:r>
          </w:p>
          <w:p w14:paraId="7E916FF1" w14:textId="31513120" w:rsidR="007A76B2" w:rsidRDefault="00F91E77" w:rsidP="00F91E77">
            <w:pPr>
              <w:pStyle w:val="TableBullet"/>
            </w:pPr>
            <w:r>
              <w:t>being excluded from the trustee beneficiary reporting rules</w:t>
            </w:r>
            <w:r w:rsidR="00B50765">
              <w:t xml:space="preserve"> or</w:t>
            </w:r>
          </w:p>
          <w:p w14:paraId="70787DE6" w14:textId="77777777" w:rsidR="00B50765" w:rsidRDefault="00B50765" w:rsidP="00F91E77">
            <w:pPr>
              <w:pStyle w:val="TableBullet"/>
            </w:pPr>
            <w:r>
              <w:t xml:space="preserve">applying </w:t>
            </w:r>
            <w:r w:rsidR="006A3A0E">
              <w:t xml:space="preserve">the </w:t>
            </w:r>
            <w:r>
              <w:t xml:space="preserve">small business restructure rollover relief under </w:t>
            </w:r>
            <w:r w:rsidR="006A3A0E">
              <w:t xml:space="preserve">Subdivision 328-G of the </w:t>
            </w:r>
            <w:r w:rsidR="006A3A0E">
              <w:rPr>
                <w:i/>
              </w:rPr>
              <w:t>Income Tax Assessment Act (1997)</w:t>
            </w:r>
            <w:r>
              <w:t xml:space="preserve"> </w:t>
            </w:r>
            <w:r w:rsidR="006A3A0E">
              <w:t xml:space="preserve">where the transferor or transferee is a trust which is also a small business entity.  </w:t>
            </w:r>
            <w:r>
              <w:t xml:space="preserve"> </w:t>
            </w:r>
          </w:p>
          <w:p w14:paraId="5C1719D3" w14:textId="788C71A7" w:rsidR="00433CA7" w:rsidRPr="002252BE" w:rsidRDefault="00433CA7" w:rsidP="007E6CA8">
            <w:pPr>
              <w:pStyle w:val="TableBullet"/>
              <w:numPr>
                <w:ilvl w:val="0"/>
                <w:numId w:val="0"/>
              </w:numPr>
            </w:pPr>
            <w:r w:rsidRPr="00F51F72">
              <w:rPr>
                <w:b/>
                <w:sz w:val="14"/>
                <w:szCs w:val="14"/>
              </w:rPr>
              <w:t>Note</w:t>
            </w:r>
            <w:r w:rsidRPr="00F51F72">
              <w:rPr>
                <w:sz w:val="14"/>
                <w:szCs w:val="14"/>
              </w:rPr>
              <w:t>:</w:t>
            </w:r>
            <w:r>
              <w:rPr>
                <w:sz w:val="14"/>
                <w:szCs w:val="14"/>
              </w:rPr>
              <w:t xml:space="preserve"> if such a trust is a new client check to see if </w:t>
            </w:r>
            <w:r w:rsidR="006828A9">
              <w:rPr>
                <w:sz w:val="14"/>
                <w:szCs w:val="14"/>
              </w:rPr>
              <w:t>It has</w:t>
            </w:r>
            <w:r>
              <w:rPr>
                <w:sz w:val="14"/>
                <w:szCs w:val="14"/>
              </w:rPr>
              <w:t xml:space="preserve"> previously made a family trust</w:t>
            </w:r>
            <w:r w:rsidR="006828A9">
              <w:rPr>
                <w:sz w:val="14"/>
                <w:szCs w:val="14"/>
              </w:rPr>
              <w:t xml:space="preserve"> election</w:t>
            </w:r>
            <w:r w:rsidR="002833DD">
              <w:rPr>
                <w:sz w:val="14"/>
                <w:szCs w:val="14"/>
              </w:rPr>
              <w:t>.</w:t>
            </w:r>
            <w:r>
              <w:rPr>
                <w:sz w:val="14"/>
                <w:szCs w:val="14"/>
              </w:rPr>
              <w:t xml:space="preserve">    </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69727" w14:textId="77777777" w:rsidR="007A76B2" w:rsidRPr="002252BE" w:rsidRDefault="007A76B2" w:rsidP="00184E12">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1BBC4" w14:textId="77777777" w:rsidR="007A76B2" w:rsidRPr="002252BE" w:rsidRDefault="007A76B2" w:rsidP="00184E12">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D06C6" w14:textId="77777777" w:rsidR="007A76B2" w:rsidRPr="002252BE" w:rsidRDefault="007A76B2" w:rsidP="00184E12">
            <w:pPr>
              <w:pStyle w:val="Table"/>
              <w:jc w:val="center"/>
            </w:pPr>
          </w:p>
        </w:tc>
      </w:tr>
      <w:tr w:rsidR="00433CA7" w:rsidRPr="002252BE" w14:paraId="65A845DC"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7ED7C7" w14:textId="49B40651" w:rsidR="00433CA7" w:rsidRPr="002252BE" w:rsidRDefault="00433CA7" w:rsidP="00FD2A3A">
            <w:pPr>
              <w:pStyle w:val="Table"/>
            </w:pPr>
            <w:r>
              <w:t>Where a family trust election is in place</w:t>
            </w:r>
            <w:r w:rsidR="00AE3ACC">
              <w:t>,</w:t>
            </w:r>
            <w:r>
              <w:t xml:space="preserve"> have any distributions been made outside the test individual’s family group which may be subject to family trust distribution tax? If so, check whether th</w:t>
            </w:r>
            <w:r w:rsidR="006828A9">
              <w:t>e</w:t>
            </w:r>
            <w:r>
              <w:t xml:space="preserve"> entity </w:t>
            </w:r>
            <w:r w:rsidR="006828A9">
              <w:t xml:space="preserve">receiving the distribution </w:t>
            </w:r>
            <w:r>
              <w:t xml:space="preserve">has made an interposed entity election.    </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8AC02" w14:textId="77777777" w:rsidR="00433CA7" w:rsidRPr="002252BE" w:rsidRDefault="00433CA7" w:rsidP="00184E12">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BA3D7" w14:textId="77777777" w:rsidR="00433CA7" w:rsidRPr="002252BE" w:rsidRDefault="00433CA7" w:rsidP="00184E12">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94426" w14:textId="77777777" w:rsidR="00433CA7" w:rsidRPr="002252BE" w:rsidRDefault="00433CA7" w:rsidP="00184E12">
            <w:pPr>
              <w:pStyle w:val="Table"/>
              <w:jc w:val="center"/>
            </w:pPr>
          </w:p>
        </w:tc>
      </w:tr>
      <w:tr w:rsidR="00310B6A" w:rsidRPr="00B340A7" w14:paraId="500D81C9"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EE750E" w14:textId="77777777" w:rsidR="00310B6A" w:rsidRPr="00B340A7" w:rsidRDefault="00310B6A" w:rsidP="00310B6A">
            <w:pPr>
              <w:pStyle w:val="Tableheading"/>
            </w:pPr>
            <w:r w:rsidRPr="002252BE">
              <w:t xml:space="preserve">Losses </w:t>
            </w:r>
          </w:p>
        </w:tc>
      </w:tr>
      <w:tr w:rsidR="007A76B2" w:rsidRPr="002252BE" w14:paraId="24F18D0E"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AB4163" w14:textId="0B01723A" w:rsidR="007A76B2" w:rsidRDefault="007A76B2" w:rsidP="00B8137A">
            <w:pPr>
              <w:pStyle w:val="Table"/>
            </w:pPr>
            <w:r w:rsidRPr="002252BE">
              <w:t xml:space="preserve">If the trust has tax losses to be recouped ensure that you have considered the </w:t>
            </w:r>
            <w:r>
              <w:t xml:space="preserve">respective </w:t>
            </w:r>
            <w:r w:rsidRPr="002252BE">
              <w:t>trust loss rules</w:t>
            </w:r>
            <w:r>
              <w:t xml:space="preserve"> that apply to fixed and non-fixed trusts</w:t>
            </w:r>
            <w:r w:rsidR="006A3A0E">
              <w:t xml:space="preserve"> under Schedule 2F of the </w:t>
            </w:r>
            <w:r w:rsidR="006A3A0E">
              <w:rPr>
                <w:i/>
              </w:rPr>
              <w:t>Income Tax Assessment Act (1936)</w:t>
            </w:r>
            <w:r w:rsidRPr="002252BE">
              <w:t>.</w:t>
            </w:r>
          </w:p>
          <w:p w14:paraId="5187E4B9" w14:textId="77FB9973" w:rsidR="006A3A0E" w:rsidRDefault="006A3A0E" w:rsidP="00B8137A">
            <w:pPr>
              <w:pStyle w:val="Table"/>
            </w:pPr>
            <w:r w:rsidRPr="00F51F72">
              <w:rPr>
                <w:b/>
                <w:sz w:val="14"/>
                <w:szCs w:val="14"/>
              </w:rPr>
              <w:t>Note</w:t>
            </w:r>
            <w:r w:rsidRPr="00F51F72">
              <w:rPr>
                <w:sz w:val="14"/>
                <w:szCs w:val="14"/>
              </w:rPr>
              <w:t>:</w:t>
            </w:r>
            <w:r>
              <w:rPr>
                <w:sz w:val="14"/>
                <w:szCs w:val="14"/>
              </w:rPr>
              <w:t xml:space="preserve"> a non-fixed trust will need to satisfy the income injection test, control test, pattern of distributions test and the 50% stake test (if applicable). In practice, the most difficult test to apply is often the pattern of distributions test especially where there is significant variance in trust distributions over the period tested. Broadly, a fixed trust need only satisfy the income injection test and 50% stake test.           </w:t>
            </w:r>
          </w:p>
          <w:p w14:paraId="3138E4D8" w14:textId="43D99B73" w:rsidR="00F91E77" w:rsidRPr="002252BE" w:rsidRDefault="00F91E77" w:rsidP="00061533">
            <w:pPr>
              <w:spacing w:after="60"/>
            </w:pPr>
            <w:r w:rsidRPr="00F51F72">
              <w:rPr>
                <w:b/>
                <w:sz w:val="14"/>
                <w:szCs w:val="14"/>
              </w:rPr>
              <w:t>Note</w:t>
            </w:r>
            <w:r w:rsidRPr="00F51F72">
              <w:rPr>
                <w:sz w:val="14"/>
                <w:szCs w:val="14"/>
              </w:rPr>
              <w:t>:</w:t>
            </w:r>
            <w:r w:rsidR="00F7139C">
              <w:rPr>
                <w:sz w:val="14"/>
                <w:szCs w:val="14"/>
              </w:rPr>
              <w:t xml:space="preserve"> </w:t>
            </w:r>
            <w:r>
              <w:rPr>
                <w:sz w:val="14"/>
                <w:szCs w:val="14"/>
              </w:rPr>
              <w:t>t</w:t>
            </w:r>
            <w:r w:rsidRPr="003A1122">
              <w:rPr>
                <w:rFonts w:eastAsia="Calibri"/>
                <w:sz w:val="14"/>
                <w:szCs w:val="14"/>
                <w:lang w:val="en-US"/>
              </w:rPr>
              <w:t xml:space="preserve">he legislative distinction between fixed and non-fixed trusts has become somewhat blurred following the issue of the ATO’s Decision Impact Statement in respect of the Federal Court decision in </w:t>
            </w:r>
            <w:r w:rsidRPr="003A1122">
              <w:rPr>
                <w:rFonts w:eastAsia="Calibri"/>
                <w:i/>
                <w:sz w:val="14"/>
                <w:szCs w:val="14"/>
              </w:rPr>
              <w:t>Colonial First State Investments Ltd v Commissioner of Taxation</w:t>
            </w:r>
            <w:r w:rsidRPr="003A1122">
              <w:rPr>
                <w:rFonts w:eastAsia="Calibri"/>
                <w:sz w:val="14"/>
                <w:szCs w:val="14"/>
                <w:lang w:val="en-US"/>
              </w:rPr>
              <w:t xml:space="preserve"> (2011) FCA 16</w:t>
            </w:r>
            <w:r w:rsidRPr="003A1122">
              <w:rPr>
                <w:iCs/>
                <w:sz w:val="14"/>
                <w:szCs w:val="14"/>
              </w:rPr>
              <w:t>.</w:t>
            </w:r>
            <w:r w:rsidR="00F7139C">
              <w:rPr>
                <w:iCs/>
                <w:sz w:val="14"/>
                <w:szCs w:val="14"/>
              </w:rPr>
              <w:t xml:space="preserve"> T</w:t>
            </w:r>
            <w:r w:rsidR="00F7139C" w:rsidRPr="003A1122">
              <w:rPr>
                <w:rFonts w:eastAsia="Calibri"/>
                <w:sz w:val="14"/>
                <w:szCs w:val="14"/>
                <w:lang w:val="en-US"/>
              </w:rPr>
              <w:t xml:space="preserve">he ATO </w:t>
            </w:r>
            <w:r w:rsidR="00F7139C">
              <w:rPr>
                <w:rFonts w:eastAsia="Calibri"/>
                <w:sz w:val="14"/>
                <w:szCs w:val="14"/>
                <w:lang w:val="en-US"/>
              </w:rPr>
              <w:t xml:space="preserve">takes the </w:t>
            </w:r>
            <w:r w:rsidR="00F7139C" w:rsidRPr="003A1122">
              <w:rPr>
                <w:rFonts w:eastAsia="Calibri"/>
                <w:sz w:val="14"/>
                <w:szCs w:val="14"/>
                <w:lang w:val="en-US"/>
              </w:rPr>
              <w:t xml:space="preserve">view </w:t>
            </w:r>
            <w:r w:rsidR="00F7139C">
              <w:rPr>
                <w:rFonts w:eastAsia="Calibri"/>
                <w:sz w:val="14"/>
                <w:szCs w:val="14"/>
                <w:lang w:val="en-US"/>
              </w:rPr>
              <w:t xml:space="preserve">in that Decision Impact Statement </w:t>
            </w:r>
            <w:r w:rsidR="00F7139C" w:rsidRPr="003A1122">
              <w:rPr>
                <w:rFonts w:eastAsia="Calibri"/>
                <w:sz w:val="14"/>
                <w:szCs w:val="14"/>
                <w:lang w:val="en-US"/>
              </w:rPr>
              <w:t>that very few trusts satisfy the definition of</w:t>
            </w:r>
            <w:r w:rsidR="00F7139C">
              <w:rPr>
                <w:rFonts w:eastAsia="Calibri"/>
                <w:sz w:val="14"/>
                <w:szCs w:val="14"/>
                <w:lang w:val="en-US"/>
              </w:rPr>
              <w:t xml:space="preserve"> a “</w:t>
            </w:r>
            <w:r w:rsidR="00F7139C" w:rsidRPr="003A1122">
              <w:rPr>
                <w:rFonts w:eastAsia="Calibri"/>
                <w:sz w:val="14"/>
                <w:szCs w:val="14"/>
                <w:lang w:val="en-US"/>
              </w:rPr>
              <w:t>fixed trust</w:t>
            </w:r>
            <w:r w:rsidR="00F7139C">
              <w:rPr>
                <w:rFonts w:eastAsia="Calibri"/>
                <w:sz w:val="14"/>
                <w:szCs w:val="14"/>
                <w:lang w:val="en-US"/>
              </w:rPr>
              <w:t xml:space="preserve">’ under the trust loss provisions but that the Commissioner of Taxation may exercise a discretion to treat such a trust as a fixed trust in certain circumstances. </w:t>
            </w:r>
            <w:r w:rsidR="006A3A0E">
              <w:rPr>
                <w:rFonts w:eastAsia="Calibri"/>
                <w:sz w:val="14"/>
                <w:szCs w:val="14"/>
                <w:lang w:val="en-US"/>
              </w:rPr>
              <w:t xml:space="preserve">Guidance on when the discretion may be exercised is set out in </w:t>
            </w:r>
            <w:r w:rsidR="006A3A0E" w:rsidRPr="007E6CA8">
              <w:rPr>
                <w:rFonts w:eastAsia="Calibri"/>
                <w:i/>
                <w:sz w:val="14"/>
                <w:szCs w:val="14"/>
                <w:lang w:val="en-US"/>
              </w:rPr>
              <w:t>Practical Compliance Guideline PCG 2016/D16</w:t>
            </w:r>
            <w:r w:rsidR="006A3A0E">
              <w:rPr>
                <w:rFonts w:eastAsia="Calibri"/>
                <w:sz w:val="14"/>
                <w:szCs w:val="14"/>
                <w:lang w:val="en-US"/>
              </w:rPr>
              <w:t xml:space="preserve">.   </w:t>
            </w:r>
            <w:r w:rsidR="00F7139C">
              <w:rPr>
                <w:rFonts w:eastAsia="Calibri"/>
                <w:sz w:val="14"/>
                <w:szCs w:val="14"/>
                <w:lang w:val="en-US"/>
              </w:rPr>
              <w:t xml:space="preserve">  </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010BA" w14:textId="77777777" w:rsidR="007A76B2" w:rsidRPr="002252BE" w:rsidRDefault="007A76B2" w:rsidP="00184E12">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E9CBD" w14:textId="77777777" w:rsidR="007A76B2" w:rsidRPr="002252BE" w:rsidRDefault="007A76B2" w:rsidP="00184E12">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FF186" w14:textId="77777777" w:rsidR="007A76B2" w:rsidRPr="002252BE" w:rsidRDefault="007A76B2" w:rsidP="00184E12">
            <w:pPr>
              <w:pStyle w:val="Table"/>
              <w:jc w:val="center"/>
            </w:pPr>
          </w:p>
        </w:tc>
      </w:tr>
      <w:tr w:rsidR="007A76B2" w:rsidRPr="00AF24CF" w14:paraId="2C5185A0" w14:textId="77777777" w:rsidTr="00952FCB">
        <w:tc>
          <w:tcPr>
            <w:tcW w:w="5000" w:type="pct"/>
            <w:gridSpan w:val="4"/>
            <w:tcBorders>
              <w:top w:val="single" w:sz="4" w:space="0" w:color="808080" w:themeColor="background1" w:themeShade="80"/>
              <w:bottom w:val="single" w:sz="4" w:space="0" w:color="939598"/>
            </w:tcBorders>
          </w:tcPr>
          <w:p w14:paraId="61BD10B9" w14:textId="77777777" w:rsidR="007A76B2" w:rsidRDefault="007A76B2" w:rsidP="00621167">
            <w:pPr>
              <w:pStyle w:val="Tableheading"/>
            </w:pPr>
            <w:r>
              <w:t>Comments:</w:t>
            </w:r>
          </w:p>
          <w:p w14:paraId="1A631BAF" w14:textId="77777777" w:rsidR="00AE3ACC" w:rsidRDefault="00AE3ACC" w:rsidP="00621167">
            <w:pPr>
              <w:pStyle w:val="Tableheading"/>
            </w:pPr>
          </w:p>
          <w:p w14:paraId="6729BC46" w14:textId="77777777" w:rsidR="00AE3ACC" w:rsidRDefault="00AE3ACC" w:rsidP="00621167">
            <w:pPr>
              <w:pStyle w:val="Tableheading"/>
            </w:pPr>
          </w:p>
          <w:p w14:paraId="2D3783B7" w14:textId="77777777" w:rsidR="00732789" w:rsidRDefault="00732789" w:rsidP="00621167">
            <w:pPr>
              <w:pStyle w:val="Tableheading"/>
            </w:pPr>
          </w:p>
          <w:p w14:paraId="45C4DCA5" w14:textId="77777777" w:rsidR="00732789" w:rsidRPr="00AF24CF" w:rsidRDefault="00732789" w:rsidP="00621167">
            <w:pPr>
              <w:pStyle w:val="Tableheading"/>
            </w:pPr>
          </w:p>
        </w:tc>
      </w:tr>
    </w:tbl>
    <w:p w14:paraId="4E80233D" w14:textId="77777777" w:rsidR="0040635C" w:rsidRDefault="0040635C" w:rsidP="002C791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31"/>
        <w:gridCol w:w="14"/>
        <w:gridCol w:w="742"/>
        <w:gridCol w:w="14"/>
        <w:gridCol w:w="742"/>
        <w:gridCol w:w="16"/>
        <w:gridCol w:w="742"/>
      </w:tblGrid>
      <w:tr w:rsidR="00367616" w:rsidRPr="000A401A" w14:paraId="21F5C562" w14:textId="77777777" w:rsidTr="00952FCB">
        <w:tc>
          <w:tcPr>
            <w:tcW w:w="3905" w:type="pct"/>
            <w:gridSpan w:val="2"/>
            <w:tcBorders>
              <w:top w:val="single" w:sz="4" w:space="0" w:color="939598"/>
              <w:bottom w:val="single" w:sz="4" w:space="0" w:color="808080" w:themeColor="background1" w:themeShade="80"/>
              <w:right w:val="single" w:sz="4" w:space="0" w:color="939598"/>
            </w:tcBorders>
            <w:shd w:val="clear" w:color="auto" w:fill="051C3C"/>
          </w:tcPr>
          <w:p w14:paraId="3B48B7C3" w14:textId="77777777" w:rsidR="00367616" w:rsidRPr="00AE2EA6" w:rsidRDefault="00367616" w:rsidP="00E73986">
            <w:pPr>
              <w:pStyle w:val="Tableheading"/>
              <w:keepNext/>
              <w:rPr>
                <w:color w:val="FFFFFF" w:themeColor="background1"/>
                <w:sz w:val="18"/>
              </w:rPr>
            </w:pPr>
            <w:r w:rsidRPr="00AE2EA6">
              <w:rPr>
                <w:color w:val="FFFFFF" w:themeColor="background1"/>
                <w:sz w:val="18"/>
              </w:rPr>
              <w:t xml:space="preserve">Companies </w:t>
            </w:r>
          </w:p>
        </w:tc>
        <w:tc>
          <w:tcPr>
            <w:tcW w:w="367"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FBE83DC" w14:textId="77777777" w:rsidR="00367616" w:rsidRPr="00AE2EA6" w:rsidRDefault="00367616" w:rsidP="00621167">
            <w:pPr>
              <w:pStyle w:val="Tableheading"/>
              <w:keepNext/>
              <w:jc w:val="center"/>
              <w:rPr>
                <w:color w:val="FFFFFF" w:themeColor="background1"/>
                <w:sz w:val="18"/>
              </w:rPr>
            </w:pPr>
            <w:r w:rsidRPr="00AE2EA6">
              <w:rPr>
                <w:color w:val="FFFFFF" w:themeColor="background1"/>
                <w:sz w:val="18"/>
              </w:rPr>
              <w:t>Yes</w:t>
            </w:r>
          </w:p>
        </w:tc>
        <w:tc>
          <w:tcPr>
            <w:tcW w:w="368"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AD58ED2" w14:textId="77777777" w:rsidR="00367616" w:rsidRPr="00AE2EA6" w:rsidRDefault="00367616" w:rsidP="00621167">
            <w:pPr>
              <w:pStyle w:val="Tableheading"/>
              <w:keepNext/>
              <w:jc w:val="center"/>
              <w:rPr>
                <w:color w:val="FFFFFF" w:themeColor="background1"/>
                <w:sz w:val="18"/>
              </w:rPr>
            </w:pPr>
            <w:r w:rsidRPr="00AE2EA6">
              <w:rPr>
                <w:color w:val="FFFFFF" w:themeColor="background1"/>
                <w:sz w:val="18"/>
              </w:rPr>
              <w:t>No</w:t>
            </w:r>
          </w:p>
        </w:tc>
        <w:tc>
          <w:tcPr>
            <w:tcW w:w="360" w:type="pct"/>
            <w:tcBorders>
              <w:top w:val="single" w:sz="4" w:space="0" w:color="939598"/>
              <w:left w:val="single" w:sz="4" w:space="0" w:color="939598"/>
              <w:bottom w:val="single" w:sz="4" w:space="0" w:color="808080" w:themeColor="background1" w:themeShade="80"/>
            </w:tcBorders>
            <w:shd w:val="clear" w:color="auto" w:fill="051C3C"/>
          </w:tcPr>
          <w:p w14:paraId="6DD510E3" w14:textId="77777777" w:rsidR="00367616" w:rsidRPr="000A401A" w:rsidRDefault="00367616" w:rsidP="00621167">
            <w:pPr>
              <w:pStyle w:val="Tableheading"/>
              <w:keepNext/>
              <w:jc w:val="center"/>
              <w:rPr>
                <w:sz w:val="18"/>
              </w:rPr>
            </w:pPr>
            <w:r w:rsidRPr="00885395">
              <w:rPr>
                <w:color w:val="FFFFFF" w:themeColor="background1"/>
                <w:sz w:val="18"/>
              </w:rPr>
              <w:t>N/A</w:t>
            </w:r>
          </w:p>
        </w:tc>
      </w:tr>
      <w:tr w:rsidR="00061533" w:rsidRPr="000A401A" w14:paraId="24C1BC3B" w14:textId="77777777" w:rsidTr="00952FCB">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9DFF7" w14:textId="1738AD73" w:rsidR="00061533" w:rsidRPr="00061533" w:rsidRDefault="00061533" w:rsidP="00061533">
            <w:pPr>
              <w:pStyle w:val="Tableheading"/>
              <w:keepNext/>
              <w:rPr>
                <w:b w:val="0"/>
                <w:color w:val="FFFFFF" w:themeColor="background1"/>
                <w:sz w:val="18"/>
              </w:rPr>
            </w:pPr>
            <w:r w:rsidRPr="00061533">
              <w:rPr>
                <w:sz w:val="14"/>
                <w:szCs w:val="14"/>
              </w:rPr>
              <w:t>Note:</w:t>
            </w:r>
            <w:r w:rsidRPr="00061533">
              <w:rPr>
                <w:b w:val="0"/>
                <w:sz w:val="14"/>
                <w:szCs w:val="14"/>
              </w:rPr>
              <w:t xml:space="preserve"> </w:t>
            </w:r>
            <w:r w:rsidR="00FE7037">
              <w:rPr>
                <w:b w:val="0"/>
                <w:sz w:val="14"/>
                <w:szCs w:val="14"/>
              </w:rPr>
              <w:t>t</w:t>
            </w:r>
            <w:r w:rsidR="0035696D">
              <w:rPr>
                <w:b w:val="0"/>
                <w:sz w:val="14"/>
                <w:szCs w:val="14"/>
              </w:rPr>
              <w:t>he</w:t>
            </w:r>
            <w:r w:rsidRPr="00061533">
              <w:rPr>
                <w:b w:val="0"/>
                <w:sz w:val="14"/>
                <w:szCs w:val="14"/>
              </w:rPr>
              <w:t xml:space="preserve"> company tax rate </w:t>
            </w:r>
            <w:r w:rsidR="0035696D">
              <w:rPr>
                <w:b w:val="0"/>
                <w:sz w:val="14"/>
                <w:szCs w:val="14"/>
              </w:rPr>
              <w:t xml:space="preserve">has been </w:t>
            </w:r>
            <w:r w:rsidRPr="00061533">
              <w:rPr>
                <w:b w:val="0"/>
                <w:sz w:val="14"/>
                <w:szCs w:val="14"/>
              </w:rPr>
              <w:t xml:space="preserve">reduced </w:t>
            </w:r>
            <w:r w:rsidR="0035696D">
              <w:rPr>
                <w:b w:val="0"/>
                <w:sz w:val="14"/>
                <w:szCs w:val="14"/>
              </w:rPr>
              <w:t xml:space="preserve">to </w:t>
            </w:r>
            <w:r w:rsidRPr="00061533">
              <w:rPr>
                <w:b w:val="0"/>
                <w:sz w:val="14"/>
                <w:szCs w:val="14"/>
              </w:rPr>
              <w:t xml:space="preserve">27.5% </w:t>
            </w:r>
            <w:r w:rsidR="0035696D">
              <w:rPr>
                <w:b w:val="0"/>
                <w:sz w:val="14"/>
                <w:szCs w:val="14"/>
              </w:rPr>
              <w:t xml:space="preserve">for a company which is a small business entity for the 2017 year. </w:t>
            </w:r>
            <w:r w:rsidR="00272E14">
              <w:rPr>
                <w:b w:val="0"/>
                <w:sz w:val="14"/>
                <w:szCs w:val="14"/>
              </w:rPr>
              <w:t xml:space="preserve">A company will be regarded as a small business entity for the year ended 30 June 2017 if it carries on business and has an aggregated turnover of less than $10 million. The 27.5% company tax rate will also apply to a company which is a base rate entity for the year ended 30 June 2018 being a company which carries on a business and which has an aggregated turnover of less than $10 million for the 2018 year.      </w:t>
            </w:r>
          </w:p>
        </w:tc>
      </w:tr>
      <w:tr w:rsidR="00367616" w:rsidRPr="002252BE" w14:paraId="20564450"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CA2103F" w14:textId="77777777" w:rsidR="00367616" w:rsidRPr="002252BE" w:rsidRDefault="00367616" w:rsidP="00EF7E88">
            <w:pPr>
              <w:pStyle w:val="Tableheading"/>
              <w:keepNext/>
            </w:pPr>
            <w:r w:rsidRPr="002252BE">
              <w:t xml:space="preserve">Dividends </w:t>
            </w:r>
          </w:p>
        </w:tc>
      </w:tr>
      <w:tr w:rsidR="00367616" w:rsidRPr="002252BE" w14:paraId="7016E6F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77B9E" w14:textId="7462BFDC" w:rsidR="00367616" w:rsidRPr="002252BE" w:rsidRDefault="00367616" w:rsidP="00621167">
            <w:pPr>
              <w:pStyle w:val="Table"/>
            </w:pPr>
            <w:r w:rsidRPr="002252BE">
              <w:t xml:space="preserve">Check whether the taxpayer has a franking </w:t>
            </w:r>
            <w:r w:rsidR="00272E14">
              <w:t xml:space="preserve">deficit </w:t>
            </w:r>
            <w:r w:rsidRPr="002252BE">
              <w:t>account balance at year-end.</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E2BF8"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9C58C"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EC80D3" w14:textId="77777777" w:rsidR="00367616" w:rsidRPr="002252BE" w:rsidRDefault="00367616" w:rsidP="00E73986">
            <w:pPr>
              <w:pStyle w:val="Table"/>
              <w:jc w:val="center"/>
            </w:pPr>
          </w:p>
        </w:tc>
      </w:tr>
      <w:tr w:rsidR="00367616" w:rsidRPr="002252BE" w14:paraId="48760868"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A729B5" w14:textId="0B6745C6" w:rsidR="00367616" w:rsidRPr="002252BE" w:rsidRDefault="00367616" w:rsidP="00621167">
            <w:pPr>
              <w:pStyle w:val="Table"/>
            </w:pPr>
            <w:r w:rsidRPr="002252BE">
              <w:t xml:space="preserve">If there is a franking </w:t>
            </w:r>
            <w:r w:rsidR="008A15D0">
              <w:t xml:space="preserve">deficit </w:t>
            </w:r>
            <w:r w:rsidRPr="002252BE">
              <w:t>account balance:</w:t>
            </w:r>
          </w:p>
          <w:p w14:paraId="5CF7E363" w14:textId="77777777" w:rsidR="00367616" w:rsidRPr="002252BE" w:rsidRDefault="00367616" w:rsidP="007C2D15">
            <w:pPr>
              <w:pStyle w:val="TableBullet"/>
            </w:pPr>
            <w:r w:rsidRPr="002252BE">
              <w:t>consider deferring any franked dividends to the next financial year</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DB369D" w14:textId="77777777" w:rsidR="00367616" w:rsidRPr="002252BE" w:rsidRDefault="00367616"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CB0338" w14:textId="77777777" w:rsidR="00367616" w:rsidRPr="002252BE" w:rsidRDefault="00367616" w:rsidP="00E73986">
            <w:pPr>
              <w:pStyle w:val="Body"/>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7618C" w14:textId="77777777" w:rsidR="00367616" w:rsidRPr="002252BE" w:rsidRDefault="00367616" w:rsidP="00E73986">
            <w:pPr>
              <w:pStyle w:val="Body"/>
              <w:jc w:val="center"/>
            </w:pPr>
          </w:p>
        </w:tc>
      </w:tr>
      <w:tr w:rsidR="00367616" w:rsidRPr="002252BE" w14:paraId="7F11CD3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D61BC" w14:textId="32D74687" w:rsidR="00367616" w:rsidRPr="002252BE" w:rsidRDefault="00367616" w:rsidP="00F7139C">
            <w:pPr>
              <w:pStyle w:val="TableBullet"/>
            </w:pPr>
            <w:r w:rsidRPr="002252BE">
              <w:t>check the liability for franking deficit tax</w:t>
            </w:r>
            <w:r w:rsidR="00F7139C">
              <w:t xml:space="preserve"> (and the amount of any franking deficit tax offset potentially available)</w:t>
            </w:r>
            <w:r w:rsidRPr="002252BE">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B4EFA" w14:textId="77777777" w:rsidR="00367616" w:rsidRPr="002252BE" w:rsidRDefault="00367616"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19307" w14:textId="77777777" w:rsidR="00367616" w:rsidRPr="002252BE" w:rsidRDefault="00367616" w:rsidP="00E73986">
            <w:pPr>
              <w:pStyle w:val="Body"/>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D254F3" w14:textId="77777777" w:rsidR="00367616" w:rsidRPr="002252BE" w:rsidRDefault="00367616" w:rsidP="00E73986">
            <w:pPr>
              <w:pStyle w:val="Body"/>
              <w:jc w:val="center"/>
            </w:pPr>
          </w:p>
        </w:tc>
      </w:tr>
      <w:tr w:rsidR="00367616" w:rsidRPr="002252BE" w14:paraId="77432DFC"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A6FD9" w14:textId="498292E7" w:rsidR="00367616" w:rsidRPr="002252BE" w:rsidRDefault="00367616" w:rsidP="00061533">
            <w:pPr>
              <w:pStyle w:val="Table"/>
            </w:pPr>
            <w:r w:rsidRPr="002252BE">
              <w:t>Ensure that the 45/90-day rule has been considered in relation</w:t>
            </w:r>
            <w:r w:rsidR="00061533">
              <w:t xml:space="preserve"> to dividends paid/received</w:t>
            </w:r>
            <w:r w:rsidRPr="002252BE">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1D2F0"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262BBC"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8B061" w14:textId="77777777" w:rsidR="00367616" w:rsidRPr="002252BE" w:rsidRDefault="00367616" w:rsidP="00E73986">
            <w:pPr>
              <w:pStyle w:val="Table"/>
              <w:jc w:val="center"/>
            </w:pPr>
          </w:p>
        </w:tc>
      </w:tr>
      <w:tr w:rsidR="00272E14" w:rsidRPr="002252BE" w14:paraId="366C569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75156C" w14:textId="780BB0FA" w:rsidR="00FE7037" w:rsidRPr="002252BE" w:rsidRDefault="00272E14" w:rsidP="00FE7037">
            <w:pPr>
              <w:pStyle w:val="Table"/>
            </w:pPr>
            <w:r>
              <w:t xml:space="preserve">Check to ensure that dividends have been franked to the correct extent given that the company tax rate </w:t>
            </w:r>
            <w:r w:rsidR="00DB0266">
              <w:t xml:space="preserve">for </w:t>
            </w:r>
            <w:r w:rsidR="00FE7037">
              <w:t xml:space="preserve">a </w:t>
            </w:r>
            <w:r w:rsidR="00DB0266">
              <w:t xml:space="preserve">company which </w:t>
            </w:r>
            <w:r w:rsidR="006828A9">
              <w:t>is</w:t>
            </w:r>
            <w:r w:rsidR="00DB0266">
              <w:t xml:space="preserve"> an eligible small business entity </w:t>
            </w:r>
            <w:r>
              <w:t>has been reduced to 27.</w:t>
            </w:r>
            <w:r w:rsidR="008A15D0">
              <w:t>5</w:t>
            </w:r>
            <w:r>
              <w:t xml:space="preserve">% </w:t>
            </w:r>
            <w:r w:rsidR="008A15D0">
              <w:t>for the year ended 30 June 2017</w:t>
            </w:r>
            <w:r w:rsidR="00DB0266">
              <w:t>.</w:t>
            </w:r>
            <w:r>
              <w:t xml:space="preserve">   </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3AA4D" w14:textId="77777777" w:rsidR="00272E14" w:rsidRPr="002252BE" w:rsidRDefault="00272E14"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90C30" w14:textId="77777777" w:rsidR="00272E14" w:rsidRPr="002252BE" w:rsidRDefault="00272E14"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55A77" w14:textId="77777777" w:rsidR="00272E14" w:rsidRPr="002252BE" w:rsidRDefault="00272E14" w:rsidP="00E73986">
            <w:pPr>
              <w:pStyle w:val="Table"/>
              <w:jc w:val="center"/>
            </w:pPr>
          </w:p>
        </w:tc>
      </w:tr>
      <w:tr w:rsidR="00AE3ACC" w:rsidRPr="000A401A" w14:paraId="75057730" w14:textId="77777777" w:rsidTr="00F00EA6">
        <w:tc>
          <w:tcPr>
            <w:tcW w:w="3905" w:type="pct"/>
            <w:gridSpan w:val="2"/>
            <w:tcBorders>
              <w:top w:val="single" w:sz="4" w:space="0" w:color="939598"/>
              <w:bottom w:val="single" w:sz="4" w:space="0" w:color="808080" w:themeColor="background1" w:themeShade="80"/>
              <w:right w:val="single" w:sz="4" w:space="0" w:color="939598"/>
            </w:tcBorders>
            <w:shd w:val="clear" w:color="auto" w:fill="051C3C"/>
          </w:tcPr>
          <w:p w14:paraId="0C459A6F" w14:textId="77777777" w:rsidR="00AE3ACC" w:rsidRPr="00AE2EA6" w:rsidRDefault="00AE3ACC" w:rsidP="00F00EA6">
            <w:pPr>
              <w:pStyle w:val="Tableheading"/>
              <w:keepNext/>
              <w:rPr>
                <w:color w:val="FFFFFF" w:themeColor="background1"/>
                <w:sz w:val="18"/>
              </w:rPr>
            </w:pPr>
            <w:r w:rsidRPr="00AE2EA6">
              <w:rPr>
                <w:color w:val="FFFFFF" w:themeColor="background1"/>
                <w:sz w:val="18"/>
              </w:rPr>
              <w:lastRenderedPageBreak/>
              <w:t xml:space="preserve">Companies </w:t>
            </w:r>
          </w:p>
        </w:tc>
        <w:tc>
          <w:tcPr>
            <w:tcW w:w="367"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54258F5" w14:textId="77777777" w:rsidR="00AE3ACC" w:rsidRPr="00AE2EA6" w:rsidRDefault="00AE3ACC" w:rsidP="00F00EA6">
            <w:pPr>
              <w:pStyle w:val="Tableheading"/>
              <w:keepNext/>
              <w:jc w:val="center"/>
              <w:rPr>
                <w:color w:val="FFFFFF" w:themeColor="background1"/>
                <w:sz w:val="18"/>
              </w:rPr>
            </w:pPr>
            <w:r w:rsidRPr="00AE2EA6">
              <w:rPr>
                <w:color w:val="FFFFFF" w:themeColor="background1"/>
                <w:sz w:val="18"/>
              </w:rPr>
              <w:t>Yes</w:t>
            </w:r>
          </w:p>
        </w:tc>
        <w:tc>
          <w:tcPr>
            <w:tcW w:w="368"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D5BA308" w14:textId="77777777" w:rsidR="00AE3ACC" w:rsidRPr="00AE2EA6" w:rsidRDefault="00AE3ACC" w:rsidP="00F00EA6">
            <w:pPr>
              <w:pStyle w:val="Tableheading"/>
              <w:keepNext/>
              <w:jc w:val="center"/>
              <w:rPr>
                <w:color w:val="FFFFFF" w:themeColor="background1"/>
                <w:sz w:val="18"/>
              </w:rPr>
            </w:pPr>
            <w:r w:rsidRPr="00AE2EA6">
              <w:rPr>
                <w:color w:val="FFFFFF" w:themeColor="background1"/>
                <w:sz w:val="18"/>
              </w:rPr>
              <w:t>No</w:t>
            </w:r>
          </w:p>
        </w:tc>
        <w:tc>
          <w:tcPr>
            <w:tcW w:w="360" w:type="pct"/>
            <w:tcBorders>
              <w:top w:val="single" w:sz="4" w:space="0" w:color="939598"/>
              <w:left w:val="single" w:sz="4" w:space="0" w:color="939598"/>
              <w:bottom w:val="single" w:sz="4" w:space="0" w:color="808080" w:themeColor="background1" w:themeShade="80"/>
            </w:tcBorders>
            <w:shd w:val="clear" w:color="auto" w:fill="051C3C"/>
          </w:tcPr>
          <w:p w14:paraId="7F8A3AFA" w14:textId="77777777" w:rsidR="00AE3ACC" w:rsidRPr="000A401A" w:rsidRDefault="00AE3ACC" w:rsidP="00F00EA6">
            <w:pPr>
              <w:pStyle w:val="Tableheading"/>
              <w:keepNext/>
              <w:jc w:val="center"/>
              <w:rPr>
                <w:sz w:val="18"/>
              </w:rPr>
            </w:pPr>
            <w:r w:rsidRPr="00885395">
              <w:rPr>
                <w:color w:val="FFFFFF" w:themeColor="background1"/>
                <w:sz w:val="18"/>
              </w:rPr>
              <w:t>N/A</w:t>
            </w:r>
          </w:p>
        </w:tc>
      </w:tr>
      <w:tr w:rsidR="00367616" w:rsidRPr="002252BE" w14:paraId="53CBCBC6"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74817F4" w14:textId="77777777" w:rsidR="00367616" w:rsidRPr="002252BE" w:rsidRDefault="00367616" w:rsidP="00EF7E88">
            <w:pPr>
              <w:pStyle w:val="Tableheading"/>
              <w:keepNext/>
            </w:pPr>
            <w:r w:rsidRPr="002252BE">
              <w:t xml:space="preserve">Fringe benefits tax </w:t>
            </w:r>
          </w:p>
        </w:tc>
      </w:tr>
      <w:tr w:rsidR="00AE3ACC" w:rsidRPr="002252BE" w14:paraId="7AB5F13E"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3E3F6" w14:textId="77777777" w:rsidR="00AE3ACC" w:rsidRPr="007E6CA8" w:rsidRDefault="00AE3ACC" w:rsidP="00AE3ACC">
            <w:pPr>
              <w:pStyle w:val="Tableheading"/>
              <w:keepNext/>
              <w:rPr>
                <w:b w:val="0"/>
              </w:rPr>
            </w:pPr>
            <w:r w:rsidRPr="007E6CA8">
              <w:rPr>
                <w:b w:val="0"/>
              </w:rPr>
              <w:t xml:space="preserve">Review an employee’s remuneration package to determine whether any exempt or </w:t>
            </w:r>
            <w:proofErr w:type="spellStart"/>
            <w:r w:rsidRPr="007E6CA8">
              <w:rPr>
                <w:b w:val="0"/>
              </w:rPr>
              <w:t>concessionally</w:t>
            </w:r>
            <w:proofErr w:type="spellEnd"/>
            <w:r w:rsidRPr="007E6CA8">
              <w:rPr>
                <w:b w:val="0"/>
              </w:rPr>
              <w:t xml:space="preserve"> taxed fringe benefits could be provided to employees as part of their future packaging arrangements</w:t>
            </w:r>
            <w:r>
              <w:rPr>
                <w:b w:val="0"/>
              </w:rPr>
              <w:t>.</w:t>
            </w:r>
          </w:p>
          <w:p w14:paraId="7C2441A0" w14:textId="2AE1FB56" w:rsidR="00AE3ACC" w:rsidRPr="00AE3ACC" w:rsidRDefault="00AE3ACC" w:rsidP="00AE3ACC">
            <w:pPr>
              <w:pStyle w:val="Table"/>
            </w:pPr>
            <w:r w:rsidRPr="00AE3ACC">
              <w:rPr>
                <w:b/>
                <w:sz w:val="14"/>
                <w:szCs w:val="14"/>
              </w:rPr>
              <w:t>Note:</w:t>
            </w:r>
            <w:r w:rsidRPr="00AE3ACC">
              <w:rPr>
                <w:sz w:val="14"/>
                <w:szCs w:val="14"/>
              </w:rPr>
              <w:t xml:space="preserve"> refer to CPA Australia’s </w:t>
            </w:r>
            <w:hyperlink r:id="rId19" w:history="1">
              <w:r w:rsidRPr="00AE3ACC">
                <w:rPr>
                  <w:rStyle w:val="Hyperlink"/>
                  <w:sz w:val="14"/>
                  <w:szCs w:val="14"/>
                </w:rPr>
                <w:t>FBT checklist</w:t>
              </w:r>
            </w:hyperlink>
            <w:r w:rsidRPr="00AE3ACC">
              <w:rPr>
                <w:sz w:val="14"/>
                <w:szCs w:val="14"/>
              </w:rPr>
              <w:t xml:space="preserve"> for details of each category of fringe benefits and their valuation rules.</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69FDF" w14:textId="77777777" w:rsidR="00AE3ACC" w:rsidRPr="002252BE" w:rsidRDefault="00AE3ACC"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FF485" w14:textId="77777777" w:rsidR="00AE3ACC" w:rsidRPr="002252BE" w:rsidRDefault="00AE3ACC"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4693C" w14:textId="77777777" w:rsidR="00AE3ACC" w:rsidRPr="002252BE" w:rsidRDefault="00AE3ACC" w:rsidP="00E73986">
            <w:pPr>
              <w:pStyle w:val="Table"/>
              <w:jc w:val="center"/>
            </w:pPr>
          </w:p>
        </w:tc>
      </w:tr>
      <w:tr w:rsidR="00367616" w:rsidRPr="002252BE" w14:paraId="4C301004"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5467E" w14:textId="77777777" w:rsidR="00367616" w:rsidRPr="002252BE" w:rsidRDefault="00367616" w:rsidP="00621167">
            <w:pPr>
              <w:pStyle w:val="Table"/>
            </w:pPr>
            <w:r w:rsidRPr="002252BE">
              <w:t>Consider if your staff entertainment expenditure will qualify for the minor and infrequent FBT exemption (i.e. less than $300) to minimise FBT liability.</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E2843"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B8009"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BB01D" w14:textId="77777777" w:rsidR="00367616" w:rsidRPr="002252BE" w:rsidRDefault="00367616" w:rsidP="00E73986">
            <w:pPr>
              <w:pStyle w:val="Table"/>
              <w:jc w:val="center"/>
            </w:pPr>
          </w:p>
        </w:tc>
      </w:tr>
      <w:tr w:rsidR="00367616" w:rsidRPr="002252BE" w14:paraId="328C3FCE"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E34E3B" w14:textId="77777777" w:rsidR="00367616" w:rsidRPr="002252BE" w:rsidRDefault="00367616" w:rsidP="00621167">
            <w:pPr>
              <w:pStyle w:val="Table"/>
            </w:pPr>
            <w:r w:rsidRPr="002252BE">
              <w:t>Ensure that no GST input tax credit has been claimed on entertainment that qualifies for the minor and infrequent FBT exemption.</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D130A"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025CD"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6E1AB" w14:textId="77777777" w:rsidR="00367616" w:rsidRPr="002252BE" w:rsidRDefault="00367616" w:rsidP="00E73986">
            <w:pPr>
              <w:pStyle w:val="Table"/>
              <w:jc w:val="center"/>
            </w:pPr>
          </w:p>
        </w:tc>
      </w:tr>
      <w:tr w:rsidR="00367616" w:rsidRPr="002252BE" w14:paraId="51DE55B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87DC7" w14:textId="77777777" w:rsidR="00367616" w:rsidRPr="002252BE" w:rsidRDefault="00367616" w:rsidP="00621167">
            <w:pPr>
              <w:pStyle w:val="Table"/>
            </w:pPr>
            <w:r w:rsidRPr="002252BE">
              <w:t>Ensure pooled or shared cars which are used by more than one employee for private purposes are not reported on the employee</w:t>
            </w:r>
            <w:r>
              <w:t>’</w:t>
            </w:r>
            <w:r w:rsidRPr="002252BE">
              <w:t>s payment summary.</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E211F"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97655"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D6D13" w14:textId="77777777" w:rsidR="00367616" w:rsidRPr="002252BE" w:rsidRDefault="00367616" w:rsidP="00E73986">
            <w:pPr>
              <w:pStyle w:val="Table"/>
              <w:jc w:val="center"/>
            </w:pPr>
          </w:p>
        </w:tc>
      </w:tr>
      <w:tr w:rsidR="00367616" w:rsidRPr="002252BE" w14:paraId="7E637E9A"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AD87E" w14:textId="6F714765" w:rsidR="00367616" w:rsidRPr="002252BE" w:rsidRDefault="00367616" w:rsidP="00621167">
            <w:pPr>
              <w:pStyle w:val="Table"/>
            </w:pPr>
            <w:r w:rsidRPr="002252BE">
              <w:t>Check for any exempt eligible work items, intended to be used primarily in the employee</w:t>
            </w:r>
            <w:r w:rsidR="00F7139C">
              <w:t>’</w:t>
            </w:r>
            <w:r w:rsidRPr="002252BE">
              <w:t>s employment, including:</w:t>
            </w:r>
          </w:p>
          <w:p w14:paraId="3EA04E83" w14:textId="77777777" w:rsidR="00367616" w:rsidRPr="002252BE" w:rsidRDefault="00367616" w:rsidP="007C2D15">
            <w:pPr>
              <w:pStyle w:val="TableBullet"/>
            </w:pPr>
            <w:r w:rsidRPr="002252BE">
              <w:t>portable electronic devices</w:t>
            </w:r>
          </w:p>
          <w:p w14:paraId="26F0D148" w14:textId="77777777" w:rsidR="00367616" w:rsidRPr="002252BE" w:rsidRDefault="00367616" w:rsidP="007C2D15">
            <w:pPr>
              <w:pStyle w:val="TableBullet"/>
            </w:pPr>
            <w:r w:rsidRPr="002252BE">
              <w:t>computer software</w:t>
            </w:r>
          </w:p>
          <w:p w14:paraId="7F997AE3" w14:textId="77777777" w:rsidR="00367616" w:rsidRPr="002252BE" w:rsidRDefault="00367616" w:rsidP="007C2D15">
            <w:pPr>
              <w:pStyle w:val="TableBullet"/>
            </w:pPr>
            <w:r w:rsidRPr="002252BE">
              <w:t>protective clothing</w:t>
            </w:r>
          </w:p>
          <w:p w14:paraId="3E0C5E76" w14:textId="77777777" w:rsidR="00367616" w:rsidRPr="002252BE" w:rsidRDefault="00367616" w:rsidP="007C2D15">
            <w:pPr>
              <w:pStyle w:val="TableBullet"/>
            </w:pPr>
            <w:r w:rsidRPr="002252BE">
              <w:t>briefcase</w:t>
            </w:r>
          </w:p>
          <w:p w14:paraId="7B90A26A" w14:textId="77777777" w:rsidR="00367616" w:rsidRPr="002252BE" w:rsidRDefault="00367616" w:rsidP="007C2D15">
            <w:pPr>
              <w:pStyle w:val="TableBullet"/>
            </w:pPr>
            <w:r w:rsidRPr="002252BE">
              <w:t>tools of trade.</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3BCA2"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88411"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F6BB3" w14:textId="77777777" w:rsidR="00367616" w:rsidRPr="002252BE" w:rsidRDefault="00367616" w:rsidP="00E73986">
            <w:pPr>
              <w:pStyle w:val="Table"/>
              <w:jc w:val="center"/>
            </w:pPr>
          </w:p>
        </w:tc>
      </w:tr>
      <w:tr w:rsidR="00367616" w:rsidRPr="002252BE" w14:paraId="68408553"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CCC36" w14:textId="13EC7128" w:rsidR="00367616" w:rsidRPr="002252BE" w:rsidRDefault="00367616" w:rsidP="00061533">
            <w:pPr>
              <w:pStyle w:val="Table"/>
            </w:pPr>
            <w:r w:rsidRPr="002252BE">
              <w:t>Is the employer a small business</w:t>
            </w:r>
            <w:r w:rsidR="00D85112">
              <w:t xml:space="preserve"> </w:t>
            </w:r>
            <w:r w:rsidRPr="002252BE">
              <w:t>that provides car parking to its employees?</w:t>
            </w:r>
          </w:p>
          <w:p w14:paraId="02330D9C" w14:textId="525E8AE1" w:rsidR="00367616" w:rsidRPr="009F0C8F" w:rsidRDefault="00367616" w:rsidP="00061533">
            <w:pPr>
              <w:pStyle w:val="Source"/>
              <w:tabs>
                <w:tab w:val="clear" w:pos="368"/>
                <w:tab w:val="left" w:pos="0"/>
              </w:tabs>
              <w:spacing w:after="60"/>
              <w:ind w:left="0" w:right="0" w:firstLine="0"/>
              <w:rPr>
                <w:sz w:val="14"/>
                <w:szCs w:val="14"/>
              </w:rPr>
            </w:pPr>
            <w:r w:rsidRPr="009F0C8F">
              <w:rPr>
                <w:b/>
                <w:i w:val="0"/>
                <w:sz w:val="14"/>
                <w:szCs w:val="14"/>
              </w:rPr>
              <w:t>Note</w:t>
            </w:r>
            <w:r w:rsidRPr="009F0C8F">
              <w:rPr>
                <w:i w:val="0"/>
                <w:sz w:val="14"/>
                <w:szCs w:val="14"/>
              </w:rPr>
              <w:t xml:space="preserve">: employers that are not public companies, and which have derived less than $10m in ordinary and statutory income in the previous income year or are small business entities, may </w:t>
            </w:r>
            <w:r w:rsidR="00B54455">
              <w:rPr>
                <w:i w:val="0"/>
                <w:sz w:val="14"/>
                <w:szCs w:val="14"/>
              </w:rPr>
              <w:t xml:space="preserve">currently </w:t>
            </w:r>
            <w:r w:rsidRPr="009F0C8F">
              <w:rPr>
                <w:i w:val="0"/>
                <w:sz w:val="14"/>
                <w:szCs w:val="14"/>
              </w:rPr>
              <w:t>qualify for the small business car parking exemption.</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DD2EA"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B15285"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79E4B" w14:textId="77777777" w:rsidR="00367616" w:rsidRPr="002252BE" w:rsidRDefault="00367616" w:rsidP="00E73986">
            <w:pPr>
              <w:pStyle w:val="Table"/>
              <w:jc w:val="center"/>
            </w:pPr>
          </w:p>
        </w:tc>
      </w:tr>
      <w:tr w:rsidR="00367616" w:rsidRPr="002252BE" w14:paraId="73D669D2"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7B871" w14:textId="77777777" w:rsidR="00367616" w:rsidRPr="002252BE" w:rsidRDefault="00367616" w:rsidP="00621167">
            <w:pPr>
              <w:pStyle w:val="Table"/>
            </w:pPr>
            <w:r w:rsidRPr="002252BE">
              <w:t>Check for exempt relocation benefits, such as relocation transport travel and removal and storage expenses.</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B811E"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55355"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AD266" w14:textId="77777777" w:rsidR="00367616" w:rsidRPr="002252BE" w:rsidRDefault="00367616" w:rsidP="00E73986">
            <w:pPr>
              <w:pStyle w:val="Table"/>
              <w:jc w:val="center"/>
            </w:pPr>
          </w:p>
        </w:tc>
      </w:tr>
      <w:tr w:rsidR="00CA4EA7" w:rsidRPr="002252BE" w14:paraId="2629283C"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A6842B" w14:textId="07638745" w:rsidR="00CA4EA7" w:rsidRPr="002252BE" w:rsidRDefault="00CA4EA7" w:rsidP="000F731E">
            <w:pPr>
              <w:pStyle w:val="Tableheading"/>
              <w:keepNext/>
            </w:pPr>
            <w:r w:rsidRPr="002252BE">
              <w:t xml:space="preserve">Losses </w:t>
            </w:r>
          </w:p>
        </w:tc>
      </w:tr>
      <w:tr w:rsidR="00CA4EA7" w:rsidRPr="002252BE" w14:paraId="6885583F"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F32325" w14:textId="57D25C32" w:rsidR="00CA4EA7" w:rsidRDefault="00CA4EA7" w:rsidP="00E73986">
            <w:pPr>
              <w:pStyle w:val="Table"/>
            </w:pPr>
            <w:r w:rsidRPr="002252BE">
              <w:t>If the company has tax losses to be recouped ensure that the continuity of ownership test (COT) or the same business test (SBT) is passed.</w:t>
            </w:r>
          </w:p>
          <w:p w14:paraId="13F94BA2" w14:textId="318819C7" w:rsidR="00F7139C" w:rsidRPr="002252BE" w:rsidRDefault="00F7139C" w:rsidP="00E73986">
            <w:pPr>
              <w:pStyle w:val="Table"/>
            </w:pPr>
            <w:r w:rsidRPr="009F0C8F">
              <w:rPr>
                <w:b/>
                <w:sz w:val="14"/>
                <w:szCs w:val="14"/>
              </w:rPr>
              <w:t>Note</w:t>
            </w:r>
            <w:r w:rsidRPr="009F0C8F">
              <w:rPr>
                <w:sz w:val="14"/>
                <w:szCs w:val="14"/>
              </w:rPr>
              <w:t xml:space="preserve">: </w:t>
            </w:r>
            <w:r w:rsidR="000F731E">
              <w:rPr>
                <w:sz w:val="14"/>
                <w:szCs w:val="14"/>
              </w:rPr>
              <w:t>c</w:t>
            </w:r>
            <w:r w:rsidRPr="00F51F72">
              <w:rPr>
                <w:sz w:val="14"/>
                <w:szCs w:val="14"/>
              </w:rPr>
              <w:t xml:space="preserve">onsider the </w:t>
            </w:r>
            <w:r>
              <w:rPr>
                <w:sz w:val="14"/>
                <w:szCs w:val="14"/>
              </w:rPr>
              <w:t>proposed</w:t>
            </w:r>
            <w:r w:rsidR="00FE7037">
              <w:rPr>
                <w:sz w:val="14"/>
                <w:szCs w:val="14"/>
              </w:rPr>
              <w:t xml:space="preserve"> alternate</w:t>
            </w:r>
            <w:r>
              <w:rPr>
                <w:sz w:val="14"/>
                <w:szCs w:val="14"/>
              </w:rPr>
              <w:t xml:space="preserve"> </w:t>
            </w:r>
            <w:r w:rsidRPr="00F51F72">
              <w:rPr>
                <w:sz w:val="14"/>
                <w:szCs w:val="14"/>
              </w:rPr>
              <w:t>“similar business” test for losses incurred from 1 July 2015</w:t>
            </w:r>
            <w:r>
              <w:rPr>
                <w:sz w:val="14"/>
                <w:szCs w:val="14"/>
              </w:rPr>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7446A" w14:textId="77777777" w:rsidR="00CA4EA7" w:rsidRPr="002252BE" w:rsidRDefault="00CA4EA7"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88A0D" w14:textId="77777777" w:rsidR="00CA4EA7" w:rsidRPr="002252BE" w:rsidRDefault="00CA4EA7"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4CBA6" w14:textId="77777777" w:rsidR="00CA4EA7" w:rsidRPr="002252BE" w:rsidRDefault="00CA4EA7" w:rsidP="00E73986">
            <w:pPr>
              <w:pStyle w:val="Body"/>
              <w:jc w:val="center"/>
            </w:pPr>
          </w:p>
        </w:tc>
      </w:tr>
      <w:tr w:rsidR="00CA4EA7" w:rsidRPr="002252BE" w14:paraId="3AB06C34"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976AE3" w14:textId="77777777" w:rsidR="007F0E61" w:rsidRPr="002252BE" w:rsidRDefault="00CA4EA7" w:rsidP="005C4907">
            <w:pPr>
              <w:pStyle w:val="Table"/>
            </w:pPr>
            <w:r w:rsidRPr="002252BE">
              <w:t>Ensure that the company has not entered into transactions in order to inject income into the loss company to absorb its losses.</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C65EC" w14:textId="77777777" w:rsidR="00CA4EA7" w:rsidRPr="002252BE" w:rsidRDefault="00CA4EA7"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EF850" w14:textId="77777777" w:rsidR="00CA4EA7" w:rsidRPr="002252BE" w:rsidRDefault="00CA4EA7"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8C5FD" w14:textId="77777777" w:rsidR="00CA4EA7" w:rsidRPr="002252BE" w:rsidRDefault="00CA4EA7" w:rsidP="00E73986">
            <w:pPr>
              <w:pStyle w:val="Body"/>
              <w:jc w:val="center"/>
            </w:pPr>
          </w:p>
        </w:tc>
      </w:tr>
      <w:tr w:rsidR="005C0F0C" w:rsidRPr="002252BE" w14:paraId="68304F66"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33D2F2" w14:textId="77777777" w:rsidR="005C0F0C" w:rsidRPr="005C0F0C" w:rsidRDefault="005C0F0C" w:rsidP="005C0F0C">
            <w:pPr>
              <w:pStyle w:val="Body"/>
              <w:rPr>
                <w:b/>
                <w:i w:val="0"/>
              </w:rPr>
            </w:pPr>
            <w:r w:rsidRPr="005C0F0C">
              <w:rPr>
                <w:i w:val="0"/>
              </w:rPr>
              <w:t xml:space="preserve">   </w:t>
            </w:r>
            <w:r>
              <w:rPr>
                <w:b/>
                <w:i w:val="0"/>
                <w:shd w:val="clear" w:color="auto" w:fill="D9D9D9" w:themeFill="background1" w:themeFillShade="D9"/>
              </w:rPr>
              <w:t>Division 7A</w:t>
            </w:r>
          </w:p>
        </w:tc>
      </w:tr>
      <w:tr w:rsidR="005C0F0C" w:rsidRPr="002252BE" w14:paraId="7AB8CE1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2F2D1" w14:textId="3A0C992A" w:rsidR="005C0F0C" w:rsidRPr="002252BE" w:rsidRDefault="005C0F0C" w:rsidP="00450A70">
            <w:pPr>
              <w:pStyle w:val="Table"/>
            </w:pPr>
            <w:r w:rsidRPr="002252BE">
              <w:t>Check whether loans, payments or debt forgiveness by a private company to a shareholder, former shareholder or an associate of such a person would be deemed to be an unfranked dividend. Where such an exposure arises do any of the exemptions under Division 7A apply which could exempt such an amount from Division 7A</w:t>
            </w:r>
            <w:r>
              <w:t>?</w:t>
            </w:r>
            <w:r w:rsidRPr="002252BE">
              <w:t xml:space="preserve"> Alternatively, can such a transaction be structured to be an ‘excluded loan’ before the earlier of the actual or due date of </w:t>
            </w:r>
            <w:proofErr w:type="spellStart"/>
            <w:r w:rsidRPr="002252BE">
              <w:t>lodgment</w:t>
            </w:r>
            <w:proofErr w:type="spellEnd"/>
            <w:r w:rsidRPr="002252BE">
              <w:t xml:space="preserve"> of the company’s income tax return.</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0A11F2" w14:textId="77777777" w:rsidR="005C0F0C" w:rsidRPr="002252BE" w:rsidRDefault="005C0F0C"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5F3879" w14:textId="77777777" w:rsidR="005C0F0C" w:rsidRPr="002252BE" w:rsidRDefault="005C0F0C"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63F58" w14:textId="77777777" w:rsidR="005C0F0C" w:rsidRPr="002252BE" w:rsidRDefault="005C0F0C" w:rsidP="00E73986">
            <w:pPr>
              <w:pStyle w:val="Body"/>
              <w:jc w:val="center"/>
            </w:pPr>
          </w:p>
        </w:tc>
      </w:tr>
      <w:tr w:rsidR="005C0F0C" w:rsidRPr="002252BE" w14:paraId="58620D00"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C707E6" w14:textId="77777777" w:rsidR="005C0F0C" w:rsidRDefault="005C0F0C" w:rsidP="005C0F0C">
            <w:pPr>
              <w:pStyle w:val="Table"/>
            </w:pPr>
            <w:r w:rsidRPr="002252BE">
              <w:t>Ensure that pre-</w:t>
            </w:r>
            <w:r>
              <w:t xml:space="preserve">4 </w:t>
            </w:r>
            <w:r w:rsidRPr="002252BE">
              <w:t>December 1997 loans are not refreshed</w:t>
            </w:r>
            <w:r>
              <w:t xml:space="preserve"> and remain undisturbed</w:t>
            </w:r>
            <w:r w:rsidRPr="002252BE">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86B73A" w14:textId="77777777" w:rsidR="005C0F0C" w:rsidRPr="002252BE" w:rsidRDefault="005C0F0C"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302082" w14:textId="77777777" w:rsidR="005C0F0C" w:rsidRPr="002252BE" w:rsidRDefault="005C0F0C"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BFF69" w14:textId="77777777" w:rsidR="005C0F0C" w:rsidRPr="002252BE" w:rsidRDefault="005C0F0C" w:rsidP="00E73986">
            <w:pPr>
              <w:pStyle w:val="Body"/>
              <w:jc w:val="center"/>
            </w:pPr>
          </w:p>
        </w:tc>
      </w:tr>
      <w:tr w:rsidR="005C0F0C" w:rsidRPr="002252BE" w14:paraId="4E0EBE30"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99922" w14:textId="77777777" w:rsidR="005C0F0C" w:rsidRPr="002252BE" w:rsidRDefault="005C0F0C" w:rsidP="005C0F0C">
            <w:pPr>
              <w:pStyle w:val="Table"/>
            </w:pPr>
            <w:r w:rsidRPr="002252BE">
              <w:t>Does the company provide its shareholders or associates with free (or less than market rate) use of the company property e.g. holiday home or boat?</w:t>
            </w:r>
          </w:p>
          <w:p w14:paraId="539488EA" w14:textId="77777777" w:rsidR="005C0F0C" w:rsidRDefault="005C0F0C" w:rsidP="005C0F0C">
            <w:pPr>
              <w:pStyle w:val="Table"/>
            </w:pPr>
            <w:r w:rsidRPr="002252BE">
              <w:t>If so</w:t>
            </w:r>
            <w:r>
              <w:t>,</w:t>
            </w:r>
            <w:r w:rsidRPr="002252BE">
              <w:t xml:space="preserve"> </w:t>
            </w:r>
            <w:r>
              <w:t>such use of assets may</w:t>
            </w:r>
            <w:r w:rsidRPr="002252BE">
              <w:t xml:space="preserve"> deem a dividend to be paid from the company to the shareholder</w:t>
            </w:r>
            <w:r>
              <w:t xml:space="preserve"> (subject to certain conditions being met)</w:t>
            </w:r>
            <w:r w:rsidRPr="002252BE">
              <w:t>.</w:t>
            </w:r>
            <w:r>
              <w:t xml:space="preserve"> </w:t>
            </w:r>
            <w:r w:rsidRPr="0045581E">
              <w:rPr>
                <w:rFonts w:eastAsia="Times New Roman" w:cs="Arial"/>
                <w:color w:val="000000"/>
              </w:rPr>
              <w:t>The amount of the dividend is the market value of such use less any consideration paid. However, the deemed dividend will not arise if the annual value of the benefits received was less than $300, the private usage would otherwise have been allowable as a once-only deduction or where certain dwellings are provided for private use by the company</w:t>
            </w:r>
            <w:r>
              <w:rPr>
                <w:rFonts w:eastAsia="Times New Roman" w:cs="Arial"/>
                <w:color w:val="000000"/>
              </w:rPr>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55181" w14:textId="77777777" w:rsidR="005C0F0C" w:rsidRPr="002252BE" w:rsidRDefault="005C0F0C"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2462D5" w14:textId="77777777" w:rsidR="005C0F0C" w:rsidRPr="002252BE" w:rsidRDefault="005C0F0C"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05C39" w14:textId="77777777" w:rsidR="005C0F0C" w:rsidRPr="002252BE" w:rsidRDefault="005C0F0C" w:rsidP="00E73986">
            <w:pPr>
              <w:pStyle w:val="Body"/>
              <w:jc w:val="center"/>
            </w:pPr>
          </w:p>
        </w:tc>
      </w:tr>
      <w:tr w:rsidR="00AE0E15" w:rsidRPr="002252BE" w14:paraId="4DF28904"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9979A4" w14:textId="77777777" w:rsidR="00AE0E15" w:rsidRPr="002252BE" w:rsidRDefault="00AE0E15" w:rsidP="00AE0E15">
            <w:pPr>
              <w:pStyle w:val="Table"/>
            </w:pPr>
            <w:r w:rsidRPr="002252BE">
              <w:t>Check whether corrective action can be undertaken to eliminate a deemed dividend which arose because of an honest mistake or inadvertent error by applying to the Commissioner to disregard the deemed dividend or allow it to be franked</w:t>
            </w:r>
            <w:r>
              <w:t xml:space="preserve"> under section 109RB of the </w:t>
            </w:r>
            <w:r>
              <w:rPr>
                <w:i/>
              </w:rPr>
              <w:t>Income Tax Assessment Act (1936)</w:t>
            </w:r>
            <w:r w:rsidRPr="002252BE">
              <w:t>.</w:t>
            </w:r>
          </w:p>
          <w:p w14:paraId="6EA4ED40" w14:textId="24A2EFBF" w:rsidR="00AE0E15" w:rsidRPr="00AE0E15" w:rsidRDefault="00AE0E15" w:rsidP="00846F54">
            <w:pPr>
              <w:pStyle w:val="Table"/>
            </w:pPr>
            <w:r w:rsidRPr="00AE0E15">
              <w:rPr>
                <w:b/>
                <w:sz w:val="14"/>
                <w:szCs w:val="14"/>
              </w:rPr>
              <w:t>Note:</w:t>
            </w:r>
            <w:r w:rsidRPr="00AE0E15">
              <w:rPr>
                <w:sz w:val="14"/>
                <w:szCs w:val="14"/>
              </w:rPr>
              <w:t xml:space="preserve"> post 16 December 2009, unpaid present entitlements may be treated as deemed loans for Division 7A purposes. Please refer to CPA Australia’s </w:t>
            </w:r>
            <w:hyperlink r:id="rId20" w:history="1">
              <w:r w:rsidR="00846F54" w:rsidRPr="00846F54">
                <w:rPr>
                  <w:rStyle w:val="Hyperlink"/>
                  <w:sz w:val="14"/>
                  <w:szCs w:val="14"/>
                </w:rPr>
                <w:t xml:space="preserve">2017 </w:t>
              </w:r>
              <w:r w:rsidRPr="00846F54">
                <w:rPr>
                  <w:rStyle w:val="Hyperlink"/>
                  <w:sz w:val="14"/>
                  <w:szCs w:val="14"/>
                </w:rPr>
                <w:t>Division 7A checklist</w:t>
              </w:r>
            </w:hyperlink>
            <w:r w:rsidRPr="00AE0E15">
              <w:rPr>
                <w:sz w:val="14"/>
                <w:szCs w:val="14"/>
              </w:rPr>
              <w:t xml:space="preserve"> for further information.</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EB493" w14:textId="77777777" w:rsidR="00AE0E15" w:rsidRPr="002252BE" w:rsidRDefault="00AE0E15"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23CB3" w14:textId="77777777" w:rsidR="00AE0E15" w:rsidRPr="002252BE" w:rsidRDefault="00AE0E15"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6F7BF1" w14:textId="77777777" w:rsidR="00AE0E15" w:rsidRPr="002252BE" w:rsidRDefault="00AE0E15" w:rsidP="00E73986">
            <w:pPr>
              <w:pStyle w:val="Body"/>
              <w:jc w:val="center"/>
            </w:pPr>
          </w:p>
        </w:tc>
      </w:tr>
      <w:tr w:rsidR="00AE0E15" w:rsidRPr="002252BE" w14:paraId="3780E3E8" w14:textId="77777777" w:rsidTr="00AE0E1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4C4E1" w14:textId="77777777" w:rsidR="00AE0E15" w:rsidRDefault="00AE0E15" w:rsidP="00AE0E15">
            <w:pPr>
              <w:pStyle w:val="Tableheading"/>
            </w:pPr>
            <w:r>
              <w:t>Comments:</w:t>
            </w:r>
          </w:p>
          <w:p w14:paraId="36F0307C" w14:textId="77777777" w:rsidR="00AE0E15" w:rsidRPr="002252BE" w:rsidRDefault="00AE0E15" w:rsidP="00E73986">
            <w:pPr>
              <w:pStyle w:val="Body"/>
              <w:jc w:val="center"/>
            </w:pPr>
          </w:p>
        </w:tc>
      </w:tr>
    </w:tbl>
    <w:p w14:paraId="76F3A3B9" w14:textId="77777777" w:rsidR="00367616" w:rsidRPr="002C7914" w:rsidRDefault="00367616" w:rsidP="003F4385">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367616" w:rsidRPr="000A401A" w14:paraId="2A2F2355" w14:textId="77777777" w:rsidTr="00952FCB">
        <w:tc>
          <w:tcPr>
            <w:tcW w:w="3905" w:type="pct"/>
            <w:tcBorders>
              <w:top w:val="single" w:sz="4" w:space="0" w:color="808080" w:themeColor="background1" w:themeShade="80"/>
              <w:bottom w:val="single" w:sz="4" w:space="0" w:color="808080" w:themeColor="background1" w:themeShade="80"/>
              <w:right w:val="single" w:sz="4" w:space="0" w:color="939598"/>
            </w:tcBorders>
            <w:shd w:val="clear" w:color="auto" w:fill="051C3C"/>
          </w:tcPr>
          <w:p w14:paraId="7BDCE637" w14:textId="77777777" w:rsidR="00367616" w:rsidRPr="00AE2EA6" w:rsidRDefault="00367616" w:rsidP="00EC19BC">
            <w:pPr>
              <w:pStyle w:val="Tableheading"/>
              <w:keepNext/>
              <w:rPr>
                <w:color w:val="FFFFFF" w:themeColor="background1"/>
                <w:sz w:val="18"/>
              </w:rPr>
            </w:pPr>
            <w:r w:rsidRPr="00AE2EA6">
              <w:rPr>
                <w:color w:val="FFFFFF" w:themeColor="background1"/>
                <w:sz w:val="18"/>
              </w:rPr>
              <w:lastRenderedPageBreak/>
              <w:t xml:space="preserve">Tax Compliance </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6478CF7A"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Yes</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09BC7322"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No</w:t>
            </w:r>
          </w:p>
        </w:tc>
        <w:tc>
          <w:tcPr>
            <w:tcW w:w="363" w:type="pct"/>
            <w:tcBorders>
              <w:top w:val="single" w:sz="4" w:space="0" w:color="808080" w:themeColor="background1" w:themeShade="80"/>
              <w:left w:val="single" w:sz="4" w:space="0" w:color="939598"/>
              <w:bottom w:val="single" w:sz="4" w:space="0" w:color="808080" w:themeColor="background1" w:themeShade="80"/>
            </w:tcBorders>
            <w:shd w:val="clear" w:color="auto" w:fill="051C3C"/>
          </w:tcPr>
          <w:p w14:paraId="1D99A3D7"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N/A</w:t>
            </w:r>
          </w:p>
        </w:tc>
      </w:tr>
      <w:tr w:rsidR="00310B6A" w:rsidRPr="00B340A7" w14:paraId="4649D7C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6B3E81" w14:textId="77777777" w:rsidR="00310B6A" w:rsidRPr="00B340A7" w:rsidRDefault="00310B6A" w:rsidP="00310B6A">
            <w:pPr>
              <w:pStyle w:val="Tableheading"/>
            </w:pPr>
            <w:r w:rsidRPr="002252BE">
              <w:t xml:space="preserve">Research and development </w:t>
            </w:r>
          </w:p>
        </w:tc>
      </w:tr>
      <w:tr w:rsidR="00367616" w:rsidRPr="002252BE" w14:paraId="07B17905" w14:textId="77777777" w:rsidTr="005D399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50"/>
        </w:trPr>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7729E" w14:textId="70BDD628" w:rsidR="00367616" w:rsidRPr="001D0A83" w:rsidRDefault="00C97148" w:rsidP="00D129D9">
            <w:pPr>
              <w:pStyle w:val="Table"/>
            </w:pPr>
            <w:r w:rsidRPr="001D0A83">
              <w:t>Ascertain whether a company may be eligible for the R&amp;D tax incentive for companies whose aggregate turnover is less than $20 million and are not controlled by income tax exempt entities</w:t>
            </w:r>
            <w:r w:rsidR="005D3995">
              <w:t>,</w:t>
            </w:r>
            <w:r w:rsidR="00D162BB">
              <w:t xml:space="preserve"> in which case a</w:t>
            </w:r>
            <w:r w:rsidRPr="001D0A83">
              <w:t xml:space="preserve"> 4</w:t>
            </w:r>
            <w:r w:rsidR="00773B11">
              <w:t>3.</w:t>
            </w:r>
            <w:r w:rsidRPr="001D0A83">
              <w:t xml:space="preserve">5% refundable </w:t>
            </w:r>
            <w:r w:rsidR="00D162BB">
              <w:t xml:space="preserve">tax </w:t>
            </w:r>
            <w:r w:rsidRPr="001D0A83">
              <w:t>offset is available. If the company</w:t>
            </w:r>
            <w:r w:rsidR="00D162BB">
              <w:t>’s</w:t>
            </w:r>
            <w:r w:rsidRPr="001D0A83">
              <w:t xml:space="preserve"> aggregate turnover exceeds $20 million, a </w:t>
            </w:r>
            <w:r w:rsidR="00773B11">
              <w:t>38.5</w:t>
            </w:r>
            <w:r w:rsidRPr="001D0A83">
              <w:t>% non-refundable tax offs</w:t>
            </w:r>
            <w:r w:rsidR="00112FC6">
              <w:t xml:space="preserve">et is available. </w:t>
            </w:r>
          </w:p>
          <w:p w14:paraId="5F24C6E7" w14:textId="02C16C3F" w:rsidR="00B54455" w:rsidRPr="009F0C8F" w:rsidRDefault="00112FC6" w:rsidP="00C12F16">
            <w:pPr>
              <w:pStyle w:val="Source"/>
              <w:tabs>
                <w:tab w:val="clear" w:pos="368"/>
                <w:tab w:val="left" w:pos="0"/>
              </w:tabs>
              <w:spacing w:after="60"/>
              <w:ind w:left="0" w:right="0" w:firstLine="0"/>
              <w:rPr>
                <w:sz w:val="14"/>
                <w:szCs w:val="14"/>
              </w:rPr>
            </w:pPr>
            <w:r w:rsidRPr="005D3995">
              <w:rPr>
                <w:b/>
                <w:i w:val="0"/>
                <w:color w:val="auto"/>
                <w:sz w:val="14"/>
                <w:szCs w:val="14"/>
              </w:rPr>
              <w:t>Note:</w:t>
            </w:r>
            <w:r w:rsidR="00D162BB" w:rsidRPr="005D3995">
              <w:rPr>
                <w:b/>
                <w:i w:val="0"/>
                <w:color w:val="auto"/>
                <w:sz w:val="14"/>
                <w:szCs w:val="14"/>
              </w:rPr>
              <w:t xml:space="preserve"> </w:t>
            </w:r>
            <w:r w:rsidR="00161668" w:rsidRPr="005D3995">
              <w:rPr>
                <w:rFonts w:cs="Arial"/>
                <w:i w:val="0"/>
                <w:color w:val="auto"/>
                <w:sz w:val="14"/>
                <w:szCs w:val="14"/>
                <w:shd w:val="clear" w:color="auto" w:fill="FFFFFF"/>
              </w:rPr>
              <w:t>where an entity’s notional R&amp;D deductions exceed $100 million for an income year, the rate of the R&amp;D tax offset is reduced to the company tax rate for that portion exceeding $100 million</w:t>
            </w:r>
            <w:r w:rsidR="009C3F32" w:rsidRPr="005D3995">
              <w:rPr>
                <w:i w:val="0"/>
                <w:color w:val="auto"/>
                <w:sz w:val="14"/>
                <w:szCs w:val="14"/>
              </w:rPr>
              <w:t>.</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EF6BE7" w14:textId="77777777" w:rsidR="00367616" w:rsidRPr="002252BE" w:rsidRDefault="00367616"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0B4A8C" w14:textId="77777777" w:rsidR="00367616" w:rsidRPr="002252BE" w:rsidRDefault="00367616" w:rsidP="00184E12">
            <w:pPr>
              <w:pStyle w:val="Body"/>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7973A" w14:textId="77777777" w:rsidR="00367616" w:rsidRPr="002252BE" w:rsidRDefault="00367616" w:rsidP="00184E12">
            <w:pPr>
              <w:pStyle w:val="Body"/>
              <w:jc w:val="center"/>
            </w:pPr>
          </w:p>
        </w:tc>
      </w:tr>
      <w:tr w:rsidR="004D257C" w:rsidRPr="00B340A7" w14:paraId="465ACFAD"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E7C6C7D" w14:textId="77777777" w:rsidR="004D257C" w:rsidRPr="00B340A7" w:rsidRDefault="004D257C" w:rsidP="004D257C">
            <w:pPr>
              <w:pStyle w:val="Tableheading"/>
            </w:pPr>
            <w:r w:rsidRPr="002252BE">
              <w:t>Superannuation guarantee – ‘ordinary times earnings’</w:t>
            </w:r>
            <w:r>
              <w:t xml:space="preserve"> </w:t>
            </w:r>
          </w:p>
        </w:tc>
      </w:tr>
      <w:tr w:rsidR="007F0E61" w:rsidRPr="002252BE" w14:paraId="3A3A1017" w14:textId="77777777" w:rsidTr="005D399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DDF8A4" w14:textId="7B40C5E4" w:rsidR="007F0E61" w:rsidRPr="002252BE" w:rsidRDefault="007F0E61" w:rsidP="00C4086E">
            <w:pPr>
              <w:pStyle w:val="Table"/>
            </w:pPr>
            <w:r w:rsidRPr="002252BE">
              <w:t xml:space="preserve">Consider whether all required Superannuation Guarantee (SG) contributions have been made for </w:t>
            </w:r>
            <w:r>
              <w:br/>
            </w:r>
            <w:r w:rsidRPr="002252BE">
              <w:t>the year.</w:t>
            </w:r>
            <w:r w:rsidR="00773B11">
              <w:t xml:space="preserve"> Employers who do not meet their obligations may be liable to the superannuation guarantee charge.      </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8686B" w14:textId="77777777" w:rsidR="007F0E61" w:rsidRPr="002252BE" w:rsidRDefault="007F0E61" w:rsidP="00184E12">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ABD97" w14:textId="77777777" w:rsidR="007F0E61" w:rsidRPr="002252BE" w:rsidRDefault="007F0E61" w:rsidP="00184E12">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783946" w14:textId="77777777" w:rsidR="007F0E61" w:rsidRPr="002252BE" w:rsidRDefault="007F0E61" w:rsidP="00184E12">
            <w:pPr>
              <w:pStyle w:val="Table"/>
              <w:jc w:val="center"/>
            </w:pPr>
          </w:p>
        </w:tc>
      </w:tr>
      <w:tr w:rsidR="007F0E61" w:rsidRPr="00606BDD" w14:paraId="667192EF" w14:textId="77777777" w:rsidTr="005D399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81E24" w14:textId="590D2875" w:rsidR="007F0E61" w:rsidRPr="002252BE" w:rsidRDefault="007F0E61" w:rsidP="00C4086E">
            <w:pPr>
              <w:pStyle w:val="Table"/>
            </w:pPr>
            <w:r w:rsidRPr="002252BE">
              <w:t>Consider whether the payroll needs to be reviewed to ensure that Superannuation Guarantee calculation is based on the employees’ ordinary time earnings as opposed to salary and wage</w:t>
            </w:r>
            <w:r w:rsidR="00161668">
              <w:t>s</w:t>
            </w:r>
            <w:r w:rsidRPr="002252BE">
              <w:t>.</w:t>
            </w:r>
          </w:p>
          <w:p w14:paraId="60F93879" w14:textId="57782116" w:rsidR="007F0E61" w:rsidRPr="009F0C8F" w:rsidRDefault="007F0E61" w:rsidP="00723008">
            <w:pPr>
              <w:pStyle w:val="Source"/>
              <w:tabs>
                <w:tab w:val="clear" w:pos="368"/>
                <w:tab w:val="left" w:pos="0"/>
              </w:tabs>
              <w:spacing w:after="60"/>
              <w:ind w:left="0" w:right="0" w:firstLine="0"/>
              <w:rPr>
                <w:sz w:val="14"/>
                <w:szCs w:val="14"/>
              </w:rPr>
            </w:pPr>
            <w:r w:rsidRPr="009F0C8F">
              <w:rPr>
                <w:b/>
                <w:i w:val="0"/>
                <w:sz w:val="14"/>
                <w:szCs w:val="14"/>
              </w:rPr>
              <w:t>Note</w:t>
            </w:r>
            <w:r w:rsidRPr="009F0C8F">
              <w:rPr>
                <w:i w:val="0"/>
                <w:sz w:val="14"/>
                <w:szCs w:val="14"/>
              </w:rPr>
              <w:t>: for more information about what constitutes ordinary time earnings please refer to</w:t>
            </w:r>
            <w:r w:rsidR="00723008">
              <w:rPr>
                <w:sz w:val="14"/>
                <w:szCs w:val="14"/>
              </w:rPr>
              <w:t xml:space="preserve"> Superannuation </w:t>
            </w:r>
            <w:r w:rsidRPr="007E6CA8">
              <w:rPr>
                <w:sz w:val="14"/>
                <w:szCs w:val="14"/>
              </w:rPr>
              <w:t>Guarantee Ruling SGR 2009/2.</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85B4A" w14:textId="77777777" w:rsidR="007F0E61" w:rsidRPr="002252BE" w:rsidRDefault="007F0E61" w:rsidP="00184E12">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2FDD8" w14:textId="77777777" w:rsidR="007F0E61" w:rsidRPr="002252BE" w:rsidRDefault="007F0E61" w:rsidP="00184E12">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61511D" w14:textId="77777777" w:rsidR="007F0E61" w:rsidRPr="002252BE" w:rsidRDefault="007F0E61" w:rsidP="00184E12">
            <w:pPr>
              <w:pStyle w:val="Table"/>
              <w:jc w:val="center"/>
            </w:pPr>
          </w:p>
        </w:tc>
      </w:tr>
      <w:tr w:rsidR="007F0E61" w:rsidRPr="00AF24CF" w14:paraId="668D5E26" w14:textId="77777777" w:rsidTr="00EC19BC">
        <w:tc>
          <w:tcPr>
            <w:tcW w:w="5000" w:type="pct"/>
            <w:gridSpan w:val="4"/>
            <w:tcBorders>
              <w:top w:val="single" w:sz="4" w:space="0" w:color="939598"/>
              <w:bottom w:val="nil"/>
            </w:tcBorders>
          </w:tcPr>
          <w:p w14:paraId="2E1ECD04" w14:textId="77777777" w:rsidR="007F0E61" w:rsidRDefault="007F0E61" w:rsidP="00EC19BC">
            <w:pPr>
              <w:pStyle w:val="Tableheading"/>
            </w:pPr>
            <w:r>
              <w:t>Comments:</w:t>
            </w:r>
          </w:p>
          <w:p w14:paraId="6EABE565" w14:textId="77777777" w:rsidR="004D257C" w:rsidRDefault="004D257C" w:rsidP="00EC19BC">
            <w:pPr>
              <w:pStyle w:val="Tableheading"/>
            </w:pPr>
          </w:p>
          <w:p w14:paraId="538C56D1" w14:textId="77777777" w:rsidR="004D257C" w:rsidRDefault="004D257C" w:rsidP="00EC19BC">
            <w:pPr>
              <w:pStyle w:val="Tableheading"/>
            </w:pPr>
          </w:p>
          <w:p w14:paraId="49EB64F8" w14:textId="77777777" w:rsidR="004D257C" w:rsidRPr="00AF24CF" w:rsidRDefault="004D257C" w:rsidP="00EC19BC">
            <w:pPr>
              <w:pStyle w:val="Tableheading"/>
            </w:pPr>
          </w:p>
        </w:tc>
      </w:tr>
    </w:tbl>
    <w:p w14:paraId="5861D2C3" w14:textId="77777777" w:rsidR="00367616" w:rsidRPr="002C7914" w:rsidRDefault="00367616" w:rsidP="003A3FE5">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37"/>
        <w:gridCol w:w="719"/>
        <w:gridCol w:w="744"/>
      </w:tblGrid>
      <w:tr w:rsidR="00C12F16" w:rsidRPr="00AE2EA6" w14:paraId="36689150" w14:textId="77777777" w:rsidTr="00C12F16">
        <w:tc>
          <w:tcPr>
            <w:tcW w:w="3905" w:type="pct"/>
            <w:tcBorders>
              <w:top w:val="single" w:sz="4" w:space="0" w:color="808080" w:themeColor="background1" w:themeShade="80"/>
              <w:bottom w:val="single" w:sz="4" w:space="0" w:color="808080" w:themeColor="background1" w:themeShade="80"/>
              <w:right w:val="single" w:sz="4" w:space="0" w:color="939598"/>
            </w:tcBorders>
            <w:shd w:val="clear" w:color="auto" w:fill="051C3C"/>
          </w:tcPr>
          <w:p w14:paraId="752A38DC" w14:textId="767E9B9A" w:rsidR="00C12F16" w:rsidRPr="00AE2EA6" w:rsidRDefault="00C12F16" w:rsidP="00C12F16">
            <w:pPr>
              <w:pStyle w:val="Tableheading"/>
              <w:keepNext/>
              <w:rPr>
                <w:color w:val="FFFFFF" w:themeColor="background1"/>
                <w:sz w:val="18"/>
              </w:rPr>
            </w:pPr>
            <w:r>
              <w:rPr>
                <w:color w:val="FFFFFF" w:themeColor="background1"/>
                <w:sz w:val="18"/>
              </w:rPr>
              <w:t>Tax Consolidation</w:t>
            </w:r>
            <w:r w:rsidRPr="00AE2EA6">
              <w:rPr>
                <w:color w:val="FFFFFF" w:themeColor="background1"/>
                <w:sz w:val="18"/>
              </w:rPr>
              <w:t xml:space="preserve"> </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6FD44050" w14:textId="77777777" w:rsidR="00C12F16" w:rsidRPr="00AE2EA6" w:rsidRDefault="00C12F16" w:rsidP="00F00EA6">
            <w:pPr>
              <w:pStyle w:val="Tableheading"/>
              <w:keepNext/>
              <w:jc w:val="center"/>
              <w:rPr>
                <w:color w:val="FFFFFF" w:themeColor="background1"/>
                <w:sz w:val="18"/>
              </w:rPr>
            </w:pPr>
            <w:r w:rsidRPr="00AE2EA6">
              <w:rPr>
                <w:color w:val="FFFFFF" w:themeColor="background1"/>
                <w:sz w:val="18"/>
              </w:rPr>
              <w:t>Yes</w:t>
            </w: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3CB42896" w14:textId="77777777" w:rsidR="00C12F16" w:rsidRPr="00AE2EA6" w:rsidRDefault="00C12F16" w:rsidP="00F00EA6">
            <w:pPr>
              <w:pStyle w:val="Tableheading"/>
              <w:keepNext/>
              <w:jc w:val="center"/>
              <w:rPr>
                <w:color w:val="FFFFFF" w:themeColor="background1"/>
                <w:sz w:val="18"/>
              </w:rPr>
            </w:pPr>
            <w:r w:rsidRPr="00AE2EA6">
              <w:rPr>
                <w:color w:val="FFFFFF" w:themeColor="background1"/>
                <w:sz w:val="18"/>
              </w:rPr>
              <w:t>No</w:t>
            </w:r>
          </w:p>
        </w:tc>
        <w:tc>
          <w:tcPr>
            <w:tcW w:w="361" w:type="pct"/>
            <w:tcBorders>
              <w:top w:val="single" w:sz="4" w:space="0" w:color="808080" w:themeColor="background1" w:themeShade="80"/>
              <w:left w:val="single" w:sz="4" w:space="0" w:color="939598"/>
              <w:bottom w:val="single" w:sz="4" w:space="0" w:color="808080" w:themeColor="background1" w:themeShade="80"/>
            </w:tcBorders>
            <w:shd w:val="clear" w:color="auto" w:fill="051C3C"/>
          </w:tcPr>
          <w:p w14:paraId="6685CF24" w14:textId="77777777" w:rsidR="00C12F16" w:rsidRPr="00AE2EA6" w:rsidRDefault="00C12F16" w:rsidP="00F00EA6">
            <w:pPr>
              <w:pStyle w:val="Tableheading"/>
              <w:keepNext/>
              <w:jc w:val="center"/>
              <w:rPr>
                <w:color w:val="FFFFFF" w:themeColor="background1"/>
                <w:sz w:val="18"/>
              </w:rPr>
            </w:pPr>
            <w:r w:rsidRPr="00AE2EA6">
              <w:rPr>
                <w:color w:val="FFFFFF" w:themeColor="background1"/>
                <w:sz w:val="18"/>
              </w:rPr>
              <w:t>N/A</w:t>
            </w:r>
          </w:p>
        </w:tc>
      </w:tr>
      <w:tr w:rsidR="00C12F16" w:rsidRPr="00B340A7" w14:paraId="64C03EA2" w14:textId="77777777" w:rsidTr="00F00EA6">
        <w:tc>
          <w:tcPr>
            <w:tcW w:w="5000"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9C6A54C" w14:textId="77777777" w:rsidR="00C12F16" w:rsidRPr="00B340A7" w:rsidRDefault="00C12F16" w:rsidP="00F00EA6">
            <w:pPr>
              <w:pStyle w:val="Tableheading"/>
            </w:pPr>
            <w:r>
              <w:t xml:space="preserve">General </w:t>
            </w:r>
          </w:p>
        </w:tc>
      </w:tr>
      <w:tr w:rsidR="00367616" w:rsidRPr="002252BE" w14:paraId="087BD87E"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7D41D" w14:textId="77777777" w:rsidR="00367616" w:rsidRPr="005F16DB" w:rsidRDefault="00367616" w:rsidP="003A3FE5">
            <w:pPr>
              <w:pStyle w:val="Table"/>
            </w:pPr>
            <w:r w:rsidRPr="005F16DB">
              <w:t>If the taxpayer is part of a corporate group, consider the best time to consolidate if the taxpayer has not already done so.</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14702" w14:textId="77777777" w:rsidR="00367616" w:rsidRPr="002252BE" w:rsidRDefault="00367616" w:rsidP="00184E12">
            <w:pPr>
              <w:pStyle w:val="Table"/>
              <w:jc w:val="center"/>
            </w:pPr>
          </w:p>
        </w:tc>
        <w:tc>
          <w:tcPr>
            <w:tcW w:w="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8DF5D7" w14:textId="77777777" w:rsidR="00367616" w:rsidRPr="002252BE" w:rsidRDefault="00367616" w:rsidP="00184E12">
            <w:pPr>
              <w:pStyle w:val="Table"/>
              <w:jc w:val="center"/>
            </w:pPr>
          </w:p>
        </w:tc>
        <w:tc>
          <w:tcPr>
            <w:tcW w:w="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CF1FB" w14:textId="77777777" w:rsidR="00367616" w:rsidRPr="002252BE" w:rsidRDefault="00367616" w:rsidP="00184E12">
            <w:pPr>
              <w:pStyle w:val="Table"/>
              <w:jc w:val="center"/>
            </w:pPr>
          </w:p>
        </w:tc>
      </w:tr>
      <w:tr w:rsidR="00367616" w:rsidRPr="002252BE" w14:paraId="6F031F4F"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D16FF" w14:textId="77777777" w:rsidR="00367616" w:rsidRPr="005F16DB" w:rsidRDefault="00367616" w:rsidP="003A3FE5">
            <w:pPr>
              <w:pStyle w:val="Table"/>
            </w:pPr>
            <w:r w:rsidRPr="005F16DB">
              <w:t>Consider selling shares in certain wholly owned subsidiaries to exclude the entities from consolidation if the taxpayer does not want the entities to be part of the tax consolidation group.</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D7E81A" w14:textId="77777777" w:rsidR="00367616" w:rsidRPr="002252BE" w:rsidRDefault="00367616" w:rsidP="00184E12">
            <w:pPr>
              <w:pStyle w:val="Table"/>
              <w:jc w:val="center"/>
            </w:pPr>
          </w:p>
        </w:tc>
        <w:tc>
          <w:tcPr>
            <w:tcW w:w="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0163D" w14:textId="77777777" w:rsidR="00367616" w:rsidRPr="002252BE" w:rsidRDefault="00367616" w:rsidP="00184E12">
            <w:pPr>
              <w:pStyle w:val="Table"/>
              <w:jc w:val="center"/>
            </w:pPr>
          </w:p>
        </w:tc>
        <w:tc>
          <w:tcPr>
            <w:tcW w:w="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91C36E" w14:textId="77777777" w:rsidR="00367616" w:rsidRPr="002252BE" w:rsidRDefault="00367616" w:rsidP="00184E12">
            <w:pPr>
              <w:pStyle w:val="Table"/>
              <w:jc w:val="center"/>
            </w:pPr>
          </w:p>
        </w:tc>
      </w:tr>
      <w:tr w:rsidR="00367616" w:rsidRPr="002252BE" w14:paraId="2DD15848"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48B34" w14:textId="77777777" w:rsidR="00367616" w:rsidRPr="005F16DB" w:rsidRDefault="009C3F32" w:rsidP="0045581E">
            <w:pPr>
              <w:pStyle w:val="Table"/>
            </w:pPr>
            <w:r w:rsidRPr="005F16DB">
              <w:t xml:space="preserve">Consider whether </w:t>
            </w:r>
            <w:r w:rsidR="0045143D" w:rsidRPr="005F16DB">
              <w:t xml:space="preserve">tax sharing </w:t>
            </w:r>
            <w:r w:rsidR="00606BDD" w:rsidRPr="005F16DB">
              <w:t xml:space="preserve">and tax funding </w:t>
            </w:r>
            <w:r w:rsidR="0045143D" w:rsidRPr="005F16DB">
              <w:t>agreement</w:t>
            </w:r>
            <w:r w:rsidR="00606BDD" w:rsidRPr="005F16DB">
              <w:t>s</w:t>
            </w:r>
            <w:r w:rsidR="0045143D" w:rsidRPr="005F16DB">
              <w:t xml:space="preserve"> should be put in place for the existing tax consolidated group</w:t>
            </w:r>
            <w:r w:rsidR="005157C4" w:rsidRPr="005F16DB">
              <w:t>.</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4D0CE0" w14:textId="77777777" w:rsidR="00367616" w:rsidRPr="002252BE" w:rsidRDefault="00367616" w:rsidP="0045581E">
            <w:pPr>
              <w:pStyle w:val="Table"/>
            </w:pPr>
          </w:p>
        </w:tc>
        <w:tc>
          <w:tcPr>
            <w:tcW w:w="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F3D60D" w14:textId="77777777" w:rsidR="00367616" w:rsidRPr="002252BE" w:rsidRDefault="00367616" w:rsidP="0045581E">
            <w:pPr>
              <w:pStyle w:val="Table"/>
            </w:pPr>
          </w:p>
        </w:tc>
        <w:tc>
          <w:tcPr>
            <w:tcW w:w="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7811F" w14:textId="77777777" w:rsidR="00367616" w:rsidRPr="002252BE" w:rsidRDefault="00367616" w:rsidP="0045581E">
            <w:pPr>
              <w:pStyle w:val="Table"/>
            </w:pPr>
          </w:p>
        </w:tc>
      </w:tr>
      <w:tr w:rsidR="00367616" w:rsidRPr="00AF24CF" w14:paraId="4F1DFCD9" w14:textId="77777777" w:rsidTr="00952FCB">
        <w:tc>
          <w:tcPr>
            <w:tcW w:w="5000" w:type="pct"/>
            <w:gridSpan w:val="5"/>
            <w:tcBorders>
              <w:top w:val="single" w:sz="4" w:space="0" w:color="808080" w:themeColor="background1" w:themeShade="80"/>
              <w:bottom w:val="single" w:sz="4" w:space="0" w:color="939598"/>
            </w:tcBorders>
          </w:tcPr>
          <w:p w14:paraId="533489B6" w14:textId="77777777" w:rsidR="00367616" w:rsidRPr="0066368A" w:rsidRDefault="00367616" w:rsidP="00EC19BC">
            <w:pPr>
              <w:pStyle w:val="Tableheading"/>
            </w:pPr>
            <w:r w:rsidRPr="0066368A">
              <w:t>Comments:</w:t>
            </w:r>
          </w:p>
          <w:p w14:paraId="2193F6DE" w14:textId="77777777" w:rsidR="004D257C" w:rsidRPr="005F16DB" w:rsidRDefault="004D257C" w:rsidP="00EC19BC">
            <w:pPr>
              <w:pStyle w:val="Tableheading"/>
              <w:rPr>
                <w:b w:val="0"/>
              </w:rPr>
            </w:pPr>
          </w:p>
          <w:p w14:paraId="44725DC4" w14:textId="77777777" w:rsidR="009C3F32" w:rsidRPr="005F16DB" w:rsidRDefault="009C3F32" w:rsidP="00EC19BC">
            <w:pPr>
              <w:pStyle w:val="Tableheading"/>
              <w:rPr>
                <w:b w:val="0"/>
              </w:rPr>
            </w:pPr>
          </w:p>
          <w:p w14:paraId="72840E1A" w14:textId="77777777" w:rsidR="004D257C" w:rsidRPr="005F16DB" w:rsidRDefault="004D257C" w:rsidP="00EC19BC">
            <w:pPr>
              <w:pStyle w:val="Tableheading"/>
              <w:rPr>
                <w:b w:val="0"/>
              </w:rPr>
            </w:pPr>
          </w:p>
        </w:tc>
      </w:tr>
    </w:tbl>
    <w:p w14:paraId="4C79DEFB" w14:textId="77777777" w:rsidR="00367616" w:rsidRPr="002C7914" w:rsidRDefault="00367616" w:rsidP="0067394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367616" w:rsidRPr="000A401A" w14:paraId="2F6E2ABA"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51C3C"/>
          </w:tcPr>
          <w:p w14:paraId="7A6C2E54" w14:textId="77777777" w:rsidR="00367616" w:rsidRPr="00AE2EA6" w:rsidRDefault="00367616" w:rsidP="00673944">
            <w:pPr>
              <w:pStyle w:val="Tableheading"/>
              <w:keepNext/>
              <w:rPr>
                <w:color w:val="FFFFFF" w:themeColor="background1"/>
                <w:sz w:val="18"/>
              </w:rPr>
            </w:pPr>
            <w:r w:rsidRPr="00AE2EA6">
              <w:rPr>
                <w:color w:val="FFFFFF" w:themeColor="background1"/>
                <w:sz w:val="18"/>
              </w:rPr>
              <w:t xml:space="preserve">Taxation of Financial Arrangements – Division 230 </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33A42FB"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D285168"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5EC7BB6D"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N/A</w:t>
            </w:r>
          </w:p>
        </w:tc>
      </w:tr>
      <w:tr w:rsidR="00133F4E" w:rsidRPr="00B340A7" w14:paraId="6A6EF8E1"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069EB27" w14:textId="77777777" w:rsidR="00133F4E" w:rsidRPr="00B340A7" w:rsidRDefault="00133F4E" w:rsidP="00133F4E">
            <w:pPr>
              <w:pStyle w:val="Tableheading"/>
            </w:pPr>
            <w:r w:rsidRPr="002252BE">
              <w:t>What is a financial arrangement?</w:t>
            </w:r>
            <w:r>
              <w:t xml:space="preserve"> </w:t>
            </w:r>
          </w:p>
        </w:tc>
      </w:tr>
      <w:tr w:rsidR="00367616" w:rsidRPr="002252BE" w14:paraId="23660731"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EB50B" w14:textId="77777777" w:rsidR="00367616" w:rsidRPr="002252BE" w:rsidRDefault="00367616" w:rsidP="00673944">
            <w:pPr>
              <w:pStyle w:val="Table"/>
            </w:pPr>
            <w:r w:rsidRPr="002252BE">
              <w:t xml:space="preserve">A financial arrangement is any arrangement under which </w:t>
            </w:r>
            <w:r w:rsidRPr="002252BE">
              <w:rPr>
                <w:b/>
              </w:rPr>
              <w:t>all</w:t>
            </w:r>
            <w:r w:rsidRPr="002252BE">
              <w:t xml:space="preserve"> significant rights and/or obligations can be settled with money or another financial arrangement (i.e. cash </w:t>
            </w:r>
            <w:proofErr w:type="spellStart"/>
            <w:r w:rsidRPr="002252BE">
              <w:t>settlable</w:t>
            </w:r>
            <w:proofErr w:type="spellEnd"/>
            <w:r w:rsidRPr="002252BE">
              <w:t xml:space="preserve"> arrangements).</w:t>
            </w:r>
          </w:p>
          <w:p w14:paraId="6C8430A6" w14:textId="77777777" w:rsidR="00367616" w:rsidRPr="002252BE" w:rsidRDefault="00367616" w:rsidP="00673944">
            <w:pPr>
              <w:pStyle w:val="Table"/>
            </w:pPr>
            <w:r w:rsidRPr="002252BE">
              <w:t>Some common examples of financial arrangements are:</w:t>
            </w:r>
          </w:p>
          <w:p w14:paraId="264B3F5A" w14:textId="77777777" w:rsidR="00367616" w:rsidRPr="002252BE" w:rsidRDefault="00367616" w:rsidP="007C2D15">
            <w:pPr>
              <w:pStyle w:val="TableBullet"/>
            </w:pPr>
            <w:r w:rsidRPr="002252BE">
              <w:t>debt type arrangements including loans, bonds, promissory notes and debentures</w:t>
            </w:r>
          </w:p>
          <w:p w14:paraId="2FCA1AAA" w14:textId="77777777" w:rsidR="00367616" w:rsidRPr="002252BE" w:rsidRDefault="00367616" w:rsidP="007C2D15">
            <w:pPr>
              <w:pStyle w:val="TableBullet"/>
            </w:pPr>
            <w:r w:rsidRPr="002252BE">
              <w:t>risk shifting derivatives including swaps, forwards and options</w:t>
            </w:r>
          </w:p>
          <w:p w14:paraId="776DC3B8" w14:textId="77777777" w:rsidR="00367616" w:rsidRDefault="00367616" w:rsidP="007C2D15">
            <w:pPr>
              <w:pStyle w:val="TableBullet"/>
            </w:pPr>
            <w:r w:rsidRPr="002252BE">
              <w:t>deferred settlement arrangements.</w:t>
            </w:r>
          </w:p>
          <w:p w14:paraId="48FA737D" w14:textId="77777777" w:rsidR="00A70E91" w:rsidRPr="00355BC0" w:rsidRDefault="00355BC0" w:rsidP="00975122">
            <w:pPr>
              <w:pStyle w:val="TableBullet"/>
              <w:numPr>
                <w:ilvl w:val="0"/>
                <w:numId w:val="0"/>
              </w:numPr>
              <w:rPr>
                <w:b/>
                <w:color w:val="FFFFFF"/>
                <w:sz w:val="14"/>
                <w:szCs w:val="14"/>
              </w:rPr>
            </w:pPr>
            <w:r w:rsidRPr="00355BC0">
              <w:rPr>
                <w:b/>
                <w:sz w:val="14"/>
                <w:szCs w:val="14"/>
              </w:rPr>
              <w:t>Note:</w:t>
            </w:r>
            <w:r w:rsidRPr="00355BC0">
              <w:rPr>
                <w:sz w:val="14"/>
                <w:szCs w:val="14"/>
              </w:rPr>
              <w:t xml:space="preserve"> </w:t>
            </w:r>
            <w:r w:rsidR="00606BDD" w:rsidRPr="00355BC0">
              <w:rPr>
                <w:sz w:val="14"/>
                <w:szCs w:val="14"/>
              </w:rPr>
              <w:t>the broad effect of the provi</w:t>
            </w:r>
            <w:r w:rsidR="00975122">
              <w:rPr>
                <w:sz w:val="14"/>
                <w:szCs w:val="14"/>
              </w:rPr>
              <w:t>sions may be to bring gains and</w:t>
            </w:r>
            <w:r>
              <w:rPr>
                <w:sz w:val="14"/>
                <w:szCs w:val="14"/>
              </w:rPr>
              <w:t xml:space="preserve"> </w:t>
            </w:r>
            <w:r w:rsidR="00606BDD" w:rsidRPr="00355BC0">
              <w:rPr>
                <w:sz w:val="14"/>
                <w:szCs w:val="14"/>
              </w:rPr>
              <w:t xml:space="preserve">losses to account on </w:t>
            </w:r>
            <w:r w:rsidR="001255B4" w:rsidRPr="00355BC0">
              <w:rPr>
                <w:sz w:val="14"/>
                <w:szCs w:val="14"/>
              </w:rPr>
              <w:t>a mark to market valuation basis rather than on a realisation basis.</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D4FD0" w14:textId="77777777" w:rsidR="00367616" w:rsidRPr="002252BE" w:rsidRDefault="00367616"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BAA64" w14:textId="77777777" w:rsidR="00367616" w:rsidRPr="002252BE" w:rsidRDefault="00367616"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49145" w14:textId="77777777" w:rsidR="00367616" w:rsidRPr="002252BE" w:rsidRDefault="00367616" w:rsidP="00184E12">
            <w:pPr>
              <w:pStyle w:val="Body"/>
              <w:jc w:val="center"/>
            </w:pPr>
          </w:p>
        </w:tc>
      </w:tr>
    </w:tbl>
    <w:p w14:paraId="4C4DD687" w14:textId="77777777" w:rsidR="0066368A" w:rsidRDefault="0066368A">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66368A" w:rsidRPr="00AE2EA6" w14:paraId="4F4AF4D6" w14:textId="77777777" w:rsidTr="00F00EA6">
        <w:tc>
          <w:tcPr>
            <w:tcW w:w="3905" w:type="pct"/>
            <w:tcBorders>
              <w:top w:val="single" w:sz="4" w:space="0" w:color="939598"/>
              <w:bottom w:val="single" w:sz="4" w:space="0" w:color="808080" w:themeColor="background1" w:themeShade="80"/>
              <w:right w:val="single" w:sz="4" w:space="0" w:color="939598"/>
            </w:tcBorders>
            <w:shd w:val="clear" w:color="auto" w:fill="051C3C"/>
          </w:tcPr>
          <w:p w14:paraId="5713CA0F" w14:textId="099FA371" w:rsidR="0066368A" w:rsidRPr="00AE2EA6" w:rsidRDefault="0066368A" w:rsidP="00F00EA6">
            <w:pPr>
              <w:pStyle w:val="Tableheading"/>
              <w:keepNext/>
              <w:rPr>
                <w:color w:val="FFFFFF" w:themeColor="background1"/>
                <w:sz w:val="18"/>
              </w:rPr>
            </w:pPr>
            <w:r w:rsidRPr="00AE2EA6">
              <w:rPr>
                <w:color w:val="FFFFFF" w:themeColor="background1"/>
                <w:sz w:val="18"/>
              </w:rPr>
              <w:lastRenderedPageBreak/>
              <w:t xml:space="preserve">Taxation of Financial Arrangements – Division 230 </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D3B75AC" w14:textId="77777777" w:rsidR="0066368A" w:rsidRPr="00AE2EA6" w:rsidRDefault="0066368A" w:rsidP="00F00EA6">
            <w:pPr>
              <w:pStyle w:val="Tableheading"/>
              <w:keepNext/>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D1E0141" w14:textId="77777777" w:rsidR="0066368A" w:rsidRPr="00AE2EA6" w:rsidRDefault="0066368A" w:rsidP="00F00EA6">
            <w:pPr>
              <w:pStyle w:val="Tableheading"/>
              <w:keepNext/>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6322F62D" w14:textId="77777777" w:rsidR="0066368A" w:rsidRPr="00AE2EA6" w:rsidRDefault="0066368A" w:rsidP="00F00EA6">
            <w:pPr>
              <w:pStyle w:val="Tableheading"/>
              <w:keepNext/>
              <w:jc w:val="center"/>
              <w:rPr>
                <w:color w:val="FFFFFF" w:themeColor="background1"/>
                <w:sz w:val="18"/>
              </w:rPr>
            </w:pPr>
            <w:r w:rsidRPr="00AE2EA6">
              <w:rPr>
                <w:color w:val="FFFFFF" w:themeColor="background1"/>
                <w:sz w:val="18"/>
              </w:rPr>
              <w:t>N/A</w:t>
            </w:r>
          </w:p>
        </w:tc>
      </w:tr>
      <w:tr w:rsidR="00133F4E" w:rsidRPr="00B340A7" w14:paraId="474FB98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C2EB7D9" w14:textId="77777777" w:rsidR="00133F4E" w:rsidRPr="00B340A7" w:rsidRDefault="00133F4E" w:rsidP="00133F4E">
            <w:pPr>
              <w:pStyle w:val="Tableheading"/>
            </w:pPr>
            <w:r w:rsidRPr="002252BE">
              <w:t>Does Division 230 apply to you?</w:t>
            </w:r>
            <w:r>
              <w:t xml:space="preserve"> </w:t>
            </w:r>
          </w:p>
        </w:tc>
      </w:tr>
      <w:tr w:rsidR="005157C4" w:rsidRPr="002252BE" w14:paraId="681107C7"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D44A3" w14:textId="77777777" w:rsidR="005157C4" w:rsidRPr="002252BE" w:rsidRDefault="005157C4" w:rsidP="00673944">
            <w:pPr>
              <w:pStyle w:val="Table"/>
            </w:pPr>
            <w:r w:rsidRPr="002252BE">
              <w:t>Division 230 may apply to the following taxpayers with financial arrangements:</w:t>
            </w:r>
          </w:p>
          <w:p w14:paraId="3E8EFDD4" w14:textId="0A64BFEE" w:rsidR="005157C4" w:rsidRPr="002252BE" w:rsidRDefault="005157C4" w:rsidP="007C2D15">
            <w:pPr>
              <w:pStyle w:val="TableBullet"/>
            </w:pPr>
            <w:r w:rsidRPr="002252BE">
              <w:t>financial institutions whose</w:t>
            </w:r>
            <w:r>
              <w:t xml:space="preserve"> aggregated</w:t>
            </w:r>
            <w:r w:rsidRPr="002252BE">
              <w:t xml:space="preserve"> annual turnover exceeds $20</w:t>
            </w:r>
            <w:r w:rsidR="007F5022">
              <w:t xml:space="preserve"> </w:t>
            </w:r>
            <w:r w:rsidRPr="002252BE">
              <w:t>m</w:t>
            </w:r>
            <w:r w:rsidR="007F5022">
              <w:t>illion</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C74FA"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04ED3"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CAA60" w14:textId="77777777" w:rsidR="005157C4" w:rsidRPr="002252BE" w:rsidRDefault="005157C4" w:rsidP="00184E12">
            <w:pPr>
              <w:pStyle w:val="Body"/>
              <w:jc w:val="center"/>
            </w:pPr>
          </w:p>
        </w:tc>
      </w:tr>
      <w:tr w:rsidR="005157C4" w:rsidRPr="002252BE" w14:paraId="5C6A9BE2"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45480" w14:textId="6EDECF16" w:rsidR="005157C4" w:rsidRPr="002252BE" w:rsidRDefault="005157C4" w:rsidP="007C2D15">
            <w:pPr>
              <w:pStyle w:val="TableBullet"/>
            </w:pPr>
            <w:r w:rsidRPr="002252BE">
              <w:t>managed funds and superannuation funds with assets of $100</w:t>
            </w:r>
            <w:r w:rsidR="007F5022">
              <w:t xml:space="preserve"> </w:t>
            </w:r>
            <w:r w:rsidRPr="002252BE">
              <w:t>m</w:t>
            </w:r>
            <w:r w:rsidR="007F5022">
              <w:t>illion</w:t>
            </w:r>
            <w:r w:rsidRPr="002252BE">
              <w:t xml:space="preserve"> or more</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0AB254"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815DC"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B6E7D" w14:textId="77777777" w:rsidR="005157C4" w:rsidRPr="002252BE" w:rsidRDefault="005157C4" w:rsidP="00184E12">
            <w:pPr>
              <w:pStyle w:val="Body"/>
              <w:jc w:val="center"/>
            </w:pPr>
          </w:p>
        </w:tc>
      </w:tr>
      <w:tr w:rsidR="005157C4" w:rsidRPr="002252BE" w14:paraId="5A27B0B3"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EB0B37" w14:textId="4443168A" w:rsidR="005157C4" w:rsidRPr="002252BE" w:rsidRDefault="005157C4" w:rsidP="007C2D15">
            <w:pPr>
              <w:pStyle w:val="TableBullet"/>
            </w:pPr>
            <w:r w:rsidRPr="002252BE">
              <w:t>other businesses, unless their</w:t>
            </w:r>
            <w:r>
              <w:t xml:space="preserve"> aggregated</w:t>
            </w:r>
            <w:r w:rsidRPr="002252BE">
              <w:t xml:space="preserve"> annual turnover is less than $100</w:t>
            </w:r>
            <w:r w:rsidR="007F5022">
              <w:t xml:space="preserve"> </w:t>
            </w:r>
            <w:r w:rsidRPr="002252BE">
              <w:t>m</w:t>
            </w:r>
            <w:r w:rsidR="007F5022">
              <w:t>illion</w:t>
            </w:r>
            <w:r w:rsidRPr="002252BE">
              <w:t xml:space="preserve">, </w:t>
            </w:r>
            <w:r w:rsidR="007F5022">
              <w:t xml:space="preserve">the value of </w:t>
            </w:r>
            <w:r w:rsidRPr="002252BE">
              <w:t>financial assets are less than $100</w:t>
            </w:r>
            <w:r w:rsidR="007F5022">
              <w:t xml:space="preserve"> </w:t>
            </w:r>
            <w:r w:rsidRPr="002252BE">
              <w:t>m</w:t>
            </w:r>
            <w:r w:rsidR="007F5022">
              <w:t xml:space="preserve">illion </w:t>
            </w:r>
            <w:r w:rsidRPr="002252BE">
              <w:t>and</w:t>
            </w:r>
            <w:r w:rsidR="007F5022">
              <w:t xml:space="preserve"> the value </w:t>
            </w:r>
            <w:r w:rsidR="00EE349F">
              <w:t xml:space="preserve">of </w:t>
            </w:r>
            <w:r w:rsidR="00EE349F" w:rsidRPr="002252BE">
              <w:t>total</w:t>
            </w:r>
            <w:r w:rsidRPr="002252BE">
              <w:t xml:space="preserve"> assets are less than $300</w:t>
            </w:r>
            <w:r w:rsidR="007F5022">
              <w:t xml:space="preserve"> </w:t>
            </w:r>
            <w:r w:rsidRPr="002252BE">
              <w:t>m</w:t>
            </w:r>
            <w:r w:rsidR="007F5022">
              <w:t>illion</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19F5DA"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980DF"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18D54" w14:textId="77777777" w:rsidR="005157C4" w:rsidRPr="002252BE" w:rsidRDefault="005157C4" w:rsidP="00184E12">
            <w:pPr>
              <w:pStyle w:val="Body"/>
              <w:jc w:val="center"/>
            </w:pPr>
          </w:p>
        </w:tc>
      </w:tr>
      <w:tr w:rsidR="005157C4" w:rsidRPr="002252BE" w14:paraId="24274D8C"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2A40F" w14:textId="77777777" w:rsidR="005157C4" w:rsidRPr="002252BE" w:rsidRDefault="005157C4" w:rsidP="007C2D15">
            <w:pPr>
              <w:pStyle w:val="TableBullet"/>
            </w:pPr>
            <w:r w:rsidRPr="002252BE">
              <w:t>other taxpayers that hold a qualifying security with a remaining term of more than 12 months at the time that they begin to hold it.</w:t>
            </w:r>
          </w:p>
          <w:p w14:paraId="434CB5E8" w14:textId="77777777" w:rsidR="005157C4" w:rsidRPr="009F0C8F" w:rsidRDefault="005157C4" w:rsidP="0066368A">
            <w:pPr>
              <w:pStyle w:val="Source"/>
              <w:tabs>
                <w:tab w:val="clear" w:pos="368"/>
                <w:tab w:val="left" w:pos="0"/>
              </w:tabs>
              <w:spacing w:after="60"/>
              <w:ind w:left="0" w:right="0" w:firstLine="0"/>
              <w:rPr>
                <w:sz w:val="14"/>
                <w:szCs w:val="14"/>
              </w:rPr>
            </w:pPr>
            <w:r w:rsidRPr="009F0C8F">
              <w:rPr>
                <w:b/>
                <w:i w:val="0"/>
                <w:sz w:val="14"/>
                <w:szCs w:val="14"/>
              </w:rPr>
              <w:t>Note</w:t>
            </w:r>
            <w:r w:rsidRPr="009F0C8F">
              <w:rPr>
                <w:i w:val="0"/>
                <w:sz w:val="14"/>
                <w:szCs w:val="14"/>
              </w:rPr>
              <w:t xml:space="preserve">: where Division 230 does not apply, a taxpayer can make an irrevocable election to </w:t>
            </w:r>
            <w:r w:rsidR="00786EE8" w:rsidRPr="009F0C8F">
              <w:rPr>
                <w:i w:val="0"/>
                <w:sz w:val="14"/>
                <w:szCs w:val="14"/>
              </w:rPr>
              <w:t>that it will apply</w:t>
            </w:r>
            <w:r w:rsidRPr="009F0C8F">
              <w:rPr>
                <w:i w:val="0"/>
                <w:sz w:val="14"/>
                <w:szCs w:val="14"/>
              </w:rPr>
              <w:t xml:space="preserve"> (</w:t>
            </w:r>
            <w:r w:rsidR="00786EE8" w:rsidRPr="009F0C8F">
              <w:rPr>
                <w:i w:val="0"/>
                <w:sz w:val="14"/>
                <w:szCs w:val="14"/>
              </w:rPr>
              <w:t>t</w:t>
            </w:r>
            <w:r w:rsidRPr="009F0C8F">
              <w:rPr>
                <w:i w:val="0"/>
                <w:sz w:val="14"/>
                <w:szCs w:val="14"/>
              </w:rPr>
              <w:t>his may suit associates of entities that are required to apply Division 230)</w:t>
            </w:r>
            <w:r w:rsidR="00786EE8" w:rsidRPr="009F0C8F">
              <w:rPr>
                <w:i w:val="0"/>
                <w:sz w:val="14"/>
                <w:szCs w:val="14"/>
              </w:rPr>
              <w: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B52AE"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FCF68"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4755D" w14:textId="77777777" w:rsidR="005157C4" w:rsidRPr="002252BE" w:rsidRDefault="005157C4" w:rsidP="00184E12">
            <w:pPr>
              <w:pStyle w:val="Body"/>
              <w:jc w:val="center"/>
            </w:pPr>
          </w:p>
        </w:tc>
      </w:tr>
      <w:tr w:rsidR="005157C4" w:rsidRPr="00AF24CF" w14:paraId="597EB52A" w14:textId="77777777" w:rsidTr="00952FCB">
        <w:tc>
          <w:tcPr>
            <w:tcW w:w="5000" w:type="pct"/>
            <w:gridSpan w:val="4"/>
            <w:tcBorders>
              <w:top w:val="single" w:sz="4" w:space="0" w:color="808080" w:themeColor="background1" w:themeShade="80"/>
              <w:bottom w:val="single" w:sz="4" w:space="0" w:color="939598"/>
            </w:tcBorders>
          </w:tcPr>
          <w:p w14:paraId="12D6C8C2" w14:textId="77777777" w:rsidR="005157C4" w:rsidRDefault="005157C4" w:rsidP="00EC19BC">
            <w:pPr>
              <w:pStyle w:val="Tableheading"/>
            </w:pPr>
            <w:r>
              <w:t>Comments:</w:t>
            </w:r>
          </w:p>
          <w:p w14:paraId="54E0663C" w14:textId="77777777" w:rsidR="004D257C" w:rsidRDefault="004D257C" w:rsidP="00EC19BC">
            <w:pPr>
              <w:pStyle w:val="Tableheading"/>
            </w:pPr>
          </w:p>
          <w:p w14:paraId="3FBEE8A2" w14:textId="77777777" w:rsidR="004D257C" w:rsidRDefault="004D257C" w:rsidP="00EC19BC">
            <w:pPr>
              <w:pStyle w:val="Tableheading"/>
            </w:pPr>
          </w:p>
          <w:p w14:paraId="19EF6AB7" w14:textId="77777777" w:rsidR="004D257C" w:rsidRDefault="004D257C" w:rsidP="00EC19BC">
            <w:pPr>
              <w:pStyle w:val="Tableheading"/>
            </w:pPr>
          </w:p>
          <w:p w14:paraId="10DDBC7C" w14:textId="77777777" w:rsidR="004D257C" w:rsidRDefault="004D257C" w:rsidP="00EC19BC">
            <w:pPr>
              <w:pStyle w:val="Tableheading"/>
            </w:pPr>
          </w:p>
          <w:p w14:paraId="7DF506B9" w14:textId="77777777" w:rsidR="0066368A" w:rsidRDefault="0066368A" w:rsidP="00EC19BC">
            <w:pPr>
              <w:pStyle w:val="Tableheading"/>
            </w:pPr>
          </w:p>
          <w:p w14:paraId="3C0FF040" w14:textId="77777777" w:rsidR="0066368A" w:rsidRDefault="0066368A" w:rsidP="00EC19BC">
            <w:pPr>
              <w:pStyle w:val="Tableheading"/>
            </w:pPr>
          </w:p>
          <w:p w14:paraId="4A80A9A1" w14:textId="77777777" w:rsidR="0066368A" w:rsidRDefault="0066368A" w:rsidP="00EC19BC">
            <w:pPr>
              <w:pStyle w:val="Tableheading"/>
            </w:pPr>
          </w:p>
          <w:p w14:paraId="44F87249" w14:textId="77777777" w:rsidR="0066368A" w:rsidRDefault="0066368A" w:rsidP="00EC19BC">
            <w:pPr>
              <w:pStyle w:val="Tableheading"/>
            </w:pPr>
          </w:p>
          <w:p w14:paraId="0A452A79" w14:textId="77777777" w:rsidR="0066368A" w:rsidRDefault="0066368A" w:rsidP="00EC19BC">
            <w:pPr>
              <w:pStyle w:val="Tableheading"/>
            </w:pPr>
          </w:p>
          <w:p w14:paraId="1A7B102B" w14:textId="77777777" w:rsidR="0066368A" w:rsidRDefault="0066368A" w:rsidP="00EC19BC">
            <w:pPr>
              <w:pStyle w:val="Tableheading"/>
            </w:pPr>
          </w:p>
          <w:p w14:paraId="7E27FB8A" w14:textId="77777777" w:rsidR="0066368A" w:rsidRDefault="0066368A" w:rsidP="00EC19BC">
            <w:pPr>
              <w:pStyle w:val="Tableheading"/>
            </w:pPr>
          </w:p>
          <w:p w14:paraId="259497E5" w14:textId="77777777" w:rsidR="004D257C" w:rsidRDefault="004D257C" w:rsidP="00EC19BC">
            <w:pPr>
              <w:pStyle w:val="Tableheading"/>
            </w:pPr>
          </w:p>
          <w:p w14:paraId="50940488" w14:textId="77777777" w:rsidR="004D257C" w:rsidRPr="00AF24CF" w:rsidRDefault="004D257C" w:rsidP="00EC19BC">
            <w:pPr>
              <w:pStyle w:val="Tableheading"/>
            </w:pPr>
          </w:p>
        </w:tc>
      </w:tr>
    </w:tbl>
    <w:p w14:paraId="6CF8EB57" w14:textId="77777777" w:rsidR="00367616" w:rsidRPr="002C7914" w:rsidRDefault="00367616" w:rsidP="00000A6B">
      <w:pPr>
        <w:pStyle w:val="Bet"/>
        <w:spacing w:before="0" w:after="0"/>
        <w:ind w:left="-125" w:right="-119"/>
        <w:rPr>
          <w:sz w:val="6"/>
        </w:rPr>
      </w:pPr>
    </w:p>
    <w:p w14:paraId="246955B4" w14:textId="77777777" w:rsidR="005157C4" w:rsidRDefault="005157C4">
      <w:r>
        <w:rPr>
          <w:b/>
        </w:rPr>
        <w:br w:type="page"/>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939598"/>
        </w:tblBorders>
        <w:tblLayout w:type="fixed"/>
        <w:tblLook w:val="00A0" w:firstRow="1" w:lastRow="0" w:firstColumn="1" w:lastColumn="0" w:noHBand="0" w:noVBand="0"/>
      </w:tblPr>
      <w:tblGrid>
        <w:gridCol w:w="1847"/>
        <w:gridCol w:w="5212"/>
        <w:gridCol w:w="1623"/>
        <w:gridCol w:w="1619"/>
      </w:tblGrid>
      <w:tr w:rsidR="00367616" w:rsidRPr="000A401A" w14:paraId="24463049" w14:textId="77777777" w:rsidTr="00952FCB">
        <w:tc>
          <w:tcPr>
            <w:tcW w:w="5000" w:type="pct"/>
            <w:gridSpan w:val="4"/>
            <w:shd w:val="clear" w:color="auto" w:fill="051C3C"/>
          </w:tcPr>
          <w:p w14:paraId="78099FD9" w14:textId="77777777" w:rsidR="00367616" w:rsidRPr="000A401A" w:rsidRDefault="00367616" w:rsidP="008907EB">
            <w:pPr>
              <w:pStyle w:val="Tableheading"/>
              <w:keepNext/>
              <w:rPr>
                <w:sz w:val="18"/>
              </w:rPr>
            </w:pPr>
            <w:r w:rsidRPr="00AE2EA6">
              <w:rPr>
                <w:color w:val="FFFFFF" w:themeColor="background1"/>
                <w:sz w:val="18"/>
              </w:rPr>
              <w:lastRenderedPageBreak/>
              <w:t xml:space="preserve">Transactions At Risk Under ATO Compliance Activities </w:t>
            </w:r>
          </w:p>
        </w:tc>
      </w:tr>
      <w:tr w:rsidR="00786EE8" w:rsidRPr="001255B4" w14:paraId="12BD6158" w14:textId="77777777" w:rsidTr="00952FCB">
        <w:tblPrEx>
          <w:tblLook w:val="01E0" w:firstRow="1" w:lastRow="1" w:firstColumn="1" w:lastColumn="1" w:noHBand="0" w:noVBand="0"/>
        </w:tblPrEx>
        <w:tc>
          <w:tcPr>
            <w:tcW w:w="5000" w:type="pct"/>
            <w:gridSpan w:val="4"/>
          </w:tcPr>
          <w:p w14:paraId="33B71C17" w14:textId="77777777" w:rsidR="00786EE8" w:rsidRPr="0028050E" w:rsidRDefault="00C97148" w:rsidP="00975122">
            <w:pPr>
              <w:pStyle w:val="Table"/>
            </w:pPr>
            <w:r w:rsidRPr="00AC1304">
              <w:t>Arrangements to exploit mismatches between trust and taxable income (Taxpayer Alert 2013/1)</w:t>
            </w:r>
          </w:p>
        </w:tc>
      </w:tr>
      <w:tr w:rsidR="00786EE8" w:rsidRPr="001255B4" w14:paraId="33BEAD7B" w14:textId="77777777" w:rsidTr="00952FCB">
        <w:tblPrEx>
          <w:tblLook w:val="01E0" w:firstRow="1" w:lastRow="1" w:firstColumn="1" w:lastColumn="1" w:noHBand="0" w:noVBand="0"/>
        </w:tblPrEx>
        <w:tc>
          <w:tcPr>
            <w:tcW w:w="5000" w:type="pct"/>
            <w:gridSpan w:val="4"/>
          </w:tcPr>
          <w:p w14:paraId="064C2F49" w14:textId="21DE90C0" w:rsidR="00786EE8" w:rsidRPr="0028050E" w:rsidRDefault="00C97148" w:rsidP="003A30E1">
            <w:pPr>
              <w:pStyle w:val="Table"/>
              <w:keepNext/>
            </w:pPr>
            <w:r w:rsidRPr="00AC1304">
              <w:t xml:space="preserve">The ATO has announced its view </w:t>
            </w:r>
            <w:r w:rsidR="003A30E1">
              <w:t>the application of the general anti-avoidance provisions of Part IVA in relation to</w:t>
            </w:r>
            <w:r w:rsidRPr="00AC1304">
              <w:t xml:space="preserve"> “dividend washing” arrangements in TD 2014/1</w:t>
            </w:r>
            <w:r w:rsidR="00112FC6" w:rsidRPr="0028050E">
              <w:t>0</w:t>
            </w:r>
            <w:r w:rsidR="003A30E1">
              <w:t>,</w:t>
            </w:r>
            <w:r w:rsidRPr="00AC1304">
              <w:t xml:space="preserve"> and will be using data matching techniques to identify taxpayers that a</w:t>
            </w:r>
            <w:r w:rsidR="00975122">
              <w:t xml:space="preserve">re engaged in such arrangements and </w:t>
            </w:r>
            <w:r w:rsidR="00AC1304">
              <w:t xml:space="preserve">new legislation </w:t>
            </w:r>
            <w:r w:rsidR="00975122">
              <w:t xml:space="preserve">has </w:t>
            </w:r>
            <w:r w:rsidR="003A30E1">
              <w:t xml:space="preserve">also </w:t>
            </w:r>
            <w:r w:rsidR="00975122">
              <w:t xml:space="preserve">been </w:t>
            </w:r>
            <w:r w:rsidR="00AC1304">
              <w:t>introduced to counter such activity</w:t>
            </w:r>
            <w:r w:rsidR="003A30E1">
              <w:t xml:space="preserve"> under section 207-157 of the imputation provisions.  </w:t>
            </w:r>
          </w:p>
        </w:tc>
      </w:tr>
      <w:tr w:rsidR="00786EE8" w:rsidRPr="001255B4" w14:paraId="11FEF5FA" w14:textId="77777777" w:rsidTr="00952FCB">
        <w:tblPrEx>
          <w:tblLook w:val="01E0" w:firstRow="1" w:lastRow="1" w:firstColumn="1" w:lastColumn="1" w:noHBand="0" w:noVBand="0"/>
        </w:tblPrEx>
        <w:tc>
          <w:tcPr>
            <w:tcW w:w="5000" w:type="pct"/>
            <w:gridSpan w:val="4"/>
          </w:tcPr>
          <w:p w14:paraId="351216BC" w14:textId="77777777" w:rsidR="00786EE8" w:rsidRPr="0028050E" w:rsidRDefault="00C97148" w:rsidP="00975122">
            <w:pPr>
              <w:pStyle w:val="Table"/>
              <w:keepNext/>
            </w:pPr>
            <w:r w:rsidRPr="00AC1304">
              <w:t>Purported alienation of income through discretionary trust partnerships (Taxpayer Alert TA 2013/3)</w:t>
            </w:r>
          </w:p>
        </w:tc>
      </w:tr>
      <w:tr w:rsidR="0045143D" w:rsidRPr="001255B4" w14:paraId="183D7606" w14:textId="77777777" w:rsidTr="00952FCB">
        <w:tblPrEx>
          <w:tblLook w:val="01E0" w:firstRow="1" w:lastRow="1" w:firstColumn="1" w:lastColumn="1" w:noHBand="0" w:noVBand="0"/>
        </w:tblPrEx>
        <w:tc>
          <w:tcPr>
            <w:tcW w:w="5000" w:type="pct"/>
            <w:gridSpan w:val="4"/>
          </w:tcPr>
          <w:p w14:paraId="7D2F3CD3" w14:textId="77777777" w:rsidR="0045143D" w:rsidRPr="0028050E" w:rsidRDefault="00C97148" w:rsidP="00975122">
            <w:pPr>
              <w:pStyle w:val="Table"/>
              <w:keepNext/>
            </w:pPr>
            <w:r w:rsidRPr="00AC1304">
              <w:t xml:space="preserve">Using data matching the ATO will be increasing its focus on employer </w:t>
            </w:r>
            <w:r w:rsidR="00112FC6">
              <w:t>obligations in relation to superannuation guarantee and PAYG withholding.</w:t>
            </w:r>
          </w:p>
        </w:tc>
      </w:tr>
      <w:tr w:rsidR="0045143D" w:rsidRPr="001255B4" w14:paraId="6551C388" w14:textId="77777777" w:rsidTr="00952FCB">
        <w:tblPrEx>
          <w:tblLook w:val="01E0" w:firstRow="1" w:lastRow="1" w:firstColumn="1" w:lastColumn="1" w:noHBand="0" w:noVBand="0"/>
        </w:tblPrEx>
        <w:tc>
          <w:tcPr>
            <w:tcW w:w="5000" w:type="pct"/>
            <w:gridSpan w:val="4"/>
          </w:tcPr>
          <w:p w14:paraId="08E571F7" w14:textId="77777777" w:rsidR="0045143D" w:rsidRPr="0028050E" w:rsidRDefault="00C97148" w:rsidP="00975122">
            <w:pPr>
              <w:pStyle w:val="Table"/>
              <w:keepNext/>
            </w:pPr>
            <w:r w:rsidRPr="00AC1304">
              <w:t xml:space="preserve">An increased focus on international transactions </w:t>
            </w:r>
            <w:r w:rsidRPr="00AC1304">
              <w:rPr>
                <w:bCs/>
              </w:rPr>
              <w:t>including exploitation of</w:t>
            </w:r>
            <w:r w:rsidRPr="00AC1304">
              <w:t xml:space="preserve"> transfer pricing</w:t>
            </w:r>
            <w:r w:rsidRPr="00AC1304">
              <w:rPr>
                <w:bCs/>
              </w:rPr>
              <w:t xml:space="preserve"> and thin capitalisation.</w:t>
            </w:r>
          </w:p>
        </w:tc>
      </w:tr>
      <w:tr w:rsidR="0045143D" w:rsidRPr="001255B4" w14:paraId="4CF40278" w14:textId="77777777" w:rsidTr="00952FCB">
        <w:tblPrEx>
          <w:tblLook w:val="01E0" w:firstRow="1" w:lastRow="1" w:firstColumn="1" w:lastColumn="1" w:noHBand="0" w:noVBand="0"/>
        </w:tblPrEx>
        <w:tc>
          <w:tcPr>
            <w:tcW w:w="5000" w:type="pct"/>
            <w:gridSpan w:val="4"/>
          </w:tcPr>
          <w:p w14:paraId="0CC71818" w14:textId="77777777" w:rsidR="0045143D" w:rsidRPr="0028050E" w:rsidRDefault="00C97148" w:rsidP="00975122">
            <w:pPr>
              <w:pStyle w:val="Table"/>
              <w:keepNext/>
            </w:pPr>
            <w:r w:rsidRPr="00AC1304">
              <w:t>Using data matching to identify non-disclosure and incorrect reporting of capital gains.</w:t>
            </w:r>
          </w:p>
        </w:tc>
      </w:tr>
      <w:tr w:rsidR="0045143D" w:rsidRPr="001255B4" w14:paraId="1B7F3EA6" w14:textId="77777777" w:rsidTr="00952FCB">
        <w:tblPrEx>
          <w:tblLook w:val="01E0" w:firstRow="1" w:lastRow="1" w:firstColumn="1" w:lastColumn="1" w:noHBand="0" w:noVBand="0"/>
        </w:tblPrEx>
        <w:tc>
          <w:tcPr>
            <w:tcW w:w="5000" w:type="pct"/>
            <w:gridSpan w:val="4"/>
          </w:tcPr>
          <w:p w14:paraId="480FA6CF" w14:textId="77777777" w:rsidR="0045143D" w:rsidRPr="0028050E" w:rsidRDefault="00C97148" w:rsidP="00975122">
            <w:pPr>
              <w:pStyle w:val="Table"/>
              <w:keepNext/>
            </w:pPr>
            <w:r w:rsidRPr="00AC1304">
              <w:t>Self-managed superannuation funds arrangements to acquire property which contravene superannuation law (Taxpayer Alert TA 2012/7.</w:t>
            </w:r>
          </w:p>
        </w:tc>
      </w:tr>
      <w:tr w:rsidR="0045143D" w:rsidRPr="001255B4" w14:paraId="58088008" w14:textId="77777777" w:rsidTr="00952FCB">
        <w:tblPrEx>
          <w:tblLook w:val="01E0" w:firstRow="1" w:lastRow="1" w:firstColumn="1" w:lastColumn="1" w:noHBand="0" w:noVBand="0"/>
        </w:tblPrEx>
        <w:tc>
          <w:tcPr>
            <w:tcW w:w="5000" w:type="pct"/>
            <w:gridSpan w:val="4"/>
          </w:tcPr>
          <w:p w14:paraId="7B932BE9" w14:textId="77777777" w:rsidR="0045143D" w:rsidRPr="0028050E" w:rsidRDefault="00C97148" w:rsidP="00975122">
            <w:pPr>
              <w:pStyle w:val="Table"/>
              <w:keepNext/>
            </w:pPr>
            <w:r w:rsidRPr="00AC1304">
              <w:t xml:space="preserve">Accessing private company profits through a dividend access share arrangement attempting to </w:t>
            </w:r>
            <w:r w:rsidR="00112FC6">
              <w:t>circumvent taxation laws (Taxpayer Alert Tax 2012/4).</w:t>
            </w:r>
          </w:p>
        </w:tc>
      </w:tr>
      <w:tr w:rsidR="00367616" w:rsidRPr="001255B4" w14:paraId="6A2CCD93" w14:textId="77777777" w:rsidTr="00952FCB">
        <w:tblPrEx>
          <w:tblLook w:val="01E0" w:firstRow="1" w:lastRow="1" w:firstColumn="1" w:lastColumn="1" w:noHBand="0" w:noVBand="0"/>
        </w:tblPrEx>
        <w:tc>
          <w:tcPr>
            <w:tcW w:w="5000" w:type="pct"/>
            <w:gridSpan w:val="4"/>
          </w:tcPr>
          <w:p w14:paraId="59248C72" w14:textId="77777777" w:rsidR="00367616" w:rsidRPr="0028050E" w:rsidRDefault="00C97148" w:rsidP="00975122">
            <w:pPr>
              <w:pStyle w:val="Table"/>
              <w:keepNext/>
            </w:pPr>
            <w:r w:rsidRPr="00AC1304">
              <w:t>Non-disclosure of foreign source income by Australian tax residents (Taxpayer Alert TA 2012/1).</w:t>
            </w:r>
          </w:p>
        </w:tc>
      </w:tr>
      <w:tr w:rsidR="00367616" w:rsidRPr="001255B4" w14:paraId="0A14F286" w14:textId="77777777" w:rsidTr="00952FCB">
        <w:tblPrEx>
          <w:tblLook w:val="01E0" w:firstRow="1" w:lastRow="1" w:firstColumn="1" w:lastColumn="1" w:noHBand="0" w:noVBand="0"/>
        </w:tblPrEx>
        <w:tc>
          <w:tcPr>
            <w:tcW w:w="5000" w:type="pct"/>
            <w:gridSpan w:val="4"/>
          </w:tcPr>
          <w:p w14:paraId="53D76A46" w14:textId="77777777" w:rsidR="00367616" w:rsidRPr="0028050E" w:rsidRDefault="00C97148" w:rsidP="00975122">
            <w:pPr>
              <w:pStyle w:val="Table"/>
              <w:keepNext/>
            </w:pPr>
            <w:r w:rsidRPr="00AC1304">
              <w:t xml:space="preserve">Loans to members of companies limited by guarantee in an effort to circumvent the operation of Division </w:t>
            </w:r>
            <w:r w:rsidR="00112FC6">
              <w:t xml:space="preserve">7A </w:t>
            </w:r>
            <w:r w:rsidR="00112FC6">
              <w:br/>
              <w:t>(Taxpayer Alert TA 2011/1).</w:t>
            </w:r>
          </w:p>
        </w:tc>
      </w:tr>
      <w:tr w:rsidR="00367616" w:rsidRPr="001255B4" w14:paraId="42C77A34" w14:textId="77777777" w:rsidTr="00952FCB">
        <w:tblPrEx>
          <w:tblLook w:val="01E0" w:firstRow="1" w:lastRow="1" w:firstColumn="1" w:lastColumn="1" w:noHBand="0" w:noVBand="0"/>
        </w:tblPrEx>
        <w:tc>
          <w:tcPr>
            <w:tcW w:w="5000" w:type="pct"/>
            <w:gridSpan w:val="4"/>
          </w:tcPr>
          <w:p w14:paraId="60A8B227" w14:textId="77777777" w:rsidR="00367616" w:rsidRPr="0028050E" w:rsidRDefault="00C97148" w:rsidP="00975122">
            <w:pPr>
              <w:pStyle w:val="Table"/>
            </w:pPr>
            <w:bookmarkStart w:id="1" w:name="top"/>
            <w:bookmarkEnd w:id="1"/>
            <w:r w:rsidRPr="00AC1304">
              <w:rPr>
                <w:bCs/>
              </w:rPr>
              <w:t>The use of certain labour hire arrangements utilising a discretionary trust to split income to avoid the application of the personal services income rules (Taxpayer Alert TA 2011/2).</w:t>
            </w:r>
          </w:p>
        </w:tc>
      </w:tr>
      <w:tr w:rsidR="00367616" w:rsidRPr="001255B4" w14:paraId="3B9FF662" w14:textId="77777777" w:rsidTr="00952FCB">
        <w:tblPrEx>
          <w:tblLook w:val="01E0" w:firstRow="1" w:lastRow="1" w:firstColumn="1" w:lastColumn="1" w:noHBand="0" w:noVBand="0"/>
        </w:tblPrEx>
        <w:tc>
          <w:tcPr>
            <w:tcW w:w="5000" w:type="pct"/>
            <w:gridSpan w:val="4"/>
          </w:tcPr>
          <w:p w14:paraId="79A7F647" w14:textId="77777777" w:rsidR="00367616" w:rsidRPr="0028050E" w:rsidRDefault="00C97148" w:rsidP="00975122">
            <w:pPr>
              <w:pStyle w:val="Table"/>
            </w:pPr>
            <w:r w:rsidRPr="00AC1304">
              <w:rPr>
                <w:bCs/>
              </w:rPr>
              <w:t>Arrangements that involve holiday travel claimed as a work related, investment or self-education expense where there is a private purpose for the travel (Taxpayer Alert TA 2011/3).</w:t>
            </w:r>
          </w:p>
        </w:tc>
      </w:tr>
      <w:tr w:rsidR="00367616" w:rsidRPr="001255B4" w14:paraId="7B8E4408" w14:textId="77777777" w:rsidTr="00952FCB">
        <w:tblPrEx>
          <w:tblLook w:val="01E0" w:firstRow="1" w:lastRow="1" w:firstColumn="1" w:lastColumn="1" w:noHBand="0" w:noVBand="0"/>
        </w:tblPrEx>
        <w:tc>
          <w:tcPr>
            <w:tcW w:w="5000" w:type="pct"/>
            <w:gridSpan w:val="4"/>
          </w:tcPr>
          <w:p w14:paraId="02BBD95C" w14:textId="1DE7D00D" w:rsidR="00367616" w:rsidRPr="0028050E" w:rsidRDefault="00C97148" w:rsidP="00975122">
            <w:pPr>
              <w:pStyle w:val="Table"/>
              <w:rPr>
                <w:bCs/>
              </w:rPr>
            </w:pPr>
            <w:r w:rsidRPr="00AC1304">
              <w:t>Deductibility of unpaid director</w:t>
            </w:r>
            <w:r w:rsidR="003A30E1">
              <w:t>’</w:t>
            </w:r>
            <w:r w:rsidRPr="00AC1304">
              <w:t>s fees (Taxpayer Alert TA 2011/4).</w:t>
            </w:r>
          </w:p>
        </w:tc>
      </w:tr>
      <w:tr w:rsidR="00367616" w:rsidRPr="001255B4" w14:paraId="52C139B0" w14:textId="77777777" w:rsidTr="00952FCB">
        <w:tblPrEx>
          <w:tblLook w:val="01E0" w:firstRow="1" w:lastRow="1" w:firstColumn="1" w:lastColumn="1" w:noHBand="0" w:noVBand="0"/>
        </w:tblPrEx>
        <w:tc>
          <w:tcPr>
            <w:tcW w:w="5000" w:type="pct"/>
            <w:gridSpan w:val="4"/>
          </w:tcPr>
          <w:p w14:paraId="1BD4EE28" w14:textId="77777777" w:rsidR="00367616" w:rsidRPr="0028050E" w:rsidRDefault="00C97148" w:rsidP="00975122">
            <w:pPr>
              <w:pStyle w:val="Table"/>
            </w:pPr>
            <w:r w:rsidRPr="00AC1304">
              <w:t>Offshore income transactions including dividends and interest, royalties and rental income.</w:t>
            </w:r>
          </w:p>
        </w:tc>
      </w:tr>
      <w:tr w:rsidR="00367616" w:rsidRPr="001255B4" w14:paraId="766E0EA3" w14:textId="77777777" w:rsidTr="00952FCB">
        <w:tblPrEx>
          <w:tblLook w:val="01E0" w:firstRow="1" w:lastRow="1" w:firstColumn="1" w:lastColumn="1" w:noHBand="0" w:noVBand="0"/>
        </w:tblPrEx>
        <w:tc>
          <w:tcPr>
            <w:tcW w:w="5000" w:type="pct"/>
            <w:gridSpan w:val="4"/>
          </w:tcPr>
          <w:p w14:paraId="59CF07E0" w14:textId="77777777" w:rsidR="00367616" w:rsidRPr="0028050E" w:rsidRDefault="00C97148" w:rsidP="00975122">
            <w:pPr>
              <w:pStyle w:val="Table"/>
            </w:pPr>
            <w:r w:rsidRPr="00AC1304">
              <w:t>Loans, payments and debt forgiveness by private companies to shareholders or their associates in a form other than dividends.</w:t>
            </w:r>
          </w:p>
        </w:tc>
      </w:tr>
      <w:tr w:rsidR="00367616" w:rsidRPr="001255B4" w14:paraId="34A5516A" w14:textId="77777777" w:rsidTr="00952FCB">
        <w:tblPrEx>
          <w:tblLook w:val="01E0" w:firstRow="1" w:lastRow="1" w:firstColumn="1" w:lastColumn="1" w:noHBand="0" w:noVBand="0"/>
        </w:tblPrEx>
        <w:tc>
          <w:tcPr>
            <w:tcW w:w="5000" w:type="pct"/>
            <w:gridSpan w:val="4"/>
          </w:tcPr>
          <w:p w14:paraId="7734837D" w14:textId="77777777" w:rsidR="00367616" w:rsidRPr="0028050E" w:rsidRDefault="00C97148" w:rsidP="00975122">
            <w:pPr>
              <w:pStyle w:val="Table"/>
            </w:pPr>
            <w:r w:rsidRPr="00AC1304">
              <w:t>International non-arms-length transactions between related Australian and o</w:t>
            </w:r>
            <w:r w:rsidR="00112FC6">
              <w:t>ffshore entities that may be intended to shift profits from Australia to other countries.</w:t>
            </w:r>
          </w:p>
        </w:tc>
      </w:tr>
      <w:tr w:rsidR="00367616" w:rsidRPr="001255B4" w14:paraId="095F94C4" w14:textId="77777777" w:rsidTr="00952FCB">
        <w:tblPrEx>
          <w:tblLook w:val="01E0" w:firstRow="1" w:lastRow="1" w:firstColumn="1" w:lastColumn="1" w:noHBand="0" w:noVBand="0"/>
        </w:tblPrEx>
        <w:tc>
          <w:tcPr>
            <w:tcW w:w="5000" w:type="pct"/>
            <w:gridSpan w:val="4"/>
          </w:tcPr>
          <w:p w14:paraId="453124DA" w14:textId="77777777" w:rsidR="00367616" w:rsidRPr="0028050E" w:rsidRDefault="00C97148" w:rsidP="00975122">
            <w:pPr>
              <w:pStyle w:val="Table"/>
            </w:pPr>
            <w:r w:rsidRPr="00AC1304">
              <w:t>Arrangements which are contrived and artificial in their method of execution.</w:t>
            </w:r>
          </w:p>
        </w:tc>
      </w:tr>
      <w:tr w:rsidR="00367616" w:rsidRPr="001255B4" w14:paraId="12E8C62D" w14:textId="77777777" w:rsidTr="00952FCB">
        <w:tblPrEx>
          <w:tblLook w:val="01E0" w:firstRow="1" w:lastRow="1" w:firstColumn="1" w:lastColumn="1" w:noHBand="0" w:noVBand="0"/>
        </w:tblPrEx>
        <w:tc>
          <w:tcPr>
            <w:tcW w:w="5000" w:type="pct"/>
            <w:gridSpan w:val="4"/>
          </w:tcPr>
          <w:p w14:paraId="32DAE750" w14:textId="77777777" w:rsidR="00367616" w:rsidRPr="0028050E" w:rsidRDefault="00C97148" w:rsidP="00975122">
            <w:pPr>
              <w:pStyle w:val="Table"/>
            </w:pPr>
            <w:r w:rsidRPr="00AC1304">
              <w:t>Arrangements involving limited or non-recourse financing associated with a round-robin flow of funds.</w:t>
            </w:r>
          </w:p>
        </w:tc>
      </w:tr>
      <w:tr w:rsidR="00367616" w:rsidRPr="001255B4" w14:paraId="41C2EA03" w14:textId="77777777" w:rsidTr="00952FCB">
        <w:tblPrEx>
          <w:tblLook w:val="01E0" w:firstRow="1" w:lastRow="1" w:firstColumn="1" w:lastColumn="1" w:noHBand="0" w:noVBand="0"/>
        </w:tblPrEx>
        <w:tc>
          <w:tcPr>
            <w:tcW w:w="5000" w:type="pct"/>
            <w:gridSpan w:val="4"/>
          </w:tcPr>
          <w:p w14:paraId="07076539" w14:textId="77777777" w:rsidR="00367616" w:rsidRPr="0028050E" w:rsidRDefault="00C97148" w:rsidP="00975122">
            <w:pPr>
              <w:pStyle w:val="Table"/>
            </w:pPr>
            <w:r w:rsidRPr="00AC1304">
              <w:t>Arrangements where the taxpayer is not subject to significant risks when the tax benefit is taken into account because of the existence, for example, of a ‘put’ option.</w:t>
            </w:r>
          </w:p>
        </w:tc>
      </w:tr>
      <w:tr w:rsidR="00367616" w:rsidRPr="001255B4" w14:paraId="088E8153" w14:textId="77777777" w:rsidTr="00952FCB">
        <w:tblPrEx>
          <w:tblLook w:val="01E0" w:firstRow="1" w:lastRow="1" w:firstColumn="1" w:lastColumn="1" w:noHBand="0" w:noVBand="0"/>
        </w:tblPrEx>
        <w:tc>
          <w:tcPr>
            <w:tcW w:w="5000" w:type="pct"/>
            <w:gridSpan w:val="4"/>
          </w:tcPr>
          <w:p w14:paraId="6D9858AB" w14:textId="77777777" w:rsidR="00367616" w:rsidRPr="0028050E" w:rsidRDefault="00C97148" w:rsidP="00975122">
            <w:pPr>
              <w:pStyle w:val="Table"/>
            </w:pPr>
            <w:r w:rsidRPr="00AC1304">
              <w:t>Little cash outlay associated with borrowing of funds under a capitalising debt facility.</w:t>
            </w:r>
          </w:p>
        </w:tc>
      </w:tr>
      <w:tr w:rsidR="00367616" w:rsidRPr="001255B4" w14:paraId="5ABB709B" w14:textId="77777777" w:rsidTr="00952FCB">
        <w:tblPrEx>
          <w:tblLook w:val="01E0" w:firstRow="1" w:lastRow="1" w:firstColumn="1" w:lastColumn="1" w:noHBand="0" w:noVBand="0"/>
        </w:tblPrEx>
        <w:tc>
          <w:tcPr>
            <w:tcW w:w="5000" w:type="pct"/>
            <w:gridSpan w:val="4"/>
          </w:tcPr>
          <w:p w14:paraId="5E040187" w14:textId="77777777" w:rsidR="00367616" w:rsidRPr="0028050E" w:rsidRDefault="00C97148" w:rsidP="00975122">
            <w:pPr>
              <w:pStyle w:val="Table"/>
            </w:pPr>
            <w:r w:rsidRPr="00AC1304">
              <w:t>Mechanisms for winding up or exiting an arrangement before net income is generated for an investor.</w:t>
            </w:r>
          </w:p>
        </w:tc>
      </w:tr>
      <w:tr w:rsidR="00367616" w:rsidRPr="001255B4" w14:paraId="0505C92F" w14:textId="77777777" w:rsidTr="00952FCB">
        <w:tblPrEx>
          <w:tblLook w:val="01E0" w:firstRow="1" w:lastRow="1" w:firstColumn="1" w:lastColumn="1" w:noHBand="0" w:noVBand="0"/>
        </w:tblPrEx>
        <w:tc>
          <w:tcPr>
            <w:tcW w:w="5000" w:type="pct"/>
            <w:gridSpan w:val="4"/>
          </w:tcPr>
          <w:p w14:paraId="63DBDEF8" w14:textId="4BDB5D73" w:rsidR="00367616" w:rsidRPr="0028050E" w:rsidRDefault="00D0481F" w:rsidP="00000A6B">
            <w:pPr>
              <w:pStyle w:val="Table"/>
              <w:ind w:left="-68" w:right="5236"/>
            </w:pPr>
            <w:r>
              <w:t xml:space="preserve"> </w:t>
            </w:r>
            <w:r w:rsidR="00C97148" w:rsidRPr="00AC1304">
              <w:t>Use of tax exempt entities, especially charities, to wash income.</w:t>
            </w:r>
          </w:p>
        </w:tc>
      </w:tr>
      <w:tr w:rsidR="00367616" w:rsidRPr="001255B4" w14:paraId="0ABFE8F0" w14:textId="77777777" w:rsidTr="00952FCB">
        <w:tblPrEx>
          <w:tblLook w:val="01E0" w:firstRow="1" w:lastRow="1" w:firstColumn="1" w:lastColumn="1" w:noHBand="0" w:noVBand="0"/>
        </w:tblPrEx>
        <w:tc>
          <w:tcPr>
            <w:tcW w:w="5000" w:type="pct"/>
            <w:gridSpan w:val="4"/>
          </w:tcPr>
          <w:p w14:paraId="4A03B191" w14:textId="77777777" w:rsidR="00367616" w:rsidRPr="0028050E" w:rsidRDefault="00C97148" w:rsidP="00975122">
            <w:pPr>
              <w:pStyle w:val="Table"/>
            </w:pPr>
            <w:r w:rsidRPr="00AC1304">
              <w:t>Transactions involving tax havens and preferential tax regimes.</w:t>
            </w:r>
          </w:p>
        </w:tc>
      </w:tr>
      <w:tr w:rsidR="00367616" w:rsidRPr="001255B4" w14:paraId="6AB204B0" w14:textId="77777777" w:rsidTr="00952FCB">
        <w:tblPrEx>
          <w:tblLook w:val="01E0" w:firstRow="1" w:lastRow="1" w:firstColumn="1" w:lastColumn="1" w:noHBand="0" w:noVBand="0"/>
        </w:tblPrEx>
        <w:tc>
          <w:tcPr>
            <w:tcW w:w="5000" w:type="pct"/>
            <w:gridSpan w:val="4"/>
          </w:tcPr>
          <w:p w14:paraId="7F57E9D1" w14:textId="77777777" w:rsidR="00367616" w:rsidRPr="0028050E" w:rsidRDefault="00C97148" w:rsidP="00975122">
            <w:pPr>
              <w:pStyle w:val="Table"/>
            </w:pPr>
            <w:r w:rsidRPr="00AC1304">
              <w:t>Financial arrangements made on unusual terms e.g. interest rates above or below market rates, security for loans of little value in comparison to the principal amount, repayment of loan substantially deferred until the end of a length repayment period.</w:t>
            </w:r>
          </w:p>
        </w:tc>
      </w:tr>
      <w:tr w:rsidR="00367616" w:rsidRPr="001255B4" w14:paraId="7D6AD0FE" w14:textId="77777777" w:rsidTr="00952FCB">
        <w:tblPrEx>
          <w:tblLook w:val="01E0" w:firstRow="1" w:lastRow="1" w:firstColumn="1" w:lastColumn="1" w:noHBand="0" w:noVBand="0"/>
        </w:tblPrEx>
        <w:tc>
          <w:tcPr>
            <w:tcW w:w="5000" w:type="pct"/>
            <w:gridSpan w:val="4"/>
          </w:tcPr>
          <w:p w14:paraId="4A6AC740" w14:textId="77777777" w:rsidR="00367616" w:rsidRPr="0028050E" w:rsidRDefault="00C97148" w:rsidP="00975122">
            <w:pPr>
              <w:pStyle w:val="Table"/>
            </w:pPr>
            <w:r w:rsidRPr="00AC1304">
              <w:t xml:space="preserve">Arrangements where the transaction or series of transactions produce no economic gain or loss e.g. where the whole scheme is </w:t>
            </w:r>
            <w:r w:rsidRPr="00AC1304">
              <w:br/>
              <w:t>self-cancelling.</w:t>
            </w:r>
          </w:p>
        </w:tc>
      </w:tr>
      <w:tr w:rsidR="00367616" w:rsidRPr="001255B4" w14:paraId="12659D81" w14:textId="77777777" w:rsidTr="00952FCB">
        <w:tblPrEx>
          <w:tblLook w:val="01E0" w:firstRow="1" w:lastRow="1" w:firstColumn="1" w:lastColumn="1" w:noHBand="0" w:noVBand="0"/>
        </w:tblPrEx>
        <w:tc>
          <w:tcPr>
            <w:tcW w:w="5000" w:type="pct"/>
            <w:gridSpan w:val="4"/>
          </w:tcPr>
          <w:p w14:paraId="05E08BF3" w14:textId="77777777" w:rsidR="00367616" w:rsidRPr="0028050E" w:rsidRDefault="00C97148" w:rsidP="00975122">
            <w:pPr>
              <w:pStyle w:val="Table"/>
            </w:pPr>
            <w:r w:rsidRPr="00AC1304">
              <w:t>Arrangements which lack economic substance and are not rationally related to any useful non-tax purposes e.g. inte</w:t>
            </w:r>
            <w:r w:rsidR="00112FC6">
              <w:t xml:space="preserve">r-group or </w:t>
            </w:r>
            <w:r w:rsidR="00112FC6">
              <w:br/>
              <w:t>related party.</w:t>
            </w:r>
          </w:p>
        </w:tc>
      </w:tr>
      <w:tr w:rsidR="00367616" w:rsidRPr="001255B4" w14:paraId="54164051" w14:textId="77777777" w:rsidTr="00952FCB">
        <w:tblPrEx>
          <w:tblLook w:val="01E0" w:firstRow="1" w:lastRow="1" w:firstColumn="1" w:lastColumn="1" w:noHBand="0" w:noVBand="0"/>
        </w:tblPrEx>
        <w:tc>
          <w:tcPr>
            <w:tcW w:w="5000" w:type="pct"/>
            <w:gridSpan w:val="4"/>
          </w:tcPr>
          <w:p w14:paraId="5F58287E" w14:textId="77777777" w:rsidR="00367616" w:rsidRPr="0028050E" w:rsidRDefault="00C97148" w:rsidP="00975122">
            <w:pPr>
              <w:pStyle w:val="Table"/>
            </w:pPr>
            <w:r w:rsidRPr="00AC1304">
              <w:t>Arrangements to shift foreign losses into Australian branches or resident entities and greater deductions for losses are sought in Australia by the Australian resident entity.</w:t>
            </w:r>
          </w:p>
        </w:tc>
      </w:tr>
      <w:tr w:rsidR="00D0481F" w:rsidRPr="001255B4" w14:paraId="5A4358F4" w14:textId="77777777" w:rsidTr="00952FCB">
        <w:tblPrEx>
          <w:tblLook w:val="01E0" w:firstRow="1" w:lastRow="1" w:firstColumn="1" w:lastColumn="1" w:noHBand="0" w:noVBand="0"/>
        </w:tblPrEx>
        <w:tc>
          <w:tcPr>
            <w:tcW w:w="5000" w:type="pct"/>
            <w:gridSpan w:val="4"/>
          </w:tcPr>
          <w:p w14:paraId="74AE3565" w14:textId="77777777" w:rsidR="00D0481F" w:rsidRPr="00AC1304" w:rsidRDefault="00D0481F" w:rsidP="00975122">
            <w:pPr>
              <w:pStyle w:val="Table"/>
            </w:pPr>
            <w:r w:rsidRPr="00AC1304">
              <w:t>Arrangements whereby a shareholder claims to make a repayment of a shareholder loan from a private company via a round robin of endorsed cheques so as to avoid the operation of Division 7A.</w:t>
            </w:r>
          </w:p>
        </w:tc>
      </w:tr>
      <w:tr w:rsidR="00D0481F" w:rsidRPr="001255B4" w14:paraId="12338883" w14:textId="77777777" w:rsidTr="00952FCB">
        <w:tblPrEx>
          <w:tblLook w:val="01E0" w:firstRow="1" w:lastRow="1" w:firstColumn="1" w:lastColumn="1" w:noHBand="0" w:noVBand="0"/>
        </w:tblPrEx>
        <w:tc>
          <w:tcPr>
            <w:tcW w:w="5000" w:type="pct"/>
            <w:gridSpan w:val="4"/>
          </w:tcPr>
          <w:p w14:paraId="64B86CD1" w14:textId="3FB27671" w:rsidR="00D0481F" w:rsidRPr="00AC1304" w:rsidRDefault="00D0481F" w:rsidP="00684EE1">
            <w:pPr>
              <w:pStyle w:val="Table"/>
            </w:pPr>
            <w:r>
              <w:t>Dividend stripping arrangements involving the transfer of private company shares to a self-managed superannuation fund</w:t>
            </w:r>
            <w:r w:rsidR="00952FCB">
              <w:t>.</w:t>
            </w:r>
            <w:r>
              <w:t xml:space="preserve"> (Taxpayer Alert TA 2015/1</w:t>
            </w:r>
            <w:r w:rsidR="00684EE1">
              <w:t xml:space="preserve"> and related addendum TA2015/1A</w:t>
            </w:r>
            <w:r>
              <w:t>)</w:t>
            </w:r>
          </w:p>
        </w:tc>
      </w:tr>
      <w:tr w:rsidR="00952FCB" w:rsidRPr="000A401A" w14:paraId="1E99F783" w14:textId="77777777" w:rsidTr="006712F7">
        <w:tc>
          <w:tcPr>
            <w:tcW w:w="5000" w:type="pct"/>
            <w:gridSpan w:val="4"/>
            <w:shd w:val="clear" w:color="auto" w:fill="051C3C"/>
          </w:tcPr>
          <w:p w14:paraId="1277F260" w14:textId="13B91DA1" w:rsidR="00952FCB" w:rsidRPr="000A401A" w:rsidRDefault="00952FCB" w:rsidP="006712F7">
            <w:pPr>
              <w:pStyle w:val="Tableheading"/>
              <w:keepNext/>
              <w:rPr>
                <w:sz w:val="18"/>
              </w:rPr>
            </w:pPr>
            <w:r w:rsidRPr="00AE2EA6">
              <w:rPr>
                <w:color w:val="FFFFFF" w:themeColor="background1"/>
                <w:sz w:val="18"/>
              </w:rPr>
              <w:lastRenderedPageBreak/>
              <w:t xml:space="preserve">Transactions At Risk Under ATO Compliance Activities </w:t>
            </w:r>
            <w:r>
              <w:rPr>
                <w:color w:val="FFFFFF" w:themeColor="background1"/>
                <w:sz w:val="18"/>
              </w:rPr>
              <w:t>(continued)</w:t>
            </w:r>
          </w:p>
        </w:tc>
      </w:tr>
      <w:tr w:rsidR="00D0481F" w:rsidRPr="001255B4" w14:paraId="113B7BFD" w14:textId="77777777" w:rsidTr="00952FCB">
        <w:tblPrEx>
          <w:tblLook w:val="01E0" w:firstRow="1" w:lastRow="1" w:firstColumn="1" w:lastColumn="1" w:noHBand="0" w:noVBand="0"/>
        </w:tblPrEx>
        <w:tc>
          <w:tcPr>
            <w:tcW w:w="5000" w:type="pct"/>
            <w:gridSpan w:val="4"/>
          </w:tcPr>
          <w:p w14:paraId="5E08C35C" w14:textId="3C76956F" w:rsidR="00D0481F" w:rsidRPr="00AC1304" w:rsidRDefault="00D0481F" w:rsidP="00975122">
            <w:pPr>
              <w:pStyle w:val="Table"/>
            </w:pPr>
            <w:r>
              <w:t>Franked distributions funded by raising capital to release franking credits to shareholders</w:t>
            </w:r>
            <w:r w:rsidR="00952FCB">
              <w:t>.</w:t>
            </w:r>
            <w:r>
              <w:t xml:space="preserve"> (Taxpayer Alert TA 2015/2)</w:t>
            </w:r>
          </w:p>
        </w:tc>
      </w:tr>
      <w:tr w:rsidR="003A30E1" w:rsidRPr="001255B4" w14:paraId="25BA0BAD" w14:textId="77777777" w:rsidTr="00952FCB">
        <w:tblPrEx>
          <w:tblLook w:val="01E0" w:firstRow="1" w:lastRow="1" w:firstColumn="1" w:lastColumn="1" w:noHBand="0" w:noVBand="0"/>
        </w:tblPrEx>
        <w:tc>
          <w:tcPr>
            <w:tcW w:w="5000" w:type="pct"/>
            <w:gridSpan w:val="4"/>
          </w:tcPr>
          <w:p w14:paraId="0FBECC8E" w14:textId="2C4F88A2" w:rsidR="003A30E1" w:rsidRDefault="003A30E1" w:rsidP="00684EE1">
            <w:pPr>
              <w:pStyle w:val="Table"/>
            </w:pPr>
            <w:r>
              <w:t xml:space="preserve">Trusts mischaracterising </w:t>
            </w:r>
            <w:r w:rsidR="00684EE1">
              <w:t>profits on certain property developments as being capital gains rather than as income on revenue account</w:t>
            </w:r>
            <w:r w:rsidR="00952FCB">
              <w:t>.</w:t>
            </w:r>
            <w:r w:rsidR="00684EE1">
              <w:t xml:space="preserve"> (Taxpayer Alert TA 2014/1)  </w:t>
            </w:r>
          </w:p>
        </w:tc>
      </w:tr>
      <w:tr w:rsidR="00684EE1" w:rsidRPr="001255B4" w14:paraId="5FD0CDAA" w14:textId="77777777" w:rsidTr="00952FCB">
        <w:tblPrEx>
          <w:tblLook w:val="01E0" w:firstRow="1" w:lastRow="1" w:firstColumn="1" w:lastColumn="1" w:noHBand="0" w:noVBand="0"/>
        </w:tblPrEx>
        <w:tc>
          <w:tcPr>
            <w:tcW w:w="5000" w:type="pct"/>
            <w:gridSpan w:val="4"/>
          </w:tcPr>
          <w:p w14:paraId="05566E44" w14:textId="0239895E" w:rsidR="00684EE1" w:rsidRDefault="00684EE1" w:rsidP="00684EE1">
            <w:pPr>
              <w:pStyle w:val="Table"/>
            </w:pPr>
            <w:r>
              <w:t>Accessing business profits through an interposed partnership with a private company partner where most of the net income is taxed to a private company partner at the company tax rate but such profits are accessed by individuals without paying any additional top-up tax</w:t>
            </w:r>
            <w:r w:rsidR="00952FCB">
              <w:t>.</w:t>
            </w:r>
            <w:r>
              <w:t xml:space="preserve"> (Taxpayer Alert TA 2015/4)  </w:t>
            </w:r>
          </w:p>
        </w:tc>
      </w:tr>
      <w:tr w:rsidR="00684EE1" w:rsidRPr="001255B4" w14:paraId="0D96E509" w14:textId="77777777" w:rsidTr="00952FCB">
        <w:tblPrEx>
          <w:tblLook w:val="01E0" w:firstRow="1" w:lastRow="1" w:firstColumn="1" w:lastColumn="1" w:noHBand="0" w:noVBand="0"/>
        </w:tblPrEx>
        <w:tc>
          <w:tcPr>
            <w:tcW w:w="5000" w:type="pct"/>
            <w:gridSpan w:val="4"/>
          </w:tcPr>
          <w:p w14:paraId="7D0D9841" w14:textId="6F792504" w:rsidR="00684EE1" w:rsidRDefault="00684EE1" w:rsidP="00684EE1">
            <w:pPr>
              <w:pStyle w:val="Table"/>
            </w:pPr>
            <w:r>
              <w:t>Diverting personal services income to Self-Managed Superannuation Funds. (Taxpayer Alert TA 2016/6)</w:t>
            </w:r>
          </w:p>
        </w:tc>
      </w:tr>
      <w:tr w:rsidR="006B0347" w:rsidRPr="001255B4" w14:paraId="3E2E6CD8" w14:textId="77777777" w:rsidTr="00952FCB">
        <w:tblPrEx>
          <w:tblLook w:val="01E0" w:firstRow="1" w:lastRow="1" w:firstColumn="1" w:lastColumn="1" w:noHBand="0" w:noVBand="0"/>
        </w:tblPrEx>
        <w:tc>
          <w:tcPr>
            <w:tcW w:w="5000" w:type="pct"/>
            <w:gridSpan w:val="4"/>
          </w:tcPr>
          <w:p w14:paraId="16B523E3" w14:textId="6E18DC1B" w:rsidR="006B0347" w:rsidRDefault="006B0347" w:rsidP="00684EE1">
            <w:pPr>
              <w:pStyle w:val="Table"/>
            </w:pPr>
            <w:r>
              <w:t xml:space="preserve">Exploiting the proportionate approach to trust taxation which result in the economic benefits associated with the net income being retained by the trustee or passed on to a different beneficiary in a purportedly tax free form (Taxpayer Alert TA 2016/12) </w:t>
            </w:r>
          </w:p>
        </w:tc>
      </w:tr>
      <w:tr w:rsidR="006B0347" w:rsidRPr="001255B4" w14:paraId="4168E133" w14:textId="77777777" w:rsidTr="00952FCB">
        <w:tblPrEx>
          <w:tblLook w:val="01E0" w:firstRow="1" w:lastRow="1" w:firstColumn="1" w:lastColumn="1" w:noHBand="0" w:noVBand="0"/>
        </w:tblPrEx>
        <w:tc>
          <w:tcPr>
            <w:tcW w:w="5000" w:type="pct"/>
            <w:gridSpan w:val="4"/>
          </w:tcPr>
          <w:p w14:paraId="0AB44933" w14:textId="50858744" w:rsidR="006B0347" w:rsidRDefault="006B0347" w:rsidP="00684EE1">
            <w:pPr>
              <w:pStyle w:val="Table"/>
            </w:pPr>
            <w:r>
              <w:t>Reviewing arrangements which attempt to re-characterise trading income into more favourably taxed passive income (Taxpayer Alert TA 2017/1)</w:t>
            </w:r>
          </w:p>
        </w:tc>
      </w:tr>
      <w:tr w:rsidR="00367616" w:rsidRPr="008907EB" w14:paraId="1CEF5BE2" w14:textId="77777777" w:rsidTr="00952FCB">
        <w:tblPrEx>
          <w:tblLook w:val="01E0" w:firstRow="1" w:lastRow="1" w:firstColumn="1" w:lastColumn="1" w:noHBand="0" w:noVBand="0"/>
        </w:tblPrEx>
        <w:tc>
          <w:tcPr>
            <w:tcW w:w="896" w:type="pct"/>
            <w:shd w:val="clear" w:color="auto" w:fill="D9D9D9" w:themeFill="background1" w:themeFillShade="D9"/>
          </w:tcPr>
          <w:p w14:paraId="32104B0A" w14:textId="77777777" w:rsidR="00367616" w:rsidRPr="00361F33" w:rsidRDefault="00367616" w:rsidP="00F109BA">
            <w:pPr>
              <w:pStyle w:val="Tableheading"/>
              <w:pageBreakBefore/>
              <w:rPr>
                <w:b w:val="0"/>
                <w:sz w:val="18"/>
                <w:szCs w:val="18"/>
              </w:rPr>
            </w:pPr>
            <w:r w:rsidRPr="00361F33">
              <w:rPr>
                <w:b w:val="0"/>
                <w:sz w:val="18"/>
                <w:szCs w:val="18"/>
              </w:rPr>
              <w:lastRenderedPageBreak/>
              <w:t>Entity’s Name</w:t>
            </w:r>
          </w:p>
        </w:tc>
        <w:tc>
          <w:tcPr>
            <w:tcW w:w="2530" w:type="pct"/>
          </w:tcPr>
          <w:p w14:paraId="361B85F7" w14:textId="77777777" w:rsidR="00367616" w:rsidRPr="008907EB" w:rsidRDefault="00367616" w:rsidP="00F109BA">
            <w:pPr>
              <w:pStyle w:val="Tableheading"/>
              <w:pageBreakBefore/>
              <w:rPr>
                <w:sz w:val="18"/>
                <w:szCs w:val="18"/>
              </w:rPr>
            </w:pPr>
          </w:p>
        </w:tc>
        <w:tc>
          <w:tcPr>
            <w:tcW w:w="788" w:type="pct"/>
            <w:shd w:val="clear" w:color="auto" w:fill="051C3C"/>
          </w:tcPr>
          <w:p w14:paraId="58EF2B92" w14:textId="77777777" w:rsidR="00367616" w:rsidRPr="00AE2EA6" w:rsidRDefault="00367616" w:rsidP="00F109BA">
            <w:pPr>
              <w:pStyle w:val="Tableheading"/>
              <w:keepNext/>
              <w:pageBreakBefore/>
              <w:rPr>
                <w:b w:val="0"/>
                <w:color w:val="FFFFFF" w:themeColor="background1"/>
                <w:sz w:val="18"/>
                <w:szCs w:val="18"/>
              </w:rPr>
            </w:pPr>
            <w:r w:rsidRPr="00AE2EA6">
              <w:rPr>
                <w:b w:val="0"/>
                <w:color w:val="FFFFFF" w:themeColor="background1"/>
                <w:sz w:val="18"/>
                <w:szCs w:val="18"/>
              </w:rPr>
              <w:t xml:space="preserve">Initial </w:t>
            </w:r>
          </w:p>
        </w:tc>
        <w:tc>
          <w:tcPr>
            <w:tcW w:w="787" w:type="pct"/>
            <w:shd w:val="clear" w:color="auto" w:fill="051C3C"/>
          </w:tcPr>
          <w:p w14:paraId="6A676DE2" w14:textId="77777777" w:rsidR="00367616" w:rsidRPr="00AE2EA6" w:rsidRDefault="00367616" w:rsidP="00F109BA">
            <w:pPr>
              <w:pStyle w:val="Tableheading"/>
              <w:keepNext/>
              <w:pageBreakBefore/>
              <w:rPr>
                <w:b w:val="0"/>
                <w:color w:val="FFFFFF" w:themeColor="background1"/>
                <w:sz w:val="18"/>
                <w:szCs w:val="18"/>
              </w:rPr>
            </w:pPr>
            <w:r w:rsidRPr="00AE2EA6">
              <w:rPr>
                <w:b w:val="0"/>
                <w:color w:val="FFFFFF" w:themeColor="background1"/>
                <w:sz w:val="18"/>
                <w:szCs w:val="18"/>
              </w:rPr>
              <w:t>Date</w:t>
            </w:r>
          </w:p>
        </w:tc>
      </w:tr>
      <w:tr w:rsidR="00367616" w:rsidRPr="00CF21FA" w14:paraId="7FA12E52" w14:textId="77777777" w:rsidTr="00952FCB">
        <w:tblPrEx>
          <w:tblLook w:val="01E0" w:firstRow="1" w:lastRow="1" w:firstColumn="1" w:lastColumn="1" w:noHBand="0" w:noVBand="0"/>
        </w:tblPrEx>
        <w:tc>
          <w:tcPr>
            <w:tcW w:w="3425" w:type="pct"/>
            <w:gridSpan w:val="2"/>
          </w:tcPr>
          <w:p w14:paraId="25A4AC58" w14:textId="77777777" w:rsidR="00367616" w:rsidRPr="00361F33" w:rsidRDefault="00367616" w:rsidP="008907EB">
            <w:pPr>
              <w:pStyle w:val="Tableheading"/>
              <w:rPr>
                <w:b w:val="0"/>
              </w:rPr>
            </w:pPr>
            <w:r w:rsidRPr="00361F33">
              <w:rPr>
                <w:b w:val="0"/>
              </w:rPr>
              <w:t>Preparer</w:t>
            </w:r>
          </w:p>
        </w:tc>
        <w:tc>
          <w:tcPr>
            <w:tcW w:w="788" w:type="pct"/>
            <w:vAlign w:val="center"/>
          </w:tcPr>
          <w:p w14:paraId="39746B22" w14:textId="77777777" w:rsidR="00367616" w:rsidRPr="00CF21FA" w:rsidRDefault="00367616" w:rsidP="008907EB">
            <w:pPr>
              <w:pStyle w:val="Table"/>
            </w:pPr>
          </w:p>
        </w:tc>
        <w:tc>
          <w:tcPr>
            <w:tcW w:w="787" w:type="pct"/>
            <w:vAlign w:val="center"/>
          </w:tcPr>
          <w:p w14:paraId="423ED5E9" w14:textId="77777777" w:rsidR="00367616" w:rsidRPr="00CF21FA" w:rsidRDefault="00367616" w:rsidP="008907EB">
            <w:pPr>
              <w:pStyle w:val="Table"/>
            </w:pPr>
          </w:p>
        </w:tc>
      </w:tr>
      <w:tr w:rsidR="00367616" w:rsidRPr="00CF21FA" w14:paraId="449C1279" w14:textId="77777777" w:rsidTr="00952FCB">
        <w:tblPrEx>
          <w:tblLook w:val="01E0" w:firstRow="1" w:lastRow="1" w:firstColumn="1" w:lastColumn="1" w:noHBand="0" w:noVBand="0"/>
        </w:tblPrEx>
        <w:tc>
          <w:tcPr>
            <w:tcW w:w="3425" w:type="pct"/>
            <w:gridSpan w:val="2"/>
          </w:tcPr>
          <w:p w14:paraId="657B0875" w14:textId="77777777" w:rsidR="00367616" w:rsidRPr="00361F33" w:rsidRDefault="00367616" w:rsidP="008907EB">
            <w:pPr>
              <w:pStyle w:val="Tableheading"/>
              <w:rPr>
                <w:b w:val="0"/>
              </w:rPr>
            </w:pPr>
            <w:r w:rsidRPr="00361F33">
              <w:rPr>
                <w:b w:val="0"/>
              </w:rPr>
              <w:t>Reviewer</w:t>
            </w:r>
          </w:p>
        </w:tc>
        <w:tc>
          <w:tcPr>
            <w:tcW w:w="788" w:type="pct"/>
            <w:vAlign w:val="center"/>
          </w:tcPr>
          <w:p w14:paraId="3C005655" w14:textId="77777777" w:rsidR="00367616" w:rsidRPr="00CF21FA" w:rsidRDefault="00367616" w:rsidP="008907EB">
            <w:pPr>
              <w:pStyle w:val="Table"/>
            </w:pPr>
          </w:p>
        </w:tc>
        <w:tc>
          <w:tcPr>
            <w:tcW w:w="787" w:type="pct"/>
            <w:vAlign w:val="center"/>
          </w:tcPr>
          <w:p w14:paraId="73FCCEF2" w14:textId="77777777" w:rsidR="00367616" w:rsidRPr="00CF21FA" w:rsidRDefault="00367616" w:rsidP="008907EB">
            <w:pPr>
              <w:pStyle w:val="Table"/>
            </w:pPr>
          </w:p>
        </w:tc>
      </w:tr>
      <w:tr w:rsidR="00367616" w:rsidRPr="00CF21FA" w14:paraId="743E33C1" w14:textId="77777777" w:rsidTr="00952FCB">
        <w:tblPrEx>
          <w:tblLook w:val="01E0" w:firstRow="1" w:lastRow="1" w:firstColumn="1" w:lastColumn="1" w:noHBand="0" w:noVBand="0"/>
        </w:tblPrEx>
        <w:tc>
          <w:tcPr>
            <w:tcW w:w="3425" w:type="pct"/>
            <w:gridSpan w:val="2"/>
          </w:tcPr>
          <w:p w14:paraId="327D8FD6" w14:textId="77777777" w:rsidR="00367616" w:rsidRPr="00361F33" w:rsidRDefault="00367616" w:rsidP="008907EB">
            <w:pPr>
              <w:pStyle w:val="Tableheading"/>
              <w:rPr>
                <w:b w:val="0"/>
              </w:rPr>
            </w:pPr>
            <w:r w:rsidRPr="00361F33">
              <w:rPr>
                <w:b w:val="0"/>
              </w:rPr>
              <w:t>Partner</w:t>
            </w:r>
          </w:p>
        </w:tc>
        <w:tc>
          <w:tcPr>
            <w:tcW w:w="788" w:type="pct"/>
            <w:vAlign w:val="center"/>
          </w:tcPr>
          <w:p w14:paraId="1603E374" w14:textId="77777777" w:rsidR="00367616" w:rsidRPr="00CF21FA" w:rsidRDefault="00367616" w:rsidP="008907EB">
            <w:pPr>
              <w:pStyle w:val="Table"/>
            </w:pPr>
          </w:p>
        </w:tc>
        <w:tc>
          <w:tcPr>
            <w:tcW w:w="787" w:type="pct"/>
            <w:vAlign w:val="center"/>
          </w:tcPr>
          <w:p w14:paraId="2E39A365" w14:textId="77777777" w:rsidR="00367616" w:rsidRPr="00CF21FA" w:rsidRDefault="00367616" w:rsidP="008907EB">
            <w:pPr>
              <w:pStyle w:val="Table"/>
            </w:pPr>
          </w:p>
        </w:tc>
      </w:tr>
    </w:tbl>
    <w:p w14:paraId="115459B1" w14:textId="77777777" w:rsidR="00367616" w:rsidRDefault="00367616" w:rsidP="00B10F8F">
      <w:pPr>
        <w:pStyle w:val="Body"/>
      </w:pPr>
    </w:p>
    <w:p w14:paraId="6C01A866" w14:textId="7D4A01FA" w:rsidR="00367616" w:rsidRPr="00B10F8F" w:rsidRDefault="005A5D43" w:rsidP="00B10F8F">
      <w:pPr>
        <w:pStyle w:val="Body"/>
        <w:spacing w:after="360"/>
        <w:ind w:left="-125" w:right="-119"/>
        <w:rPr>
          <w:b/>
          <w:i w:val="0"/>
        </w:rPr>
      </w:pPr>
      <w:r>
        <w:rPr>
          <w:b/>
          <w:i w:val="0"/>
        </w:rPr>
        <w:t>Year ended 30 June 201</w:t>
      </w:r>
      <w:r w:rsidR="000703A7">
        <w:rPr>
          <w:b/>
          <w:i w:val="0"/>
        </w:rPr>
        <w:t>7</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1"/>
        <w:gridCol w:w="4472"/>
        <w:gridCol w:w="1610"/>
        <w:gridCol w:w="1792"/>
        <w:gridCol w:w="1546"/>
      </w:tblGrid>
      <w:tr w:rsidR="00367616" w:rsidRPr="008907EB" w14:paraId="050108BB" w14:textId="77777777" w:rsidTr="00B45DAC">
        <w:tc>
          <w:tcPr>
            <w:tcW w:w="10301" w:type="dxa"/>
            <w:gridSpan w:val="5"/>
            <w:tcBorders>
              <w:bottom w:val="single" w:sz="4" w:space="0" w:color="939598"/>
            </w:tcBorders>
            <w:shd w:val="clear" w:color="auto" w:fill="051C3C"/>
          </w:tcPr>
          <w:p w14:paraId="16A64DBD" w14:textId="77777777" w:rsidR="00367616" w:rsidRPr="008907EB" w:rsidRDefault="00367616" w:rsidP="008907EB">
            <w:pPr>
              <w:pStyle w:val="Tableheading"/>
              <w:keepNext/>
              <w:rPr>
                <w:sz w:val="18"/>
              </w:rPr>
            </w:pPr>
            <w:r w:rsidRPr="00AE2EA6">
              <w:rPr>
                <w:color w:val="FFFFFF" w:themeColor="background1"/>
                <w:sz w:val="18"/>
              </w:rPr>
              <w:t>Carry Forward Action Sheet</w:t>
            </w:r>
          </w:p>
        </w:tc>
      </w:tr>
      <w:tr w:rsidR="00367616" w:rsidRPr="00CF21FA" w14:paraId="73C7766E" w14:textId="77777777" w:rsidTr="00133F4E">
        <w:tc>
          <w:tcPr>
            <w:tcW w:w="88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13B8A2D6" w14:textId="77777777" w:rsidR="00367616" w:rsidRPr="00361F33" w:rsidRDefault="00367616" w:rsidP="00B10F8F">
            <w:pPr>
              <w:pStyle w:val="Tableheading"/>
              <w:spacing w:after="60"/>
              <w:rPr>
                <w:b w:val="0"/>
              </w:rPr>
            </w:pPr>
            <w:r w:rsidRPr="00361F33">
              <w:rPr>
                <w:b w:val="0"/>
              </w:rPr>
              <w:t>Date</w:t>
            </w:r>
          </w:p>
        </w:tc>
        <w:tc>
          <w:tcPr>
            <w:tcW w:w="447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2D4BA85C" w14:textId="77777777" w:rsidR="00367616" w:rsidRPr="00361F33" w:rsidRDefault="00367616" w:rsidP="00B10F8F">
            <w:pPr>
              <w:pStyle w:val="Tableheading"/>
              <w:spacing w:after="60"/>
              <w:rPr>
                <w:b w:val="0"/>
              </w:rPr>
            </w:pPr>
            <w:r w:rsidRPr="00361F33">
              <w:rPr>
                <w:b w:val="0"/>
              </w:rPr>
              <w:t>Item Carried Forward</w:t>
            </w:r>
          </w:p>
        </w:tc>
        <w:tc>
          <w:tcPr>
            <w:tcW w:w="1610"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4A86A93D" w14:textId="77777777" w:rsidR="00367616" w:rsidRPr="00361F33" w:rsidRDefault="00367616" w:rsidP="00B10F8F">
            <w:pPr>
              <w:pStyle w:val="Tableheading"/>
              <w:spacing w:after="60"/>
              <w:jc w:val="center"/>
              <w:rPr>
                <w:b w:val="0"/>
              </w:rPr>
            </w:pPr>
            <w:r w:rsidRPr="00361F33">
              <w:rPr>
                <w:b w:val="0"/>
              </w:rPr>
              <w:t>$</w:t>
            </w:r>
          </w:p>
        </w:tc>
        <w:tc>
          <w:tcPr>
            <w:tcW w:w="179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2B175E81" w14:textId="77777777" w:rsidR="00367616" w:rsidRPr="00361F33" w:rsidRDefault="00367616" w:rsidP="00B10F8F">
            <w:pPr>
              <w:pStyle w:val="Tableheading"/>
              <w:spacing w:after="60"/>
              <w:rPr>
                <w:b w:val="0"/>
              </w:rPr>
            </w:pPr>
            <w:r w:rsidRPr="00361F33">
              <w:rPr>
                <w:b w:val="0"/>
              </w:rPr>
              <w:t>Working Paper Ref</w:t>
            </w:r>
          </w:p>
        </w:tc>
        <w:tc>
          <w:tcPr>
            <w:tcW w:w="154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3A91506F" w14:textId="77777777" w:rsidR="00367616" w:rsidRPr="00361F33" w:rsidRDefault="00367616" w:rsidP="00B10F8F">
            <w:pPr>
              <w:pStyle w:val="Tableheading"/>
              <w:spacing w:after="60"/>
              <w:rPr>
                <w:b w:val="0"/>
              </w:rPr>
            </w:pPr>
            <w:r w:rsidRPr="00361F33">
              <w:rPr>
                <w:b w:val="0"/>
              </w:rPr>
              <w:t>Checked By</w:t>
            </w:r>
          </w:p>
        </w:tc>
      </w:tr>
      <w:tr w:rsidR="00367616" w:rsidRPr="00CF21FA" w14:paraId="78822B8D" w14:textId="77777777" w:rsidTr="00B10F8F">
        <w:tc>
          <w:tcPr>
            <w:tcW w:w="881" w:type="dxa"/>
            <w:tcBorders>
              <w:top w:val="single" w:sz="4" w:space="0" w:color="939598"/>
              <w:left w:val="single" w:sz="4" w:space="0" w:color="939598"/>
              <w:bottom w:val="single" w:sz="4" w:space="0" w:color="939598"/>
              <w:right w:val="single" w:sz="4" w:space="0" w:color="939598"/>
            </w:tcBorders>
          </w:tcPr>
          <w:p w14:paraId="46175E6F"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098EA790"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40BEED9E"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77AEA9FA"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2BBC506" w14:textId="77777777" w:rsidR="00367616" w:rsidRPr="00CF21FA" w:rsidRDefault="00367616" w:rsidP="00B10F8F">
            <w:pPr>
              <w:pStyle w:val="Table"/>
            </w:pPr>
          </w:p>
        </w:tc>
      </w:tr>
      <w:tr w:rsidR="00367616" w:rsidRPr="00CF21FA" w14:paraId="7AF5D227" w14:textId="77777777" w:rsidTr="00B10F8F">
        <w:tc>
          <w:tcPr>
            <w:tcW w:w="881" w:type="dxa"/>
            <w:tcBorders>
              <w:top w:val="single" w:sz="4" w:space="0" w:color="939598"/>
              <w:left w:val="single" w:sz="4" w:space="0" w:color="939598"/>
              <w:bottom w:val="single" w:sz="4" w:space="0" w:color="939598"/>
              <w:right w:val="single" w:sz="4" w:space="0" w:color="939598"/>
            </w:tcBorders>
          </w:tcPr>
          <w:p w14:paraId="34CDBF28"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542B208C"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158C6B7C"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704389B"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7FC73DE" w14:textId="77777777" w:rsidR="00367616" w:rsidRPr="00CF21FA" w:rsidRDefault="00367616" w:rsidP="00B10F8F">
            <w:pPr>
              <w:pStyle w:val="Table"/>
            </w:pPr>
          </w:p>
        </w:tc>
      </w:tr>
      <w:tr w:rsidR="00367616" w:rsidRPr="00CF21FA" w14:paraId="1FE02D63" w14:textId="77777777" w:rsidTr="00B10F8F">
        <w:tc>
          <w:tcPr>
            <w:tcW w:w="881" w:type="dxa"/>
            <w:tcBorders>
              <w:top w:val="single" w:sz="4" w:space="0" w:color="939598"/>
              <w:left w:val="single" w:sz="4" w:space="0" w:color="939598"/>
              <w:bottom w:val="single" w:sz="4" w:space="0" w:color="939598"/>
              <w:right w:val="single" w:sz="4" w:space="0" w:color="939598"/>
            </w:tcBorders>
          </w:tcPr>
          <w:p w14:paraId="438C1F73"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719F4D39"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07628ABB"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6A70E7B2"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875879C" w14:textId="77777777" w:rsidR="00367616" w:rsidRPr="00CF21FA" w:rsidRDefault="00367616" w:rsidP="00B10F8F">
            <w:pPr>
              <w:pStyle w:val="Table"/>
            </w:pPr>
          </w:p>
        </w:tc>
      </w:tr>
      <w:tr w:rsidR="00367616" w:rsidRPr="00CF21FA" w14:paraId="357BA040" w14:textId="77777777" w:rsidTr="00B10F8F">
        <w:tc>
          <w:tcPr>
            <w:tcW w:w="881" w:type="dxa"/>
            <w:tcBorders>
              <w:top w:val="single" w:sz="4" w:space="0" w:color="939598"/>
              <w:left w:val="single" w:sz="4" w:space="0" w:color="939598"/>
              <w:bottom w:val="single" w:sz="4" w:space="0" w:color="939598"/>
              <w:right w:val="single" w:sz="4" w:space="0" w:color="939598"/>
            </w:tcBorders>
          </w:tcPr>
          <w:p w14:paraId="7639EDE7"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2768A6F0"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74D90DF1"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5F8BEB3"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72B8C572" w14:textId="77777777" w:rsidR="00367616" w:rsidRPr="00CF21FA" w:rsidRDefault="00367616" w:rsidP="00B10F8F">
            <w:pPr>
              <w:pStyle w:val="Table"/>
            </w:pPr>
          </w:p>
        </w:tc>
      </w:tr>
      <w:tr w:rsidR="00367616" w:rsidRPr="00CF21FA" w14:paraId="0745665D" w14:textId="77777777" w:rsidTr="00B10F8F">
        <w:tc>
          <w:tcPr>
            <w:tcW w:w="881" w:type="dxa"/>
            <w:tcBorders>
              <w:top w:val="single" w:sz="4" w:space="0" w:color="939598"/>
              <w:left w:val="single" w:sz="4" w:space="0" w:color="939598"/>
              <w:bottom w:val="single" w:sz="4" w:space="0" w:color="939598"/>
              <w:right w:val="single" w:sz="4" w:space="0" w:color="939598"/>
            </w:tcBorders>
          </w:tcPr>
          <w:p w14:paraId="62BF7836"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66739BF6"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7C331F3B"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504205BB"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FE2B4F9" w14:textId="77777777" w:rsidR="00367616" w:rsidRPr="00CF21FA" w:rsidRDefault="00367616" w:rsidP="00B10F8F">
            <w:pPr>
              <w:pStyle w:val="Table"/>
            </w:pPr>
          </w:p>
        </w:tc>
      </w:tr>
      <w:tr w:rsidR="00367616" w:rsidRPr="00CF21FA" w14:paraId="0ECA053C" w14:textId="77777777" w:rsidTr="00B10F8F">
        <w:tc>
          <w:tcPr>
            <w:tcW w:w="881" w:type="dxa"/>
            <w:tcBorders>
              <w:top w:val="single" w:sz="4" w:space="0" w:color="939598"/>
              <w:left w:val="single" w:sz="4" w:space="0" w:color="939598"/>
              <w:bottom w:val="single" w:sz="4" w:space="0" w:color="939598"/>
              <w:right w:val="single" w:sz="4" w:space="0" w:color="939598"/>
            </w:tcBorders>
          </w:tcPr>
          <w:p w14:paraId="0C74B037"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7398EAD2"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4C756702"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EFDA725"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74021419" w14:textId="77777777" w:rsidR="00367616" w:rsidRPr="00CF21FA" w:rsidRDefault="00367616" w:rsidP="00B10F8F">
            <w:pPr>
              <w:pStyle w:val="Table"/>
            </w:pPr>
          </w:p>
        </w:tc>
      </w:tr>
      <w:tr w:rsidR="00367616" w:rsidRPr="00CF21FA" w14:paraId="69A7714B" w14:textId="77777777" w:rsidTr="00B10F8F">
        <w:tc>
          <w:tcPr>
            <w:tcW w:w="881" w:type="dxa"/>
            <w:tcBorders>
              <w:top w:val="single" w:sz="4" w:space="0" w:color="939598"/>
              <w:left w:val="single" w:sz="4" w:space="0" w:color="939598"/>
              <w:bottom w:val="single" w:sz="4" w:space="0" w:color="939598"/>
              <w:right w:val="single" w:sz="4" w:space="0" w:color="939598"/>
            </w:tcBorders>
          </w:tcPr>
          <w:p w14:paraId="773795E7"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2A7EA738"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57E1E330"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0FD58C18"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E6C3E87" w14:textId="77777777" w:rsidR="00367616" w:rsidRPr="00CF21FA" w:rsidRDefault="00367616" w:rsidP="00B10F8F">
            <w:pPr>
              <w:pStyle w:val="Table"/>
            </w:pPr>
          </w:p>
        </w:tc>
      </w:tr>
      <w:tr w:rsidR="00367616" w:rsidRPr="00CF21FA" w14:paraId="52BF7C6D" w14:textId="77777777" w:rsidTr="00B10F8F">
        <w:tc>
          <w:tcPr>
            <w:tcW w:w="881" w:type="dxa"/>
            <w:tcBorders>
              <w:top w:val="single" w:sz="4" w:space="0" w:color="939598"/>
              <w:left w:val="single" w:sz="4" w:space="0" w:color="939598"/>
              <w:bottom w:val="single" w:sz="4" w:space="0" w:color="939598"/>
              <w:right w:val="single" w:sz="4" w:space="0" w:color="939598"/>
            </w:tcBorders>
          </w:tcPr>
          <w:p w14:paraId="57B2498C"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6DBC7100"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7147F17A"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7007C57C"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75302319" w14:textId="77777777" w:rsidR="00367616" w:rsidRPr="00CF21FA" w:rsidRDefault="00367616" w:rsidP="00B10F8F">
            <w:pPr>
              <w:pStyle w:val="Table"/>
            </w:pPr>
          </w:p>
        </w:tc>
      </w:tr>
      <w:tr w:rsidR="00367616" w:rsidRPr="00CF21FA" w14:paraId="259F74B1" w14:textId="77777777" w:rsidTr="00B10F8F">
        <w:tc>
          <w:tcPr>
            <w:tcW w:w="881" w:type="dxa"/>
            <w:tcBorders>
              <w:top w:val="single" w:sz="4" w:space="0" w:color="939598"/>
              <w:left w:val="single" w:sz="4" w:space="0" w:color="939598"/>
              <w:bottom w:val="single" w:sz="4" w:space="0" w:color="939598"/>
              <w:right w:val="single" w:sz="4" w:space="0" w:color="939598"/>
            </w:tcBorders>
          </w:tcPr>
          <w:p w14:paraId="171555AA"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28841C19"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6F36AD8A"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1FAC8BC2"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397A586F" w14:textId="77777777" w:rsidR="00367616" w:rsidRPr="00CF21FA" w:rsidRDefault="00367616" w:rsidP="00B10F8F">
            <w:pPr>
              <w:pStyle w:val="Table"/>
            </w:pPr>
          </w:p>
        </w:tc>
      </w:tr>
      <w:tr w:rsidR="00367616" w:rsidRPr="00CF21FA" w14:paraId="1630812C" w14:textId="77777777" w:rsidTr="00B10F8F">
        <w:tc>
          <w:tcPr>
            <w:tcW w:w="881" w:type="dxa"/>
            <w:tcBorders>
              <w:top w:val="single" w:sz="4" w:space="0" w:color="939598"/>
              <w:left w:val="single" w:sz="4" w:space="0" w:color="939598"/>
              <w:bottom w:val="single" w:sz="4" w:space="0" w:color="939598"/>
              <w:right w:val="single" w:sz="4" w:space="0" w:color="939598"/>
            </w:tcBorders>
          </w:tcPr>
          <w:p w14:paraId="714C6006"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1A0CA916"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72BF81D6"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37E4EE92"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64A12C61" w14:textId="77777777" w:rsidR="00367616" w:rsidRPr="00CF21FA" w:rsidRDefault="00367616" w:rsidP="00B10F8F">
            <w:pPr>
              <w:pStyle w:val="Table"/>
            </w:pPr>
          </w:p>
        </w:tc>
      </w:tr>
      <w:tr w:rsidR="00367616" w:rsidRPr="00CF21FA" w14:paraId="3B12177A" w14:textId="77777777" w:rsidTr="00B10F8F">
        <w:tc>
          <w:tcPr>
            <w:tcW w:w="881" w:type="dxa"/>
            <w:tcBorders>
              <w:top w:val="single" w:sz="4" w:space="0" w:color="939598"/>
              <w:left w:val="single" w:sz="4" w:space="0" w:color="939598"/>
              <w:bottom w:val="single" w:sz="4" w:space="0" w:color="939598"/>
              <w:right w:val="single" w:sz="4" w:space="0" w:color="939598"/>
            </w:tcBorders>
          </w:tcPr>
          <w:p w14:paraId="5DD83918"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4B132BD4"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39854340"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871C2EB"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4F4F94F3" w14:textId="77777777" w:rsidR="00367616" w:rsidRPr="00CF21FA" w:rsidRDefault="00367616" w:rsidP="00B10F8F">
            <w:pPr>
              <w:pStyle w:val="Table"/>
            </w:pPr>
          </w:p>
        </w:tc>
      </w:tr>
      <w:tr w:rsidR="00367616" w:rsidRPr="00CF21FA" w14:paraId="34A87CBB" w14:textId="77777777" w:rsidTr="00B10F8F">
        <w:tc>
          <w:tcPr>
            <w:tcW w:w="881" w:type="dxa"/>
            <w:tcBorders>
              <w:top w:val="single" w:sz="4" w:space="0" w:color="939598"/>
              <w:left w:val="single" w:sz="4" w:space="0" w:color="939598"/>
              <w:bottom w:val="single" w:sz="4" w:space="0" w:color="939598"/>
              <w:right w:val="single" w:sz="4" w:space="0" w:color="939598"/>
            </w:tcBorders>
          </w:tcPr>
          <w:p w14:paraId="401B7E0F"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79BFDE03"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50B50DC1"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CDD77E9"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674DF478" w14:textId="77777777" w:rsidR="00367616" w:rsidRPr="00CF21FA" w:rsidRDefault="00367616" w:rsidP="00B10F8F">
            <w:pPr>
              <w:pStyle w:val="Table"/>
            </w:pPr>
          </w:p>
        </w:tc>
      </w:tr>
    </w:tbl>
    <w:p w14:paraId="3EC5E34E" w14:textId="77777777" w:rsidR="00367616" w:rsidRPr="00B10F8F" w:rsidRDefault="00367616" w:rsidP="00B10F8F">
      <w:pPr>
        <w:pStyle w:val="Body"/>
        <w:rPr>
          <w:sz w:val="23"/>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2"/>
        <w:gridCol w:w="7676"/>
        <w:gridCol w:w="1743"/>
      </w:tblGrid>
      <w:tr w:rsidR="00367616" w:rsidRPr="008907EB" w14:paraId="57F11BB0" w14:textId="77777777" w:rsidTr="00B45DAC">
        <w:tc>
          <w:tcPr>
            <w:tcW w:w="10301" w:type="dxa"/>
            <w:gridSpan w:val="3"/>
            <w:tcBorders>
              <w:bottom w:val="single" w:sz="4" w:space="0" w:color="939598"/>
            </w:tcBorders>
            <w:shd w:val="clear" w:color="auto" w:fill="051C3C"/>
          </w:tcPr>
          <w:p w14:paraId="48AE0B37" w14:textId="77777777" w:rsidR="00367616" w:rsidRPr="00AE2EA6" w:rsidRDefault="00367616" w:rsidP="008907EB">
            <w:pPr>
              <w:pStyle w:val="Tableheading"/>
              <w:keepNext/>
              <w:rPr>
                <w:sz w:val="18"/>
              </w:rPr>
            </w:pPr>
            <w:r w:rsidRPr="00AE2EA6">
              <w:rPr>
                <w:color w:val="FFFFFF" w:themeColor="background1"/>
                <w:sz w:val="18"/>
              </w:rPr>
              <w:t>Points for Partner Review</w:t>
            </w:r>
          </w:p>
        </w:tc>
      </w:tr>
      <w:tr w:rsidR="00367616" w:rsidRPr="00CF21FA" w14:paraId="0E6D1D22" w14:textId="77777777" w:rsidTr="00133F4E">
        <w:tc>
          <w:tcPr>
            <w:tcW w:w="88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7C01F8E" w14:textId="77777777" w:rsidR="00367616" w:rsidRPr="00361F33" w:rsidRDefault="00367616" w:rsidP="00B10F8F">
            <w:pPr>
              <w:pStyle w:val="Tableheading"/>
              <w:spacing w:after="60"/>
              <w:rPr>
                <w:b w:val="0"/>
              </w:rPr>
            </w:pPr>
            <w:r w:rsidRPr="00361F33">
              <w:rPr>
                <w:b w:val="0"/>
              </w:rPr>
              <w:t>Date</w:t>
            </w:r>
          </w:p>
        </w:tc>
        <w:tc>
          <w:tcPr>
            <w:tcW w:w="767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08764A7" w14:textId="77777777" w:rsidR="00367616" w:rsidRPr="00361F33" w:rsidRDefault="00367616" w:rsidP="00B10F8F">
            <w:pPr>
              <w:pStyle w:val="Tableheading"/>
              <w:spacing w:after="60"/>
              <w:rPr>
                <w:b w:val="0"/>
              </w:rPr>
            </w:pPr>
            <w:r w:rsidRPr="00361F33">
              <w:rPr>
                <w:b w:val="0"/>
              </w:rPr>
              <w:t>Review Point</w:t>
            </w:r>
          </w:p>
        </w:tc>
        <w:tc>
          <w:tcPr>
            <w:tcW w:w="17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52D1AE1" w14:textId="77777777" w:rsidR="00367616" w:rsidRPr="00361F33" w:rsidRDefault="00367616" w:rsidP="00B10F8F">
            <w:pPr>
              <w:pStyle w:val="Tableheading"/>
              <w:spacing w:after="60"/>
              <w:rPr>
                <w:b w:val="0"/>
              </w:rPr>
            </w:pPr>
            <w:r w:rsidRPr="00361F33">
              <w:rPr>
                <w:b w:val="0"/>
              </w:rPr>
              <w:t>Checked By</w:t>
            </w:r>
          </w:p>
        </w:tc>
      </w:tr>
      <w:tr w:rsidR="00367616" w:rsidRPr="00CF21FA" w14:paraId="2D1F9661" w14:textId="77777777" w:rsidTr="00B10F8F">
        <w:tc>
          <w:tcPr>
            <w:tcW w:w="882" w:type="dxa"/>
            <w:tcBorders>
              <w:top w:val="single" w:sz="4" w:space="0" w:color="939598"/>
            </w:tcBorders>
          </w:tcPr>
          <w:p w14:paraId="0B0355CE" w14:textId="77777777" w:rsidR="00367616" w:rsidRPr="00CF21FA" w:rsidRDefault="00367616" w:rsidP="00B10F8F">
            <w:pPr>
              <w:pStyle w:val="Table"/>
            </w:pPr>
          </w:p>
        </w:tc>
        <w:tc>
          <w:tcPr>
            <w:tcW w:w="7676" w:type="dxa"/>
            <w:tcBorders>
              <w:top w:val="single" w:sz="4" w:space="0" w:color="939598"/>
            </w:tcBorders>
          </w:tcPr>
          <w:p w14:paraId="19FF7902" w14:textId="77777777" w:rsidR="00367616" w:rsidRPr="00CF21FA" w:rsidRDefault="00367616" w:rsidP="00B10F8F">
            <w:pPr>
              <w:pStyle w:val="Table"/>
            </w:pPr>
          </w:p>
        </w:tc>
        <w:tc>
          <w:tcPr>
            <w:tcW w:w="1743" w:type="dxa"/>
            <w:tcBorders>
              <w:top w:val="single" w:sz="4" w:space="0" w:color="939598"/>
            </w:tcBorders>
          </w:tcPr>
          <w:p w14:paraId="78D20BE7" w14:textId="77777777" w:rsidR="00367616" w:rsidRPr="00CF21FA" w:rsidRDefault="00367616" w:rsidP="00B10F8F">
            <w:pPr>
              <w:pStyle w:val="Table"/>
            </w:pPr>
          </w:p>
        </w:tc>
      </w:tr>
      <w:tr w:rsidR="00367616" w:rsidRPr="00CF21FA" w14:paraId="797BA6FF" w14:textId="77777777" w:rsidTr="008907EB">
        <w:tc>
          <w:tcPr>
            <w:tcW w:w="882" w:type="dxa"/>
          </w:tcPr>
          <w:p w14:paraId="2FD8CBA6" w14:textId="77777777" w:rsidR="00367616" w:rsidRPr="00CF21FA" w:rsidRDefault="00367616" w:rsidP="00B10F8F">
            <w:pPr>
              <w:pStyle w:val="Table"/>
            </w:pPr>
          </w:p>
        </w:tc>
        <w:tc>
          <w:tcPr>
            <w:tcW w:w="7676" w:type="dxa"/>
          </w:tcPr>
          <w:p w14:paraId="2B0972ED" w14:textId="77777777" w:rsidR="00367616" w:rsidRPr="00CF21FA" w:rsidRDefault="00367616" w:rsidP="00B10F8F">
            <w:pPr>
              <w:pStyle w:val="Table"/>
            </w:pPr>
          </w:p>
        </w:tc>
        <w:tc>
          <w:tcPr>
            <w:tcW w:w="1743" w:type="dxa"/>
          </w:tcPr>
          <w:p w14:paraId="248ABCD9" w14:textId="77777777" w:rsidR="00367616" w:rsidRPr="00CF21FA" w:rsidRDefault="00367616" w:rsidP="00B10F8F">
            <w:pPr>
              <w:pStyle w:val="Table"/>
            </w:pPr>
          </w:p>
        </w:tc>
      </w:tr>
      <w:tr w:rsidR="00367616" w:rsidRPr="00CF21FA" w14:paraId="04F309EF" w14:textId="77777777" w:rsidTr="008907EB">
        <w:tc>
          <w:tcPr>
            <w:tcW w:w="882" w:type="dxa"/>
          </w:tcPr>
          <w:p w14:paraId="17C2807F" w14:textId="77777777" w:rsidR="00367616" w:rsidRPr="00CF21FA" w:rsidRDefault="00367616" w:rsidP="00B10F8F">
            <w:pPr>
              <w:pStyle w:val="Table"/>
            </w:pPr>
          </w:p>
        </w:tc>
        <w:tc>
          <w:tcPr>
            <w:tcW w:w="7676" w:type="dxa"/>
          </w:tcPr>
          <w:p w14:paraId="1BC8455B" w14:textId="77777777" w:rsidR="00367616" w:rsidRPr="00CF21FA" w:rsidRDefault="00367616" w:rsidP="00B10F8F">
            <w:pPr>
              <w:pStyle w:val="Table"/>
            </w:pPr>
          </w:p>
        </w:tc>
        <w:tc>
          <w:tcPr>
            <w:tcW w:w="1743" w:type="dxa"/>
          </w:tcPr>
          <w:p w14:paraId="6D1976E4" w14:textId="77777777" w:rsidR="00367616" w:rsidRPr="00CF21FA" w:rsidRDefault="00367616" w:rsidP="00B10F8F">
            <w:pPr>
              <w:pStyle w:val="Table"/>
            </w:pPr>
          </w:p>
        </w:tc>
      </w:tr>
      <w:tr w:rsidR="00367616" w:rsidRPr="00CF21FA" w14:paraId="2B3D0E9A" w14:textId="77777777" w:rsidTr="008907EB">
        <w:tc>
          <w:tcPr>
            <w:tcW w:w="882" w:type="dxa"/>
          </w:tcPr>
          <w:p w14:paraId="7AD0C819" w14:textId="77777777" w:rsidR="00367616" w:rsidRPr="00CF21FA" w:rsidRDefault="00367616" w:rsidP="00B10F8F">
            <w:pPr>
              <w:pStyle w:val="Table"/>
            </w:pPr>
          </w:p>
        </w:tc>
        <w:tc>
          <w:tcPr>
            <w:tcW w:w="7676" w:type="dxa"/>
          </w:tcPr>
          <w:p w14:paraId="369962B7" w14:textId="77777777" w:rsidR="00367616" w:rsidRPr="00CF21FA" w:rsidRDefault="00367616" w:rsidP="00B10F8F">
            <w:pPr>
              <w:pStyle w:val="Table"/>
            </w:pPr>
          </w:p>
        </w:tc>
        <w:tc>
          <w:tcPr>
            <w:tcW w:w="1743" w:type="dxa"/>
          </w:tcPr>
          <w:p w14:paraId="356CD53B" w14:textId="77777777" w:rsidR="00367616" w:rsidRPr="00CF21FA" w:rsidRDefault="00367616" w:rsidP="00B10F8F">
            <w:pPr>
              <w:pStyle w:val="Table"/>
            </w:pPr>
          </w:p>
        </w:tc>
      </w:tr>
      <w:tr w:rsidR="00367616" w:rsidRPr="00CF21FA" w14:paraId="36812AC4" w14:textId="77777777" w:rsidTr="008907EB">
        <w:tc>
          <w:tcPr>
            <w:tcW w:w="882" w:type="dxa"/>
          </w:tcPr>
          <w:p w14:paraId="6065FF70" w14:textId="77777777" w:rsidR="00367616" w:rsidRPr="00CF21FA" w:rsidRDefault="00367616" w:rsidP="00B10F8F">
            <w:pPr>
              <w:pStyle w:val="Table"/>
            </w:pPr>
          </w:p>
        </w:tc>
        <w:tc>
          <w:tcPr>
            <w:tcW w:w="7676" w:type="dxa"/>
          </w:tcPr>
          <w:p w14:paraId="44054F31" w14:textId="77777777" w:rsidR="00367616" w:rsidRPr="00CF21FA" w:rsidRDefault="00367616" w:rsidP="00B10F8F">
            <w:pPr>
              <w:pStyle w:val="Table"/>
            </w:pPr>
          </w:p>
        </w:tc>
        <w:tc>
          <w:tcPr>
            <w:tcW w:w="1743" w:type="dxa"/>
          </w:tcPr>
          <w:p w14:paraId="1ABBED09" w14:textId="77777777" w:rsidR="00367616" w:rsidRPr="00CF21FA" w:rsidRDefault="00367616" w:rsidP="00B10F8F">
            <w:pPr>
              <w:pStyle w:val="Table"/>
            </w:pPr>
          </w:p>
        </w:tc>
      </w:tr>
      <w:tr w:rsidR="00367616" w:rsidRPr="00CF21FA" w14:paraId="516C565A" w14:textId="77777777" w:rsidTr="008907EB">
        <w:tc>
          <w:tcPr>
            <w:tcW w:w="882" w:type="dxa"/>
          </w:tcPr>
          <w:p w14:paraId="14527966" w14:textId="77777777" w:rsidR="00367616" w:rsidRPr="00CF21FA" w:rsidRDefault="00367616" w:rsidP="00B10F8F">
            <w:pPr>
              <w:pStyle w:val="Table"/>
            </w:pPr>
          </w:p>
        </w:tc>
        <w:tc>
          <w:tcPr>
            <w:tcW w:w="7676" w:type="dxa"/>
          </w:tcPr>
          <w:p w14:paraId="3B07E984" w14:textId="77777777" w:rsidR="00367616" w:rsidRPr="00CF21FA" w:rsidRDefault="00367616" w:rsidP="00B10F8F">
            <w:pPr>
              <w:pStyle w:val="Table"/>
            </w:pPr>
          </w:p>
        </w:tc>
        <w:tc>
          <w:tcPr>
            <w:tcW w:w="1743" w:type="dxa"/>
          </w:tcPr>
          <w:p w14:paraId="39962DEB" w14:textId="77777777" w:rsidR="00367616" w:rsidRPr="00CF21FA" w:rsidRDefault="00367616" w:rsidP="00B10F8F">
            <w:pPr>
              <w:pStyle w:val="Table"/>
            </w:pPr>
          </w:p>
        </w:tc>
      </w:tr>
      <w:tr w:rsidR="00367616" w:rsidRPr="00CF21FA" w14:paraId="4DD3CE13" w14:textId="77777777" w:rsidTr="008907EB">
        <w:tc>
          <w:tcPr>
            <w:tcW w:w="882" w:type="dxa"/>
          </w:tcPr>
          <w:p w14:paraId="4439AD8F" w14:textId="77777777" w:rsidR="00367616" w:rsidRPr="00CF21FA" w:rsidRDefault="00367616" w:rsidP="00B10F8F">
            <w:pPr>
              <w:pStyle w:val="Table"/>
            </w:pPr>
          </w:p>
        </w:tc>
        <w:tc>
          <w:tcPr>
            <w:tcW w:w="7676" w:type="dxa"/>
          </w:tcPr>
          <w:p w14:paraId="73C4323E" w14:textId="77777777" w:rsidR="00367616" w:rsidRPr="00CF21FA" w:rsidRDefault="00367616" w:rsidP="00B10F8F">
            <w:pPr>
              <w:pStyle w:val="Table"/>
            </w:pPr>
          </w:p>
        </w:tc>
        <w:tc>
          <w:tcPr>
            <w:tcW w:w="1743" w:type="dxa"/>
          </w:tcPr>
          <w:p w14:paraId="48C878EC" w14:textId="77777777" w:rsidR="00367616" w:rsidRPr="00CF21FA" w:rsidRDefault="00367616" w:rsidP="00B10F8F">
            <w:pPr>
              <w:pStyle w:val="Table"/>
            </w:pPr>
          </w:p>
        </w:tc>
      </w:tr>
      <w:tr w:rsidR="00367616" w:rsidRPr="00CF21FA" w14:paraId="62141754" w14:textId="77777777" w:rsidTr="008907EB">
        <w:tc>
          <w:tcPr>
            <w:tcW w:w="882" w:type="dxa"/>
          </w:tcPr>
          <w:p w14:paraId="51958EA9" w14:textId="77777777" w:rsidR="00367616" w:rsidRPr="00CF21FA" w:rsidRDefault="00367616" w:rsidP="00B10F8F">
            <w:pPr>
              <w:pStyle w:val="Table"/>
            </w:pPr>
          </w:p>
        </w:tc>
        <w:tc>
          <w:tcPr>
            <w:tcW w:w="7676" w:type="dxa"/>
          </w:tcPr>
          <w:p w14:paraId="718EC87A" w14:textId="77777777" w:rsidR="00367616" w:rsidRPr="00CF21FA" w:rsidRDefault="00367616" w:rsidP="00B10F8F">
            <w:pPr>
              <w:pStyle w:val="Table"/>
            </w:pPr>
          </w:p>
        </w:tc>
        <w:tc>
          <w:tcPr>
            <w:tcW w:w="1743" w:type="dxa"/>
          </w:tcPr>
          <w:p w14:paraId="0DADDD6B" w14:textId="77777777" w:rsidR="00367616" w:rsidRPr="00CF21FA" w:rsidRDefault="00367616" w:rsidP="00B10F8F">
            <w:pPr>
              <w:pStyle w:val="Table"/>
            </w:pPr>
          </w:p>
        </w:tc>
      </w:tr>
    </w:tbl>
    <w:p w14:paraId="37CFD9F7" w14:textId="77777777" w:rsidR="00367616" w:rsidRPr="00B10F8F" w:rsidRDefault="00367616" w:rsidP="00B10F8F">
      <w:pPr>
        <w:pStyle w:val="Body"/>
        <w:rPr>
          <w:sz w:val="23"/>
        </w:rPr>
      </w:pPr>
    </w:p>
    <w:sectPr w:rsidR="00367616" w:rsidRPr="00B10F8F" w:rsidSect="005F16DB">
      <w:headerReference w:type="default" r:id="rId21"/>
      <w:footerReference w:type="default" r:id="rId22"/>
      <w:pgSz w:w="11899" w:h="16838" w:code="9"/>
      <w:pgMar w:top="947" w:right="907" w:bottom="907" w:left="907" w:header="284" w:footer="102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01B8B" w14:textId="77777777" w:rsidR="00EC2D37" w:rsidRDefault="00EC2D37" w:rsidP="007132DC">
      <w:r>
        <w:separator/>
      </w:r>
    </w:p>
  </w:endnote>
  <w:endnote w:type="continuationSeparator" w:id="0">
    <w:p w14:paraId="44E2FB9A" w14:textId="77777777" w:rsidR="00EC2D37" w:rsidRDefault="00EC2D37"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A62C" w14:textId="77777777" w:rsidR="00EC2D37" w:rsidRDefault="00EC2D37" w:rsidP="003E71B4">
    <w:pPr>
      <w:pStyle w:val="Header"/>
      <w:jc w:val="right"/>
    </w:pPr>
  </w:p>
  <w:p w14:paraId="2CFC9471" w14:textId="77777777" w:rsidR="00EC2D37" w:rsidRDefault="00EC2D37"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740E" w14:textId="77777777" w:rsidR="00EC2D37" w:rsidRDefault="00EC2D37"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4CAB" w14:textId="60B548EA" w:rsidR="00EC2D37" w:rsidRDefault="00EC2D37" w:rsidP="00AC6482">
    <w:pPr>
      <w:pStyle w:val="Header"/>
      <w:ind w:right="446"/>
      <w:jc w:val="right"/>
    </w:pPr>
    <w:r>
      <w:fldChar w:fldCharType="begin"/>
    </w:r>
    <w:r>
      <w:instrText xml:space="preserve"> PAGE   \* MERGEFORMAT </w:instrText>
    </w:r>
    <w:r>
      <w:fldChar w:fldCharType="separate"/>
    </w:r>
    <w:r w:rsidR="007E61A9">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88828" w14:textId="77777777" w:rsidR="00EC2D37" w:rsidRDefault="00EC2D37" w:rsidP="007132DC">
      <w:r>
        <w:separator/>
      </w:r>
    </w:p>
  </w:footnote>
  <w:footnote w:type="continuationSeparator" w:id="0">
    <w:p w14:paraId="6E28332B" w14:textId="77777777" w:rsidR="00EC2D37" w:rsidRDefault="00EC2D37"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B918" w14:textId="17B33586" w:rsidR="00EC2D37" w:rsidRDefault="00EC2D37" w:rsidP="00CF4387">
    <w:pPr>
      <w:pStyle w:val="Header"/>
    </w:pPr>
    <w:r>
      <w:rPr>
        <w:noProof/>
        <w:lang w:eastAsia="zh-CN"/>
      </w:rPr>
      <mc:AlternateContent>
        <mc:Choice Requires="wps">
          <w:drawing>
            <wp:anchor distT="0" distB="0" distL="114300" distR="114300" simplePos="0" relativeHeight="251660288" behindDoc="0" locked="0" layoutInCell="1" allowOverlap="1" wp14:anchorId="51191644" wp14:editId="2B778BF4">
              <wp:simplePos x="0" y="0"/>
              <wp:positionH relativeFrom="column">
                <wp:posOffset>-13970</wp:posOffset>
              </wp:positionH>
              <wp:positionV relativeFrom="paragraph">
                <wp:posOffset>7858760</wp:posOffset>
              </wp:positionV>
              <wp:extent cx="6467475" cy="1257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57300"/>
                      </a:xfrm>
                      <a:prstGeom prst="rect">
                        <a:avLst/>
                      </a:prstGeom>
                      <a:solidFill>
                        <a:srgbClr val="00234B"/>
                      </a:solidFill>
                      <a:ln w="9525">
                        <a:solidFill>
                          <a:srgbClr val="00234B"/>
                        </a:solidFill>
                        <a:miter lim="800000"/>
                        <a:headEnd/>
                        <a:tailEnd/>
                      </a:ln>
                    </wps:spPr>
                    <wps:txbx>
                      <w:txbxContent>
                        <w:p w14:paraId="39CC2C67" w14:textId="77777777" w:rsidR="00EC2D37" w:rsidRPr="00531149" w:rsidRDefault="00EC2D37" w:rsidP="00531149">
                          <w:pPr>
                            <w:rPr>
                              <w:sz w:val="72"/>
                            </w:rPr>
                          </w:pPr>
                          <w:r w:rsidRPr="00531149">
                            <w:rPr>
                              <w:sz w:val="72"/>
                            </w:rPr>
                            <w:t>TAX PLANNING CHECKLIST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1pt;margin-top:618.8pt;width:509.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" fillcolor="#00234b" strokecolor="#00234b">
              <v:textbox>
                <w:txbxContent>
                  <w:p w14:paraId="39CC2C67" w14:textId="77777777" w:rsidR="00EC2D37" w:rsidRPr="00531149" w:rsidRDefault="00EC2D37" w:rsidP="00531149">
                    <w:pPr>
                      <w:rPr>
                        <w:sz w:val="72"/>
                      </w:rPr>
                    </w:pPr>
                    <w:r w:rsidRPr="00531149">
                      <w:rPr>
                        <w:sz w:val="72"/>
                      </w:rPr>
                      <w:t>TAX PLANNING CHECKLIST 2017</w:t>
                    </w:r>
                  </w:p>
                </w:txbxContent>
              </v:textbox>
            </v:shape>
          </w:pict>
        </mc:Fallback>
      </mc:AlternateContent>
    </w:r>
    <w:r>
      <w:rPr>
        <w:noProof/>
        <w:lang w:eastAsia="zh-CN"/>
      </w:rPr>
      <w:drawing>
        <wp:anchor distT="0" distB="0" distL="114300" distR="114300" simplePos="0" relativeHeight="251658240" behindDoc="0" locked="0" layoutInCell="1" allowOverlap="1" wp14:anchorId="6F5F5506" wp14:editId="4F152C61">
          <wp:simplePos x="0" y="0"/>
          <wp:positionH relativeFrom="column">
            <wp:posOffset>-575945</wp:posOffset>
          </wp:positionH>
          <wp:positionV relativeFrom="paragraph">
            <wp:posOffset>-180340</wp:posOffset>
          </wp:positionV>
          <wp:extent cx="7588885" cy="10734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0734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71DA" w14:textId="77777777" w:rsidR="00EC2D37" w:rsidRDefault="00EC2D37" w:rsidP="007132DC">
    <w:pPr>
      <w:pStyle w:val="Header"/>
      <w:tabs>
        <w:tab w:val="clear" w:pos="4320"/>
        <w:tab w:val="clear" w:pos="8640"/>
        <w:tab w:val="left" w:pos="1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EC2D37" w:rsidRPr="00A10254" w14:paraId="072B9AFB" w14:textId="77777777" w:rsidTr="00040539">
      <w:tc>
        <w:tcPr>
          <w:tcW w:w="10301" w:type="dxa"/>
        </w:tcPr>
        <w:p w14:paraId="5FA63AD3" w14:textId="77777777" w:rsidR="00EC2D37" w:rsidRPr="00A10254" w:rsidRDefault="00EC2D37">
          <w:pPr>
            <w:pStyle w:val="Header"/>
            <w:rPr>
              <w:color w:val="051C3C"/>
            </w:rPr>
          </w:pPr>
        </w:p>
      </w:tc>
    </w:tr>
  </w:tbl>
  <w:p w14:paraId="2EE538FF" w14:textId="67475C81" w:rsidR="00EC2D37" w:rsidRPr="00A10254" w:rsidRDefault="00EC2D37" w:rsidP="004816EF">
    <w:pPr>
      <w:pStyle w:val="BodyHeading"/>
      <w:spacing w:before="720"/>
      <w:ind w:left="-112"/>
      <w:rPr>
        <w:color w:val="051C3C"/>
        <w:sz w:val="40"/>
      </w:rPr>
    </w:pPr>
    <w:r w:rsidRPr="00A10254">
      <w:rPr>
        <w:color w:val="051C3C"/>
        <w:sz w:val="40"/>
      </w:rPr>
      <w:t>Tax Planning Checklist 201</w:t>
    </w:r>
    <w:r>
      <w:rPr>
        <w:color w:val="051C3C"/>
        <w:sz w:val="4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2C00F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9004CE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55E0FAE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25CC87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136EA0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4C492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33641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3E2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3019D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2C6510"/>
    <w:multiLevelType w:val="multilevel"/>
    <w:tmpl w:val="B9C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4209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AE1593"/>
    <w:multiLevelType w:val="hybridMultilevel"/>
    <w:tmpl w:val="BC0A6D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23E1A40"/>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1CA473EC"/>
    <w:multiLevelType w:val="hybridMultilevel"/>
    <w:tmpl w:val="EE6A0F1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4034351"/>
    <w:multiLevelType w:val="hybridMultilevel"/>
    <w:tmpl w:val="BF8AB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13419DA"/>
    <w:multiLevelType w:val="hybridMultilevel"/>
    <w:tmpl w:val="10107FE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2">
    <w:nsid w:val="4159474A"/>
    <w:multiLevelType w:val="hybridMultilevel"/>
    <w:tmpl w:val="3E92B0C4"/>
    <w:lvl w:ilvl="0" w:tplc="F4169CA6">
      <w:start w:val="1"/>
      <w:numFmt w:val="lowerLetter"/>
      <w:pStyle w:val="Tablealphabullet"/>
      <w:lvlText w:val="%1."/>
      <w:lvlJc w:val="left"/>
      <w:pPr>
        <w:ind w:left="644" w:hanging="360"/>
      </w:pPr>
      <w:rPr>
        <w:rFonts w:cs="Times New Roman" w:hint="default"/>
        <w:color w:val="000000"/>
        <w:sz w:val="17"/>
        <w:u w:val="none"/>
        <w:effect w:val="none"/>
      </w:rPr>
    </w:lvl>
    <w:lvl w:ilvl="1" w:tplc="08090003">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F95DD4"/>
    <w:multiLevelType w:val="hybridMultilevel"/>
    <w:tmpl w:val="6F824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2F02112"/>
    <w:multiLevelType w:val="hybridMultilevel"/>
    <w:tmpl w:val="E66A3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4897308"/>
    <w:multiLevelType w:val="hybridMultilevel"/>
    <w:tmpl w:val="8BCC8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8">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B8A3925"/>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9"/>
  </w:num>
  <w:num w:numId="14">
    <w:abstractNumId w:val="24"/>
  </w:num>
  <w:num w:numId="15">
    <w:abstractNumId w:val="18"/>
  </w:num>
  <w:num w:numId="16">
    <w:abstractNumId w:val="20"/>
  </w:num>
  <w:num w:numId="17">
    <w:abstractNumId w:val="40"/>
  </w:num>
  <w:num w:numId="18">
    <w:abstractNumId w:val="40"/>
  </w:num>
  <w:num w:numId="19">
    <w:abstractNumId w:val="0"/>
  </w:num>
  <w:num w:numId="20">
    <w:abstractNumId w:val="27"/>
  </w:num>
  <w:num w:numId="21">
    <w:abstractNumId w:val="31"/>
  </w:num>
  <w:num w:numId="22">
    <w:abstractNumId w:val="26"/>
  </w:num>
  <w:num w:numId="23">
    <w:abstractNumId w:val="29"/>
  </w:num>
  <w:num w:numId="24">
    <w:abstractNumId w:val="32"/>
  </w:num>
  <w:num w:numId="25">
    <w:abstractNumId w:val="14"/>
  </w:num>
  <w:num w:numId="26">
    <w:abstractNumId w:val="38"/>
  </w:num>
  <w:num w:numId="27">
    <w:abstractNumId w:val="30"/>
  </w:num>
  <w:num w:numId="28">
    <w:abstractNumId w:val="25"/>
  </w:num>
  <w:num w:numId="29">
    <w:abstractNumId w:val="23"/>
  </w:num>
  <w:num w:numId="30">
    <w:abstractNumId w:val="22"/>
  </w:num>
  <w:num w:numId="31">
    <w:abstractNumId w:val="28"/>
  </w:num>
  <w:num w:numId="32">
    <w:abstractNumId w:val="37"/>
  </w:num>
  <w:num w:numId="33">
    <w:abstractNumId w:val="29"/>
  </w:num>
  <w:num w:numId="34">
    <w:abstractNumId w:val="36"/>
  </w:num>
  <w:num w:numId="35">
    <w:abstractNumId w:val="22"/>
    <w:lvlOverride w:ilvl="0">
      <w:startOverride w:val="1"/>
    </w:lvlOverride>
  </w:num>
  <w:num w:numId="36">
    <w:abstractNumId w:val="22"/>
    <w:lvlOverride w:ilvl="0">
      <w:startOverride w:val="1"/>
    </w:lvlOverride>
  </w:num>
  <w:num w:numId="37">
    <w:abstractNumId w:val="22"/>
  </w:num>
  <w:num w:numId="38">
    <w:abstractNumId w:val="22"/>
    <w:lvlOverride w:ilvl="0">
      <w:startOverride w:val="1"/>
    </w:lvlOverride>
  </w:num>
  <w:num w:numId="39">
    <w:abstractNumId w:val="22"/>
  </w:num>
  <w:num w:numId="40">
    <w:abstractNumId w:val="12"/>
  </w:num>
  <w:num w:numId="41">
    <w:abstractNumId w:val="22"/>
  </w:num>
  <w:num w:numId="42">
    <w:abstractNumId w:val="39"/>
  </w:num>
  <w:num w:numId="43">
    <w:abstractNumId w:val="22"/>
  </w:num>
  <w:num w:numId="44">
    <w:abstractNumId w:val="15"/>
  </w:num>
  <w:num w:numId="45">
    <w:abstractNumId w:val="22"/>
  </w:num>
  <w:num w:numId="46">
    <w:abstractNumId w:val="22"/>
  </w:num>
  <w:num w:numId="47">
    <w:abstractNumId w:val="22"/>
    <w:lvlOverride w:ilvl="0">
      <w:startOverride w:val="1"/>
    </w:lvlOverride>
  </w:num>
  <w:num w:numId="48">
    <w:abstractNumId w:val="22"/>
  </w:num>
  <w:num w:numId="49">
    <w:abstractNumId w:val="22"/>
    <w:lvlOverride w:ilvl="0">
      <w:startOverride w:val="1"/>
    </w:lvlOverride>
  </w:num>
  <w:num w:numId="50">
    <w:abstractNumId w:val="13"/>
  </w:num>
  <w:num w:numId="51">
    <w:abstractNumId w:val="21"/>
  </w:num>
  <w:num w:numId="52">
    <w:abstractNumId w:val="17"/>
  </w:num>
  <w:num w:numId="53">
    <w:abstractNumId w:val="11"/>
  </w:num>
  <w:num w:numId="54">
    <w:abstractNumId w:val="29"/>
  </w:num>
  <w:num w:numId="55">
    <w:abstractNumId w:val="29"/>
  </w:num>
  <w:num w:numId="56">
    <w:abstractNumId w:val="35"/>
  </w:num>
  <w:num w:numId="57">
    <w:abstractNumId w:val="33"/>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19"/>
  </w:num>
  <w:num w:numId="67">
    <w:abstractNumId w:val="34"/>
  </w:num>
  <w:num w:numId="68">
    <w:abstractNumId w:val="29"/>
  </w:num>
  <w:num w:numId="69">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0"/>
    <w:rsid w:val="00000A6B"/>
    <w:rsid w:val="000054EC"/>
    <w:rsid w:val="000143CA"/>
    <w:rsid w:val="0002678A"/>
    <w:rsid w:val="0003419A"/>
    <w:rsid w:val="00040539"/>
    <w:rsid w:val="00042169"/>
    <w:rsid w:val="00050E73"/>
    <w:rsid w:val="00051700"/>
    <w:rsid w:val="00053212"/>
    <w:rsid w:val="00061533"/>
    <w:rsid w:val="00062E63"/>
    <w:rsid w:val="00063A55"/>
    <w:rsid w:val="0006488A"/>
    <w:rsid w:val="000703A7"/>
    <w:rsid w:val="00070D23"/>
    <w:rsid w:val="000760BB"/>
    <w:rsid w:val="000820B3"/>
    <w:rsid w:val="00087A76"/>
    <w:rsid w:val="00090483"/>
    <w:rsid w:val="00090FE3"/>
    <w:rsid w:val="0009445A"/>
    <w:rsid w:val="000A401A"/>
    <w:rsid w:val="000A49BA"/>
    <w:rsid w:val="000A6854"/>
    <w:rsid w:val="000B4295"/>
    <w:rsid w:val="000C1716"/>
    <w:rsid w:val="000C3EAF"/>
    <w:rsid w:val="000C60D3"/>
    <w:rsid w:val="000C7CBF"/>
    <w:rsid w:val="000D19B8"/>
    <w:rsid w:val="000D7B7A"/>
    <w:rsid w:val="000E40C2"/>
    <w:rsid w:val="000F439E"/>
    <w:rsid w:val="000F731E"/>
    <w:rsid w:val="001016BE"/>
    <w:rsid w:val="001035F8"/>
    <w:rsid w:val="0010450B"/>
    <w:rsid w:val="00110415"/>
    <w:rsid w:val="00112FC6"/>
    <w:rsid w:val="001251BD"/>
    <w:rsid w:val="001255B4"/>
    <w:rsid w:val="00133F4E"/>
    <w:rsid w:val="001528F5"/>
    <w:rsid w:val="001602F0"/>
    <w:rsid w:val="00161668"/>
    <w:rsid w:val="001759A0"/>
    <w:rsid w:val="00184E12"/>
    <w:rsid w:val="001935D4"/>
    <w:rsid w:val="001A06E0"/>
    <w:rsid w:val="001A083C"/>
    <w:rsid w:val="001A499B"/>
    <w:rsid w:val="001A6D88"/>
    <w:rsid w:val="001B3449"/>
    <w:rsid w:val="001C1143"/>
    <w:rsid w:val="001D0A83"/>
    <w:rsid w:val="001D1019"/>
    <w:rsid w:val="001D32AB"/>
    <w:rsid w:val="001D3D54"/>
    <w:rsid w:val="001D4E5C"/>
    <w:rsid w:val="001D5211"/>
    <w:rsid w:val="001D6845"/>
    <w:rsid w:val="001E5F05"/>
    <w:rsid w:val="001E7F2A"/>
    <w:rsid w:val="001F2E3A"/>
    <w:rsid w:val="001F404B"/>
    <w:rsid w:val="00207F9C"/>
    <w:rsid w:val="00210651"/>
    <w:rsid w:val="00214673"/>
    <w:rsid w:val="0021595D"/>
    <w:rsid w:val="00220DF3"/>
    <w:rsid w:val="002252BE"/>
    <w:rsid w:val="00225967"/>
    <w:rsid w:val="00231098"/>
    <w:rsid w:val="002417B5"/>
    <w:rsid w:val="0024379B"/>
    <w:rsid w:val="002536F1"/>
    <w:rsid w:val="002537B5"/>
    <w:rsid w:val="0026206D"/>
    <w:rsid w:val="002645F3"/>
    <w:rsid w:val="00265D9F"/>
    <w:rsid w:val="00270FF8"/>
    <w:rsid w:val="00272E14"/>
    <w:rsid w:val="0028050E"/>
    <w:rsid w:val="00281C87"/>
    <w:rsid w:val="002833DD"/>
    <w:rsid w:val="00284C6A"/>
    <w:rsid w:val="00285DA9"/>
    <w:rsid w:val="00294357"/>
    <w:rsid w:val="002A6071"/>
    <w:rsid w:val="002A7E7E"/>
    <w:rsid w:val="002B1CE7"/>
    <w:rsid w:val="002B3EEE"/>
    <w:rsid w:val="002B4B40"/>
    <w:rsid w:val="002B54BF"/>
    <w:rsid w:val="002C7914"/>
    <w:rsid w:val="002E502C"/>
    <w:rsid w:val="002E7E7E"/>
    <w:rsid w:val="002F20EC"/>
    <w:rsid w:val="002F5A60"/>
    <w:rsid w:val="00303C02"/>
    <w:rsid w:val="00310B6A"/>
    <w:rsid w:val="00315AED"/>
    <w:rsid w:val="00321755"/>
    <w:rsid w:val="00327BAD"/>
    <w:rsid w:val="003304B6"/>
    <w:rsid w:val="003448ED"/>
    <w:rsid w:val="003530BC"/>
    <w:rsid w:val="00355BC0"/>
    <w:rsid w:val="0035696D"/>
    <w:rsid w:val="0036036D"/>
    <w:rsid w:val="00361F33"/>
    <w:rsid w:val="003631BE"/>
    <w:rsid w:val="00363282"/>
    <w:rsid w:val="0036588E"/>
    <w:rsid w:val="00367616"/>
    <w:rsid w:val="003758DC"/>
    <w:rsid w:val="003759A2"/>
    <w:rsid w:val="00376E69"/>
    <w:rsid w:val="003813BC"/>
    <w:rsid w:val="00390F56"/>
    <w:rsid w:val="00392227"/>
    <w:rsid w:val="00395DDC"/>
    <w:rsid w:val="003A1122"/>
    <w:rsid w:val="003A30E1"/>
    <w:rsid w:val="003A3FE5"/>
    <w:rsid w:val="003A4780"/>
    <w:rsid w:val="003A5459"/>
    <w:rsid w:val="003A63F1"/>
    <w:rsid w:val="003C4397"/>
    <w:rsid w:val="003D708A"/>
    <w:rsid w:val="003E1185"/>
    <w:rsid w:val="003E1841"/>
    <w:rsid w:val="003E71B4"/>
    <w:rsid w:val="003E7696"/>
    <w:rsid w:val="003F1746"/>
    <w:rsid w:val="003F2337"/>
    <w:rsid w:val="003F34A5"/>
    <w:rsid w:val="003F4385"/>
    <w:rsid w:val="003F4489"/>
    <w:rsid w:val="003F6097"/>
    <w:rsid w:val="004035D5"/>
    <w:rsid w:val="00405210"/>
    <w:rsid w:val="0040635C"/>
    <w:rsid w:val="004065C5"/>
    <w:rsid w:val="00422929"/>
    <w:rsid w:val="004231EE"/>
    <w:rsid w:val="0043160B"/>
    <w:rsid w:val="00433CA7"/>
    <w:rsid w:val="004346FA"/>
    <w:rsid w:val="00440D33"/>
    <w:rsid w:val="00450550"/>
    <w:rsid w:val="0045082A"/>
    <w:rsid w:val="00450A70"/>
    <w:rsid w:val="0045143D"/>
    <w:rsid w:val="0045496F"/>
    <w:rsid w:val="0045581E"/>
    <w:rsid w:val="00455A37"/>
    <w:rsid w:val="00457616"/>
    <w:rsid w:val="00465085"/>
    <w:rsid w:val="0047046F"/>
    <w:rsid w:val="00474E65"/>
    <w:rsid w:val="004774F0"/>
    <w:rsid w:val="004816EF"/>
    <w:rsid w:val="004851F7"/>
    <w:rsid w:val="00493951"/>
    <w:rsid w:val="00494EDB"/>
    <w:rsid w:val="004A1198"/>
    <w:rsid w:val="004A3C91"/>
    <w:rsid w:val="004B0C9B"/>
    <w:rsid w:val="004B44B3"/>
    <w:rsid w:val="004C332A"/>
    <w:rsid w:val="004D257C"/>
    <w:rsid w:val="004D35B2"/>
    <w:rsid w:val="004E6866"/>
    <w:rsid w:val="004F0297"/>
    <w:rsid w:val="004F0863"/>
    <w:rsid w:val="00503AE4"/>
    <w:rsid w:val="0050711B"/>
    <w:rsid w:val="0051011A"/>
    <w:rsid w:val="005157C4"/>
    <w:rsid w:val="00527529"/>
    <w:rsid w:val="00531149"/>
    <w:rsid w:val="005328B0"/>
    <w:rsid w:val="00533664"/>
    <w:rsid w:val="00533865"/>
    <w:rsid w:val="005344BB"/>
    <w:rsid w:val="00535058"/>
    <w:rsid w:val="0054402B"/>
    <w:rsid w:val="005549C7"/>
    <w:rsid w:val="00555665"/>
    <w:rsid w:val="005564F8"/>
    <w:rsid w:val="0056149A"/>
    <w:rsid w:val="005641F7"/>
    <w:rsid w:val="00566B41"/>
    <w:rsid w:val="00570858"/>
    <w:rsid w:val="00575158"/>
    <w:rsid w:val="0058304B"/>
    <w:rsid w:val="00595138"/>
    <w:rsid w:val="00596CD9"/>
    <w:rsid w:val="005A1539"/>
    <w:rsid w:val="005A1D6C"/>
    <w:rsid w:val="005A3784"/>
    <w:rsid w:val="005A479C"/>
    <w:rsid w:val="005A5D43"/>
    <w:rsid w:val="005B1206"/>
    <w:rsid w:val="005B7704"/>
    <w:rsid w:val="005C073A"/>
    <w:rsid w:val="005C0F0C"/>
    <w:rsid w:val="005C1E49"/>
    <w:rsid w:val="005C3424"/>
    <w:rsid w:val="005C4907"/>
    <w:rsid w:val="005D3995"/>
    <w:rsid w:val="005E6703"/>
    <w:rsid w:val="005F16DB"/>
    <w:rsid w:val="0060462A"/>
    <w:rsid w:val="00606BDD"/>
    <w:rsid w:val="006153F3"/>
    <w:rsid w:val="00615875"/>
    <w:rsid w:val="006159C2"/>
    <w:rsid w:val="00617C7A"/>
    <w:rsid w:val="00621167"/>
    <w:rsid w:val="00626B8C"/>
    <w:rsid w:val="0062708A"/>
    <w:rsid w:val="00627ADC"/>
    <w:rsid w:val="00642B93"/>
    <w:rsid w:val="0065010F"/>
    <w:rsid w:val="00651813"/>
    <w:rsid w:val="00662F71"/>
    <w:rsid w:val="0066368A"/>
    <w:rsid w:val="00664F1C"/>
    <w:rsid w:val="00665517"/>
    <w:rsid w:val="00670AA6"/>
    <w:rsid w:val="006712F7"/>
    <w:rsid w:val="00673944"/>
    <w:rsid w:val="006828A9"/>
    <w:rsid w:val="00683F7C"/>
    <w:rsid w:val="00684EE1"/>
    <w:rsid w:val="006A3A0E"/>
    <w:rsid w:val="006A6762"/>
    <w:rsid w:val="006A6D06"/>
    <w:rsid w:val="006B0347"/>
    <w:rsid w:val="006B5FCE"/>
    <w:rsid w:val="006C2AE3"/>
    <w:rsid w:val="006C79D3"/>
    <w:rsid w:val="006D3D80"/>
    <w:rsid w:val="006D7F2C"/>
    <w:rsid w:val="006E5C58"/>
    <w:rsid w:val="006E712E"/>
    <w:rsid w:val="006F1DE8"/>
    <w:rsid w:val="00706804"/>
    <w:rsid w:val="00710EA2"/>
    <w:rsid w:val="007132DC"/>
    <w:rsid w:val="00717576"/>
    <w:rsid w:val="00720C38"/>
    <w:rsid w:val="00723008"/>
    <w:rsid w:val="00726A6C"/>
    <w:rsid w:val="0073201B"/>
    <w:rsid w:val="00732789"/>
    <w:rsid w:val="00732D2F"/>
    <w:rsid w:val="0073622C"/>
    <w:rsid w:val="00751F01"/>
    <w:rsid w:val="007536BB"/>
    <w:rsid w:val="00761E51"/>
    <w:rsid w:val="00764A1A"/>
    <w:rsid w:val="00767636"/>
    <w:rsid w:val="00773B11"/>
    <w:rsid w:val="00786EE8"/>
    <w:rsid w:val="0078761B"/>
    <w:rsid w:val="00792839"/>
    <w:rsid w:val="00792BE5"/>
    <w:rsid w:val="007A64B7"/>
    <w:rsid w:val="007A76B2"/>
    <w:rsid w:val="007C220F"/>
    <w:rsid w:val="007C2D15"/>
    <w:rsid w:val="007C6148"/>
    <w:rsid w:val="007D40C6"/>
    <w:rsid w:val="007D6A87"/>
    <w:rsid w:val="007E027D"/>
    <w:rsid w:val="007E14DD"/>
    <w:rsid w:val="007E1AF3"/>
    <w:rsid w:val="007E3738"/>
    <w:rsid w:val="007E52E8"/>
    <w:rsid w:val="007E61A9"/>
    <w:rsid w:val="007E6CA8"/>
    <w:rsid w:val="007F0E61"/>
    <w:rsid w:val="007F156F"/>
    <w:rsid w:val="007F334A"/>
    <w:rsid w:val="007F5022"/>
    <w:rsid w:val="00812C2F"/>
    <w:rsid w:val="00822062"/>
    <w:rsid w:val="0084331E"/>
    <w:rsid w:val="00845F4E"/>
    <w:rsid w:val="00846F54"/>
    <w:rsid w:val="00850070"/>
    <w:rsid w:val="00854356"/>
    <w:rsid w:val="008552A1"/>
    <w:rsid w:val="008601F9"/>
    <w:rsid w:val="00861A3F"/>
    <w:rsid w:val="008637CE"/>
    <w:rsid w:val="00864E5C"/>
    <w:rsid w:val="00875574"/>
    <w:rsid w:val="00883C63"/>
    <w:rsid w:val="00884467"/>
    <w:rsid w:val="00885395"/>
    <w:rsid w:val="008907EB"/>
    <w:rsid w:val="0089437F"/>
    <w:rsid w:val="00896CDF"/>
    <w:rsid w:val="008A15D0"/>
    <w:rsid w:val="008A3A4C"/>
    <w:rsid w:val="008B1AE3"/>
    <w:rsid w:val="008B461C"/>
    <w:rsid w:val="008B77E4"/>
    <w:rsid w:val="008C051D"/>
    <w:rsid w:val="008C241E"/>
    <w:rsid w:val="008C27AE"/>
    <w:rsid w:val="008C5F4C"/>
    <w:rsid w:val="008C651F"/>
    <w:rsid w:val="008D4B62"/>
    <w:rsid w:val="008D7E04"/>
    <w:rsid w:val="008E1AD9"/>
    <w:rsid w:val="008E1DF5"/>
    <w:rsid w:val="008E2328"/>
    <w:rsid w:val="008E520B"/>
    <w:rsid w:val="008E54EE"/>
    <w:rsid w:val="008E5B33"/>
    <w:rsid w:val="008E7044"/>
    <w:rsid w:val="008F16A8"/>
    <w:rsid w:val="008F3F3D"/>
    <w:rsid w:val="008F5DAF"/>
    <w:rsid w:val="00905D3F"/>
    <w:rsid w:val="009065E2"/>
    <w:rsid w:val="00910C31"/>
    <w:rsid w:val="00924FA2"/>
    <w:rsid w:val="00940087"/>
    <w:rsid w:val="00946530"/>
    <w:rsid w:val="00952FCB"/>
    <w:rsid w:val="009543A6"/>
    <w:rsid w:val="00957F71"/>
    <w:rsid w:val="00961013"/>
    <w:rsid w:val="00961B8A"/>
    <w:rsid w:val="0096336E"/>
    <w:rsid w:val="0096615A"/>
    <w:rsid w:val="00970849"/>
    <w:rsid w:val="00975122"/>
    <w:rsid w:val="009776CB"/>
    <w:rsid w:val="00983577"/>
    <w:rsid w:val="00984335"/>
    <w:rsid w:val="009853B2"/>
    <w:rsid w:val="009904B1"/>
    <w:rsid w:val="00991332"/>
    <w:rsid w:val="0099437F"/>
    <w:rsid w:val="009A18FE"/>
    <w:rsid w:val="009A4452"/>
    <w:rsid w:val="009B1CDE"/>
    <w:rsid w:val="009B24B4"/>
    <w:rsid w:val="009B455B"/>
    <w:rsid w:val="009B6248"/>
    <w:rsid w:val="009C3F32"/>
    <w:rsid w:val="009C6D2C"/>
    <w:rsid w:val="009F0BB6"/>
    <w:rsid w:val="009F0C8F"/>
    <w:rsid w:val="009F1CBD"/>
    <w:rsid w:val="00A042D1"/>
    <w:rsid w:val="00A10254"/>
    <w:rsid w:val="00A1672C"/>
    <w:rsid w:val="00A23B6A"/>
    <w:rsid w:val="00A31A11"/>
    <w:rsid w:val="00A40950"/>
    <w:rsid w:val="00A4666D"/>
    <w:rsid w:val="00A47993"/>
    <w:rsid w:val="00A47E57"/>
    <w:rsid w:val="00A50817"/>
    <w:rsid w:val="00A5689A"/>
    <w:rsid w:val="00A605CA"/>
    <w:rsid w:val="00A67DF8"/>
    <w:rsid w:val="00A70E91"/>
    <w:rsid w:val="00A745FF"/>
    <w:rsid w:val="00A80B2E"/>
    <w:rsid w:val="00A843FD"/>
    <w:rsid w:val="00A90318"/>
    <w:rsid w:val="00AA573E"/>
    <w:rsid w:val="00AB2049"/>
    <w:rsid w:val="00AB6694"/>
    <w:rsid w:val="00AB71BA"/>
    <w:rsid w:val="00AC1304"/>
    <w:rsid w:val="00AC327F"/>
    <w:rsid w:val="00AC4762"/>
    <w:rsid w:val="00AC6482"/>
    <w:rsid w:val="00AE081E"/>
    <w:rsid w:val="00AE0E15"/>
    <w:rsid w:val="00AE2EA6"/>
    <w:rsid w:val="00AE3ACC"/>
    <w:rsid w:val="00AF24CF"/>
    <w:rsid w:val="00B0353F"/>
    <w:rsid w:val="00B10F8F"/>
    <w:rsid w:val="00B1159F"/>
    <w:rsid w:val="00B119BB"/>
    <w:rsid w:val="00B16433"/>
    <w:rsid w:val="00B203DF"/>
    <w:rsid w:val="00B340A7"/>
    <w:rsid w:val="00B34CD9"/>
    <w:rsid w:val="00B35F2D"/>
    <w:rsid w:val="00B37F57"/>
    <w:rsid w:val="00B41EDC"/>
    <w:rsid w:val="00B45DAC"/>
    <w:rsid w:val="00B50765"/>
    <w:rsid w:val="00B54455"/>
    <w:rsid w:val="00B55A39"/>
    <w:rsid w:val="00B56B8C"/>
    <w:rsid w:val="00B6399D"/>
    <w:rsid w:val="00B664F1"/>
    <w:rsid w:val="00B72682"/>
    <w:rsid w:val="00B72987"/>
    <w:rsid w:val="00B8137A"/>
    <w:rsid w:val="00B85084"/>
    <w:rsid w:val="00B85350"/>
    <w:rsid w:val="00B931DE"/>
    <w:rsid w:val="00B959B1"/>
    <w:rsid w:val="00BA3646"/>
    <w:rsid w:val="00BA45F0"/>
    <w:rsid w:val="00BA7405"/>
    <w:rsid w:val="00BA7880"/>
    <w:rsid w:val="00BB06AB"/>
    <w:rsid w:val="00BC1FC7"/>
    <w:rsid w:val="00BC2838"/>
    <w:rsid w:val="00BC3421"/>
    <w:rsid w:val="00BC5D62"/>
    <w:rsid w:val="00BC7B40"/>
    <w:rsid w:val="00BD0995"/>
    <w:rsid w:val="00BE189C"/>
    <w:rsid w:val="00BE5D13"/>
    <w:rsid w:val="00BE65C6"/>
    <w:rsid w:val="00BF2666"/>
    <w:rsid w:val="00BF2BE6"/>
    <w:rsid w:val="00BF59FE"/>
    <w:rsid w:val="00C0217B"/>
    <w:rsid w:val="00C02D8A"/>
    <w:rsid w:val="00C12EA5"/>
    <w:rsid w:val="00C12F16"/>
    <w:rsid w:val="00C15FAD"/>
    <w:rsid w:val="00C4086E"/>
    <w:rsid w:val="00C470CE"/>
    <w:rsid w:val="00C53128"/>
    <w:rsid w:val="00C5357F"/>
    <w:rsid w:val="00C55758"/>
    <w:rsid w:val="00C57F47"/>
    <w:rsid w:val="00C62FA7"/>
    <w:rsid w:val="00C71BF2"/>
    <w:rsid w:val="00C77A7F"/>
    <w:rsid w:val="00C8377A"/>
    <w:rsid w:val="00C9239B"/>
    <w:rsid w:val="00C92BE7"/>
    <w:rsid w:val="00C97148"/>
    <w:rsid w:val="00CA105C"/>
    <w:rsid w:val="00CA1A12"/>
    <w:rsid w:val="00CA4EA7"/>
    <w:rsid w:val="00CB1850"/>
    <w:rsid w:val="00CC2A9E"/>
    <w:rsid w:val="00CD0A95"/>
    <w:rsid w:val="00CD4BBA"/>
    <w:rsid w:val="00CE0E38"/>
    <w:rsid w:val="00CE7240"/>
    <w:rsid w:val="00CE755B"/>
    <w:rsid w:val="00CF023B"/>
    <w:rsid w:val="00CF1B16"/>
    <w:rsid w:val="00CF21FA"/>
    <w:rsid w:val="00CF4339"/>
    <w:rsid w:val="00CF4387"/>
    <w:rsid w:val="00D0481F"/>
    <w:rsid w:val="00D06BF0"/>
    <w:rsid w:val="00D107C9"/>
    <w:rsid w:val="00D12560"/>
    <w:rsid w:val="00D129D9"/>
    <w:rsid w:val="00D12B7C"/>
    <w:rsid w:val="00D13F12"/>
    <w:rsid w:val="00D162BB"/>
    <w:rsid w:val="00D21C86"/>
    <w:rsid w:val="00D2300A"/>
    <w:rsid w:val="00D34F1E"/>
    <w:rsid w:val="00D4031C"/>
    <w:rsid w:val="00D52E23"/>
    <w:rsid w:val="00D55B12"/>
    <w:rsid w:val="00D55E2A"/>
    <w:rsid w:val="00D62C5A"/>
    <w:rsid w:val="00D62D67"/>
    <w:rsid w:val="00D65ACA"/>
    <w:rsid w:val="00D66F4F"/>
    <w:rsid w:val="00D67C38"/>
    <w:rsid w:val="00D71281"/>
    <w:rsid w:val="00D77B86"/>
    <w:rsid w:val="00D80073"/>
    <w:rsid w:val="00D85112"/>
    <w:rsid w:val="00D906C2"/>
    <w:rsid w:val="00DA3046"/>
    <w:rsid w:val="00DB0266"/>
    <w:rsid w:val="00DB25A2"/>
    <w:rsid w:val="00DB2951"/>
    <w:rsid w:val="00DB7E01"/>
    <w:rsid w:val="00DE3A23"/>
    <w:rsid w:val="00DE4C94"/>
    <w:rsid w:val="00DF08A5"/>
    <w:rsid w:val="00DF332C"/>
    <w:rsid w:val="00DF59CA"/>
    <w:rsid w:val="00E07D96"/>
    <w:rsid w:val="00E119EC"/>
    <w:rsid w:val="00E124AA"/>
    <w:rsid w:val="00E126E1"/>
    <w:rsid w:val="00E173FD"/>
    <w:rsid w:val="00E176FD"/>
    <w:rsid w:val="00E21265"/>
    <w:rsid w:val="00E25073"/>
    <w:rsid w:val="00E47710"/>
    <w:rsid w:val="00E50801"/>
    <w:rsid w:val="00E50EE4"/>
    <w:rsid w:val="00E5200C"/>
    <w:rsid w:val="00E558CE"/>
    <w:rsid w:val="00E56F7F"/>
    <w:rsid w:val="00E7041C"/>
    <w:rsid w:val="00E70886"/>
    <w:rsid w:val="00E73986"/>
    <w:rsid w:val="00E7523D"/>
    <w:rsid w:val="00E83C14"/>
    <w:rsid w:val="00E9415D"/>
    <w:rsid w:val="00E96904"/>
    <w:rsid w:val="00E96B5B"/>
    <w:rsid w:val="00E96C98"/>
    <w:rsid w:val="00EA0959"/>
    <w:rsid w:val="00EA6EC3"/>
    <w:rsid w:val="00EB0F2E"/>
    <w:rsid w:val="00EB18DC"/>
    <w:rsid w:val="00EB3D35"/>
    <w:rsid w:val="00EB5FA9"/>
    <w:rsid w:val="00EC19BC"/>
    <w:rsid w:val="00EC1AE3"/>
    <w:rsid w:val="00EC2D37"/>
    <w:rsid w:val="00ED1CC2"/>
    <w:rsid w:val="00ED22F2"/>
    <w:rsid w:val="00ED5335"/>
    <w:rsid w:val="00ED5836"/>
    <w:rsid w:val="00EE349F"/>
    <w:rsid w:val="00EE7F43"/>
    <w:rsid w:val="00EF3AF5"/>
    <w:rsid w:val="00EF6FAC"/>
    <w:rsid w:val="00EF7120"/>
    <w:rsid w:val="00EF7E88"/>
    <w:rsid w:val="00F06314"/>
    <w:rsid w:val="00F10391"/>
    <w:rsid w:val="00F1099C"/>
    <w:rsid w:val="00F109BA"/>
    <w:rsid w:val="00F16659"/>
    <w:rsid w:val="00F1749F"/>
    <w:rsid w:val="00F17EF6"/>
    <w:rsid w:val="00F20F6C"/>
    <w:rsid w:val="00F225BF"/>
    <w:rsid w:val="00F64E56"/>
    <w:rsid w:val="00F650C9"/>
    <w:rsid w:val="00F65674"/>
    <w:rsid w:val="00F700B4"/>
    <w:rsid w:val="00F7139C"/>
    <w:rsid w:val="00F72D0F"/>
    <w:rsid w:val="00F90218"/>
    <w:rsid w:val="00F91CDE"/>
    <w:rsid w:val="00F91E77"/>
    <w:rsid w:val="00FA1E0B"/>
    <w:rsid w:val="00FA6368"/>
    <w:rsid w:val="00FB0C80"/>
    <w:rsid w:val="00FB1F0A"/>
    <w:rsid w:val="00FB3F2A"/>
    <w:rsid w:val="00FB476D"/>
    <w:rsid w:val="00FD20B8"/>
    <w:rsid w:val="00FD2A3A"/>
    <w:rsid w:val="00FE7037"/>
    <w:rsid w:val="00FF0F79"/>
    <w:rsid w:val="00FF1879"/>
    <w:rsid w:val="00FF3A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69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iPriority="22"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1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numPr>
        <w:numId w:val="30"/>
      </w:numPr>
      <w:tabs>
        <w:tab w:val="clear" w:pos="567"/>
        <w:tab w:val="left" w:pos="709"/>
      </w:tabs>
    </w:pPr>
  </w:style>
  <w:style w:type="character" w:customStyle="1" w:styleId="resizable-content">
    <w:name w:val="resizable-content"/>
    <w:rsid w:val="001D1019"/>
    <w:rPr>
      <w:rFonts w:cs="Times New Roman"/>
    </w:rPr>
  </w:style>
  <w:style w:type="character" w:styleId="FollowedHyperlink">
    <w:name w:val="FollowedHyperlink"/>
    <w:basedOn w:val="DefaultParagraphFont"/>
    <w:rsid w:val="0026206D"/>
    <w:rPr>
      <w:color w:val="800080"/>
      <w:u w:val="single"/>
    </w:rPr>
  </w:style>
  <w:style w:type="character" w:styleId="Strong">
    <w:name w:val="Strong"/>
    <w:basedOn w:val="DefaultParagraphFont"/>
    <w:uiPriority w:val="22"/>
    <w:qFormat/>
    <w:locked/>
    <w:rsid w:val="0045143D"/>
    <w:rPr>
      <w:b/>
      <w:bCs/>
    </w:rPr>
  </w:style>
  <w:style w:type="paragraph" w:styleId="ListParagraph">
    <w:name w:val="List Paragraph"/>
    <w:basedOn w:val="Normal"/>
    <w:uiPriority w:val="34"/>
    <w:qFormat/>
    <w:rsid w:val="00D62C5A"/>
    <w:pPr>
      <w:ind w:left="720"/>
      <w:contextualSpacing/>
    </w:pPr>
    <w:rPr>
      <w:rFonts w:eastAsia="Times New Roman"/>
      <w:szCs w:val="20"/>
      <w:lang w:eastAsia="en-AU"/>
    </w:rPr>
  </w:style>
  <w:style w:type="character" w:styleId="CommentReference">
    <w:name w:val="annotation reference"/>
    <w:basedOn w:val="DefaultParagraphFont"/>
    <w:rsid w:val="0024379B"/>
    <w:rPr>
      <w:sz w:val="16"/>
      <w:szCs w:val="16"/>
    </w:rPr>
  </w:style>
  <w:style w:type="paragraph" w:styleId="CommentText">
    <w:name w:val="annotation text"/>
    <w:basedOn w:val="Normal"/>
    <w:link w:val="CommentTextChar"/>
    <w:rsid w:val="0024379B"/>
    <w:rPr>
      <w:sz w:val="20"/>
      <w:szCs w:val="20"/>
    </w:rPr>
  </w:style>
  <w:style w:type="character" w:customStyle="1" w:styleId="CommentTextChar">
    <w:name w:val="Comment Text Char"/>
    <w:basedOn w:val="DefaultParagraphFont"/>
    <w:link w:val="CommentText"/>
    <w:rsid w:val="0024379B"/>
    <w:rPr>
      <w:lang w:eastAsia="en-US"/>
    </w:rPr>
  </w:style>
  <w:style w:type="paragraph" w:styleId="CommentSubject">
    <w:name w:val="annotation subject"/>
    <w:basedOn w:val="CommentText"/>
    <w:next w:val="CommentText"/>
    <w:link w:val="CommentSubjectChar"/>
    <w:rsid w:val="0024379B"/>
    <w:rPr>
      <w:b/>
      <w:bCs/>
    </w:rPr>
  </w:style>
  <w:style w:type="character" w:customStyle="1" w:styleId="CommentSubjectChar">
    <w:name w:val="Comment Subject Char"/>
    <w:basedOn w:val="CommentTextChar"/>
    <w:link w:val="CommentSubject"/>
    <w:rsid w:val="0024379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iPriority="22"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1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numPr>
        <w:numId w:val="30"/>
      </w:numPr>
      <w:tabs>
        <w:tab w:val="clear" w:pos="567"/>
        <w:tab w:val="left" w:pos="709"/>
      </w:tabs>
    </w:pPr>
  </w:style>
  <w:style w:type="character" w:customStyle="1" w:styleId="resizable-content">
    <w:name w:val="resizable-content"/>
    <w:rsid w:val="001D1019"/>
    <w:rPr>
      <w:rFonts w:cs="Times New Roman"/>
    </w:rPr>
  </w:style>
  <w:style w:type="character" w:styleId="FollowedHyperlink">
    <w:name w:val="FollowedHyperlink"/>
    <w:basedOn w:val="DefaultParagraphFont"/>
    <w:rsid w:val="0026206D"/>
    <w:rPr>
      <w:color w:val="800080"/>
      <w:u w:val="single"/>
    </w:rPr>
  </w:style>
  <w:style w:type="character" w:styleId="Strong">
    <w:name w:val="Strong"/>
    <w:basedOn w:val="DefaultParagraphFont"/>
    <w:uiPriority w:val="22"/>
    <w:qFormat/>
    <w:locked/>
    <w:rsid w:val="0045143D"/>
    <w:rPr>
      <w:b/>
      <w:bCs/>
    </w:rPr>
  </w:style>
  <w:style w:type="paragraph" w:styleId="ListParagraph">
    <w:name w:val="List Paragraph"/>
    <w:basedOn w:val="Normal"/>
    <w:uiPriority w:val="34"/>
    <w:qFormat/>
    <w:rsid w:val="00D62C5A"/>
    <w:pPr>
      <w:ind w:left="720"/>
      <w:contextualSpacing/>
    </w:pPr>
    <w:rPr>
      <w:rFonts w:eastAsia="Times New Roman"/>
      <w:szCs w:val="20"/>
      <w:lang w:eastAsia="en-AU"/>
    </w:rPr>
  </w:style>
  <w:style w:type="character" w:styleId="CommentReference">
    <w:name w:val="annotation reference"/>
    <w:basedOn w:val="DefaultParagraphFont"/>
    <w:rsid w:val="0024379B"/>
    <w:rPr>
      <w:sz w:val="16"/>
      <w:szCs w:val="16"/>
    </w:rPr>
  </w:style>
  <w:style w:type="paragraph" w:styleId="CommentText">
    <w:name w:val="annotation text"/>
    <w:basedOn w:val="Normal"/>
    <w:link w:val="CommentTextChar"/>
    <w:rsid w:val="0024379B"/>
    <w:rPr>
      <w:sz w:val="20"/>
      <w:szCs w:val="20"/>
    </w:rPr>
  </w:style>
  <w:style w:type="character" w:customStyle="1" w:styleId="CommentTextChar">
    <w:name w:val="Comment Text Char"/>
    <w:basedOn w:val="DefaultParagraphFont"/>
    <w:link w:val="CommentText"/>
    <w:rsid w:val="0024379B"/>
    <w:rPr>
      <w:lang w:eastAsia="en-US"/>
    </w:rPr>
  </w:style>
  <w:style w:type="paragraph" w:styleId="CommentSubject">
    <w:name w:val="annotation subject"/>
    <w:basedOn w:val="CommentText"/>
    <w:next w:val="CommentText"/>
    <w:link w:val="CommentSubjectChar"/>
    <w:rsid w:val="0024379B"/>
    <w:rPr>
      <w:b/>
      <w:bCs/>
    </w:rPr>
  </w:style>
  <w:style w:type="character" w:customStyle="1" w:styleId="CommentSubjectChar">
    <w:name w:val="Comment Subject Char"/>
    <w:basedOn w:val="CommentTextChar"/>
    <w:link w:val="CommentSubject"/>
    <w:rsid w:val="002437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9790">
      <w:bodyDiv w:val="1"/>
      <w:marLeft w:val="0"/>
      <w:marRight w:val="0"/>
      <w:marTop w:val="0"/>
      <w:marBottom w:val="0"/>
      <w:divBdr>
        <w:top w:val="none" w:sz="0" w:space="0" w:color="auto"/>
        <w:left w:val="none" w:sz="0" w:space="0" w:color="auto"/>
        <w:bottom w:val="none" w:sz="0" w:space="0" w:color="auto"/>
        <w:right w:val="none" w:sz="0" w:space="0" w:color="auto"/>
      </w:divBdr>
    </w:div>
    <w:div w:id="687371112">
      <w:bodyDiv w:val="1"/>
      <w:marLeft w:val="0"/>
      <w:marRight w:val="0"/>
      <w:marTop w:val="0"/>
      <w:marBottom w:val="0"/>
      <w:divBdr>
        <w:top w:val="none" w:sz="0" w:space="0" w:color="auto"/>
        <w:left w:val="none" w:sz="0" w:space="0" w:color="auto"/>
        <w:bottom w:val="none" w:sz="0" w:space="0" w:color="auto"/>
        <w:right w:val="none" w:sz="0" w:space="0" w:color="auto"/>
      </w:divBdr>
    </w:div>
    <w:div w:id="1204094767">
      <w:bodyDiv w:val="1"/>
      <w:marLeft w:val="0"/>
      <w:marRight w:val="0"/>
      <w:marTop w:val="0"/>
      <w:marBottom w:val="0"/>
      <w:divBdr>
        <w:top w:val="none" w:sz="0" w:space="0" w:color="auto"/>
        <w:left w:val="none" w:sz="0" w:space="0" w:color="auto"/>
        <w:bottom w:val="none" w:sz="0" w:space="0" w:color="auto"/>
        <w:right w:val="none" w:sz="0" w:space="0" w:color="auto"/>
      </w:divBdr>
    </w:div>
    <w:div w:id="1213231503">
      <w:bodyDiv w:val="1"/>
      <w:marLeft w:val="0"/>
      <w:marRight w:val="0"/>
      <w:marTop w:val="0"/>
      <w:marBottom w:val="0"/>
      <w:divBdr>
        <w:top w:val="none" w:sz="0" w:space="0" w:color="auto"/>
        <w:left w:val="none" w:sz="0" w:space="0" w:color="auto"/>
        <w:bottom w:val="none" w:sz="0" w:space="0" w:color="auto"/>
        <w:right w:val="none" w:sz="0" w:space="0" w:color="auto"/>
      </w:divBdr>
    </w:div>
    <w:div w:id="16020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aaustralia.com.au/professional-resources/taxation/division-7a" TargetMode="External"/><Relationship Id="rId18" Type="http://schemas.openxmlformats.org/officeDocument/2006/relationships/hyperlink" Target="https://www.cpaaustralia.com.au/professional-resources/taxation/division-7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paaustralia.com.au/professional-resources/taxation/division-7a" TargetMode="External"/><Relationship Id="rId2" Type="http://schemas.openxmlformats.org/officeDocument/2006/relationships/numbering" Target="numbering.xml"/><Relationship Id="rId16" Type="http://schemas.openxmlformats.org/officeDocument/2006/relationships/hyperlink" Target="https://www.cpaaustralia.com.au/professional-resources/taxation/trusts" TargetMode="External"/><Relationship Id="rId20" Type="http://schemas.openxmlformats.org/officeDocument/2006/relationships/hyperlink" Target="https://www.cpaaustralia.com.au/professional-resources/taxation/division-7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paaustralia.com.au/professional-resources/taxation/trust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paaustralia.com.au/professional-resources/taxation/year-en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cpaaustralia.com.au/professional-resources/taxation/division-7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A4C6-9161-42C8-AE89-4BB219A6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8068</Words>
  <Characters>43976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Tax Planning Checklist 2015</vt:lpstr>
    </vt:vector>
  </TitlesOfParts>
  <Company>Goldman Sachs &amp; Co</Company>
  <LinksUpToDate>false</LinksUpToDate>
  <CharactersWithSpaces>51941</CharactersWithSpaces>
  <SharedDoc>false</SharedDoc>
  <HLinks>
    <vt:vector size="12" baseType="variant">
      <vt:variant>
        <vt:i4>4390997</vt:i4>
      </vt:variant>
      <vt:variant>
        <vt:i4>6</vt:i4>
      </vt:variant>
      <vt:variant>
        <vt:i4>0</vt:i4>
      </vt:variant>
      <vt:variant>
        <vt:i4>5</vt:i4>
      </vt:variant>
      <vt:variant>
        <vt:lpwstr>www.cpaaustralia.com.au/cps/rde/xbcr/cpa-site/trustee-guidance-resolution-fact-sheet.pdf</vt:lpwstr>
      </vt:variant>
      <vt:variant>
        <vt:lpwstr/>
      </vt:variant>
      <vt:variant>
        <vt:i4>1966108</vt:i4>
      </vt:variant>
      <vt:variant>
        <vt:i4>0</vt:i4>
      </vt:variant>
      <vt:variant>
        <vt:i4>0</vt:i4>
      </vt:variant>
      <vt:variant>
        <vt:i4>5</vt:i4>
      </vt:variant>
      <vt:variant>
        <vt:lpwstr>www.cpaaustralia.com.au/cps/rde/xbcr/cpa-site/trusts-streaming-manual.pdf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Planning Checklist</dc:title>
  <dc:creator>Michelle Webb</dc:creator>
  <cp:keywords>tax returns, tax checklists, year end returns</cp:keywords>
  <cp:lastModifiedBy>Michelle Webb</cp:lastModifiedBy>
  <cp:revision>16</cp:revision>
  <cp:lastPrinted>2017-06-06T06:39:00Z</cp:lastPrinted>
  <dcterms:created xsi:type="dcterms:W3CDTF">2017-06-07T00:18:00Z</dcterms:created>
  <dcterms:modified xsi:type="dcterms:W3CDTF">2017-06-08T00:26:00Z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