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7E92" w14:textId="77777777" w:rsidR="00367616" w:rsidRDefault="00367616" w:rsidP="00D2300A">
      <w:pPr>
        <w:pStyle w:val="BodyHeading"/>
        <w:sectPr w:rsidR="00367616" w:rsidSect="005F16DB">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14:paraId="105AF17D" w14:textId="2460FA84" w:rsidR="00E25073" w:rsidRDefault="00367616" w:rsidP="003304B6">
      <w:pPr>
        <w:pStyle w:val="Body"/>
        <w:spacing w:before="0" w:after="0"/>
        <w:ind w:left="-125" w:right="-119"/>
      </w:pPr>
      <w:r w:rsidRPr="00E126E1">
        <w:lastRenderedPageBreak/>
        <w:t>The follo</w:t>
      </w:r>
      <w:r w:rsidR="00A67DF8">
        <w:t>wing tax planning checklist</w:t>
      </w:r>
      <w:r w:rsidRPr="00E126E1">
        <w:t xml:space="preserve"> provides a general list of major issues that should be addressed. (The checklist is not designed to be an exhaustive list of all issues that may warrant consideration.)</w:t>
      </w:r>
    </w:p>
    <w:p w14:paraId="4A9162FE" w14:textId="77777777" w:rsidR="003304B6" w:rsidRDefault="003304B6" w:rsidP="003304B6">
      <w:pPr>
        <w:pStyle w:val="Body"/>
        <w:spacing w:before="0" w:after="0"/>
        <w:ind w:left="-125" w:right="-119"/>
        <w:rPr>
          <w:b/>
          <w:i w:val="0"/>
        </w:rPr>
      </w:pPr>
    </w:p>
    <w:p w14:paraId="155402F8" w14:textId="77777777" w:rsidR="00E25073" w:rsidRPr="003304B6" w:rsidRDefault="00E25073" w:rsidP="003304B6">
      <w:pPr>
        <w:pStyle w:val="Body"/>
        <w:spacing w:before="0" w:after="0"/>
        <w:ind w:left="-125" w:right="-119"/>
        <w:rPr>
          <w:b/>
          <w:i w:val="0"/>
          <w:sz w:val="16"/>
          <w:szCs w:val="16"/>
        </w:rPr>
      </w:pPr>
      <w:r w:rsidRPr="003304B6">
        <w:rPr>
          <w:b/>
          <w:i w:val="0"/>
          <w:sz w:val="16"/>
          <w:szCs w:val="16"/>
        </w:rPr>
        <w:t>Disclaimer</w:t>
      </w:r>
    </w:p>
    <w:p w14:paraId="0BEF0614" w14:textId="53029027" w:rsidR="00E25073" w:rsidRPr="003304B6" w:rsidRDefault="00E25073" w:rsidP="003304B6">
      <w:pPr>
        <w:pStyle w:val="Body"/>
        <w:spacing w:before="0" w:after="0"/>
        <w:ind w:left="-125" w:right="-119"/>
        <w:rPr>
          <w:i w:val="0"/>
          <w:sz w:val="16"/>
          <w:szCs w:val="16"/>
        </w:rPr>
      </w:pPr>
      <w:r w:rsidRPr="003304B6">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2BDFB562" w14:textId="77777777" w:rsidR="00367616" w:rsidRPr="00AC6482" w:rsidRDefault="00367616" w:rsidP="00E126E1">
      <w:pPr>
        <w:pStyle w:val="Body"/>
        <w:rPr>
          <w:sz w:val="22"/>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593"/>
        <w:gridCol w:w="8708"/>
      </w:tblGrid>
      <w:tr w:rsidR="00367616" w:rsidRPr="009904B1" w14:paraId="523E03EE" w14:textId="77777777" w:rsidTr="005C0F0C">
        <w:tc>
          <w:tcPr>
            <w:tcW w:w="773" w:type="pct"/>
            <w:tcBorders>
              <w:top w:val="single" w:sz="4" w:space="0" w:color="939598"/>
              <w:bottom w:val="single" w:sz="4" w:space="0" w:color="939598"/>
            </w:tcBorders>
            <w:shd w:val="clear" w:color="auto" w:fill="D9D9D9" w:themeFill="background1" w:themeFillShade="D9"/>
          </w:tcPr>
          <w:p w14:paraId="403E37B5" w14:textId="77777777" w:rsidR="00367616" w:rsidRPr="009904B1" w:rsidRDefault="00367616" w:rsidP="009B6248">
            <w:pPr>
              <w:pStyle w:val="Tableheading"/>
            </w:pPr>
            <w:r w:rsidRPr="009904B1">
              <w:t>Entity’s Name</w:t>
            </w:r>
          </w:p>
        </w:tc>
        <w:tc>
          <w:tcPr>
            <w:tcW w:w="4227" w:type="pct"/>
            <w:tcBorders>
              <w:top w:val="single" w:sz="4" w:space="0" w:color="939598"/>
              <w:bottom w:val="single" w:sz="4" w:space="0" w:color="939598"/>
            </w:tcBorders>
          </w:tcPr>
          <w:p w14:paraId="2DEC030E" w14:textId="77777777" w:rsidR="00367616" w:rsidRPr="009904B1" w:rsidRDefault="00367616" w:rsidP="009B6248">
            <w:pPr>
              <w:pStyle w:val="Table"/>
            </w:pPr>
          </w:p>
        </w:tc>
      </w:tr>
    </w:tbl>
    <w:p w14:paraId="3029A51E" w14:textId="77777777" w:rsidR="00367616" w:rsidRDefault="00367616" w:rsidP="00E126E1">
      <w:pPr>
        <w:pStyle w:val="Body"/>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367616" w:rsidRPr="005A1539" w14:paraId="29978409" w14:textId="77777777" w:rsidTr="00952FCB">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48B039B4" w14:textId="77777777" w:rsidR="00367616" w:rsidRPr="00AE2EA6" w:rsidRDefault="00367616" w:rsidP="009B6248">
            <w:pPr>
              <w:pStyle w:val="Tableheading"/>
              <w:rPr>
                <w:color w:val="FFFFFF" w:themeColor="background1"/>
                <w:sz w:val="18"/>
              </w:rPr>
            </w:pPr>
            <w:r w:rsidRPr="00AE2EA6">
              <w:rPr>
                <w:color w:val="FFFFFF" w:themeColor="background1"/>
                <w:sz w:val="18"/>
              </w:rPr>
              <w:t>Deferring Assessable Income</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BA28502" w14:textId="77777777" w:rsidR="00367616" w:rsidRPr="00AE2EA6" w:rsidRDefault="00367616" w:rsidP="009B6248">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4D576AB" w14:textId="77777777" w:rsidR="00367616" w:rsidRPr="00AE2EA6" w:rsidRDefault="00367616" w:rsidP="009B6248">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5C3648E6" w14:textId="77777777" w:rsidR="00367616" w:rsidRPr="00AE2EA6" w:rsidRDefault="00367616" w:rsidP="009B6248">
            <w:pPr>
              <w:pStyle w:val="Tableheading"/>
              <w:jc w:val="center"/>
              <w:rPr>
                <w:color w:val="FFFFFF" w:themeColor="background1"/>
                <w:sz w:val="18"/>
              </w:rPr>
            </w:pPr>
            <w:r w:rsidRPr="00AE2EA6">
              <w:rPr>
                <w:color w:val="FFFFFF" w:themeColor="background1"/>
                <w:sz w:val="18"/>
              </w:rPr>
              <w:t>N/A</w:t>
            </w:r>
          </w:p>
        </w:tc>
      </w:tr>
      <w:tr w:rsidR="007C6148" w:rsidRPr="00B340A7" w14:paraId="08CC2AA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B11700" w14:textId="77777777" w:rsidR="007C6148" w:rsidRPr="00B340A7" w:rsidRDefault="007C6148" w:rsidP="007C6148">
            <w:pPr>
              <w:pStyle w:val="Tableheading"/>
            </w:pPr>
            <w:r w:rsidRPr="00CE755B">
              <w:t>Application of Arthur Murray Principle to receipts</w:t>
            </w:r>
          </w:p>
        </w:tc>
      </w:tr>
      <w:tr w:rsidR="00367616" w:rsidRPr="009904B1" w14:paraId="040538DA"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B8CFF5E" w14:textId="77777777" w:rsidR="00367616" w:rsidRPr="009B6248" w:rsidRDefault="00367616" w:rsidP="009B6248">
            <w:pPr>
              <w:pStyle w:val="Table"/>
            </w:pPr>
            <w:r w:rsidRPr="009B6248">
              <w:t>Review contracts for the provision of services to determine whether income from such contracts can be regarded as only being derived as and when the services are rendered.</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B2D838E" w14:textId="77777777" w:rsidR="00367616" w:rsidRPr="009904B1"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C1CA039" w14:textId="77777777" w:rsidR="00367616" w:rsidRPr="009904B1"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13B890B" w14:textId="77777777" w:rsidR="00367616" w:rsidRPr="009904B1" w:rsidRDefault="00367616" w:rsidP="009B6248">
            <w:pPr>
              <w:pStyle w:val="Table"/>
              <w:jc w:val="center"/>
            </w:pPr>
          </w:p>
        </w:tc>
      </w:tr>
      <w:tr w:rsidR="007C6148" w:rsidRPr="00AF24CF" w14:paraId="7F716863"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62AC1B" w14:textId="77777777" w:rsidR="007C6148" w:rsidRPr="00AF24CF" w:rsidRDefault="007C6148" w:rsidP="007C6148">
            <w:pPr>
              <w:pStyle w:val="Tableheading"/>
            </w:pPr>
            <w:r w:rsidRPr="00CE755B">
              <w:t>Accruals of interest, rent and other regular contractual payments</w:t>
            </w:r>
          </w:p>
        </w:tc>
      </w:tr>
      <w:tr w:rsidR="00367616" w14:paraId="15D68902"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3CBEA356" w14:textId="77777777" w:rsidR="00367616" w:rsidRPr="00ED1CC2" w:rsidRDefault="00367616" w:rsidP="009B6248">
            <w:pPr>
              <w:pStyle w:val="Table"/>
            </w:pPr>
            <w:r w:rsidRPr="00CE755B">
              <w:t>Consider the basis on which interest or income is derived and the scope for income deferral.</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88D005E"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54540617"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367A8895" w14:textId="77777777" w:rsidR="00367616" w:rsidRPr="00AF24CF" w:rsidRDefault="00367616" w:rsidP="009B6248">
            <w:pPr>
              <w:pStyle w:val="Table"/>
              <w:jc w:val="center"/>
            </w:pPr>
          </w:p>
        </w:tc>
      </w:tr>
      <w:tr w:rsidR="007C6148" w:rsidRPr="00AF24CF" w14:paraId="1E7AD583"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52D323" w14:textId="77777777" w:rsidR="007C6148" w:rsidRPr="00AF24CF" w:rsidRDefault="007C6148" w:rsidP="007C6148">
            <w:pPr>
              <w:pStyle w:val="Tableheading"/>
            </w:pPr>
            <w:r w:rsidRPr="009B24B4">
              <w:t>Sales and work in progress</w:t>
            </w:r>
          </w:p>
        </w:tc>
      </w:tr>
      <w:tr w:rsidR="00367616" w14:paraId="573A270D"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695DB65D" w14:textId="77777777" w:rsidR="00367616" w:rsidRPr="00ED1CC2" w:rsidRDefault="00367616" w:rsidP="009B6248">
            <w:pPr>
              <w:pStyle w:val="Table"/>
            </w:pPr>
            <w:r w:rsidRPr="009B24B4">
              <w:t>Consider the deferral of sales until next financial year.</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B29FB54"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49BB4C9"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047352BF" w14:textId="77777777" w:rsidR="00367616" w:rsidRPr="00AF24CF" w:rsidRDefault="00367616" w:rsidP="009B6248">
            <w:pPr>
              <w:pStyle w:val="Table"/>
              <w:jc w:val="center"/>
            </w:pPr>
          </w:p>
        </w:tc>
      </w:tr>
      <w:tr w:rsidR="007C6148" w:rsidRPr="00AF24CF" w14:paraId="290FA086"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F90A5E" w14:textId="77777777" w:rsidR="007C6148" w:rsidRPr="00AF24CF" w:rsidRDefault="007C6148" w:rsidP="007C6148">
            <w:pPr>
              <w:pStyle w:val="Tableheading"/>
            </w:pPr>
            <w:r w:rsidRPr="009B24B4">
              <w:t>Realisation of assets</w:t>
            </w:r>
          </w:p>
        </w:tc>
      </w:tr>
      <w:tr w:rsidR="00367616" w14:paraId="45D00496"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78E0F91" w14:textId="77777777" w:rsidR="008C5F4C" w:rsidRDefault="00367616" w:rsidP="008C5F4C">
            <w:pPr>
              <w:pStyle w:val="Table"/>
            </w:pPr>
            <w:r w:rsidRPr="009B24B4">
              <w:t>Consider the postponement of the realisation of any assessable gains such as capital gains until after year end.</w:t>
            </w:r>
          </w:p>
          <w:p w14:paraId="7FF8142D" w14:textId="77777777" w:rsidR="00367616" w:rsidRPr="008C5F4C" w:rsidRDefault="008C5F4C" w:rsidP="008C5F4C">
            <w:pPr>
              <w:pStyle w:val="Table"/>
              <w:rPr>
                <w:sz w:val="14"/>
                <w:szCs w:val="14"/>
              </w:rPr>
            </w:pPr>
            <w:r w:rsidRPr="008C5F4C">
              <w:rPr>
                <w:b/>
                <w:sz w:val="14"/>
                <w:szCs w:val="14"/>
              </w:rPr>
              <w:t>Note:</w:t>
            </w:r>
            <w:r w:rsidRPr="008C5F4C">
              <w:rPr>
                <w:sz w:val="14"/>
                <w:szCs w:val="14"/>
              </w:rPr>
              <w:t xml:space="preserve"> i</w:t>
            </w:r>
            <w:r w:rsidR="001528F5" w:rsidRPr="008C5F4C">
              <w:rPr>
                <w:sz w:val="14"/>
                <w:szCs w:val="14"/>
              </w:rPr>
              <w:t>t is generally the contract execution date that determines the timing</w:t>
            </w:r>
            <w:r w:rsidRPr="008C5F4C">
              <w:rPr>
                <w:sz w:val="14"/>
                <w:szCs w:val="14"/>
              </w:rPr>
              <w:t xml:space="preserve"> of a disposal for CGT purposes.</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B2AEEC4"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6916CF1C"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B145365" w14:textId="77777777" w:rsidR="00367616" w:rsidRPr="00AF24CF" w:rsidRDefault="00367616" w:rsidP="009B6248">
            <w:pPr>
              <w:pStyle w:val="Table"/>
              <w:jc w:val="center"/>
            </w:pPr>
          </w:p>
        </w:tc>
      </w:tr>
      <w:tr w:rsidR="00367616" w14:paraId="3A9AC98D"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84CBF7D" w14:textId="77777777" w:rsidR="00367616" w:rsidRPr="00ED1CC2" w:rsidRDefault="00367616" w:rsidP="009B6248">
            <w:pPr>
              <w:pStyle w:val="Table"/>
            </w:pPr>
            <w:r w:rsidRPr="009B24B4">
              <w:t>Consider deferring the disposal of an asset that would result in an assessable balancing charge.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135B05D0"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5FAC984"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21119556" w14:textId="77777777" w:rsidR="00367616" w:rsidRPr="00AF24CF" w:rsidRDefault="00367616" w:rsidP="009B6248">
            <w:pPr>
              <w:pStyle w:val="Table"/>
              <w:jc w:val="center"/>
            </w:pPr>
          </w:p>
        </w:tc>
      </w:tr>
      <w:tr w:rsidR="00367616" w14:paraId="23A55E29"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F3300BC" w14:textId="77777777" w:rsidR="00367616" w:rsidRPr="00ED1CC2" w:rsidRDefault="00367616" w:rsidP="009B6248">
            <w:pPr>
              <w:pStyle w:val="Table"/>
            </w:pPr>
            <w:r w:rsidRPr="009B24B4">
              <w:t>Consider CGT and/or depreciation rollover relief where possible.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2B01652"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8552273"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75178DBC" w14:textId="77777777" w:rsidR="00367616" w:rsidRPr="00AF24CF" w:rsidRDefault="00367616" w:rsidP="009B6248">
            <w:pPr>
              <w:pStyle w:val="Table"/>
              <w:jc w:val="center"/>
            </w:pPr>
          </w:p>
        </w:tc>
      </w:tr>
      <w:tr w:rsidR="007C6148" w:rsidRPr="00AF24CF" w14:paraId="722F14F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19FDEC" w14:textId="77777777" w:rsidR="007C6148" w:rsidRPr="00AF24CF" w:rsidRDefault="007C6148" w:rsidP="007C6148">
            <w:pPr>
              <w:pStyle w:val="Tableheading"/>
            </w:pPr>
            <w:r w:rsidRPr="009B24B4">
              <w:t>Realisation of foreign exchange gain</w:t>
            </w:r>
          </w:p>
        </w:tc>
      </w:tr>
      <w:tr w:rsidR="00367616" w14:paraId="5334DECC"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343ED1F" w14:textId="77777777" w:rsidR="00367616" w:rsidRPr="00ED1CC2" w:rsidRDefault="00367616" w:rsidP="009B6248">
            <w:pPr>
              <w:pStyle w:val="Table"/>
            </w:pPr>
            <w:r w:rsidRPr="009B24B4">
              <w:t>Consider the deferral of realising foreign exchange gains until after year end.</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FEC8A51"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208306EA"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5DAD0F68" w14:textId="77777777" w:rsidR="00367616" w:rsidRPr="00AF24CF" w:rsidRDefault="00367616" w:rsidP="009B6248">
            <w:pPr>
              <w:pStyle w:val="Table"/>
              <w:jc w:val="center"/>
            </w:pPr>
          </w:p>
        </w:tc>
      </w:tr>
      <w:tr w:rsidR="007C6148" w:rsidRPr="00AF24CF" w14:paraId="6D43C64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542608" w14:textId="77777777" w:rsidR="007C6148" w:rsidRPr="00AF24CF" w:rsidRDefault="007C6148" w:rsidP="007C6148">
            <w:pPr>
              <w:pStyle w:val="Tableheading"/>
            </w:pPr>
            <w:r w:rsidRPr="009B24B4">
              <w:t>Insurance proceeds</w:t>
            </w:r>
          </w:p>
        </w:tc>
      </w:tr>
      <w:tr w:rsidR="00367616" w14:paraId="54E2B293"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5C1AE65D" w14:textId="77777777" w:rsidR="00367616" w:rsidRPr="00ED1CC2" w:rsidRDefault="00367616" w:rsidP="009B6248">
            <w:pPr>
              <w:pStyle w:val="Table"/>
            </w:pPr>
            <w:r w:rsidRPr="009B24B4">
              <w:t>Consider the timing of lodgement of an insurance recovery claim, subsequent negotiations with the insurer and final payment.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0F0463C4"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367411D9"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1DDD7BCA" w14:textId="77777777" w:rsidR="00367616" w:rsidRPr="00AF24CF" w:rsidRDefault="00367616" w:rsidP="009B6248">
            <w:pPr>
              <w:pStyle w:val="Table"/>
              <w:jc w:val="center"/>
            </w:pPr>
          </w:p>
        </w:tc>
      </w:tr>
      <w:tr w:rsidR="007C6148" w:rsidRPr="00AF24CF" w14:paraId="7430EAF8"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E9821A" w14:textId="77777777" w:rsidR="007C6148" w:rsidRPr="00AF24CF" w:rsidRDefault="007C6148" w:rsidP="007C6148">
            <w:pPr>
              <w:pStyle w:val="Tableheading"/>
            </w:pPr>
            <w:r w:rsidRPr="009B24B4">
              <w:t>Trading stock – valuation</w:t>
            </w:r>
          </w:p>
        </w:tc>
      </w:tr>
      <w:tr w:rsidR="00367616" w14:paraId="5D62BEA8"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3B32FE5" w14:textId="77777777" w:rsidR="00367616" w:rsidRPr="00ED1CC2" w:rsidRDefault="00367616" w:rsidP="009B6248">
            <w:pPr>
              <w:pStyle w:val="Table"/>
            </w:pPr>
            <w:r w:rsidRPr="009B24B4">
              <w:t>Consider the benefits of revaluing trading stock.</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5C412B26" w14:textId="77777777" w:rsidR="00367616" w:rsidRDefault="00367616"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B212B2B" w14:textId="77777777" w:rsidR="00367616" w:rsidRDefault="00367616"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5281ECB5" w14:textId="77777777" w:rsidR="00367616" w:rsidRPr="00AF24CF" w:rsidRDefault="00367616" w:rsidP="009B6248">
            <w:pPr>
              <w:pStyle w:val="Table"/>
              <w:jc w:val="center"/>
            </w:pPr>
          </w:p>
        </w:tc>
      </w:tr>
      <w:tr w:rsidR="001035F8" w14:paraId="34BB9535"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vAlign w:val="center"/>
          </w:tcPr>
          <w:p w14:paraId="1726B81A" w14:textId="4B18CB37" w:rsidR="001035F8" w:rsidRPr="009B24B4" w:rsidRDefault="001035F8" w:rsidP="001035F8">
            <w:pPr>
              <w:pStyle w:val="Table"/>
            </w:pPr>
            <w:r>
              <w:t xml:space="preserve">Determine whether </w:t>
            </w:r>
            <w:r w:rsidR="00E25073">
              <w:t>any trading stock is obsolete.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43716CCD" w14:textId="77777777" w:rsidR="001035F8" w:rsidRDefault="001035F8" w:rsidP="009B6248">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vAlign w:val="center"/>
          </w:tcPr>
          <w:p w14:paraId="7167C684" w14:textId="77777777" w:rsidR="001035F8" w:rsidRDefault="001035F8" w:rsidP="009B6248">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vAlign w:val="center"/>
          </w:tcPr>
          <w:p w14:paraId="3537B22F" w14:textId="77777777" w:rsidR="001035F8" w:rsidRPr="00AF24CF" w:rsidRDefault="001035F8" w:rsidP="009B6248">
            <w:pPr>
              <w:pStyle w:val="Table"/>
              <w:jc w:val="center"/>
            </w:pPr>
          </w:p>
        </w:tc>
      </w:tr>
      <w:tr w:rsidR="00367616" w:rsidRPr="00AF24CF" w14:paraId="1C1665FE"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F7820" w14:textId="77777777" w:rsidR="00367616" w:rsidRDefault="00367616" w:rsidP="009B6248">
            <w:pPr>
              <w:pStyle w:val="Tableheading"/>
            </w:pPr>
            <w:r>
              <w:t>Comments:</w:t>
            </w:r>
          </w:p>
          <w:p w14:paraId="090032E7" w14:textId="77777777" w:rsidR="003304B6" w:rsidRDefault="003304B6" w:rsidP="009B6248">
            <w:pPr>
              <w:pStyle w:val="Tableheading"/>
            </w:pPr>
          </w:p>
          <w:p w14:paraId="67AD8223" w14:textId="77777777" w:rsidR="003304B6" w:rsidRDefault="003304B6" w:rsidP="009B6248">
            <w:pPr>
              <w:pStyle w:val="Tableheading"/>
            </w:pPr>
          </w:p>
          <w:p w14:paraId="066657BA" w14:textId="77777777" w:rsidR="003304B6" w:rsidRDefault="003304B6" w:rsidP="009B6248">
            <w:pPr>
              <w:pStyle w:val="Tableheading"/>
            </w:pPr>
          </w:p>
          <w:p w14:paraId="1F403A56" w14:textId="77777777" w:rsidR="003304B6" w:rsidRDefault="003304B6" w:rsidP="009B6248">
            <w:pPr>
              <w:pStyle w:val="Tableheading"/>
            </w:pPr>
            <w:bookmarkStart w:id="0" w:name="_GoBack"/>
            <w:bookmarkEnd w:id="0"/>
          </w:p>
          <w:p w14:paraId="30392A3E" w14:textId="77777777" w:rsidR="003304B6" w:rsidRPr="00AF24CF" w:rsidRDefault="003304B6" w:rsidP="009B6248">
            <w:pPr>
              <w:pStyle w:val="Tableheading"/>
            </w:pPr>
          </w:p>
        </w:tc>
      </w:tr>
    </w:tbl>
    <w:p w14:paraId="0CBF5268" w14:textId="77777777" w:rsidR="00367616" w:rsidRDefault="00367616" w:rsidP="001D3D54">
      <w:pPr>
        <w:pStyle w:val="Bet"/>
        <w:spacing w:before="0" w:after="0"/>
        <w:ind w:left="-125" w:right="-119"/>
        <w:rPr>
          <w:sz w:val="6"/>
        </w:rPr>
      </w:pPr>
    </w:p>
    <w:p w14:paraId="37776555" w14:textId="77777777" w:rsidR="00E25073" w:rsidRDefault="00E25073" w:rsidP="001D3D54">
      <w:pPr>
        <w:pStyle w:val="Bet"/>
        <w:spacing w:before="0" w:after="0"/>
        <w:ind w:left="-125" w:right="-119"/>
        <w:rPr>
          <w:sz w:val="6"/>
        </w:rPr>
      </w:pPr>
    </w:p>
    <w:p w14:paraId="7A773D60" w14:textId="77777777" w:rsidR="00E25073" w:rsidRDefault="00E25073" w:rsidP="001D3D54">
      <w:pPr>
        <w:pStyle w:val="Bet"/>
        <w:spacing w:before="0" w:after="0"/>
        <w:ind w:left="-125" w:right="-119"/>
        <w:rPr>
          <w:sz w:val="6"/>
        </w:rPr>
      </w:pPr>
    </w:p>
    <w:p w14:paraId="4B7A815D" w14:textId="77777777" w:rsidR="00E25073" w:rsidRDefault="00E25073" w:rsidP="001D3D54">
      <w:pPr>
        <w:pStyle w:val="Bet"/>
        <w:spacing w:before="0" w:after="0"/>
        <w:ind w:left="-125" w:right="-119"/>
        <w:rPr>
          <w:sz w:val="6"/>
        </w:rPr>
      </w:pPr>
    </w:p>
    <w:p w14:paraId="35C19F6F" w14:textId="77777777" w:rsidR="00E25073" w:rsidRDefault="00E25073" w:rsidP="001D3D54">
      <w:pPr>
        <w:pStyle w:val="Bet"/>
        <w:spacing w:before="0" w:after="0"/>
        <w:ind w:left="-125" w:right="-119"/>
        <w:rPr>
          <w:sz w:val="6"/>
        </w:rPr>
      </w:pPr>
    </w:p>
    <w:p w14:paraId="600E2636" w14:textId="77777777" w:rsidR="00E25073" w:rsidRDefault="00E25073" w:rsidP="001D3D54">
      <w:pPr>
        <w:pStyle w:val="Bet"/>
        <w:spacing w:before="0" w:after="0"/>
        <w:ind w:left="-125" w:right="-119"/>
        <w:rPr>
          <w:sz w:val="6"/>
        </w:rPr>
      </w:pPr>
    </w:p>
    <w:p w14:paraId="19DCCAFF" w14:textId="77777777" w:rsidR="00E25073" w:rsidRDefault="00E25073" w:rsidP="001D3D54">
      <w:pPr>
        <w:pStyle w:val="Bet"/>
        <w:spacing w:before="0" w:after="0"/>
        <w:ind w:left="-125" w:right="-119"/>
        <w:rPr>
          <w:sz w:val="6"/>
        </w:rPr>
      </w:pPr>
    </w:p>
    <w:p w14:paraId="46646942" w14:textId="77777777" w:rsidR="00E25073" w:rsidRDefault="00E25073" w:rsidP="001D3D54">
      <w:pPr>
        <w:pStyle w:val="Bet"/>
        <w:spacing w:before="0" w:after="0"/>
        <w:ind w:left="-125" w:right="-119"/>
        <w:rPr>
          <w:sz w:val="6"/>
        </w:rPr>
      </w:pPr>
    </w:p>
    <w:p w14:paraId="1526F3E7" w14:textId="77777777" w:rsidR="00E25073" w:rsidRDefault="00E25073" w:rsidP="001D3D54">
      <w:pPr>
        <w:pStyle w:val="Bet"/>
        <w:spacing w:before="0" w:after="0"/>
        <w:ind w:left="-125" w:right="-119"/>
        <w:rPr>
          <w:sz w:val="6"/>
        </w:rPr>
      </w:pPr>
    </w:p>
    <w:p w14:paraId="1267A01D" w14:textId="77777777" w:rsidR="00E25073" w:rsidRPr="001D3D54" w:rsidRDefault="00E25073" w:rsidP="001D3D5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42"/>
        <w:gridCol w:w="10"/>
        <w:gridCol w:w="746"/>
        <w:gridCol w:w="6"/>
        <w:gridCol w:w="752"/>
      </w:tblGrid>
      <w:tr w:rsidR="00367616" w:rsidRPr="005A1539" w14:paraId="64A4F74A"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22C916DB" w14:textId="77777777" w:rsidR="00367616" w:rsidRPr="00AE2EA6" w:rsidRDefault="00367616" w:rsidP="009B6248">
            <w:pPr>
              <w:pStyle w:val="Tableheading"/>
              <w:rPr>
                <w:color w:val="FFFFFF" w:themeColor="background1"/>
                <w:sz w:val="18"/>
              </w:rPr>
            </w:pPr>
            <w:r w:rsidRPr="00AE2EA6">
              <w:rPr>
                <w:color w:val="FFFFFF" w:themeColor="background1"/>
                <w:sz w:val="18"/>
              </w:rPr>
              <w:lastRenderedPageBreak/>
              <w:t>Accelerating Deductions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77E9672" w14:textId="77777777" w:rsidR="00367616" w:rsidRPr="00AE2EA6" w:rsidRDefault="00367616" w:rsidP="001D3D54">
            <w:pPr>
              <w:pStyle w:val="Tableheading"/>
              <w:jc w:val="center"/>
              <w:rPr>
                <w:color w:val="FFFFFF" w:themeColor="background1"/>
                <w:sz w:val="18"/>
              </w:rPr>
            </w:pPr>
            <w:r w:rsidRPr="00AE2EA6">
              <w:rPr>
                <w:color w:val="FFFFFF" w:themeColor="background1"/>
                <w:sz w:val="18"/>
              </w:rPr>
              <w:t>Yes</w:t>
            </w:r>
          </w:p>
        </w:tc>
        <w:tc>
          <w:tcPr>
            <w:tcW w:w="365"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E5E4072" w14:textId="77777777" w:rsidR="00367616" w:rsidRPr="00AE2EA6" w:rsidRDefault="00367616" w:rsidP="001D3D54">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30DB35A0" w14:textId="77777777" w:rsidR="00367616" w:rsidRPr="00AE2EA6" w:rsidRDefault="00367616" w:rsidP="001D3D54">
            <w:pPr>
              <w:pStyle w:val="Tableheading"/>
              <w:jc w:val="center"/>
              <w:rPr>
                <w:color w:val="FFFFFF" w:themeColor="background1"/>
                <w:sz w:val="18"/>
              </w:rPr>
            </w:pPr>
            <w:r w:rsidRPr="00AE2EA6">
              <w:rPr>
                <w:color w:val="FFFFFF" w:themeColor="background1"/>
                <w:sz w:val="18"/>
              </w:rPr>
              <w:t>N/A</w:t>
            </w:r>
          </w:p>
        </w:tc>
      </w:tr>
      <w:tr w:rsidR="007C6148" w:rsidRPr="00B340A7" w14:paraId="1E49911B"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7AFCC9E" w14:textId="77777777" w:rsidR="007C6148" w:rsidRPr="00B340A7" w:rsidRDefault="007C6148" w:rsidP="007C6148">
            <w:pPr>
              <w:pStyle w:val="Tableheading"/>
            </w:pPr>
            <w:r w:rsidRPr="00CF4387">
              <w:t>General</w:t>
            </w:r>
          </w:p>
        </w:tc>
      </w:tr>
      <w:tr w:rsidR="00367616" w14:paraId="7B33A11E"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7508C22" w14:textId="77777777" w:rsidR="00367616" w:rsidRDefault="00367616" w:rsidP="009B6248">
            <w:pPr>
              <w:pStyle w:val="Table"/>
            </w:pPr>
            <w:r w:rsidRPr="00CF4387">
              <w:t>Have the outgoings sought to be deducted been properly ‘incurred’?</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81CA73B"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E4842B9" w14:textId="77777777" w:rsidR="00367616" w:rsidRDefault="00367616" w:rsidP="001D3D5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5348733" w14:textId="77777777" w:rsidR="00367616" w:rsidRDefault="00367616" w:rsidP="001D3D54">
            <w:pPr>
              <w:pStyle w:val="Table"/>
              <w:jc w:val="center"/>
            </w:pPr>
          </w:p>
        </w:tc>
      </w:tr>
      <w:tr w:rsidR="007C6148" w:rsidRPr="00AF24CF" w14:paraId="7E08ED17"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6B8E3D4" w14:textId="77777777" w:rsidR="007C6148" w:rsidRPr="00AF24CF" w:rsidRDefault="007C6148" w:rsidP="007C6148">
            <w:pPr>
              <w:pStyle w:val="Tableheading"/>
            </w:pPr>
            <w:r w:rsidRPr="00CF4387">
              <w:t>Prepayments</w:t>
            </w:r>
          </w:p>
        </w:tc>
      </w:tr>
      <w:tr w:rsidR="00367616" w14:paraId="3C687559"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77C8A96" w14:textId="77777777" w:rsidR="00367616" w:rsidRDefault="00367616" w:rsidP="009B6248">
            <w:pPr>
              <w:pStyle w:val="Table"/>
            </w:pPr>
            <w:r>
              <w:t>Has an immediate deduction been claimed for prepaid expenses that are:</w:t>
            </w:r>
          </w:p>
          <w:p w14:paraId="3FDD6074" w14:textId="77777777" w:rsidR="00367616" w:rsidRPr="00AC6482" w:rsidRDefault="00367616" w:rsidP="007C2D15">
            <w:pPr>
              <w:pStyle w:val="TableBullet"/>
            </w:pPr>
            <w:r w:rsidRPr="00AC6482">
              <w:t>less than $1,000 (GST exclusive)</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ACA1251"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52D6E8A" w14:textId="77777777" w:rsidR="00367616" w:rsidRDefault="00367616" w:rsidP="001D3D5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AF6780D" w14:textId="77777777" w:rsidR="00367616" w:rsidRPr="00AF24CF" w:rsidRDefault="00367616" w:rsidP="001D3D54">
            <w:pPr>
              <w:pStyle w:val="Table"/>
              <w:jc w:val="center"/>
            </w:pPr>
          </w:p>
        </w:tc>
      </w:tr>
      <w:tr w:rsidR="00367616" w14:paraId="3735595C"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E6A9D05" w14:textId="77777777" w:rsidR="00367616" w:rsidRDefault="00367616" w:rsidP="007C2D15">
            <w:pPr>
              <w:pStyle w:val="TableBullet"/>
            </w:pPr>
            <w:r>
              <w:t>required to be made by court order or law</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B167972"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83DDFD6" w14:textId="77777777" w:rsidR="00367616" w:rsidRDefault="00367616" w:rsidP="001D3D5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C0CAEB" w14:textId="77777777" w:rsidR="00367616" w:rsidRPr="00AF24CF" w:rsidRDefault="00367616" w:rsidP="001D3D54">
            <w:pPr>
              <w:pStyle w:val="Table"/>
              <w:jc w:val="center"/>
            </w:pPr>
          </w:p>
        </w:tc>
      </w:tr>
      <w:tr w:rsidR="00367616" w14:paraId="2D571B47"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4B1FCE9" w14:textId="77777777" w:rsidR="00367616" w:rsidRDefault="00367616" w:rsidP="007C2D15">
            <w:pPr>
              <w:pStyle w:val="TableBullet"/>
            </w:pPr>
            <w:r>
              <w:t>made under a contract of service e.g. salary and wages</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B402BFF" w14:textId="77777777" w:rsidR="00367616" w:rsidRDefault="00367616" w:rsidP="001D3D54">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E495B4" w14:textId="77777777" w:rsidR="00367616" w:rsidRDefault="00367616" w:rsidP="001D3D5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74FD97B" w14:textId="77777777" w:rsidR="00367616" w:rsidRPr="00AF24CF" w:rsidRDefault="00367616" w:rsidP="001D3D54">
            <w:pPr>
              <w:pStyle w:val="Table"/>
              <w:jc w:val="center"/>
            </w:pPr>
          </w:p>
        </w:tc>
      </w:tr>
      <w:tr w:rsidR="00367616" w14:paraId="03404A8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BADDB9C" w14:textId="77777777" w:rsidR="00367616" w:rsidRDefault="00367616" w:rsidP="00D13F12">
            <w:pPr>
              <w:pStyle w:val="TableBullet"/>
            </w:pPr>
            <w:r>
              <w:t>capital or private in nature or</w:t>
            </w: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7CEC05F" w14:textId="77777777" w:rsidR="00367616" w:rsidRDefault="00367616" w:rsidP="00184E12">
            <w:pPr>
              <w:pStyle w:val="Table"/>
              <w:jc w:val="center"/>
            </w:pPr>
          </w:p>
        </w:tc>
        <w:tc>
          <w:tcPr>
            <w:tcW w:w="365"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1B6C809"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C250512" w14:textId="77777777" w:rsidR="00367616" w:rsidRPr="00AF24CF" w:rsidRDefault="00367616" w:rsidP="00184E12">
            <w:pPr>
              <w:pStyle w:val="Table"/>
              <w:jc w:val="center"/>
            </w:pPr>
          </w:p>
        </w:tc>
      </w:tr>
      <w:tr w:rsidR="00367616" w14:paraId="373DA3C3"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0CDC550" w14:textId="77777777" w:rsidR="00367616" w:rsidRDefault="00367616" w:rsidP="00D13F12">
            <w:pPr>
              <w:pStyle w:val="TableBullet"/>
            </w:pPr>
            <w:proofErr w:type="gramStart"/>
            <w:r w:rsidRPr="004774F0">
              <w:t>incurred</w:t>
            </w:r>
            <w:proofErr w:type="gramEnd"/>
            <w:r w:rsidRPr="004774F0">
              <w:t xml:space="preserve"> by a Small Business Entity (SBE) taxpayer, or is non-business expenditure incurred by </w:t>
            </w:r>
            <w:r w:rsidR="00D13F12">
              <w:t xml:space="preserve">   </w:t>
            </w:r>
            <w:r w:rsidRPr="004774F0">
              <w:t>an individual taxpayer, with an eligible service period of no more than 12 months?</w:t>
            </w:r>
          </w:p>
          <w:p w14:paraId="5476C480" w14:textId="55F921DF" w:rsidR="001035F8" w:rsidRPr="004774F0" w:rsidRDefault="001035F8" w:rsidP="003A1122">
            <w:pPr>
              <w:pStyle w:val="TableBullet"/>
              <w:numPr>
                <w:ilvl w:val="0"/>
                <w:numId w:val="0"/>
              </w:numPr>
            </w:pPr>
            <w:r w:rsidRPr="009F0C8F">
              <w:rPr>
                <w:b/>
                <w:sz w:val="14"/>
                <w:szCs w:val="14"/>
              </w:rPr>
              <w:t>Note</w:t>
            </w:r>
            <w:r w:rsidRPr="009F0C8F">
              <w:rPr>
                <w:sz w:val="14"/>
                <w:szCs w:val="14"/>
              </w:rPr>
              <w:t xml:space="preserve">: </w:t>
            </w:r>
            <w:r>
              <w:rPr>
                <w:sz w:val="14"/>
                <w:szCs w:val="14"/>
              </w:rPr>
              <w:t>it was proposed in the 2016-17 Federal Budget that the aggregated threshold to be regarded as an SBE be increased from $2 million to $10 mill</w:t>
            </w:r>
            <w:r w:rsidR="00E25073">
              <w:rPr>
                <w:sz w:val="14"/>
                <w:szCs w:val="14"/>
              </w:rPr>
              <w:t>ion effective from 1 July 2016.</w:t>
            </w:r>
            <w:r>
              <w:rPr>
                <w:sz w:val="14"/>
                <w:szCs w:val="14"/>
              </w:rPr>
              <w:t xml:space="preserve">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B5D3E96"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36FA66"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F310947" w14:textId="77777777" w:rsidR="00367616" w:rsidRPr="00AF24CF" w:rsidRDefault="00367616" w:rsidP="00184E12">
            <w:pPr>
              <w:pStyle w:val="Table"/>
              <w:jc w:val="center"/>
            </w:pPr>
          </w:p>
        </w:tc>
      </w:tr>
      <w:tr w:rsidR="007C6148" w:rsidRPr="00AF24CF" w14:paraId="358F8D1E"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2C047CE" w14:textId="77777777" w:rsidR="007C6148" w:rsidRPr="00AF24CF" w:rsidRDefault="007C6148" w:rsidP="007C6148">
            <w:pPr>
              <w:pStyle w:val="Tableheading"/>
            </w:pPr>
            <w:r w:rsidRPr="00CF4387">
              <w:t>Realisation of assets</w:t>
            </w:r>
          </w:p>
        </w:tc>
      </w:tr>
      <w:tr w:rsidR="00367616" w14:paraId="66D6D66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F258539" w14:textId="77777777" w:rsidR="00367616" w:rsidRPr="00ED1CC2" w:rsidRDefault="00367616" w:rsidP="00D13F12">
            <w:pPr>
              <w:pStyle w:val="Table"/>
            </w:pPr>
            <w:r w:rsidRPr="00CF4387">
              <w:t xml:space="preserve">Consider realising assets that will produce capital or revenue losses which can be used to offset capital </w:t>
            </w:r>
            <w:r w:rsidR="00D13F12">
              <w:t xml:space="preserve">gains </w:t>
            </w:r>
            <w:r w:rsidRPr="00CF4387">
              <w:t>or revenue income in the income year.</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D74C6EE"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4006F87"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FC36A6E" w14:textId="77777777" w:rsidR="00367616" w:rsidRPr="00AF24CF" w:rsidRDefault="00367616" w:rsidP="00184E12">
            <w:pPr>
              <w:pStyle w:val="Table"/>
              <w:jc w:val="center"/>
            </w:pPr>
          </w:p>
        </w:tc>
      </w:tr>
      <w:tr w:rsidR="007C6148" w:rsidRPr="00AF24CF" w14:paraId="058F79EA"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AEB079A" w14:textId="77777777" w:rsidR="007C6148" w:rsidRPr="00AF24CF" w:rsidRDefault="007C6148" w:rsidP="007C6148">
            <w:pPr>
              <w:pStyle w:val="Tableheading"/>
            </w:pPr>
            <w:r w:rsidRPr="00CF4387">
              <w:t>Superannuation contributions</w:t>
            </w:r>
          </w:p>
        </w:tc>
      </w:tr>
      <w:tr w:rsidR="00367616" w14:paraId="3F7E4EAF"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92D048E" w14:textId="77777777" w:rsidR="00367616" w:rsidRDefault="00367616" w:rsidP="00792839">
            <w:pPr>
              <w:pStyle w:val="Table"/>
            </w:pPr>
            <w:r w:rsidRPr="0045581E">
              <w:t xml:space="preserve">Ensure superannuation contributions are paid by year-end and meet any required conditions as is the case </w:t>
            </w:r>
            <w:r w:rsidR="00792839">
              <w:t>with deductions claimed by self-</w:t>
            </w:r>
            <w:r w:rsidRPr="0045581E">
              <w:t>employed</w:t>
            </w:r>
            <w:r w:rsidR="00792839">
              <w:t>,</w:t>
            </w:r>
            <w:r w:rsidRPr="0045581E">
              <w:t xml:space="preserve"> </w:t>
            </w:r>
            <w:r w:rsidR="00792839">
              <w:t>or substantially self-</w:t>
            </w:r>
            <w:r w:rsidR="00D13F12">
              <w:t>employed</w:t>
            </w:r>
            <w:r w:rsidR="00792839">
              <w:t>,</w:t>
            </w:r>
            <w:r w:rsidR="00D13F12">
              <w:t xml:space="preserve"> </w:t>
            </w:r>
            <w:r w:rsidRPr="0045581E">
              <w:t>taxpayers.</w:t>
            </w:r>
          </w:p>
          <w:p w14:paraId="6C44A6C0" w14:textId="60BE1E0F" w:rsidR="001035F8" w:rsidRPr="00ED1CC2" w:rsidRDefault="001035F8" w:rsidP="001035F8">
            <w:pPr>
              <w:pStyle w:val="Table"/>
            </w:pPr>
            <w:r w:rsidRPr="009F0C8F">
              <w:rPr>
                <w:b/>
                <w:sz w:val="14"/>
                <w:szCs w:val="14"/>
              </w:rPr>
              <w:t>Note</w:t>
            </w:r>
            <w:r w:rsidRPr="009F0C8F">
              <w:rPr>
                <w:sz w:val="14"/>
                <w:szCs w:val="14"/>
              </w:rPr>
              <w:t xml:space="preserve">: </w:t>
            </w:r>
            <w:r>
              <w:rPr>
                <w:sz w:val="14"/>
                <w:szCs w:val="14"/>
              </w:rPr>
              <w:t xml:space="preserve">various changes to the rules associated with both concessional and non-concessional contributions were proposed </w:t>
            </w:r>
            <w:proofErr w:type="gramStart"/>
            <w:r>
              <w:rPr>
                <w:sz w:val="14"/>
                <w:szCs w:val="14"/>
              </w:rPr>
              <w:t xml:space="preserve">in the 2016-17 Federal Budget which should be considered when formulating future tax planning </w:t>
            </w:r>
            <w:r w:rsidR="00E25073">
              <w:rPr>
                <w:sz w:val="14"/>
                <w:szCs w:val="14"/>
              </w:rPr>
              <w:t>strategies</w:t>
            </w:r>
            <w:proofErr w:type="gramEnd"/>
            <w:r w:rsidR="00E25073">
              <w:rPr>
                <w:sz w:val="14"/>
                <w:szCs w:val="14"/>
              </w:rPr>
              <w:t>.</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0BDFC0D"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37B5292"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D1B6855" w14:textId="77777777" w:rsidR="00367616" w:rsidRPr="00AF24CF" w:rsidRDefault="00367616" w:rsidP="00184E12">
            <w:pPr>
              <w:pStyle w:val="Table"/>
              <w:jc w:val="center"/>
            </w:pPr>
          </w:p>
        </w:tc>
      </w:tr>
      <w:tr w:rsidR="007C6148" w:rsidRPr="00AF24CF" w14:paraId="10663EBE"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B9D6630" w14:textId="77777777" w:rsidR="007C6148" w:rsidRPr="00AF24CF" w:rsidRDefault="007C6148" w:rsidP="007C6148">
            <w:pPr>
              <w:pStyle w:val="Tableheading"/>
            </w:pPr>
            <w:r w:rsidRPr="00CF4387">
              <w:t>Employee bonuses</w:t>
            </w:r>
          </w:p>
        </w:tc>
      </w:tr>
      <w:tr w:rsidR="00367616" w14:paraId="2A0F0453"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D81C9E1" w14:textId="7FE23284" w:rsidR="00367616" w:rsidRPr="00ED1CC2" w:rsidRDefault="00367616" w:rsidP="001035F8">
            <w:pPr>
              <w:pStyle w:val="Table"/>
            </w:pPr>
            <w:r w:rsidRPr="00CF4387">
              <w:t xml:space="preserve">Ensure that staff bonuses are quantified and documented prior to year-end to enable a deduction to be claimed for bonuses accrued </w:t>
            </w:r>
            <w:r w:rsidRPr="005A1D6C">
              <w:rPr>
                <w:i/>
              </w:rPr>
              <w:t xml:space="preserve">(Merrill Lynch </w:t>
            </w:r>
            <w:r w:rsidR="00E25073">
              <w:rPr>
                <w:i/>
              </w:rPr>
              <w:t xml:space="preserve">International </w:t>
            </w:r>
            <w:r w:rsidR="001035F8">
              <w:rPr>
                <w:i/>
              </w:rPr>
              <w:t xml:space="preserve">(Australia) Ltd </w:t>
            </w:r>
            <w:r w:rsidRPr="005A1D6C">
              <w:rPr>
                <w:i/>
              </w:rPr>
              <w:t>v FCT</w:t>
            </w:r>
            <w:r w:rsidR="001035F8">
              <w:rPr>
                <w:i/>
              </w:rPr>
              <w:t xml:space="preserve"> (2001) </w:t>
            </w:r>
            <w:r w:rsidR="001035F8">
              <w:t>47 ATR 611</w:t>
            </w:r>
            <w:r w:rsidRPr="005A1D6C">
              <w:rPr>
                <w:i/>
              </w:rPr>
              <w:t>).</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2A81D3"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4C34142"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1AB775E" w14:textId="77777777" w:rsidR="00367616" w:rsidRPr="00AF24CF" w:rsidRDefault="00367616" w:rsidP="00184E12">
            <w:pPr>
              <w:pStyle w:val="Table"/>
              <w:jc w:val="center"/>
            </w:pPr>
          </w:p>
        </w:tc>
      </w:tr>
      <w:tr w:rsidR="007C6148" w:rsidRPr="00AF24CF" w14:paraId="4C4FBDF0"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25C052" w14:textId="77777777" w:rsidR="007C6148" w:rsidRPr="00AF24CF" w:rsidRDefault="007C6148" w:rsidP="007C6148">
            <w:pPr>
              <w:pStyle w:val="Tableheading"/>
            </w:pPr>
            <w:r w:rsidRPr="00CF4387">
              <w:t>Foreign exchange losses</w:t>
            </w:r>
          </w:p>
        </w:tc>
      </w:tr>
      <w:tr w:rsidR="00367616" w14:paraId="05FC771F"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A368A36" w14:textId="77777777" w:rsidR="00367616" w:rsidRPr="00ED1CC2" w:rsidRDefault="00367616" w:rsidP="009B6248">
            <w:pPr>
              <w:pStyle w:val="Table"/>
            </w:pPr>
            <w:r w:rsidRPr="00CF4387">
              <w:t>Consider realising foreign exchange losses before year-end so that a deduction can be claimed.</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611449"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C53DFC0"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8BBC188" w14:textId="77777777" w:rsidR="00367616" w:rsidRPr="00AF24CF" w:rsidRDefault="00367616" w:rsidP="00184E12">
            <w:pPr>
              <w:pStyle w:val="Table"/>
              <w:jc w:val="center"/>
            </w:pPr>
          </w:p>
        </w:tc>
      </w:tr>
      <w:tr w:rsidR="007C6148" w:rsidRPr="00AF24CF" w14:paraId="616FC44A"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728547" w14:textId="77777777" w:rsidR="007C6148" w:rsidRPr="00AF24CF" w:rsidRDefault="007C6148" w:rsidP="007C6148">
            <w:pPr>
              <w:pStyle w:val="Tableheading"/>
            </w:pPr>
            <w:r w:rsidRPr="00CF4387">
              <w:t>Capital allowances</w:t>
            </w:r>
          </w:p>
        </w:tc>
      </w:tr>
      <w:tr w:rsidR="00367616" w14:paraId="3A9927E5"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72D7184" w14:textId="326A7C76" w:rsidR="00367616" w:rsidRDefault="0099437F" w:rsidP="0099437F">
            <w:pPr>
              <w:pStyle w:val="Table"/>
            </w:pPr>
            <w:r>
              <w:t>For an SBE taxpayer c</w:t>
            </w:r>
            <w:r w:rsidR="00367616" w:rsidRPr="00CF4387">
              <w:t xml:space="preserve">heck whether assets </w:t>
            </w:r>
            <w:r>
              <w:t xml:space="preserve">acquired during the year </w:t>
            </w:r>
            <w:r w:rsidR="00367616" w:rsidRPr="00CF4387">
              <w:t>costing less than $</w:t>
            </w:r>
            <w:r>
              <w:t>20,0</w:t>
            </w:r>
            <w:r w:rsidR="00367616" w:rsidRPr="00CF4387">
              <w:t>00 can be immediately written off.</w:t>
            </w:r>
            <w:r>
              <w:t xml:space="preserve"> Also, the closing balance of the low value pool of an SBE taxpayer’s depreciating assets may be written off if less than $20,000.</w:t>
            </w:r>
          </w:p>
          <w:p w14:paraId="17CA4060" w14:textId="49CF9B41" w:rsidR="001035F8" w:rsidRPr="00ED1CC2" w:rsidRDefault="001035F8" w:rsidP="001035F8">
            <w:pPr>
              <w:pStyle w:val="Table"/>
            </w:pPr>
            <w:r w:rsidRPr="009F0C8F">
              <w:rPr>
                <w:b/>
                <w:sz w:val="14"/>
                <w:szCs w:val="14"/>
              </w:rPr>
              <w:t>Note</w:t>
            </w:r>
            <w:r w:rsidRPr="009F0C8F">
              <w:rPr>
                <w:sz w:val="14"/>
                <w:szCs w:val="14"/>
              </w:rPr>
              <w:t xml:space="preserve">: </w:t>
            </w:r>
            <w:r>
              <w:rPr>
                <w:sz w:val="14"/>
                <w:szCs w:val="14"/>
              </w:rPr>
              <w:t>it was proposed in the 2016-17 Federal Budget that the aggregated threshold to be regarded as an SBE be increased from $2 million to $10 mil</w:t>
            </w:r>
            <w:r w:rsidR="00E25073">
              <w:rPr>
                <w:sz w:val="14"/>
                <w:szCs w:val="14"/>
              </w:rPr>
              <w:t>lion effective from 1 July 2016.</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5144F28"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72D98C9"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B4B1608" w14:textId="77777777" w:rsidR="00367616" w:rsidRPr="00AF24CF" w:rsidRDefault="00367616" w:rsidP="00184E12">
            <w:pPr>
              <w:pStyle w:val="Table"/>
              <w:jc w:val="center"/>
            </w:pPr>
          </w:p>
        </w:tc>
      </w:tr>
      <w:tr w:rsidR="00367616" w14:paraId="5124D66F"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09C40C1" w14:textId="3A359827" w:rsidR="00367616" w:rsidRPr="00CF4387" w:rsidRDefault="0099437F" w:rsidP="0099437F">
            <w:pPr>
              <w:pStyle w:val="Table"/>
            </w:pPr>
            <w:r>
              <w:t>For non SBE taxpayers c</w:t>
            </w:r>
            <w:r w:rsidR="00367616" w:rsidRPr="00CF4387">
              <w:t>heck if there are assets costing $1,000 or less (other than a horticultural plant</w:t>
            </w:r>
            <w:r w:rsidR="002536F1">
              <w:t xml:space="preserve"> and certain R&amp;D depreciating assets) </w:t>
            </w:r>
            <w:r w:rsidR="00367616" w:rsidRPr="00CF4387">
              <w:t>that can be allocated to a low-value pool.</w:t>
            </w:r>
            <w:r w:rsidR="00390F56">
              <w:t xml:space="preserve">  </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56CE74F"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DF28835"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C60302C" w14:textId="77777777" w:rsidR="00367616" w:rsidRPr="00AF24CF" w:rsidRDefault="00367616" w:rsidP="00184E12">
            <w:pPr>
              <w:pStyle w:val="Table"/>
              <w:jc w:val="center"/>
            </w:pPr>
          </w:p>
        </w:tc>
      </w:tr>
      <w:tr w:rsidR="00367616" w14:paraId="06D82468"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BEBDDE6" w14:textId="11004885" w:rsidR="00B1159F" w:rsidRPr="00CF4387" w:rsidRDefault="00367616" w:rsidP="008C5F4C">
            <w:pPr>
              <w:pStyle w:val="Table"/>
            </w:pPr>
            <w:r w:rsidRPr="00CF4387">
              <w:t>Check to see if there are any depreciating assets which have stopped being used in the business in which case a balancing deduction may be available in respect of their adjustable value.</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2ACB0E0"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60A3F91"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2356E5F" w14:textId="77777777" w:rsidR="00367616" w:rsidRPr="00AF24CF" w:rsidRDefault="00367616" w:rsidP="00184E12">
            <w:pPr>
              <w:pStyle w:val="Table"/>
              <w:jc w:val="center"/>
            </w:pPr>
          </w:p>
        </w:tc>
      </w:tr>
      <w:tr w:rsidR="0078761B" w14:paraId="63DA4129"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CF960DB" w14:textId="77777777" w:rsidR="0078761B" w:rsidRPr="00706804" w:rsidDel="00706804" w:rsidRDefault="0078761B">
            <w:pPr>
              <w:pStyle w:val="Table"/>
            </w:pPr>
            <w:r>
              <w:t>Check whether item</w:t>
            </w:r>
            <w:r w:rsidR="00792839">
              <w:t>s</w:t>
            </w:r>
            <w:r>
              <w:t xml:space="preserve"> of depreciating assets with a</w:t>
            </w:r>
            <w:r w:rsidR="00792839">
              <w:t>n</w:t>
            </w:r>
            <w:r>
              <w:t xml:space="preserve"> adjustable value greater than nil are obsolete and can be scrapped.</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6057870" w14:textId="77777777" w:rsidR="0078761B" w:rsidRDefault="0078761B"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AEA5A72" w14:textId="77777777" w:rsidR="0078761B" w:rsidRDefault="0078761B"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B9CA7B3" w14:textId="77777777" w:rsidR="0078761B" w:rsidRPr="00AF24CF" w:rsidRDefault="0078761B" w:rsidP="00184E12">
            <w:pPr>
              <w:pStyle w:val="Table"/>
              <w:jc w:val="center"/>
            </w:pPr>
          </w:p>
        </w:tc>
      </w:tr>
      <w:tr w:rsidR="007C6148" w:rsidRPr="00AF24CF" w14:paraId="4E6D1B4F"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702B882" w14:textId="77777777" w:rsidR="007C6148" w:rsidRPr="00AF24CF" w:rsidRDefault="007C6148" w:rsidP="007C6148">
            <w:pPr>
              <w:pStyle w:val="Tableheading"/>
            </w:pPr>
            <w:r w:rsidRPr="00CF4387">
              <w:t>Trading stock write-offs</w:t>
            </w:r>
          </w:p>
        </w:tc>
      </w:tr>
      <w:tr w:rsidR="00367616" w14:paraId="116938EB"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BD757F" w14:textId="77777777" w:rsidR="00367616" w:rsidRPr="00ED1CC2" w:rsidRDefault="00367616" w:rsidP="009B6248">
            <w:pPr>
              <w:pStyle w:val="Table"/>
            </w:pPr>
            <w:r w:rsidRPr="00CF4387">
              <w:t>Determine whether items or lines of trading stock should be scrapped or have become obsolete. These may be tax deductible.</w:t>
            </w:r>
          </w:p>
        </w:tc>
        <w:tc>
          <w:tcPr>
            <w:tcW w:w="360"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1517422" w14:textId="77777777" w:rsidR="00367616" w:rsidRDefault="00367616" w:rsidP="00184E12">
            <w:pPr>
              <w:pStyle w:val="Table"/>
              <w:jc w:val="center"/>
            </w:pPr>
          </w:p>
        </w:tc>
        <w:tc>
          <w:tcPr>
            <w:tcW w:w="367"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CE124E1"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4508E20" w14:textId="77777777" w:rsidR="00367616" w:rsidRPr="00AF24CF" w:rsidRDefault="00367616" w:rsidP="00184E12">
            <w:pPr>
              <w:pStyle w:val="Table"/>
              <w:jc w:val="center"/>
            </w:pPr>
          </w:p>
        </w:tc>
      </w:tr>
    </w:tbl>
    <w:p w14:paraId="2B43C0C8" w14:textId="77777777" w:rsidR="00E25073" w:rsidRDefault="00E25073">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11"/>
        <w:gridCol w:w="31"/>
        <w:gridCol w:w="756"/>
        <w:gridCol w:w="64"/>
        <w:gridCol w:w="694"/>
      </w:tblGrid>
      <w:tr w:rsidR="00050E73" w:rsidRPr="00AF24CF" w14:paraId="3742DA5B" w14:textId="77777777" w:rsidTr="00952FCB">
        <w:tc>
          <w:tcPr>
            <w:tcW w:w="3905" w:type="pct"/>
            <w:tcBorders>
              <w:top w:val="single" w:sz="4" w:space="0" w:color="939598"/>
              <w:left w:val="nil"/>
              <w:bottom w:val="single" w:sz="4" w:space="0" w:color="808080" w:themeColor="background1" w:themeShade="80"/>
              <w:right w:val="single" w:sz="4" w:space="0" w:color="939598"/>
            </w:tcBorders>
            <w:shd w:val="clear" w:color="auto" w:fill="002060"/>
          </w:tcPr>
          <w:p w14:paraId="1A7034F1" w14:textId="1B540DAF" w:rsidR="00050E73" w:rsidRDefault="00050E73" w:rsidP="007C6148">
            <w:pPr>
              <w:pStyle w:val="Tableheading"/>
            </w:pPr>
            <w:r w:rsidRPr="00AE2EA6">
              <w:rPr>
                <w:b w:val="0"/>
                <w:color w:val="FFFFFF" w:themeColor="background1"/>
                <w:sz w:val="24"/>
                <w:szCs w:val="24"/>
              </w:rPr>
              <w:lastRenderedPageBreak/>
              <w:br w:type="page"/>
            </w:r>
            <w:r w:rsidRPr="00AE2EA6">
              <w:rPr>
                <w:color w:val="FFFFFF" w:themeColor="background1"/>
                <w:sz w:val="18"/>
              </w:rPr>
              <w:t>Accelerating Deductions</w:t>
            </w:r>
            <w:r w:rsidRPr="00AE2EA6">
              <w:rPr>
                <w:b w:val="0"/>
                <w:i/>
                <w:color w:val="FFFFFF" w:themeColor="background1"/>
                <w:sz w:val="18"/>
              </w:rPr>
              <w:t xml:space="preserve"> </w:t>
            </w:r>
          </w:p>
        </w:tc>
        <w:tc>
          <w:tcPr>
            <w:tcW w:w="345" w:type="pct"/>
            <w:tcBorders>
              <w:top w:val="single" w:sz="4" w:space="0" w:color="939598"/>
              <w:left w:val="single" w:sz="4" w:space="0" w:color="939598"/>
              <w:bottom w:val="single" w:sz="4" w:space="0" w:color="808080" w:themeColor="background1" w:themeShade="80"/>
              <w:right w:val="single" w:sz="4" w:space="0" w:color="939598"/>
            </w:tcBorders>
            <w:shd w:val="clear" w:color="auto" w:fill="002060"/>
          </w:tcPr>
          <w:p w14:paraId="5DABB09B" w14:textId="029DBAE2" w:rsidR="00050E73" w:rsidRDefault="00050E73" w:rsidP="007C6148">
            <w:pPr>
              <w:pStyle w:val="Tableheading"/>
            </w:pPr>
            <w:r w:rsidRPr="00AE2EA6">
              <w:rPr>
                <w:color w:val="FFFFFF" w:themeColor="background1"/>
                <w:sz w:val="18"/>
              </w:rPr>
              <w:t>Yes</w:t>
            </w:r>
          </w:p>
        </w:tc>
        <w:tc>
          <w:tcPr>
            <w:tcW w:w="413" w:type="pct"/>
            <w:gridSpan w:val="3"/>
            <w:tcBorders>
              <w:top w:val="single" w:sz="4" w:space="0" w:color="939598"/>
              <w:left w:val="single" w:sz="4" w:space="0" w:color="939598"/>
              <w:bottom w:val="single" w:sz="4" w:space="0" w:color="808080" w:themeColor="background1" w:themeShade="80"/>
              <w:right w:val="single" w:sz="4" w:space="0" w:color="939598"/>
            </w:tcBorders>
            <w:shd w:val="clear" w:color="auto" w:fill="002060"/>
          </w:tcPr>
          <w:p w14:paraId="1EA306D9" w14:textId="78172E70" w:rsidR="00050E73" w:rsidRDefault="00050E73" w:rsidP="007C6148">
            <w:pPr>
              <w:pStyle w:val="Tableheading"/>
            </w:pPr>
            <w:r w:rsidRPr="00AE2EA6">
              <w:rPr>
                <w:color w:val="FFFFFF" w:themeColor="background1"/>
                <w:sz w:val="18"/>
              </w:rPr>
              <w:t>No</w:t>
            </w:r>
          </w:p>
        </w:tc>
        <w:tc>
          <w:tcPr>
            <w:tcW w:w="337" w:type="pct"/>
            <w:tcBorders>
              <w:top w:val="single" w:sz="4" w:space="0" w:color="939598"/>
              <w:left w:val="single" w:sz="4" w:space="0" w:color="939598"/>
              <w:bottom w:val="single" w:sz="4" w:space="0" w:color="808080" w:themeColor="background1" w:themeShade="80"/>
              <w:right w:val="nil"/>
            </w:tcBorders>
            <w:shd w:val="clear" w:color="auto" w:fill="002060"/>
          </w:tcPr>
          <w:p w14:paraId="0CC9DD7E" w14:textId="2C5D83B0" w:rsidR="00050E73" w:rsidRDefault="00050E73" w:rsidP="007C6148">
            <w:pPr>
              <w:pStyle w:val="Tableheading"/>
            </w:pPr>
            <w:r w:rsidRPr="00AE2EA6">
              <w:rPr>
                <w:color w:val="FFFFFF" w:themeColor="background1"/>
                <w:sz w:val="18"/>
              </w:rPr>
              <w:t>N/A</w:t>
            </w:r>
          </w:p>
        </w:tc>
      </w:tr>
      <w:tr w:rsidR="00050E73" w:rsidRPr="00AF24CF" w14:paraId="3DCA0806"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B95A4E" w14:textId="3C83E70D" w:rsidR="00050E73" w:rsidRPr="00AF24CF" w:rsidRDefault="00050E73" w:rsidP="007C6148">
            <w:pPr>
              <w:pStyle w:val="Tableheading"/>
            </w:pPr>
            <w:r>
              <w:t>“</w:t>
            </w:r>
            <w:r w:rsidRPr="00CF4387">
              <w:t>Black</w:t>
            </w:r>
            <w:r>
              <w:t>-</w:t>
            </w:r>
            <w:r w:rsidRPr="00CF4387">
              <w:t>hole</w:t>
            </w:r>
            <w:r>
              <w:t>”</w:t>
            </w:r>
            <w:r w:rsidRPr="00CF4387">
              <w:t xml:space="preserve"> expenditure</w:t>
            </w:r>
          </w:p>
        </w:tc>
      </w:tr>
      <w:tr w:rsidR="00050E73" w14:paraId="046E0D24"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AA2B609" w14:textId="77777777" w:rsidR="00050E73" w:rsidRDefault="00050E73" w:rsidP="009B6248">
            <w:pPr>
              <w:pStyle w:val="Table"/>
            </w:pPr>
            <w:r w:rsidRPr="00CF4387">
              <w:t>Determine whether business expenditure incurred that is not deductible, amortised or capitalised under any other provision, could be deductible pursuant to s</w:t>
            </w:r>
            <w:r>
              <w:t>ection</w:t>
            </w:r>
            <w:r w:rsidRPr="00CF4387">
              <w:t xml:space="preserve"> 40-880 of the ITAA 1997. </w:t>
            </w:r>
          </w:p>
          <w:p w14:paraId="231F273B" w14:textId="77777777" w:rsidR="00050E73" w:rsidRDefault="00050E73" w:rsidP="009B6248">
            <w:pPr>
              <w:pStyle w:val="Table"/>
            </w:pPr>
            <w:r w:rsidRPr="00CF4387">
              <w:t>Broadly, such expenditure will include pre commencement and post cessation business capital expenditure for which tax relief is not otherwise allowable.</w:t>
            </w:r>
          </w:p>
          <w:p w14:paraId="1F2E214E" w14:textId="1A91D13B" w:rsidR="00050E73" w:rsidRPr="00ED1CC2" w:rsidRDefault="00050E73" w:rsidP="001035F8">
            <w:pPr>
              <w:pStyle w:val="Table"/>
            </w:pPr>
            <w:r w:rsidRPr="009F0C8F">
              <w:rPr>
                <w:b/>
                <w:sz w:val="14"/>
                <w:szCs w:val="14"/>
              </w:rPr>
              <w:t>Note</w:t>
            </w:r>
            <w:r w:rsidRPr="009F0C8F">
              <w:rPr>
                <w:sz w:val="14"/>
                <w:szCs w:val="14"/>
              </w:rPr>
              <w:t xml:space="preserve">: </w:t>
            </w:r>
            <w:r>
              <w:rPr>
                <w:sz w:val="14"/>
                <w:szCs w:val="14"/>
              </w:rPr>
              <w:t>there is a 100% write off available to small business entities for expenditure on capital items regarded as “start-up” costs if incurred on or after 1 July 2015.</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7C0835A" w14:textId="77777777" w:rsidR="00050E73" w:rsidRDefault="00050E73"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F7C019E" w14:textId="77777777" w:rsidR="00050E73" w:rsidRDefault="00050E73"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356CFC9" w14:textId="77777777" w:rsidR="00050E73" w:rsidRPr="00AF24CF" w:rsidRDefault="00050E73" w:rsidP="00184E12">
            <w:pPr>
              <w:pStyle w:val="Table"/>
              <w:jc w:val="center"/>
            </w:pPr>
          </w:p>
        </w:tc>
      </w:tr>
      <w:tr w:rsidR="00050E73" w:rsidRPr="00AF24CF" w14:paraId="0F14D171"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FADD9F" w14:textId="77777777" w:rsidR="00050E73" w:rsidRPr="00AF24CF" w:rsidRDefault="00050E73" w:rsidP="007C6148">
            <w:pPr>
              <w:pStyle w:val="Tableheading"/>
            </w:pPr>
            <w:r w:rsidRPr="00CF4387">
              <w:t>Bad debts</w:t>
            </w:r>
          </w:p>
        </w:tc>
      </w:tr>
      <w:tr w:rsidR="00050E73" w14:paraId="2967B7FB"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2CB383C4" w14:textId="41F0A8B4" w:rsidR="00050E73" w:rsidRPr="00626B8C" w:rsidRDefault="00050E73" w:rsidP="001035F8">
            <w:pPr>
              <w:pStyle w:val="Table"/>
            </w:pPr>
            <w:r w:rsidRPr="00626B8C">
              <w:t>Check whether any debts can be written off as bad debts.</w:t>
            </w:r>
            <w:r>
              <w:t xml:space="preserve"> Ensure that the debt has not been compromised or released before it is written off, and that documentation has been retained evidencing that the debt was non-recoverable.</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DD2B404" w14:textId="77777777" w:rsidR="00050E73" w:rsidRDefault="00050E73"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750F80A" w14:textId="77777777" w:rsidR="00050E73" w:rsidRDefault="00050E73"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8485168" w14:textId="77777777" w:rsidR="00050E73" w:rsidRPr="00AF24CF" w:rsidRDefault="00050E73" w:rsidP="00184E12">
            <w:pPr>
              <w:pStyle w:val="Table"/>
              <w:jc w:val="center"/>
            </w:pPr>
          </w:p>
        </w:tc>
      </w:tr>
      <w:tr w:rsidR="00050E73" w14:paraId="00442AF5"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6BBFD39" w14:textId="77777777" w:rsidR="00050E73" w:rsidRDefault="00050E73" w:rsidP="009B6248">
            <w:pPr>
              <w:pStyle w:val="Table"/>
            </w:pPr>
            <w:r w:rsidRPr="00626B8C">
              <w:t>Where there is a change in the ownership or control of the company or trust, check that the entity passes the same business test.</w:t>
            </w:r>
          </w:p>
          <w:p w14:paraId="0B09F0AD" w14:textId="5E385B1B" w:rsidR="00050E73" w:rsidRPr="00626B8C" w:rsidRDefault="00050E73" w:rsidP="00455A37">
            <w:pPr>
              <w:pStyle w:val="Table"/>
            </w:pPr>
            <w:r w:rsidRPr="009F0C8F">
              <w:rPr>
                <w:b/>
                <w:sz w:val="14"/>
                <w:szCs w:val="14"/>
              </w:rPr>
              <w:t>Note</w:t>
            </w:r>
            <w:r w:rsidRPr="009F0C8F">
              <w:rPr>
                <w:sz w:val="14"/>
                <w:szCs w:val="14"/>
              </w:rPr>
              <w:t xml:space="preserve">: </w:t>
            </w:r>
            <w:r>
              <w:rPr>
                <w:sz w:val="14"/>
                <w:szCs w:val="14"/>
              </w:rPr>
              <w:t>c</w:t>
            </w:r>
            <w:r w:rsidRPr="003A1122">
              <w:rPr>
                <w:sz w:val="14"/>
                <w:szCs w:val="14"/>
              </w:rPr>
              <w:t xml:space="preserve">onsider the </w:t>
            </w:r>
            <w:r>
              <w:rPr>
                <w:sz w:val="14"/>
                <w:szCs w:val="14"/>
              </w:rPr>
              <w:t xml:space="preserve">proposed </w:t>
            </w:r>
            <w:r w:rsidRPr="003A1122">
              <w:rPr>
                <w:sz w:val="14"/>
                <w:szCs w:val="14"/>
              </w:rPr>
              <w:t xml:space="preserve">“similar business” test for </w:t>
            </w:r>
            <w:r>
              <w:rPr>
                <w:sz w:val="14"/>
                <w:szCs w:val="14"/>
              </w:rPr>
              <w:t xml:space="preserve">tax </w:t>
            </w:r>
            <w:r w:rsidRPr="003A1122">
              <w:rPr>
                <w:sz w:val="14"/>
                <w:szCs w:val="14"/>
              </w:rPr>
              <w:t xml:space="preserve">losses incurred </w:t>
            </w:r>
            <w:r>
              <w:rPr>
                <w:sz w:val="14"/>
                <w:szCs w:val="14"/>
              </w:rPr>
              <w:t xml:space="preserve">on or after </w:t>
            </w:r>
            <w:r w:rsidRPr="003A1122">
              <w:rPr>
                <w:sz w:val="14"/>
                <w:szCs w:val="14"/>
              </w:rPr>
              <w:t>1 July 2015</w:t>
            </w:r>
            <w:r>
              <w:rPr>
                <w:sz w:val="14"/>
                <w:szCs w:val="14"/>
              </w:rPr>
              <w:t>.</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762E42F" w14:textId="77777777" w:rsidR="00050E73" w:rsidRDefault="00050E73"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7D88F8D" w14:textId="77777777" w:rsidR="00050E73" w:rsidRDefault="00050E73"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A080211" w14:textId="77777777" w:rsidR="00050E73" w:rsidRPr="00AF24CF" w:rsidRDefault="00050E73" w:rsidP="00184E12">
            <w:pPr>
              <w:pStyle w:val="Table"/>
              <w:jc w:val="center"/>
            </w:pPr>
          </w:p>
        </w:tc>
      </w:tr>
      <w:tr w:rsidR="00050E73" w14:paraId="69CA1C0E"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230B83E" w14:textId="15A25308" w:rsidR="00050E73" w:rsidRPr="00626B8C" w:rsidRDefault="00050E73" w:rsidP="00C15FAD">
            <w:pPr>
              <w:pStyle w:val="Table"/>
            </w:pPr>
            <w:r w:rsidRPr="00214673">
              <w:t>Ensure that all necessary steps required to write off a debt are completed prior to year</w:t>
            </w:r>
            <w:r>
              <w:t>-</w:t>
            </w:r>
            <w:r w:rsidRPr="00214673">
              <w:t>end, and that the debt was previously returned as assessable income or was made in the course of a money lending business.</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219080E" w14:textId="77777777" w:rsidR="00050E73" w:rsidRDefault="00050E73"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556C7AC" w14:textId="77777777" w:rsidR="00050E73" w:rsidRDefault="00050E73"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D36C901" w14:textId="77777777" w:rsidR="00050E73" w:rsidRPr="00AF24CF" w:rsidRDefault="00050E73" w:rsidP="00184E12">
            <w:pPr>
              <w:pStyle w:val="Table"/>
              <w:jc w:val="center"/>
            </w:pPr>
          </w:p>
        </w:tc>
      </w:tr>
      <w:tr w:rsidR="007C6148" w:rsidRPr="00AF24CF" w14:paraId="252BA1D7"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C33DED" w14:textId="77777777" w:rsidR="007C6148" w:rsidRPr="00AF24CF" w:rsidRDefault="007C6148" w:rsidP="007C6148">
            <w:pPr>
              <w:pStyle w:val="Tableheading"/>
            </w:pPr>
            <w:r w:rsidRPr="00CF4387">
              <w:t>Gifts, donations or contributions</w:t>
            </w:r>
          </w:p>
        </w:tc>
      </w:tr>
      <w:tr w:rsidR="00367616" w14:paraId="6C47F49A"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5EC686F" w14:textId="77777777" w:rsidR="00367616" w:rsidRPr="00ED1CC2" w:rsidRDefault="00367616" w:rsidP="009B6248">
            <w:pPr>
              <w:pStyle w:val="Table"/>
            </w:pPr>
            <w:r w:rsidRPr="002F20EC">
              <w:t>Check whether deductions have been claimed for gifts or contributions that were made to ‘Deductible Gift Recipients’.</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96F2E10" w14:textId="77777777" w:rsidR="00367616" w:rsidRDefault="00367616"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946D715"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DB60E1B" w14:textId="77777777" w:rsidR="00367616" w:rsidRPr="00AF24CF" w:rsidRDefault="00367616" w:rsidP="00184E12">
            <w:pPr>
              <w:pStyle w:val="Table"/>
              <w:jc w:val="center"/>
            </w:pPr>
          </w:p>
        </w:tc>
      </w:tr>
      <w:tr w:rsidR="00367616" w14:paraId="6179DDC2"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F7FAD23" w14:textId="77777777" w:rsidR="00367616" w:rsidRDefault="00367616" w:rsidP="009B6248">
            <w:pPr>
              <w:pStyle w:val="Table"/>
            </w:pPr>
            <w:r>
              <w:t>Check that any deductions for gifts, donations or contributions do not exceed the statutory limits (per section 26-55 of the ITAA 1997), i.e. deductions cannot exceed an entity’s taxable income disregarding the following amounts:</w:t>
            </w:r>
          </w:p>
          <w:p w14:paraId="0021CE7E" w14:textId="77777777" w:rsidR="00367616" w:rsidRPr="007C2D15" w:rsidRDefault="00367616" w:rsidP="007C2D15">
            <w:pPr>
              <w:pStyle w:val="TableBullet"/>
            </w:pPr>
            <w:r w:rsidRPr="007C2D15">
              <w:t>the donation amount</w:t>
            </w:r>
          </w:p>
          <w:p w14:paraId="2BFB62C9" w14:textId="77777777" w:rsidR="00367616" w:rsidRPr="007C2D15" w:rsidRDefault="00367616" w:rsidP="007C2D15">
            <w:pPr>
              <w:pStyle w:val="TableBullet"/>
            </w:pPr>
            <w:r w:rsidRPr="007C2D15">
              <w:t>carried forward losses</w:t>
            </w:r>
          </w:p>
          <w:p w14:paraId="66097689" w14:textId="77777777" w:rsidR="00367616" w:rsidRPr="00CF4387" w:rsidRDefault="00FA1E0B" w:rsidP="007C2D15">
            <w:pPr>
              <w:pStyle w:val="TableBullet"/>
            </w:pPr>
            <w:proofErr w:type="gramStart"/>
            <w:r>
              <w:t>farm</w:t>
            </w:r>
            <w:proofErr w:type="gramEnd"/>
            <w:r>
              <w:t xml:space="preserve"> </w:t>
            </w:r>
            <w:r w:rsidR="00367616" w:rsidRPr="007C2D15">
              <w:t>management depo</w:t>
            </w:r>
            <w:r w:rsidR="002536F1">
              <w:t>si</w:t>
            </w:r>
            <w:r w:rsidR="00367616" w:rsidRPr="007C2D15">
              <w:t>ts.</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41552DE" w14:textId="77777777" w:rsidR="00367616" w:rsidRDefault="00367616"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118D41C"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08DF843" w14:textId="77777777" w:rsidR="00367616" w:rsidRPr="00AF24CF" w:rsidRDefault="00367616" w:rsidP="00184E12">
            <w:pPr>
              <w:pStyle w:val="Table"/>
              <w:jc w:val="center"/>
            </w:pPr>
          </w:p>
        </w:tc>
      </w:tr>
      <w:tr w:rsidR="00367616" w14:paraId="6C2E0699"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B3D36E5" w14:textId="0F581541" w:rsidR="00367616" w:rsidRDefault="00367616" w:rsidP="009B6248">
            <w:pPr>
              <w:pStyle w:val="Table"/>
            </w:pPr>
            <w:r w:rsidRPr="00CF4387">
              <w:t xml:space="preserve">If the donation amount exceeds the statutory deduction </w:t>
            </w:r>
            <w:r w:rsidR="00CE0E38" w:rsidRPr="00CF4387">
              <w:t>limit,</w:t>
            </w:r>
            <w:r w:rsidRPr="00CF4387">
              <w:t xml:space="preserve"> then determine whether the deduction will satisfy the requirements in subdivision 30 DB of the ITAA 1997 – allowing the donation deduction to be claimed over a maximum of five years.</w:t>
            </w:r>
          </w:p>
        </w:tc>
        <w:tc>
          <w:tcPr>
            <w:tcW w:w="360" w:type="pct"/>
            <w:gridSpan w:val="2"/>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66F9ED9" w14:textId="77777777" w:rsidR="00367616" w:rsidRDefault="00367616" w:rsidP="00184E12">
            <w:pPr>
              <w:pStyle w:val="Table"/>
              <w:jc w:val="cente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32DB263" w14:textId="77777777" w:rsidR="00367616" w:rsidRDefault="00367616" w:rsidP="00184E12">
            <w:pPr>
              <w:pStyle w:val="Table"/>
              <w:jc w:val="center"/>
            </w:pPr>
          </w:p>
        </w:tc>
        <w:tc>
          <w:tcPr>
            <w:tcW w:w="368" w:type="pct"/>
            <w:gridSpan w:val="2"/>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B216BB7" w14:textId="77777777" w:rsidR="00367616" w:rsidRPr="00AF24CF" w:rsidRDefault="00367616" w:rsidP="00184E12">
            <w:pPr>
              <w:pStyle w:val="Table"/>
              <w:jc w:val="center"/>
            </w:pPr>
          </w:p>
        </w:tc>
      </w:tr>
      <w:tr w:rsidR="00367616" w:rsidRPr="00AF24CF" w14:paraId="52999311" w14:textId="77777777" w:rsidTr="00952FCB">
        <w:tc>
          <w:tcPr>
            <w:tcW w:w="5000" w:type="pct"/>
            <w:gridSpan w:val="6"/>
            <w:tcBorders>
              <w:top w:val="single" w:sz="4" w:space="0" w:color="808080" w:themeColor="background1" w:themeShade="80"/>
              <w:bottom w:val="nil"/>
            </w:tcBorders>
          </w:tcPr>
          <w:p w14:paraId="3CC0017C" w14:textId="77777777" w:rsidR="00367616" w:rsidRDefault="00367616" w:rsidP="00B119BB">
            <w:pPr>
              <w:pStyle w:val="Tableheading"/>
            </w:pPr>
            <w:r>
              <w:t>Comments:</w:t>
            </w:r>
          </w:p>
          <w:p w14:paraId="2D05CD16" w14:textId="77777777" w:rsidR="000760BB" w:rsidRPr="00AF24CF" w:rsidRDefault="000760BB" w:rsidP="00B119BB">
            <w:pPr>
              <w:pStyle w:val="Tableheading"/>
            </w:pPr>
          </w:p>
        </w:tc>
      </w:tr>
    </w:tbl>
    <w:p w14:paraId="68ABD75A" w14:textId="77777777" w:rsidR="00367616" w:rsidRPr="005B7704" w:rsidRDefault="00367616" w:rsidP="005B770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367616" w:rsidRPr="005B7704" w14:paraId="52CFC2CC" w14:textId="77777777" w:rsidTr="00952FCB">
        <w:trPr>
          <w:tblHeader/>
        </w:trPr>
        <w:tc>
          <w:tcPr>
            <w:tcW w:w="3906" w:type="pct"/>
            <w:tcBorders>
              <w:top w:val="single" w:sz="4" w:space="0" w:color="939598"/>
              <w:bottom w:val="single" w:sz="4" w:space="0" w:color="808080" w:themeColor="background1" w:themeShade="80"/>
              <w:right w:val="single" w:sz="4" w:space="0" w:color="939598"/>
            </w:tcBorders>
            <w:shd w:val="clear" w:color="auto" w:fill="051C3C"/>
          </w:tcPr>
          <w:p w14:paraId="23719248" w14:textId="77777777" w:rsidR="00367616" w:rsidRPr="00AE2EA6" w:rsidRDefault="00367616" w:rsidP="009B6248">
            <w:pPr>
              <w:pStyle w:val="Tableheading"/>
              <w:rPr>
                <w:color w:val="FFFFFF" w:themeColor="background1"/>
                <w:sz w:val="18"/>
              </w:rPr>
            </w:pPr>
            <w:r w:rsidRPr="00AE2EA6">
              <w:rPr>
                <w:color w:val="FFFFFF" w:themeColor="background1"/>
                <w:sz w:val="18"/>
              </w:rPr>
              <w:t>Capital Gains Tax</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7058DED" w14:textId="77777777" w:rsidR="00367616" w:rsidRPr="00AE2EA6" w:rsidRDefault="00367616" w:rsidP="005B7704">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B2298AA" w14:textId="77777777" w:rsidR="00367616" w:rsidRPr="00AE2EA6" w:rsidRDefault="00367616" w:rsidP="005B7704">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51C3C"/>
          </w:tcPr>
          <w:p w14:paraId="494763E2" w14:textId="77777777" w:rsidR="00367616" w:rsidRPr="00AE2EA6" w:rsidRDefault="00367616" w:rsidP="005B7704">
            <w:pPr>
              <w:pStyle w:val="Tableheading"/>
              <w:jc w:val="center"/>
              <w:rPr>
                <w:color w:val="FFFFFF" w:themeColor="background1"/>
                <w:sz w:val="18"/>
              </w:rPr>
            </w:pPr>
            <w:r w:rsidRPr="00AE2EA6">
              <w:rPr>
                <w:color w:val="FFFFFF" w:themeColor="background1"/>
                <w:sz w:val="18"/>
              </w:rPr>
              <w:t>N/A</w:t>
            </w:r>
          </w:p>
        </w:tc>
      </w:tr>
      <w:tr w:rsidR="007C6148" w:rsidRPr="00B340A7" w14:paraId="10BF7220"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70E2F4" w14:textId="77777777" w:rsidR="007C6148" w:rsidRPr="00B340A7" w:rsidRDefault="007C6148" w:rsidP="007C6148">
            <w:pPr>
              <w:pStyle w:val="Tableheading"/>
            </w:pPr>
            <w:r w:rsidRPr="00294357">
              <w:t>CGT discount</w:t>
            </w:r>
          </w:p>
        </w:tc>
      </w:tr>
      <w:tr w:rsidR="00367616" w14:paraId="6E078256"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1B89F40B" w14:textId="77777777" w:rsidR="00367616" w:rsidRDefault="00367616" w:rsidP="009B6248">
            <w:pPr>
              <w:pStyle w:val="Table"/>
            </w:pPr>
            <w:r w:rsidRPr="00294357">
              <w:t>If the taxpayer is a trust, individual or complying superannuation fund check whether the capital gains made by the taxpayer are eligible for the CGT discount (e.g. capital gain has arisen from the disposal of an asset and the asset has been held by the taxpayer for at least 12 months).</w:t>
            </w:r>
          </w:p>
          <w:p w14:paraId="1664093D" w14:textId="77777777" w:rsidR="00E47710" w:rsidRPr="009F0C8F" w:rsidRDefault="008E1AD9" w:rsidP="00E47710">
            <w:pPr>
              <w:pStyle w:val="Table"/>
              <w:rPr>
                <w:sz w:val="14"/>
                <w:szCs w:val="14"/>
              </w:rPr>
            </w:pPr>
            <w:r w:rsidRPr="009F0C8F">
              <w:rPr>
                <w:b/>
                <w:sz w:val="14"/>
                <w:szCs w:val="14"/>
              </w:rPr>
              <w:t>Note:</w:t>
            </w:r>
            <w:r w:rsidRPr="009F0C8F">
              <w:rPr>
                <w:sz w:val="14"/>
                <w:szCs w:val="14"/>
              </w:rPr>
              <w:t xml:space="preserve"> i</w:t>
            </w:r>
            <w:r w:rsidR="004346FA" w:rsidRPr="009F0C8F">
              <w:rPr>
                <w:sz w:val="14"/>
                <w:szCs w:val="14"/>
              </w:rPr>
              <w:t xml:space="preserve">f the taxpayer is a foreign resident they will not be eligible for the CGT discount on any capital gain that accrued </w:t>
            </w:r>
            <w:r w:rsidR="00E47710" w:rsidRPr="009F0C8F">
              <w:rPr>
                <w:sz w:val="14"/>
                <w:szCs w:val="14"/>
              </w:rPr>
              <w:t xml:space="preserve">after 8 May 2012.  </w:t>
            </w:r>
          </w:p>
          <w:p w14:paraId="0F9F1372" w14:textId="77777777" w:rsidR="00E47710" w:rsidRDefault="00E47710" w:rsidP="008601F9">
            <w:pPr>
              <w:pStyle w:val="Table"/>
              <w:rPr>
                <w:sz w:val="14"/>
                <w:szCs w:val="14"/>
              </w:rPr>
            </w:pPr>
            <w:r w:rsidRPr="009F0C8F">
              <w:rPr>
                <w:sz w:val="14"/>
                <w:szCs w:val="14"/>
              </w:rPr>
              <w:t xml:space="preserve">If a foreign resident </w:t>
            </w:r>
            <w:r w:rsidR="002536F1" w:rsidRPr="009F0C8F">
              <w:rPr>
                <w:sz w:val="14"/>
                <w:szCs w:val="14"/>
              </w:rPr>
              <w:t>owns</w:t>
            </w:r>
            <w:r w:rsidRPr="009F0C8F">
              <w:rPr>
                <w:sz w:val="14"/>
                <w:szCs w:val="14"/>
              </w:rPr>
              <w:t xml:space="preserve"> assets that are </w:t>
            </w:r>
            <w:r w:rsidR="002536F1" w:rsidRPr="009F0C8F">
              <w:rPr>
                <w:sz w:val="14"/>
                <w:szCs w:val="14"/>
              </w:rPr>
              <w:t>‘</w:t>
            </w:r>
            <w:r w:rsidRPr="009F0C8F">
              <w:rPr>
                <w:sz w:val="14"/>
                <w:szCs w:val="14"/>
              </w:rPr>
              <w:t>taxable Australia real property</w:t>
            </w:r>
            <w:r w:rsidR="002536F1" w:rsidRPr="009F0C8F">
              <w:rPr>
                <w:sz w:val="14"/>
                <w:szCs w:val="14"/>
              </w:rPr>
              <w:t>’</w:t>
            </w:r>
            <w:r w:rsidRPr="009F0C8F">
              <w:rPr>
                <w:sz w:val="14"/>
                <w:szCs w:val="14"/>
              </w:rPr>
              <w:t xml:space="preserve"> it is recommended that a valuation is obtained to determine the market value of the asset at 8 May 2012</w:t>
            </w:r>
            <w:r w:rsidR="008E1AD9" w:rsidRPr="009F0C8F">
              <w:rPr>
                <w:sz w:val="14"/>
                <w:szCs w:val="14"/>
              </w:rPr>
              <w:t>,</w:t>
            </w:r>
            <w:r w:rsidRPr="009F0C8F">
              <w:rPr>
                <w:sz w:val="14"/>
                <w:szCs w:val="14"/>
              </w:rPr>
              <w:t xml:space="preserve"> </w:t>
            </w:r>
            <w:r w:rsidR="002536F1" w:rsidRPr="009F0C8F">
              <w:rPr>
                <w:sz w:val="14"/>
                <w:szCs w:val="14"/>
              </w:rPr>
              <w:t>which</w:t>
            </w:r>
            <w:r w:rsidRPr="009F0C8F">
              <w:rPr>
                <w:sz w:val="14"/>
                <w:szCs w:val="14"/>
              </w:rPr>
              <w:t xml:space="preserve"> will enable the CGT discount to be applied to discount the gain (if any) that accrued from acquisition until this date.</w:t>
            </w:r>
          </w:p>
          <w:p w14:paraId="16C32854" w14:textId="70B1BC08" w:rsidR="00455A37" w:rsidRPr="003A1122" w:rsidRDefault="00455A37" w:rsidP="00455A37">
            <w:pPr>
              <w:pStyle w:val="Table"/>
              <w:rPr>
                <w:sz w:val="14"/>
                <w:szCs w:val="14"/>
              </w:rPr>
            </w:pPr>
            <w:r w:rsidRPr="003A1122">
              <w:rPr>
                <w:sz w:val="14"/>
                <w:szCs w:val="14"/>
              </w:rPr>
              <w:t>It should also be noted that a 10% non-final withholding tax will apply where a non-resident sells certain taxable Australian property on or after 1 July 2016 which needs to be retained by the purchaser</w:t>
            </w:r>
            <w:r>
              <w:rPr>
                <w:sz w:val="14"/>
                <w:szCs w:val="14"/>
              </w:rPr>
              <w:t>.</w:t>
            </w:r>
            <w:r w:rsidRPr="003A1122">
              <w:rPr>
                <w:sz w:val="14"/>
                <w:szCs w:val="14"/>
              </w:rPr>
              <w:t xml:space="preserve"> </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7EED6B6" w14:textId="77777777" w:rsidR="00367616" w:rsidRDefault="00367616" w:rsidP="005B770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0AFE6CD" w14:textId="77777777" w:rsidR="00367616" w:rsidRDefault="00367616" w:rsidP="005B770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736026A" w14:textId="77777777" w:rsidR="00367616" w:rsidRDefault="00367616" w:rsidP="005B7704">
            <w:pPr>
              <w:pStyle w:val="Table"/>
              <w:jc w:val="center"/>
            </w:pPr>
          </w:p>
        </w:tc>
      </w:tr>
      <w:tr w:rsidR="007C6148" w:rsidRPr="00AF24CF" w14:paraId="3336E84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1FFCED" w14:textId="77777777" w:rsidR="007C6148" w:rsidRPr="00AF24CF" w:rsidRDefault="007C6148" w:rsidP="007C6148">
            <w:pPr>
              <w:pStyle w:val="Tableheading"/>
            </w:pPr>
            <w:r w:rsidRPr="00294357">
              <w:t>Unrealised losses and CGT</w:t>
            </w:r>
          </w:p>
        </w:tc>
      </w:tr>
      <w:tr w:rsidR="00367616" w14:paraId="53550840"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C7A30B4" w14:textId="77777777" w:rsidR="00367616" w:rsidRPr="00ED1CC2" w:rsidRDefault="00367616" w:rsidP="00961B8A">
            <w:pPr>
              <w:pStyle w:val="Table"/>
              <w:ind w:right="-57"/>
            </w:pPr>
            <w:r w:rsidRPr="00294357">
              <w:t>If the taxpayer is a company, have you considered the unrealised loss rules in Subdivision 165-CC of the ITAA 1997 in relation to the disposal of CGT assets that were held at a change over time (i.e. change in the ownership or control of the company).</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6AB50B7" w14:textId="77777777" w:rsidR="00367616" w:rsidRDefault="00367616" w:rsidP="005B7704">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54468D5" w14:textId="77777777" w:rsidR="00367616" w:rsidRDefault="00367616" w:rsidP="005B7704">
            <w:pPr>
              <w:pStyle w:val="Table"/>
              <w:jc w:val="center"/>
            </w:pPr>
          </w:p>
        </w:tc>
        <w:tc>
          <w:tcPr>
            <w:tcW w:w="364"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C765985" w14:textId="77777777" w:rsidR="00367616" w:rsidRPr="00AF24CF" w:rsidRDefault="00367616" w:rsidP="005B7704">
            <w:pPr>
              <w:pStyle w:val="Table"/>
              <w:jc w:val="center"/>
            </w:pPr>
          </w:p>
        </w:tc>
      </w:tr>
    </w:tbl>
    <w:p w14:paraId="46DE8AA1" w14:textId="283CBA42" w:rsidR="00F16659" w:rsidRDefault="00910C31">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7"/>
        <w:gridCol w:w="752"/>
        <w:gridCol w:w="752"/>
        <w:gridCol w:w="750"/>
      </w:tblGrid>
      <w:tr w:rsidR="00F16659" w14:paraId="2DA79145" w14:textId="77777777" w:rsidTr="00952FCB">
        <w:tc>
          <w:tcPr>
            <w:tcW w:w="3906"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627928EA" w14:textId="77777777" w:rsidR="00F16659" w:rsidRPr="00F16659" w:rsidRDefault="00F16659" w:rsidP="00F16659">
            <w:pPr>
              <w:pStyle w:val="TableBullet"/>
              <w:numPr>
                <w:ilvl w:val="0"/>
                <w:numId w:val="0"/>
              </w:numPr>
              <w:ind w:left="360" w:hanging="360"/>
              <w:rPr>
                <w:b/>
              </w:rPr>
            </w:pPr>
            <w:r w:rsidRPr="00F16659">
              <w:rPr>
                <w:b/>
                <w:color w:val="FFFFFF" w:themeColor="background1"/>
                <w:sz w:val="18"/>
              </w:rPr>
              <w:lastRenderedPageBreak/>
              <w:t>Capital Gains Tax</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5D237E76" w14:textId="77777777" w:rsidR="00F16659" w:rsidRPr="00AE2EA6" w:rsidRDefault="00F16659" w:rsidP="005C0F0C">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35B74C76" w14:textId="77777777" w:rsidR="00F16659" w:rsidRPr="00AE2EA6" w:rsidRDefault="00F16659" w:rsidP="005C0F0C">
            <w:pPr>
              <w:pStyle w:val="Tableheading"/>
              <w:jc w:val="center"/>
              <w:rPr>
                <w:color w:val="FFFFFF" w:themeColor="background1"/>
                <w:sz w:val="18"/>
              </w:rPr>
            </w:pPr>
            <w:r w:rsidRPr="00AE2EA6">
              <w:rPr>
                <w:color w:val="FFFFFF" w:themeColor="background1"/>
                <w:sz w:val="18"/>
              </w:rPr>
              <w:t>No</w:t>
            </w:r>
          </w:p>
        </w:tc>
        <w:tc>
          <w:tcPr>
            <w:tcW w:w="364" w:type="pct"/>
            <w:tcBorders>
              <w:top w:val="single" w:sz="4" w:space="0" w:color="939598"/>
              <w:left w:val="single" w:sz="4" w:space="0" w:color="939598"/>
              <w:bottom w:val="single" w:sz="4" w:space="0" w:color="808080" w:themeColor="background1" w:themeShade="80"/>
            </w:tcBorders>
            <w:shd w:val="clear" w:color="auto" w:fill="0F243E" w:themeFill="text2" w:themeFillShade="80"/>
          </w:tcPr>
          <w:p w14:paraId="53FD0B4E" w14:textId="77777777" w:rsidR="00F16659" w:rsidRPr="00AE2EA6" w:rsidRDefault="00F16659" w:rsidP="005C0F0C">
            <w:pPr>
              <w:pStyle w:val="Tableheading"/>
              <w:jc w:val="center"/>
              <w:rPr>
                <w:color w:val="FFFFFF" w:themeColor="background1"/>
                <w:sz w:val="18"/>
              </w:rPr>
            </w:pPr>
            <w:r w:rsidRPr="00AE2EA6">
              <w:rPr>
                <w:color w:val="FFFFFF" w:themeColor="background1"/>
                <w:sz w:val="18"/>
              </w:rPr>
              <w:t>N/A</w:t>
            </w:r>
          </w:p>
        </w:tc>
      </w:tr>
      <w:tr w:rsidR="00F16659" w14:paraId="1DED2666"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07CC70E" w14:textId="778153F3" w:rsidR="00F16659" w:rsidRPr="001E7F2A" w:rsidRDefault="00F16659" w:rsidP="005C0F0C">
            <w:pPr>
              <w:pStyle w:val="Table"/>
              <w:keepNext/>
              <w:rPr>
                <w:b/>
              </w:rPr>
            </w:pPr>
            <w:r w:rsidRPr="001E7F2A">
              <w:rPr>
                <w:b/>
              </w:rPr>
              <w:t>Small busi</w:t>
            </w:r>
            <w:r w:rsidR="00910C31">
              <w:rPr>
                <w:b/>
              </w:rPr>
              <w:t>ness CGT concessions</w:t>
            </w:r>
          </w:p>
        </w:tc>
      </w:tr>
      <w:tr w:rsidR="00910C31" w14:paraId="4FC8C319"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0258B" w14:textId="77777777" w:rsidR="00910C31" w:rsidRDefault="00910C31" w:rsidP="00910C31">
            <w:pPr>
              <w:pStyle w:val="Table"/>
            </w:pPr>
            <w:r>
              <w:t xml:space="preserve">Check whether the taxpayer satisfies all of the </w:t>
            </w:r>
            <w:r w:rsidRPr="00294357">
              <w:rPr>
                <w:b/>
              </w:rPr>
              <w:t>basic conditions</w:t>
            </w:r>
            <w:r>
              <w:t xml:space="preserve"> set out below for the small business CGT relief:</w:t>
            </w:r>
          </w:p>
          <w:p w14:paraId="25BD0C88" w14:textId="77777777" w:rsidR="00910C31" w:rsidRDefault="00910C31" w:rsidP="00910C31">
            <w:pPr>
              <w:pStyle w:val="Tablealphabullet"/>
              <w:ind w:left="709" w:hanging="425"/>
            </w:pPr>
            <w:r>
              <w:t>a CGT event happens in relation to a CGT asset and a capital gain arises</w:t>
            </w:r>
          </w:p>
          <w:p w14:paraId="60967860" w14:textId="77777777" w:rsidR="00910C31" w:rsidRDefault="00910C31" w:rsidP="00910C31">
            <w:pPr>
              <w:pStyle w:val="Tablealphabullet"/>
              <w:ind w:left="709" w:hanging="425"/>
            </w:pPr>
            <w:r>
              <w:t>the taxpayer satisfies either the:</w:t>
            </w:r>
          </w:p>
          <w:p w14:paraId="0794D2D8" w14:textId="77777777" w:rsidR="00910C31" w:rsidRDefault="00910C31" w:rsidP="00910C31">
            <w:pPr>
              <w:pStyle w:val="Tablealphabullet"/>
              <w:numPr>
                <w:ilvl w:val="0"/>
                <w:numId w:val="36"/>
              </w:numPr>
              <w:tabs>
                <w:tab w:val="clear" w:pos="709"/>
                <w:tab w:val="left" w:pos="1134"/>
              </w:tabs>
              <w:ind w:left="1134" w:hanging="425"/>
            </w:pPr>
            <w:r>
              <w:t>$6m maximum net asset value test or</w:t>
            </w:r>
          </w:p>
          <w:p w14:paraId="73696562" w14:textId="77777777" w:rsidR="00910C31" w:rsidRDefault="00910C31" w:rsidP="00910C31">
            <w:pPr>
              <w:pStyle w:val="Tablealphabullet"/>
              <w:tabs>
                <w:tab w:val="clear" w:pos="709"/>
                <w:tab w:val="left" w:pos="1134"/>
              </w:tabs>
              <w:ind w:left="1134" w:hanging="425"/>
            </w:pPr>
            <w:r>
              <w:t>$2m small business entity test and</w:t>
            </w:r>
          </w:p>
          <w:p w14:paraId="2D63544B" w14:textId="77777777" w:rsidR="00910C31" w:rsidRDefault="00910C31" w:rsidP="00910C31">
            <w:pPr>
              <w:pStyle w:val="Tablealphabullet"/>
              <w:ind w:left="709" w:hanging="425"/>
            </w:pPr>
            <w:proofErr w:type="gramStart"/>
            <w:r>
              <w:t>the</w:t>
            </w:r>
            <w:proofErr w:type="gramEnd"/>
            <w:r>
              <w:t xml:space="preserve"> taxpayer satisfies the active asset test.</w:t>
            </w:r>
          </w:p>
          <w:p w14:paraId="56A5861B" w14:textId="3DC161E3" w:rsidR="00910C31" w:rsidRPr="009F0C8F" w:rsidRDefault="00910C31" w:rsidP="00910C31">
            <w:pPr>
              <w:rPr>
                <w:sz w:val="14"/>
                <w:szCs w:val="14"/>
              </w:rPr>
            </w:pPr>
            <w:r w:rsidRPr="009F0C8F">
              <w:rPr>
                <w:b/>
                <w:sz w:val="14"/>
                <w:szCs w:val="14"/>
              </w:rPr>
              <w:t>Note:</w:t>
            </w:r>
            <w:r w:rsidRPr="009F0C8F">
              <w:rPr>
                <w:sz w:val="14"/>
                <w:szCs w:val="14"/>
              </w:rPr>
              <w:t xml:space="preserve"> </w:t>
            </w:r>
            <w:r>
              <w:rPr>
                <w:sz w:val="14"/>
                <w:szCs w:val="14"/>
              </w:rPr>
              <w:t>t</w:t>
            </w:r>
            <w:r w:rsidRPr="003A1122">
              <w:rPr>
                <w:sz w:val="14"/>
                <w:szCs w:val="14"/>
              </w:rPr>
              <w:t xml:space="preserve">he $6 million maximum net asset value test </w:t>
            </w:r>
            <w:r w:rsidRPr="00C15FAD">
              <w:rPr>
                <w:sz w:val="14"/>
                <w:szCs w:val="14"/>
              </w:rPr>
              <w:t xml:space="preserve">requires that </w:t>
            </w:r>
            <w:r w:rsidRPr="003A1122">
              <w:rPr>
                <w:sz w:val="14"/>
                <w:szCs w:val="14"/>
              </w:rPr>
              <w:t xml:space="preserve">the aggregate net market value of CGT assets of the taxpayer, the taxpayer’s affiliates and entities connected with the taxpayer cannot exceed $6 million just before the CGT event occurs in an income year. </w:t>
            </w:r>
            <w:r w:rsidRPr="00C15FAD">
              <w:rPr>
                <w:sz w:val="14"/>
                <w:szCs w:val="14"/>
              </w:rPr>
              <w:t>By comparison the</w:t>
            </w:r>
            <w:r w:rsidRPr="003A1122">
              <w:rPr>
                <w:sz w:val="14"/>
                <w:szCs w:val="14"/>
              </w:rPr>
              <w:t xml:space="preserve"> small business entity test the taxpayer must be carrying on a business, and the aggregated turnover of the taxpayer, the taxpayer’s affiliates and entities connected with the taxpayer must be less than $2 million for the income year in which the CGT event occurs.</w:t>
            </w:r>
            <w:r>
              <w:rPr>
                <w:sz w:val="14"/>
                <w:szCs w:val="14"/>
              </w:rPr>
              <w:t xml:space="preserve"> Very broadly, a taxpayer </w:t>
            </w:r>
            <w:r w:rsidR="008B461C">
              <w:rPr>
                <w:sz w:val="14"/>
                <w:szCs w:val="14"/>
              </w:rPr>
              <w:t xml:space="preserve">may </w:t>
            </w:r>
            <w:r w:rsidRPr="009F0C8F">
              <w:rPr>
                <w:sz w:val="14"/>
                <w:szCs w:val="14"/>
              </w:rPr>
              <w:t>be able to satisfy the</w:t>
            </w:r>
            <w:r>
              <w:rPr>
                <w:sz w:val="14"/>
                <w:szCs w:val="14"/>
              </w:rPr>
              <w:t>se tests where</w:t>
            </w:r>
            <w:r w:rsidRPr="009F0C8F">
              <w:rPr>
                <w:sz w:val="14"/>
                <w:szCs w:val="14"/>
              </w:rPr>
              <w:t xml:space="preserve"> the </w:t>
            </w:r>
            <w:r>
              <w:rPr>
                <w:sz w:val="14"/>
                <w:szCs w:val="14"/>
              </w:rPr>
              <w:t xml:space="preserve">CGT </w:t>
            </w:r>
            <w:r w:rsidRPr="009F0C8F">
              <w:rPr>
                <w:sz w:val="14"/>
                <w:szCs w:val="14"/>
              </w:rPr>
              <w:t xml:space="preserve">asset in question is used </w:t>
            </w:r>
            <w:r>
              <w:rPr>
                <w:sz w:val="14"/>
                <w:szCs w:val="14"/>
              </w:rPr>
              <w:t xml:space="preserve">in a business carried on </w:t>
            </w:r>
            <w:r w:rsidRPr="009F0C8F">
              <w:rPr>
                <w:sz w:val="14"/>
                <w:szCs w:val="14"/>
              </w:rPr>
              <w:t>by an affiliate</w:t>
            </w:r>
            <w:r>
              <w:rPr>
                <w:sz w:val="14"/>
                <w:szCs w:val="14"/>
              </w:rPr>
              <w:t xml:space="preserve"> or</w:t>
            </w:r>
            <w:r w:rsidRPr="009F0C8F">
              <w:rPr>
                <w:sz w:val="14"/>
                <w:szCs w:val="14"/>
              </w:rPr>
              <w:t xml:space="preserve"> an entity connected with the taxpayer</w:t>
            </w:r>
            <w:r>
              <w:rPr>
                <w:sz w:val="14"/>
                <w:szCs w:val="14"/>
              </w:rPr>
              <w:t xml:space="preserve"> if the basic conditions are otherwise met</w:t>
            </w:r>
            <w:r w:rsidRPr="009F0C8F">
              <w:rPr>
                <w:sz w:val="14"/>
                <w:szCs w:val="14"/>
              </w:rPr>
              <w:t>.</w:t>
            </w:r>
          </w:p>
          <w:p w14:paraId="271690E1" w14:textId="77777777" w:rsidR="00910C31" w:rsidRPr="009F0C8F" w:rsidRDefault="00910C31" w:rsidP="00910C31">
            <w:pPr>
              <w:pStyle w:val="Table"/>
              <w:keepNext/>
              <w:rPr>
                <w:sz w:val="14"/>
                <w:szCs w:val="14"/>
              </w:rPr>
            </w:pPr>
            <w:r w:rsidRPr="009F0C8F">
              <w:rPr>
                <w:sz w:val="14"/>
                <w:szCs w:val="14"/>
              </w:rPr>
              <w:t xml:space="preserve">If the CGT asset is a directly owned share in a company or an interest in a trust, the taxpayer must be a CGT concession stakeholder in the company or trust. </w:t>
            </w:r>
          </w:p>
          <w:p w14:paraId="3B375E37" w14:textId="27C0BDC3" w:rsidR="00910C31" w:rsidRDefault="00910C31" w:rsidP="00910C31">
            <w:pPr>
              <w:pStyle w:val="TableBullet"/>
              <w:numPr>
                <w:ilvl w:val="0"/>
                <w:numId w:val="0"/>
              </w:numPr>
            </w:pPr>
            <w:r w:rsidRPr="009F0C8F">
              <w:rPr>
                <w:sz w:val="14"/>
                <w:szCs w:val="14"/>
              </w:rPr>
              <w:t>If the CGT asset is a share in a company or an interest in a trust which is owned by an interposed entity the taxpayer must be a CGT concession stakeholder in respect of the object company or trust. In addition, CGT concession stakeholders in that object company or trust must together also have a small business participation percentage of at least 90% in the interposed entity which makes the capital gain in respect of the share or interests in the object company or trust.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632E1" w14:textId="77777777" w:rsidR="00910C31" w:rsidRDefault="00910C31"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AC5D8" w14:textId="77777777" w:rsidR="00910C31" w:rsidRDefault="00910C31"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4BCB9" w14:textId="77777777" w:rsidR="00910C31" w:rsidRPr="00AF24CF" w:rsidRDefault="00910C31" w:rsidP="005B7704">
            <w:pPr>
              <w:pStyle w:val="Table"/>
              <w:jc w:val="center"/>
            </w:pPr>
          </w:p>
        </w:tc>
      </w:tr>
      <w:tr w:rsidR="00F16659" w14:paraId="6AFBF3E3"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6E761" w14:textId="77777777" w:rsidR="00F16659" w:rsidRDefault="00F16659" w:rsidP="00F16659">
            <w:pPr>
              <w:pStyle w:val="TableBullet"/>
              <w:numPr>
                <w:ilvl w:val="0"/>
                <w:numId w:val="0"/>
              </w:numPr>
            </w:pPr>
            <w:r>
              <w:t>Consider whether the taxpayer is eligible to utilise any of the following concessions:</w:t>
            </w:r>
          </w:p>
          <w:p w14:paraId="0E47434A" w14:textId="17EBEB73" w:rsidR="00F16659" w:rsidRDefault="00F16659" w:rsidP="00F16659">
            <w:pPr>
              <w:pStyle w:val="TableBullet"/>
            </w:pPr>
            <w:r>
              <w:t xml:space="preserve">the small business </w:t>
            </w:r>
            <w:r w:rsidR="00CE0E38">
              <w:t>15-year</w:t>
            </w:r>
            <w:r>
              <w:t xml:space="preserve"> exemption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D398F"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60E52"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044CB" w14:textId="77777777" w:rsidR="00F16659" w:rsidRPr="00AF24CF" w:rsidRDefault="00F16659" w:rsidP="005B7704">
            <w:pPr>
              <w:pStyle w:val="Table"/>
              <w:jc w:val="center"/>
            </w:pPr>
          </w:p>
        </w:tc>
      </w:tr>
      <w:tr w:rsidR="00F16659" w14:paraId="361CF064"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84AFE" w14:textId="77777777" w:rsidR="00F16659" w:rsidRPr="00294357" w:rsidRDefault="00F16659" w:rsidP="00D107C9">
            <w:pPr>
              <w:pStyle w:val="TableBullet"/>
            </w:pPr>
            <w:r>
              <w:t>the small business 50% reduction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1D21B"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63BDD"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034FE5" w14:textId="77777777" w:rsidR="00F16659" w:rsidRPr="00AF24CF" w:rsidRDefault="00F16659" w:rsidP="005B7704">
            <w:pPr>
              <w:pStyle w:val="Table"/>
              <w:jc w:val="center"/>
            </w:pPr>
          </w:p>
        </w:tc>
      </w:tr>
      <w:tr w:rsidR="00F16659" w14:paraId="64744A6F"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3EEAE6" w14:textId="77777777" w:rsidR="00F16659" w:rsidRPr="00070D23" w:rsidRDefault="00F16659" w:rsidP="007C2D15">
            <w:pPr>
              <w:pStyle w:val="TableBullet"/>
            </w:pPr>
            <w:r w:rsidRPr="00294357">
              <w:t>the small business retirement exemption</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6205D"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4936E"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8E8B5" w14:textId="77777777" w:rsidR="00F16659" w:rsidRPr="00AF24CF" w:rsidRDefault="00F16659" w:rsidP="005B7704">
            <w:pPr>
              <w:pStyle w:val="Table"/>
              <w:jc w:val="center"/>
            </w:pPr>
          </w:p>
        </w:tc>
      </w:tr>
      <w:tr w:rsidR="00F16659" w14:paraId="499B25AF" w14:textId="77777777" w:rsidTr="00952FCB">
        <w:tc>
          <w:tcPr>
            <w:tcW w:w="39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CE7EF" w14:textId="77777777" w:rsidR="00F16659" w:rsidRDefault="00F16659" w:rsidP="007C2D15">
            <w:pPr>
              <w:pStyle w:val="TableBullet"/>
            </w:pPr>
            <w:proofErr w:type="gramStart"/>
            <w:r w:rsidRPr="00294357">
              <w:t>the</w:t>
            </w:r>
            <w:proofErr w:type="gramEnd"/>
            <w:r w:rsidRPr="00294357">
              <w:t xml:space="preserve"> small business roll-over.</w:t>
            </w:r>
          </w:p>
          <w:p w14:paraId="5C5866A1" w14:textId="3ED5105D" w:rsidR="001F2E3A" w:rsidRPr="00070D23" w:rsidRDefault="001F2E3A" w:rsidP="008B461C">
            <w:pPr>
              <w:pStyle w:val="Tableheading"/>
            </w:pPr>
            <w:r w:rsidRPr="003A1122">
              <w:rPr>
                <w:sz w:val="14"/>
                <w:szCs w:val="14"/>
              </w:rPr>
              <w:t>Note</w:t>
            </w:r>
            <w:r w:rsidRPr="003A1122">
              <w:rPr>
                <w:b w:val="0"/>
                <w:sz w:val="14"/>
                <w:szCs w:val="14"/>
              </w:rPr>
              <w:t xml:space="preserve">: </w:t>
            </w:r>
            <w:r w:rsidR="00AC327F">
              <w:rPr>
                <w:b w:val="0"/>
                <w:sz w:val="14"/>
                <w:szCs w:val="14"/>
              </w:rPr>
              <w:t>c</w:t>
            </w:r>
            <w:r w:rsidRPr="003A1122">
              <w:rPr>
                <w:b w:val="0"/>
                <w:sz w:val="14"/>
                <w:szCs w:val="14"/>
              </w:rPr>
              <w:t>onsider deferring certain CGT transactions until 1 July 2016 if they are eligible for the new small business entity CGT</w:t>
            </w:r>
            <w:r>
              <w:rPr>
                <w:b w:val="0"/>
                <w:sz w:val="14"/>
                <w:szCs w:val="14"/>
              </w:rPr>
              <w:t xml:space="preserve"> restructure </w:t>
            </w:r>
            <w:r w:rsidRPr="003A1122">
              <w:rPr>
                <w:b w:val="0"/>
                <w:sz w:val="14"/>
                <w:szCs w:val="14"/>
              </w:rPr>
              <w:t>rollover</w:t>
            </w:r>
            <w:r>
              <w:rPr>
                <w:b w:val="0"/>
                <w:sz w:val="14"/>
                <w:szCs w:val="14"/>
              </w:rPr>
              <w:t xml:space="preserve"> relief</w:t>
            </w:r>
            <w:r w:rsidRPr="003A1122">
              <w:rPr>
                <w:b w:val="0"/>
                <w:sz w:val="14"/>
                <w:szCs w:val="14"/>
              </w:rPr>
              <w:t xml:space="preserve">. Broadly, these provisions apply </w:t>
            </w:r>
            <w:r w:rsidR="00455A37">
              <w:rPr>
                <w:b w:val="0"/>
                <w:sz w:val="14"/>
                <w:szCs w:val="14"/>
              </w:rPr>
              <w:t xml:space="preserve">on or after 1 July 2016 </w:t>
            </w:r>
            <w:r w:rsidRPr="003A1122">
              <w:rPr>
                <w:b w:val="0"/>
                <w:sz w:val="14"/>
                <w:szCs w:val="14"/>
              </w:rPr>
              <w:t>to genuine business restructures that do not result in any change to the underlying economic ownership of assets</w:t>
            </w:r>
            <w:r>
              <w:rPr>
                <w:b w:val="0"/>
                <w:sz w:val="14"/>
                <w:szCs w:val="14"/>
              </w:rPr>
              <w: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61451" w14:textId="77777777" w:rsidR="00F16659" w:rsidRDefault="00F16659" w:rsidP="005B7704">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63B7F" w14:textId="77777777" w:rsidR="00F16659" w:rsidRDefault="00F16659" w:rsidP="005B7704">
            <w:pPr>
              <w:pStyle w:val="Table"/>
              <w:jc w:val="center"/>
            </w:pPr>
          </w:p>
        </w:tc>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54955" w14:textId="77777777" w:rsidR="00F16659" w:rsidRPr="00AF24CF" w:rsidRDefault="00F16659" w:rsidP="005B7704">
            <w:pPr>
              <w:pStyle w:val="Table"/>
              <w:jc w:val="center"/>
            </w:pPr>
          </w:p>
        </w:tc>
      </w:tr>
      <w:tr w:rsidR="00F16659" w:rsidRPr="00AF24CF" w14:paraId="168080E8" w14:textId="77777777" w:rsidTr="00952FCB">
        <w:tc>
          <w:tcPr>
            <w:tcW w:w="5000" w:type="pct"/>
            <w:gridSpan w:val="4"/>
            <w:tcBorders>
              <w:top w:val="single" w:sz="4" w:space="0" w:color="808080" w:themeColor="background1" w:themeShade="80"/>
              <w:bottom w:val="nil"/>
            </w:tcBorders>
          </w:tcPr>
          <w:p w14:paraId="60018250" w14:textId="77777777" w:rsidR="00F16659" w:rsidRDefault="00F16659" w:rsidP="00422929">
            <w:pPr>
              <w:pStyle w:val="Tableheading"/>
            </w:pPr>
            <w:r>
              <w:t>Comments:</w:t>
            </w:r>
          </w:p>
          <w:p w14:paraId="34F12BCD" w14:textId="77777777" w:rsidR="00F16659" w:rsidRDefault="00F16659" w:rsidP="00422929">
            <w:pPr>
              <w:pStyle w:val="Tableheading"/>
            </w:pPr>
          </w:p>
          <w:p w14:paraId="232A312A" w14:textId="77777777" w:rsidR="00F16659" w:rsidRDefault="00F16659" w:rsidP="00422929">
            <w:pPr>
              <w:pStyle w:val="Tableheading"/>
            </w:pPr>
          </w:p>
          <w:p w14:paraId="24ACDBFF" w14:textId="77777777" w:rsidR="00F16659" w:rsidRPr="00AF24CF" w:rsidRDefault="00F16659" w:rsidP="00422929">
            <w:pPr>
              <w:pStyle w:val="Tableheading"/>
            </w:pPr>
          </w:p>
        </w:tc>
      </w:tr>
    </w:tbl>
    <w:p w14:paraId="5ADE11C1" w14:textId="77777777" w:rsidR="00367616" w:rsidRPr="004816EF" w:rsidRDefault="00367616" w:rsidP="004816EF">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49457C24" w14:textId="77777777" w:rsidTr="00952FCB">
        <w:trPr>
          <w:tblHeader/>
        </w:trPr>
        <w:tc>
          <w:tcPr>
            <w:tcW w:w="3905" w:type="pct"/>
            <w:tcBorders>
              <w:top w:val="single" w:sz="4" w:space="0" w:color="939598"/>
              <w:bottom w:val="single" w:sz="4" w:space="0" w:color="808080" w:themeColor="background1" w:themeShade="80"/>
              <w:right w:val="single" w:sz="4" w:space="0" w:color="939598"/>
            </w:tcBorders>
            <w:shd w:val="clear" w:color="auto" w:fill="051C3C"/>
          </w:tcPr>
          <w:p w14:paraId="145C1246" w14:textId="77777777" w:rsidR="00367616" w:rsidRPr="00AE2EA6" w:rsidRDefault="00367616" w:rsidP="009B6248">
            <w:pPr>
              <w:pStyle w:val="Tableheading"/>
              <w:rPr>
                <w:color w:val="FFFFFF" w:themeColor="background1"/>
                <w:sz w:val="18"/>
              </w:rPr>
            </w:pPr>
            <w:r w:rsidRPr="00AE2EA6">
              <w:rPr>
                <w:color w:val="FFFFFF" w:themeColor="background1"/>
                <w:sz w:val="18"/>
              </w:rPr>
              <w:t>Debt and Equity</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B35D641"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B6958C0"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237E8F20"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N/A</w:t>
            </w:r>
          </w:p>
        </w:tc>
      </w:tr>
      <w:tr w:rsidR="007C6148" w:rsidRPr="00B340A7" w14:paraId="7ED9C2A2"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9B84FCB" w14:textId="77777777" w:rsidR="007C6148" w:rsidRPr="00B340A7" w:rsidRDefault="007C6148" w:rsidP="007C6148">
            <w:pPr>
              <w:pStyle w:val="Tableheading"/>
            </w:pPr>
            <w:r>
              <w:t>Related party at call loans</w:t>
            </w:r>
          </w:p>
        </w:tc>
      </w:tr>
      <w:tr w:rsidR="00367616" w14:paraId="56182BF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30CC148" w14:textId="77777777" w:rsidR="00367616" w:rsidRDefault="00367616" w:rsidP="009B6248">
            <w:pPr>
              <w:pStyle w:val="Table"/>
            </w:pPr>
            <w:r w:rsidRPr="00294357">
              <w:t>Determine whether any interest deductions may be denied as a result of loans or other debt instruments being reclassified as equity.</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B5FA786"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FAA7448"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93BCC45" w14:textId="77777777" w:rsidR="00367616" w:rsidRDefault="00367616" w:rsidP="000A401A">
            <w:pPr>
              <w:pStyle w:val="Table"/>
              <w:jc w:val="center"/>
            </w:pPr>
          </w:p>
        </w:tc>
      </w:tr>
      <w:tr w:rsidR="00367616" w14:paraId="1ED91725"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85A6ADA" w14:textId="77777777" w:rsidR="00367616" w:rsidRDefault="00367616" w:rsidP="009B6248">
            <w:pPr>
              <w:pStyle w:val="Table"/>
            </w:pPr>
            <w:r>
              <w:t>Ascertain whether:</w:t>
            </w:r>
          </w:p>
          <w:p w14:paraId="3FC23723" w14:textId="77777777" w:rsidR="00367616" w:rsidRDefault="00367616" w:rsidP="00896CDF">
            <w:pPr>
              <w:pStyle w:val="TableBullet"/>
            </w:pPr>
            <w:r>
              <w:t>the carve-out for companies with less than $20m turnover applie</w:t>
            </w:r>
            <w:r w:rsidR="00767636">
              <w:t xml:space="preserve">d during the current year </w:t>
            </w:r>
            <w:r>
              <w:t>or</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8CA22FE"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1DAD259E"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688F2D8" w14:textId="77777777" w:rsidR="00367616" w:rsidRDefault="00367616" w:rsidP="000A401A">
            <w:pPr>
              <w:pStyle w:val="Table"/>
              <w:jc w:val="center"/>
            </w:pPr>
          </w:p>
        </w:tc>
      </w:tr>
      <w:tr w:rsidR="00367616" w14:paraId="1EBFCB16" w14:textId="77777777" w:rsidTr="003304B6">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959B5A5" w14:textId="77777777" w:rsidR="00367616" w:rsidRDefault="00896CDF" w:rsidP="007C2D15">
            <w:pPr>
              <w:pStyle w:val="TableBullet"/>
            </w:pPr>
            <w:proofErr w:type="gramStart"/>
            <w:r>
              <w:t>whether</w:t>
            </w:r>
            <w:proofErr w:type="gramEnd"/>
            <w:r>
              <w:t xml:space="preserve"> </w:t>
            </w:r>
            <w:r w:rsidR="00367616" w:rsidRPr="00294357">
              <w:t>any at call loans should be put under a written loan agreement.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19A2E31"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2EAF0EF" w14:textId="77777777" w:rsidR="00367616" w:rsidRDefault="00367616" w:rsidP="000A401A">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A29C037" w14:textId="77777777" w:rsidR="00367616" w:rsidRDefault="00367616" w:rsidP="000A401A">
            <w:pPr>
              <w:pStyle w:val="Table"/>
              <w:jc w:val="center"/>
            </w:pPr>
          </w:p>
        </w:tc>
      </w:tr>
      <w:tr w:rsidR="00367616" w:rsidRPr="00AF24CF" w14:paraId="2648A354" w14:textId="77777777" w:rsidTr="003304B6">
        <w:tc>
          <w:tcPr>
            <w:tcW w:w="5000" w:type="pct"/>
            <w:gridSpan w:val="4"/>
            <w:tcBorders>
              <w:top w:val="single" w:sz="4" w:space="0" w:color="808080" w:themeColor="background1" w:themeShade="80"/>
              <w:bottom w:val="single" w:sz="4" w:space="0" w:color="939598"/>
            </w:tcBorders>
          </w:tcPr>
          <w:p w14:paraId="3EDEBAF2" w14:textId="77777777" w:rsidR="00367616" w:rsidRDefault="00367616" w:rsidP="00422929">
            <w:pPr>
              <w:pStyle w:val="Tableheading"/>
            </w:pPr>
            <w:r>
              <w:t>Comments:</w:t>
            </w:r>
          </w:p>
          <w:p w14:paraId="01B6B959" w14:textId="77777777" w:rsidR="002B3EEE" w:rsidRDefault="002B3EEE" w:rsidP="00422929">
            <w:pPr>
              <w:pStyle w:val="Tableheading"/>
            </w:pPr>
          </w:p>
          <w:p w14:paraId="59F1403B" w14:textId="77777777" w:rsidR="002B3EEE" w:rsidRDefault="002B3EEE" w:rsidP="00422929">
            <w:pPr>
              <w:pStyle w:val="Tableheading"/>
            </w:pPr>
          </w:p>
          <w:p w14:paraId="1739FA6B" w14:textId="6198A949" w:rsidR="002B3EEE" w:rsidRPr="00AF24CF" w:rsidRDefault="002B3EEE" w:rsidP="00422929">
            <w:pPr>
              <w:pStyle w:val="Tableheading"/>
            </w:pPr>
          </w:p>
        </w:tc>
      </w:tr>
    </w:tbl>
    <w:p w14:paraId="4BAE99CB" w14:textId="77777777" w:rsidR="00367616" w:rsidRPr="004816EF" w:rsidRDefault="00367616" w:rsidP="000A401A">
      <w:pPr>
        <w:pStyle w:val="Bet"/>
        <w:spacing w:before="0" w:after="0"/>
        <w:ind w:left="-125" w:right="-119"/>
        <w:rPr>
          <w:sz w:val="6"/>
        </w:rPr>
      </w:pPr>
    </w:p>
    <w:p w14:paraId="01592F15" w14:textId="77777777" w:rsidR="008B461C" w:rsidRDefault="008B461C">
      <w:r>
        <w:rPr>
          <w:b/>
        </w:rP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5B806A2F" w14:textId="77777777" w:rsidTr="00952FCB">
        <w:trPr>
          <w:tblHeader/>
        </w:trPr>
        <w:tc>
          <w:tcPr>
            <w:tcW w:w="3905" w:type="pct"/>
            <w:tcBorders>
              <w:top w:val="single" w:sz="4" w:space="0" w:color="939598"/>
              <w:bottom w:val="single" w:sz="4" w:space="0" w:color="808080" w:themeColor="background1" w:themeShade="80"/>
              <w:right w:val="single" w:sz="4" w:space="0" w:color="939598"/>
            </w:tcBorders>
            <w:shd w:val="clear" w:color="auto" w:fill="051C3C"/>
          </w:tcPr>
          <w:p w14:paraId="044ED724" w14:textId="0EE1A3E5" w:rsidR="00367616" w:rsidRPr="00AE2EA6" w:rsidRDefault="00367616" w:rsidP="000A401A">
            <w:pPr>
              <w:pStyle w:val="Tableheading"/>
              <w:rPr>
                <w:color w:val="FFFFFF" w:themeColor="background1"/>
                <w:sz w:val="18"/>
              </w:rPr>
            </w:pPr>
            <w:r w:rsidRPr="00AE2EA6">
              <w:rPr>
                <w:color w:val="FFFFFF" w:themeColor="background1"/>
                <w:sz w:val="18"/>
              </w:rPr>
              <w:lastRenderedPageBreak/>
              <w:t>Debt Issues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FA0441D"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261E3AE"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20684734" w14:textId="77777777" w:rsidR="00367616" w:rsidRPr="00AE2EA6" w:rsidRDefault="00367616" w:rsidP="000A401A">
            <w:pPr>
              <w:pStyle w:val="Tableheading"/>
              <w:jc w:val="center"/>
              <w:rPr>
                <w:color w:val="FFFFFF" w:themeColor="background1"/>
                <w:sz w:val="18"/>
              </w:rPr>
            </w:pPr>
            <w:r w:rsidRPr="00AE2EA6">
              <w:rPr>
                <w:color w:val="FFFFFF" w:themeColor="background1"/>
                <w:sz w:val="18"/>
              </w:rPr>
              <w:t>N/A</w:t>
            </w:r>
          </w:p>
        </w:tc>
      </w:tr>
      <w:tr w:rsidR="007C6148" w:rsidRPr="00B340A7" w14:paraId="2353B9C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76742C" w14:textId="77777777" w:rsidR="007C6148" w:rsidRPr="00B340A7" w:rsidRDefault="007C6148" w:rsidP="007C6148">
            <w:pPr>
              <w:pStyle w:val="Tableheading"/>
            </w:pPr>
            <w:r>
              <w:t>Thin capitalisation</w:t>
            </w:r>
          </w:p>
        </w:tc>
      </w:tr>
      <w:tr w:rsidR="00367616" w14:paraId="1BEC107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E0B533F" w14:textId="77777777" w:rsidR="00367616" w:rsidRDefault="00367616" w:rsidP="000A401A">
            <w:pPr>
              <w:pStyle w:val="Table"/>
            </w:pPr>
            <w:r w:rsidRPr="000A401A">
              <w:t>Consider whether the taxpayer’s foreign assets represent less than 10% of its total assets. If so the</w:t>
            </w:r>
            <w:r>
              <w:t xml:space="preserve"> </w:t>
            </w:r>
            <w:r w:rsidRPr="000A401A">
              <w:t>exemption in section 820-37 of the ITAA 1997 may apply.</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85820F"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3DB620C"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724D5613" w14:textId="77777777" w:rsidR="00367616" w:rsidRDefault="00367616" w:rsidP="00184E12">
            <w:pPr>
              <w:pStyle w:val="Table"/>
              <w:jc w:val="center"/>
            </w:pPr>
          </w:p>
        </w:tc>
      </w:tr>
      <w:tr w:rsidR="00367616" w14:paraId="08F678F1"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3F6424" w14:textId="50B44FAD" w:rsidR="00367616" w:rsidRPr="000A401A" w:rsidRDefault="00367616" w:rsidP="001F2E3A">
            <w:pPr>
              <w:pStyle w:val="Table"/>
              <w:ind w:right="74"/>
            </w:pPr>
            <w:r w:rsidRPr="00422929">
              <w:t>Consider whether the sum of the taxpayer’s debt deductions together with those of its associate</w:t>
            </w:r>
            <w:r>
              <w:t xml:space="preserve"> </w:t>
            </w:r>
            <w:r w:rsidRPr="00422929">
              <w:t>entities exceed $2</w:t>
            </w:r>
            <w:r w:rsidR="001F2E3A">
              <w:t xml:space="preserve"> million </w:t>
            </w:r>
            <w:r w:rsidRPr="00422929">
              <w:t>in a year of income</w:t>
            </w:r>
            <w:r>
              <w: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CF18F8B"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A1CB8DD"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1AECC962" w14:textId="77777777" w:rsidR="00367616" w:rsidRDefault="00367616" w:rsidP="00184E12">
            <w:pPr>
              <w:pStyle w:val="Table"/>
              <w:jc w:val="center"/>
            </w:pPr>
          </w:p>
        </w:tc>
      </w:tr>
      <w:tr w:rsidR="00367616" w14:paraId="6DEEA14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728A5BD6" w14:textId="306182D4" w:rsidR="00367616" w:rsidRPr="00422929" w:rsidRDefault="00367616" w:rsidP="001F2E3A">
            <w:pPr>
              <w:pStyle w:val="Table"/>
              <w:ind w:right="74"/>
            </w:pPr>
            <w:r w:rsidRPr="00422929">
              <w:t>Consider whether the taxpayer should seek to reduce the incurrence of ‘debt deductions’ coming up</w:t>
            </w:r>
            <w:r>
              <w:t xml:space="preserve"> </w:t>
            </w:r>
            <w:r w:rsidRPr="00422929">
              <w:t xml:space="preserve">to year end to qualify under the de </w:t>
            </w:r>
            <w:proofErr w:type="spellStart"/>
            <w:r w:rsidRPr="00422929">
              <w:t>minimus</w:t>
            </w:r>
            <w:proofErr w:type="spellEnd"/>
            <w:r w:rsidRPr="00422929">
              <w:t xml:space="preserve"> rule</w:t>
            </w:r>
            <w:r w:rsidR="00896CDF">
              <w:t>,</w:t>
            </w:r>
            <w:r w:rsidR="00767636">
              <w:t xml:space="preserve"> which is currently set at $2</w:t>
            </w:r>
            <w:r w:rsidR="001F2E3A">
              <w:t xml:space="preserve"> million</w:t>
            </w:r>
            <w:r w:rsidRPr="00422929">
              <w: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40F219FA"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2DB61C4" w14:textId="77777777" w:rsidR="00367616" w:rsidRDefault="00367616" w:rsidP="00184E12">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55425CCA" w14:textId="77777777" w:rsidR="00367616" w:rsidRDefault="00367616" w:rsidP="00184E12">
            <w:pPr>
              <w:pStyle w:val="Table"/>
              <w:jc w:val="center"/>
            </w:pPr>
          </w:p>
        </w:tc>
      </w:tr>
      <w:tr w:rsidR="00367616" w:rsidRPr="00422929" w14:paraId="1A8724B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56FAEE6D" w14:textId="0F25DE3C" w:rsidR="00896CDF" w:rsidRPr="00422929" w:rsidRDefault="00367616" w:rsidP="001D5211">
            <w:pPr>
              <w:pStyle w:val="Table"/>
              <w:spacing w:before="120"/>
              <w:ind w:right="72"/>
            </w:pPr>
            <w:r w:rsidRPr="00422929">
              <w:t>Consider any current year asset impairments and consequential reduction in the safe harbour debt amount and the risk of breaching this safe harbour.</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73999ED7" w14:textId="77777777" w:rsidR="00367616" w:rsidRDefault="00367616" w:rsidP="00184E12">
            <w:pPr>
              <w:pStyle w:val="Table"/>
              <w:ind w:right="74"/>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76F96BD" w14:textId="77777777" w:rsidR="00367616" w:rsidRDefault="00367616" w:rsidP="00184E12">
            <w:pPr>
              <w:pStyle w:val="Table"/>
              <w:ind w:right="74"/>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3EF6BB95" w14:textId="77777777" w:rsidR="00367616" w:rsidRDefault="00367616" w:rsidP="00184E12">
            <w:pPr>
              <w:pStyle w:val="Table"/>
              <w:ind w:right="74"/>
              <w:jc w:val="center"/>
            </w:pPr>
          </w:p>
        </w:tc>
      </w:tr>
      <w:tr w:rsidR="007C6148" w:rsidRPr="00B340A7" w14:paraId="3DA9FE5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973A72" w14:textId="77777777" w:rsidR="007C6148" w:rsidRPr="00B340A7" w:rsidRDefault="007C6148" w:rsidP="007C6148">
            <w:pPr>
              <w:pStyle w:val="Tableheading"/>
            </w:pPr>
            <w:r>
              <w:t>Capital protected loan facilities</w:t>
            </w:r>
          </w:p>
        </w:tc>
      </w:tr>
      <w:tr w:rsidR="00367616" w14:paraId="050DB193"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D8ED154" w14:textId="77777777" w:rsidR="00367616" w:rsidRPr="00422929" w:rsidRDefault="00367616" w:rsidP="00422929">
            <w:pPr>
              <w:pStyle w:val="Table"/>
            </w:pPr>
            <w:r w:rsidRPr="00422929">
              <w:t>Consider whether the taxpayer has obtained any capital protected loans to fund investments?</w:t>
            </w:r>
          </w:p>
          <w:p w14:paraId="2B01642D" w14:textId="77777777" w:rsidR="00367616" w:rsidRDefault="00367616" w:rsidP="00422929">
            <w:pPr>
              <w:pStyle w:val="Table"/>
            </w:pPr>
            <w:r w:rsidRPr="00422929">
              <w:t>If they have, any capital protection fee payable or any capital protection fee component incorporated</w:t>
            </w:r>
            <w:r>
              <w:t xml:space="preserve"> </w:t>
            </w:r>
            <w:r w:rsidRPr="00422929">
              <w:t>with the overall interest charge payable to the lender will be non-deductible.</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F6CD1F6"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CBFAC60"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044A8D5" w14:textId="77777777" w:rsidR="00367616" w:rsidRDefault="00367616" w:rsidP="00422929">
            <w:pPr>
              <w:pStyle w:val="Table"/>
              <w:jc w:val="center"/>
            </w:pPr>
          </w:p>
        </w:tc>
      </w:tr>
      <w:tr w:rsidR="007C6148" w:rsidRPr="00B340A7" w14:paraId="3F766430"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61FEBC" w14:textId="77777777" w:rsidR="007C6148" w:rsidRDefault="007C6148" w:rsidP="007C6148">
            <w:pPr>
              <w:pStyle w:val="Tableheading"/>
              <w:keepNext/>
            </w:pPr>
            <w:r>
              <w:t>Debt forgiveness</w:t>
            </w:r>
          </w:p>
        </w:tc>
      </w:tr>
      <w:tr w:rsidR="00367616" w14:paraId="66F5ACD7"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3BEE62E0" w14:textId="77777777" w:rsidR="00367616" w:rsidRDefault="00367616">
            <w:pPr>
              <w:pStyle w:val="Table"/>
              <w:keepNext/>
            </w:pPr>
            <w:r w:rsidRPr="00422929">
              <w:t>For debts you owe that have been released, waived or extinguished or assigned, consider the</w:t>
            </w:r>
            <w:r>
              <w:t xml:space="preserve"> </w:t>
            </w:r>
            <w:r w:rsidRPr="00422929">
              <w:t>commercial debt forgiveness</w:t>
            </w:r>
            <w:r>
              <w:t xml:space="preserve"> (“CDF”)</w:t>
            </w:r>
            <w:r w:rsidRPr="00422929">
              <w:t xml:space="preserve"> provisions. </w:t>
            </w:r>
          </w:p>
          <w:p w14:paraId="4353F242" w14:textId="77777777" w:rsidR="00367616" w:rsidRDefault="00367616">
            <w:pPr>
              <w:pStyle w:val="Table"/>
              <w:keepNext/>
            </w:pPr>
            <w:r w:rsidRPr="00422929">
              <w:t>The</w:t>
            </w:r>
            <w:r w:rsidR="004A1198">
              <w:t xml:space="preserve"> C</w:t>
            </w:r>
            <w:r>
              <w:t>D</w:t>
            </w:r>
            <w:r w:rsidR="004A1198">
              <w:t>F</w:t>
            </w:r>
            <w:r>
              <w:t xml:space="preserve"> </w:t>
            </w:r>
            <w:r w:rsidRPr="00422929">
              <w:t>provisions may apply to reduce the following amounts</w:t>
            </w:r>
            <w:r>
              <w:t xml:space="preserve"> </w:t>
            </w:r>
            <w:r w:rsidRPr="00422929">
              <w:t>in</w:t>
            </w:r>
            <w:r>
              <w:t> </w:t>
            </w:r>
            <w:r w:rsidRPr="00422929">
              <w:t>the following order:</w:t>
            </w:r>
          </w:p>
          <w:p w14:paraId="0681A160" w14:textId="77777777" w:rsidR="00367616" w:rsidRDefault="00367616">
            <w:pPr>
              <w:pStyle w:val="Table"/>
              <w:keepNext/>
              <w:tabs>
                <w:tab w:val="left" w:pos="709"/>
              </w:tabs>
              <w:ind w:left="709" w:hanging="283"/>
            </w:pPr>
            <w:r w:rsidRPr="00422929">
              <w:t xml:space="preserve">1. </w:t>
            </w:r>
            <w:r>
              <w:tab/>
            </w:r>
            <w:r w:rsidRPr="00422929">
              <w:t>prior year revenue losses</w:t>
            </w:r>
          </w:p>
          <w:p w14:paraId="361899B8" w14:textId="77777777" w:rsidR="00367616" w:rsidRDefault="00367616">
            <w:pPr>
              <w:pStyle w:val="Table"/>
              <w:keepNext/>
              <w:tabs>
                <w:tab w:val="left" w:pos="709"/>
              </w:tabs>
              <w:ind w:left="709" w:hanging="283"/>
            </w:pPr>
            <w:r w:rsidRPr="00422929">
              <w:t xml:space="preserve">2. </w:t>
            </w:r>
            <w:r>
              <w:tab/>
            </w:r>
            <w:r w:rsidRPr="00422929">
              <w:t>carried forward net capital losses</w:t>
            </w:r>
          </w:p>
          <w:p w14:paraId="68CE0A5F" w14:textId="77777777" w:rsidR="00367616" w:rsidRDefault="00367616">
            <w:pPr>
              <w:pStyle w:val="Table"/>
              <w:keepNext/>
              <w:tabs>
                <w:tab w:val="left" w:pos="709"/>
              </w:tabs>
              <w:ind w:left="709" w:hanging="283"/>
            </w:pPr>
            <w:r w:rsidRPr="00422929">
              <w:t xml:space="preserve">3. </w:t>
            </w:r>
            <w:r>
              <w:tab/>
            </w:r>
            <w:r w:rsidRPr="00422929">
              <w:t>deductible expenditures including the opening adjustable value of depreciating assets</w:t>
            </w:r>
          </w:p>
          <w:p w14:paraId="4370D93F" w14:textId="77777777" w:rsidR="00367616" w:rsidRDefault="00367616">
            <w:pPr>
              <w:pStyle w:val="Table"/>
              <w:keepNext/>
              <w:tabs>
                <w:tab w:val="left" w:pos="709"/>
              </w:tabs>
              <w:ind w:left="709" w:hanging="283"/>
            </w:pPr>
            <w:r w:rsidRPr="00422929">
              <w:t xml:space="preserve">4. </w:t>
            </w:r>
            <w:r>
              <w:tab/>
            </w:r>
            <w:proofErr w:type="gramStart"/>
            <w:r w:rsidRPr="00422929">
              <w:t>the</w:t>
            </w:r>
            <w:proofErr w:type="gramEnd"/>
            <w:r w:rsidRPr="00422929">
              <w:t xml:space="preserve"> cost base of certain CGT assets.</w:t>
            </w:r>
          </w:p>
          <w:p w14:paraId="5B4B0D97" w14:textId="3ACB6309" w:rsidR="00367616" w:rsidRDefault="00367616" w:rsidP="00390F56">
            <w:pPr>
              <w:pStyle w:val="Table"/>
              <w:keepNext/>
            </w:pPr>
            <w:r>
              <w:t>In particular</w:t>
            </w:r>
            <w:r w:rsidR="004A1198">
              <w:t>,</w:t>
            </w:r>
            <w:r>
              <w:t xml:space="preserve"> consider whether there are any timing advantages of </w:t>
            </w:r>
            <w:r w:rsidR="00767636">
              <w:t xml:space="preserve">postponing </w:t>
            </w:r>
            <w:proofErr w:type="gramStart"/>
            <w:r w:rsidR="00767636">
              <w:t xml:space="preserve">a </w:t>
            </w:r>
            <w:r>
              <w:t>debt</w:t>
            </w:r>
            <w:proofErr w:type="gramEnd"/>
            <w:r>
              <w:t xml:space="preserve"> forgiven</w:t>
            </w:r>
            <w:r w:rsidR="00767636">
              <w:t xml:space="preserve">ess until </w:t>
            </w:r>
            <w:r>
              <w:t xml:space="preserve">after </w:t>
            </w:r>
            <w:r w:rsidR="005C1E49">
              <w:t>30 June</w:t>
            </w:r>
            <w:r w:rsidR="00090483">
              <w:t xml:space="preserve"> </w:t>
            </w:r>
            <w:r>
              <w:t>201</w:t>
            </w:r>
            <w:r w:rsidR="00AC327F">
              <w:t>6</w:t>
            </w:r>
            <w:r>
              <w:t>.</w:t>
            </w:r>
          </w:p>
          <w:p w14:paraId="69555389" w14:textId="27A335CD" w:rsidR="00651813" w:rsidRPr="009F0C8F" w:rsidRDefault="00B931DE" w:rsidP="00AC327F">
            <w:pPr>
              <w:pStyle w:val="Table"/>
              <w:keepNext/>
              <w:rPr>
                <w:sz w:val="14"/>
                <w:szCs w:val="14"/>
              </w:rPr>
            </w:pPr>
            <w:r w:rsidRPr="009F0C8F">
              <w:rPr>
                <w:b/>
                <w:sz w:val="14"/>
                <w:szCs w:val="14"/>
              </w:rPr>
              <w:t>Note:</w:t>
            </w:r>
            <w:r w:rsidR="00651813" w:rsidRPr="009F0C8F">
              <w:rPr>
                <w:b/>
                <w:sz w:val="14"/>
                <w:szCs w:val="14"/>
              </w:rPr>
              <w:t xml:space="preserve"> </w:t>
            </w:r>
            <w:r w:rsidR="00651813" w:rsidRPr="009F0C8F">
              <w:rPr>
                <w:sz w:val="14"/>
                <w:szCs w:val="14"/>
              </w:rPr>
              <w:t>in some circumstances the forgiveness of a debt by a private company</w:t>
            </w:r>
            <w:r w:rsidR="0078761B" w:rsidRPr="009F0C8F">
              <w:rPr>
                <w:sz w:val="14"/>
                <w:szCs w:val="14"/>
              </w:rPr>
              <w:t xml:space="preserve"> or even a trust</w:t>
            </w:r>
            <w:r w:rsidR="00651813" w:rsidRPr="009F0C8F">
              <w:rPr>
                <w:sz w:val="14"/>
                <w:szCs w:val="14"/>
              </w:rPr>
              <w:t xml:space="preserve"> may give rise to a deemed dividend under Division 7A</w:t>
            </w:r>
            <w:r w:rsidR="00767636" w:rsidRPr="009F0C8F">
              <w:rPr>
                <w:sz w:val="14"/>
                <w:szCs w:val="14"/>
              </w:rPr>
              <w:t xml:space="preserve"> under separate but similar rules</w:t>
            </w:r>
            <w:r w:rsidR="00651813" w:rsidRPr="009F0C8F">
              <w:rPr>
                <w:sz w:val="14"/>
                <w:szCs w:val="14"/>
              </w:rPr>
              <w: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72AE60" w14:textId="77777777" w:rsidR="00367616" w:rsidRDefault="00367616">
            <w:pPr>
              <w:pStyle w:val="Table"/>
              <w:keepNext/>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F98592B" w14:textId="77777777" w:rsidR="00367616" w:rsidRDefault="00367616">
            <w:pPr>
              <w:pStyle w:val="Table"/>
              <w:keepNext/>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2A17440" w14:textId="77777777" w:rsidR="00367616" w:rsidRDefault="00367616">
            <w:pPr>
              <w:pStyle w:val="Table"/>
              <w:keepNext/>
              <w:jc w:val="center"/>
            </w:pPr>
          </w:p>
        </w:tc>
      </w:tr>
      <w:tr w:rsidR="00367616" w:rsidRPr="00AF24CF" w14:paraId="38038C6C" w14:textId="77777777" w:rsidTr="00952FCB">
        <w:tc>
          <w:tcPr>
            <w:tcW w:w="5000" w:type="pct"/>
            <w:gridSpan w:val="4"/>
            <w:tcBorders>
              <w:top w:val="single" w:sz="4" w:space="0" w:color="808080" w:themeColor="background1" w:themeShade="80"/>
              <w:bottom w:val="nil"/>
            </w:tcBorders>
          </w:tcPr>
          <w:p w14:paraId="79F49C07" w14:textId="77777777" w:rsidR="00367616" w:rsidRDefault="00367616" w:rsidP="00422929">
            <w:pPr>
              <w:pStyle w:val="Tableheading"/>
            </w:pPr>
            <w:r>
              <w:t>Comments:</w:t>
            </w:r>
          </w:p>
          <w:p w14:paraId="3812B646" w14:textId="77777777" w:rsidR="005A3784" w:rsidRDefault="005A3784" w:rsidP="00422929">
            <w:pPr>
              <w:pStyle w:val="Tableheading"/>
            </w:pPr>
          </w:p>
          <w:p w14:paraId="40E76D7A" w14:textId="77777777" w:rsidR="005A3784" w:rsidRDefault="005A3784" w:rsidP="00422929">
            <w:pPr>
              <w:pStyle w:val="Tableheading"/>
            </w:pPr>
          </w:p>
          <w:p w14:paraId="095FB731" w14:textId="77777777" w:rsidR="005A3784" w:rsidRPr="00AF24CF" w:rsidRDefault="005A3784" w:rsidP="00422929">
            <w:pPr>
              <w:pStyle w:val="Tableheading"/>
            </w:pPr>
          </w:p>
        </w:tc>
      </w:tr>
    </w:tbl>
    <w:p w14:paraId="7B2ED8DB" w14:textId="77777777" w:rsidR="00367616" w:rsidRPr="004816EF" w:rsidRDefault="00367616" w:rsidP="00422929">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4819B21F" w14:textId="77777777" w:rsidTr="00952FCB">
        <w:trPr>
          <w:tblHeader/>
        </w:trPr>
        <w:tc>
          <w:tcPr>
            <w:tcW w:w="3905" w:type="pct"/>
            <w:tcBorders>
              <w:top w:val="single" w:sz="4" w:space="0" w:color="939598"/>
              <w:bottom w:val="single" w:sz="4" w:space="0" w:color="808080" w:themeColor="background1" w:themeShade="80"/>
              <w:right w:val="single" w:sz="4" w:space="0" w:color="939598"/>
            </w:tcBorders>
            <w:shd w:val="clear" w:color="auto" w:fill="051C3C"/>
          </w:tcPr>
          <w:p w14:paraId="4F4250A7" w14:textId="77777777" w:rsidR="00367616" w:rsidRPr="00AE2EA6" w:rsidRDefault="00367616" w:rsidP="00422929">
            <w:pPr>
              <w:pStyle w:val="Tableheading"/>
              <w:rPr>
                <w:color w:val="FFFFFF" w:themeColor="background1"/>
                <w:sz w:val="18"/>
              </w:rPr>
            </w:pPr>
            <w:r w:rsidRPr="00AE2EA6">
              <w:rPr>
                <w:color w:val="FFFFFF" w:themeColor="background1"/>
                <w:sz w:val="18"/>
              </w:rPr>
              <w:t>Individuals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E1D03B0" w14:textId="77777777" w:rsidR="00367616" w:rsidRPr="00AE2EA6" w:rsidRDefault="00367616" w:rsidP="00422929">
            <w:pPr>
              <w:pStyle w:val="Tableheading"/>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235BCA" w14:textId="77777777" w:rsidR="00367616" w:rsidRPr="00AE2EA6" w:rsidRDefault="00367616" w:rsidP="00422929">
            <w:pPr>
              <w:pStyle w:val="Tableheading"/>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398540F4" w14:textId="77777777" w:rsidR="00367616" w:rsidRPr="00AE2EA6" w:rsidRDefault="00367616" w:rsidP="00422929">
            <w:pPr>
              <w:pStyle w:val="Tableheading"/>
              <w:jc w:val="center"/>
              <w:rPr>
                <w:color w:val="FFFFFF" w:themeColor="background1"/>
                <w:sz w:val="18"/>
              </w:rPr>
            </w:pPr>
            <w:r w:rsidRPr="00AE2EA6">
              <w:rPr>
                <w:color w:val="FFFFFF" w:themeColor="background1"/>
                <w:sz w:val="18"/>
              </w:rPr>
              <w:t>N/A</w:t>
            </w:r>
          </w:p>
        </w:tc>
      </w:tr>
      <w:tr w:rsidR="007C6148" w:rsidRPr="00B340A7" w14:paraId="6DAB674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D3352B" w14:textId="77777777" w:rsidR="007C6148" w:rsidRPr="00B340A7" w:rsidRDefault="007C6148" w:rsidP="007C6148">
            <w:pPr>
              <w:pStyle w:val="Tableheading"/>
            </w:pPr>
            <w:r>
              <w:t>Salary sacrifice</w:t>
            </w:r>
          </w:p>
        </w:tc>
      </w:tr>
      <w:tr w:rsidR="00367616" w14:paraId="0EFEA51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3A69CAF" w14:textId="77777777" w:rsidR="00367616" w:rsidRDefault="00367616" w:rsidP="004774F0">
            <w:pPr>
              <w:pStyle w:val="Table"/>
              <w:ind w:right="-57"/>
            </w:pPr>
            <w:r w:rsidRPr="004774F0">
              <w:t>Ensure that salary sacrifice arrangements have been considered in light of TR 2001/10 so that any gross</w:t>
            </w:r>
            <w:r>
              <w:t xml:space="preserve"> </w:t>
            </w:r>
            <w:r w:rsidRPr="004774F0">
              <w:t>salary foregone for fringe benefits or additional superannuation contributions is under an agreement</w:t>
            </w:r>
            <w:r>
              <w:t xml:space="preserve"> </w:t>
            </w:r>
            <w:r w:rsidRPr="004774F0">
              <w:t>entered into before gross salary is derived.</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09D5C9E8"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9AF8512" w14:textId="77777777" w:rsidR="00367616" w:rsidRDefault="00367616" w:rsidP="00422929">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0D9101CC" w14:textId="77777777" w:rsidR="00367616" w:rsidRDefault="00367616" w:rsidP="00422929">
            <w:pPr>
              <w:pStyle w:val="Table"/>
              <w:jc w:val="center"/>
            </w:pPr>
          </w:p>
        </w:tc>
      </w:tr>
      <w:tr w:rsidR="007C6148" w:rsidRPr="00B340A7" w14:paraId="0CC8990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A0F01E5" w14:textId="77777777" w:rsidR="007C6148" w:rsidRPr="00B340A7" w:rsidRDefault="007C6148" w:rsidP="007C6148">
            <w:pPr>
              <w:pStyle w:val="Tableheading"/>
            </w:pPr>
            <w:r>
              <w:t>Low income tax offset</w:t>
            </w:r>
          </w:p>
        </w:tc>
      </w:tr>
      <w:tr w:rsidR="00367616" w14:paraId="097D3418"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06A3EF3A" w14:textId="77777777" w:rsidR="00367616" w:rsidRPr="00E9415D" w:rsidRDefault="00367616" w:rsidP="00E9415D">
            <w:pPr>
              <w:pStyle w:val="Table"/>
              <w:ind w:right="-57"/>
            </w:pPr>
            <w:r w:rsidRPr="00E9415D">
              <w:t>Check whether the taxpayer is eligible for the $</w:t>
            </w:r>
            <w:r w:rsidR="00C71BF2">
              <w:t xml:space="preserve">445 </w:t>
            </w:r>
            <w:r w:rsidR="00D06BF0">
              <w:t>low income tax offset (LITO). Note that the full reb</w:t>
            </w:r>
            <w:r w:rsidR="00C71BF2">
              <w:t>ate</w:t>
            </w:r>
            <w:r w:rsidRPr="00E9415D">
              <w:t xml:space="preserve"> </w:t>
            </w:r>
            <w:r w:rsidR="00C71BF2">
              <w:t xml:space="preserve">is available for </w:t>
            </w:r>
            <w:r w:rsidRPr="00E9415D">
              <w:t>individuals with</w:t>
            </w:r>
            <w:r>
              <w:t xml:space="preserve"> </w:t>
            </w:r>
            <w:r w:rsidRPr="00E9415D">
              <w:t xml:space="preserve">taxable income </w:t>
            </w:r>
            <w:r w:rsidR="00C71BF2">
              <w:t xml:space="preserve">of </w:t>
            </w:r>
            <w:r w:rsidRPr="00E9415D">
              <w:t>less than $</w:t>
            </w:r>
            <w:r w:rsidR="00C71BF2">
              <w:t>3</w:t>
            </w:r>
            <w:r w:rsidRPr="00E9415D">
              <w:t>7,000</w:t>
            </w:r>
            <w:r w:rsidR="00C71BF2">
              <w:t xml:space="preserve"> but fully phases out where taxable income is $66,667 or more</w:t>
            </w:r>
            <w:r w:rsidRPr="00E9415D">
              <w:t>.</w:t>
            </w:r>
          </w:p>
          <w:p w14:paraId="5A1D2856" w14:textId="617135C6" w:rsidR="00367616" w:rsidRPr="009F0C8F" w:rsidRDefault="00367616" w:rsidP="00AC327F">
            <w:pPr>
              <w:pStyle w:val="Source"/>
              <w:tabs>
                <w:tab w:val="clear" w:pos="368"/>
                <w:tab w:val="left" w:pos="0"/>
              </w:tabs>
              <w:ind w:left="0" w:right="-115" w:firstLine="0"/>
              <w:rPr>
                <w:sz w:val="14"/>
                <w:szCs w:val="14"/>
              </w:rPr>
            </w:pPr>
            <w:r w:rsidRPr="009F0C8F">
              <w:rPr>
                <w:b/>
                <w:i w:val="0"/>
                <w:sz w:val="14"/>
                <w:szCs w:val="14"/>
              </w:rPr>
              <w:t>Note</w:t>
            </w:r>
            <w:r w:rsidRPr="009F0C8F">
              <w:rPr>
                <w:i w:val="0"/>
                <w:sz w:val="14"/>
                <w:szCs w:val="14"/>
              </w:rPr>
              <w:t xml:space="preserve">: </w:t>
            </w:r>
            <w:r w:rsidR="00C470CE" w:rsidRPr="009F0C8F">
              <w:rPr>
                <w:i w:val="0"/>
                <w:sz w:val="14"/>
                <w:szCs w:val="14"/>
              </w:rPr>
              <w:t xml:space="preserve">since </w:t>
            </w:r>
            <w:r w:rsidRPr="009F0C8F">
              <w:rPr>
                <w:i w:val="0"/>
                <w:sz w:val="14"/>
                <w:szCs w:val="14"/>
              </w:rPr>
              <w:t>1 July 2012</w:t>
            </w:r>
            <w:r w:rsidR="00B72987" w:rsidRPr="009F0C8F">
              <w:rPr>
                <w:i w:val="0"/>
                <w:sz w:val="14"/>
                <w:szCs w:val="14"/>
              </w:rPr>
              <w:t xml:space="preserve"> minors (i.e. children under 18 years of age) </w:t>
            </w:r>
            <w:r w:rsidR="00C470CE" w:rsidRPr="009F0C8F">
              <w:rPr>
                <w:i w:val="0"/>
                <w:sz w:val="14"/>
                <w:szCs w:val="14"/>
              </w:rPr>
              <w:t>have not been</w:t>
            </w:r>
            <w:r w:rsidR="00D06BF0" w:rsidRPr="009F0C8F">
              <w:rPr>
                <w:i w:val="0"/>
                <w:sz w:val="14"/>
                <w:szCs w:val="14"/>
              </w:rPr>
              <w:t xml:space="preserve"> </w:t>
            </w:r>
            <w:r w:rsidR="00B72987" w:rsidRPr="009F0C8F">
              <w:rPr>
                <w:i w:val="0"/>
                <w:sz w:val="14"/>
                <w:szCs w:val="14"/>
              </w:rPr>
              <w:t>eligible to receive the LITO</w:t>
            </w:r>
            <w:r w:rsidR="00AC327F">
              <w:rPr>
                <w:i w:val="0"/>
                <w:sz w:val="14"/>
                <w:szCs w:val="14"/>
              </w:rPr>
              <w:t xml:space="preserve"> to reduce tax payable under Division 6AA</w:t>
            </w:r>
            <w:r w:rsidR="00D06BF0" w:rsidRPr="009F0C8F">
              <w:rPr>
                <w:i w:val="0"/>
                <w:sz w:val="14"/>
                <w:szCs w:val="14"/>
              </w:rPr>
              <w:t>.</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2BA141C9" w14:textId="77777777" w:rsidR="00367616" w:rsidRDefault="00367616" w:rsidP="00E9415D">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4658DFD" w14:textId="77777777" w:rsidR="00367616" w:rsidRDefault="00367616" w:rsidP="00E9415D">
            <w:pPr>
              <w:pStyle w:val="Table"/>
              <w:jc w:val="cente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705182D" w14:textId="77777777" w:rsidR="00367616" w:rsidRDefault="00367616" w:rsidP="00E9415D">
            <w:pPr>
              <w:pStyle w:val="Table"/>
              <w:jc w:val="center"/>
            </w:pPr>
          </w:p>
        </w:tc>
      </w:tr>
    </w:tbl>
    <w:p w14:paraId="1F6E8FCC" w14:textId="77777777" w:rsidR="00231098" w:rsidRDefault="00231098">
      <w:r>
        <w:br w:type="page"/>
      </w: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E50EE4" w:rsidRPr="00B340A7" w14:paraId="0306015F"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F243E" w:themeFill="text2" w:themeFillShade="80"/>
          </w:tcPr>
          <w:p w14:paraId="2CEC653E" w14:textId="77777777" w:rsidR="00E50EE4" w:rsidRDefault="00E50EE4" w:rsidP="002252BE">
            <w:pPr>
              <w:pStyle w:val="Tableheading"/>
            </w:pPr>
            <w:r w:rsidRPr="00AE2EA6">
              <w:rPr>
                <w:color w:val="FFFFFF" w:themeColor="background1"/>
                <w:sz w:val="18"/>
              </w:rPr>
              <w:lastRenderedPageBreak/>
              <w:t>Individuals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03F4B8E5" w14:textId="77777777" w:rsidR="00E50EE4" w:rsidRPr="00B340A7" w:rsidRDefault="00E50EE4" w:rsidP="002252BE">
            <w:pPr>
              <w:pStyle w:val="Tableheading"/>
              <w:jc w:val="cente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5E65D399" w14:textId="77777777" w:rsidR="00E50EE4" w:rsidRPr="00B340A7" w:rsidRDefault="00E50EE4" w:rsidP="002252BE">
            <w:pPr>
              <w:pStyle w:val="Tableheading"/>
              <w:jc w:val="cente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F243E" w:themeFill="text2" w:themeFillShade="80"/>
          </w:tcPr>
          <w:p w14:paraId="03738D72" w14:textId="77777777" w:rsidR="00E50EE4" w:rsidRPr="00B340A7" w:rsidRDefault="00E50EE4" w:rsidP="002252BE">
            <w:pPr>
              <w:pStyle w:val="Tableheading"/>
              <w:jc w:val="center"/>
            </w:pPr>
            <w:r w:rsidRPr="00AE2EA6">
              <w:rPr>
                <w:color w:val="FFFFFF" w:themeColor="background1"/>
                <w:sz w:val="18"/>
              </w:rPr>
              <w:t>N/A</w:t>
            </w:r>
          </w:p>
        </w:tc>
      </w:tr>
      <w:tr w:rsidR="00231098" w:rsidRPr="00B340A7" w14:paraId="4CB8061E"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4622F5" w14:textId="1478B448" w:rsidR="00231098" w:rsidRPr="00231098" w:rsidRDefault="00231098" w:rsidP="00231098">
            <w:pPr>
              <w:pStyle w:val="Tableheading"/>
              <w:rPr>
                <w:color w:val="FFFFFF" w:themeColor="background1"/>
                <w:sz w:val="18"/>
              </w:rPr>
            </w:pPr>
            <w:r w:rsidRPr="00231098">
              <w:t>Small business tax offset</w:t>
            </w:r>
          </w:p>
        </w:tc>
      </w:tr>
      <w:tr w:rsidR="00231098" w:rsidRPr="00B340A7" w14:paraId="34B05FC4"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C02857" w14:textId="6CFF44B6" w:rsidR="00231098" w:rsidRPr="003A1122" w:rsidRDefault="00231098" w:rsidP="00231098">
            <w:pPr>
              <w:spacing w:before="60" w:after="60"/>
              <w:rPr>
                <w:rFonts w:eastAsia="Times New Roman"/>
                <w:sz w:val="17"/>
                <w:szCs w:val="17"/>
                <w:lang w:val="en-US"/>
              </w:rPr>
            </w:pPr>
            <w:r w:rsidRPr="003A1122">
              <w:rPr>
                <w:rFonts w:eastAsia="Times New Roman"/>
                <w:sz w:val="17"/>
                <w:szCs w:val="17"/>
                <w:lang w:val="en-US"/>
              </w:rPr>
              <w:t xml:space="preserve">Check whether the individual is entitled to the small business income tax offset </w:t>
            </w:r>
            <w:r>
              <w:rPr>
                <w:rFonts w:eastAsia="Times New Roman"/>
                <w:sz w:val="17"/>
                <w:szCs w:val="17"/>
                <w:lang w:val="en-US"/>
              </w:rPr>
              <w:t xml:space="preserve">for the year ended 30 June 2016 </w:t>
            </w:r>
            <w:r w:rsidRPr="003A1122">
              <w:rPr>
                <w:rFonts w:eastAsia="Times New Roman"/>
                <w:sz w:val="17"/>
                <w:szCs w:val="17"/>
                <w:lang w:val="en-US"/>
              </w:rPr>
              <w:t>being 5 per cent of the income tax payable on the portion of an individual’s taxable income that is their ‘total net small business income’. Th</w:t>
            </w:r>
            <w:r w:rsidRPr="00321755">
              <w:rPr>
                <w:rFonts w:eastAsia="Times New Roman"/>
                <w:sz w:val="17"/>
                <w:szCs w:val="17"/>
                <w:lang w:val="en-US"/>
              </w:rPr>
              <w:t>is</w:t>
            </w:r>
            <w:r w:rsidRPr="003A1122">
              <w:rPr>
                <w:rFonts w:eastAsia="Times New Roman"/>
                <w:sz w:val="17"/>
                <w:szCs w:val="17"/>
                <w:lang w:val="en-US"/>
              </w:rPr>
              <w:t xml:space="preserve"> offset is available to individuals who operate as a sole trader, and to individuals who are not a small business entity, but who are assessed on </w:t>
            </w:r>
            <w:r>
              <w:rPr>
                <w:rFonts w:eastAsia="Times New Roman"/>
                <w:sz w:val="17"/>
                <w:szCs w:val="17"/>
                <w:lang w:val="en-US"/>
              </w:rPr>
              <w:t xml:space="preserve">a share of </w:t>
            </w:r>
            <w:r w:rsidRPr="003A1122">
              <w:rPr>
                <w:rFonts w:eastAsia="Times New Roman"/>
                <w:sz w:val="17"/>
                <w:szCs w:val="17"/>
                <w:lang w:val="en-US"/>
              </w:rPr>
              <w:t xml:space="preserve">the income of a small business entity in that they are a partner in a partnership that is a small business entity or a beneficiary of a trust that is a small business entity. An individual is only able to claim one small business tax offset for an income year irrespective of the number of sources of small business income </w:t>
            </w:r>
            <w:r>
              <w:rPr>
                <w:rFonts w:eastAsia="Times New Roman"/>
                <w:sz w:val="17"/>
                <w:szCs w:val="17"/>
                <w:lang w:val="en-US"/>
              </w:rPr>
              <w:t>derived by that individual and the maximum amount of the offset is capped to $1,000 per year</w:t>
            </w:r>
            <w:r w:rsidRPr="003A1122">
              <w:rPr>
                <w:rFonts w:eastAsia="Times New Roman"/>
                <w:sz w:val="17"/>
                <w:szCs w:val="17"/>
                <w:lang w:val="en-US"/>
              </w:rPr>
              <w:t xml:space="preserve">. </w:t>
            </w:r>
          </w:p>
          <w:p w14:paraId="526ED860" w14:textId="37FE51DC" w:rsidR="00231098" w:rsidRPr="00231098" w:rsidRDefault="00231098" w:rsidP="00231098">
            <w:pPr>
              <w:spacing w:before="60" w:after="60"/>
              <w:rPr>
                <w:rFonts w:eastAsia="Times New Roman"/>
                <w:sz w:val="22"/>
                <w:szCs w:val="20"/>
                <w:lang w:val="en-US"/>
              </w:rPr>
            </w:pPr>
            <w:r w:rsidRPr="003A1122">
              <w:rPr>
                <w:b/>
                <w:sz w:val="14"/>
                <w:szCs w:val="14"/>
              </w:rPr>
              <w:t>Note</w:t>
            </w:r>
            <w:r w:rsidRPr="003A1122">
              <w:rPr>
                <w:sz w:val="14"/>
                <w:szCs w:val="14"/>
              </w:rPr>
              <w:t xml:space="preserve">: </w:t>
            </w:r>
            <w:r>
              <w:rPr>
                <w:sz w:val="14"/>
                <w:szCs w:val="14"/>
              </w:rPr>
              <w:t xml:space="preserve">it was proposed </w:t>
            </w:r>
            <w:proofErr w:type="gramStart"/>
            <w:r>
              <w:rPr>
                <w:sz w:val="14"/>
                <w:szCs w:val="14"/>
              </w:rPr>
              <w:t>in the 2016-17 Federal Budget</w:t>
            </w:r>
            <w:proofErr w:type="gramEnd"/>
            <w:r>
              <w:rPr>
                <w:sz w:val="14"/>
                <w:szCs w:val="14"/>
              </w:rPr>
              <w:t xml:space="preserve"> that the tax offset increase by 3% from 5% to 8% from 1 July 2016, and that the eligibility threshold enabling individuals with business income to access the tax offset would increase from a $2 million to $5 million aggregated turnover threshold from 1 July 2016. It was also proposed that the offset would be progressively increased to 16% by the year ended 30 June 2027.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6FAC40"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2FD0C4"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68CDEA" w14:textId="77777777" w:rsidR="00231098" w:rsidRPr="00AE2EA6" w:rsidRDefault="00231098" w:rsidP="002252BE">
            <w:pPr>
              <w:pStyle w:val="Tableheading"/>
              <w:jc w:val="center"/>
              <w:rPr>
                <w:color w:val="FFFFFF" w:themeColor="background1"/>
                <w:sz w:val="18"/>
              </w:rPr>
            </w:pPr>
          </w:p>
        </w:tc>
      </w:tr>
      <w:tr w:rsidR="00231098" w:rsidRPr="00B340A7" w14:paraId="0511D5DA"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F60459" w14:textId="431E0C04" w:rsidR="00231098" w:rsidRPr="00AE2EA6" w:rsidRDefault="00231098" w:rsidP="00231098">
            <w:pPr>
              <w:pStyle w:val="Tableheading"/>
              <w:rPr>
                <w:color w:val="FFFFFF" w:themeColor="background1"/>
                <w:sz w:val="18"/>
              </w:rPr>
            </w:pPr>
            <w:r>
              <w:t>Superannuation</w:t>
            </w:r>
          </w:p>
        </w:tc>
      </w:tr>
      <w:tr w:rsidR="00231098" w:rsidRPr="00B340A7" w14:paraId="7A582D5B"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D8BEE" w14:textId="77777777" w:rsidR="00231098" w:rsidRPr="00BA3646" w:rsidRDefault="00231098" w:rsidP="00C81733">
            <w:pPr>
              <w:pStyle w:val="Table"/>
              <w:ind w:right="-57"/>
            </w:pPr>
            <w:r w:rsidRPr="00BA3646">
              <w:t>Consider the superannuation employee contribution limits:</w:t>
            </w:r>
          </w:p>
          <w:p w14:paraId="388E0F5D" w14:textId="77777777" w:rsidR="00231098" w:rsidRDefault="00231098" w:rsidP="00C81733">
            <w:pPr>
              <w:pStyle w:val="TableBullet"/>
              <w:tabs>
                <w:tab w:val="clear" w:pos="567"/>
              </w:tabs>
            </w:pPr>
            <w:r w:rsidRPr="00BA3646">
              <w:t>the concessional contributions cap of $</w:t>
            </w:r>
            <w:r>
              <w:t>30</w:t>
            </w:r>
            <w:r w:rsidRPr="00BA3646">
              <w:t>,000 per year</w:t>
            </w:r>
            <w:r>
              <w:t xml:space="preserve"> (except for older Australians) </w:t>
            </w:r>
          </w:p>
          <w:p w14:paraId="3CF03DD3" w14:textId="77777777" w:rsidR="00231098" w:rsidRPr="00BA3646" w:rsidRDefault="00231098" w:rsidP="00C81733">
            <w:pPr>
              <w:pStyle w:val="TableBullet"/>
              <w:tabs>
                <w:tab w:val="clear" w:pos="567"/>
              </w:tabs>
            </w:pPr>
            <w:r>
              <w:t>the concessional contribution cap is $35,000 for individuals aged 49 or over on 30 June 2015</w:t>
            </w:r>
          </w:p>
          <w:p w14:paraId="678095BA" w14:textId="77777777" w:rsidR="00231098" w:rsidRDefault="00231098" w:rsidP="00C81733">
            <w:pPr>
              <w:pStyle w:val="TableBullet"/>
              <w:tabs>
                <w:tab w:val="clear" w:pos="567"/>
              </w:tabs>
            </w:pPr>
            <w:proofErr w:type="gramStart"/>
            <w:r w:rsidRPr="00BA3646">
              <w:t>the</w:t>
            </w:r>
            <w:proofErr w:type="gramEnd"/>
            <w:r w:rsidRPr="00BA3646">
              <w:t xml:space="preserve"> non-concessional contribution cap of $1</w:t>
            </w:r>
            <w:r>
              <w:t>8</w:t>
            </w:r>
            <w:r w:rsidRPr="00BA3646">
              <w:t>0,000 per year.</w:t>
            </w:r>
          </w:p>
          <w:p w14:paraId="460088B6" w14:textId="4AFCE4C0" w:rsidR="00231098" w:rsidRPr="00231098" w:rsidRDefault="00231098" w:rsidP="002252BE">
            <w:pPr>
              <w:pStyle w:val="Tableheading"/>
              <w:rPr>
                <w:b w:val="0"/>
                <w:color w:val="FFFFFF" w:themeColor="background1"/>
                <w:sz w:val="18"/>
              </w:rPr>
            </w:pPr>
            <w:r w:rsidRPr="00231098">
              <w:rPr>
                <w:sz w:val="14"/>
                <w:szCs w:val="14"/>
              </w:rPr>
              <w:t>Note:</w:t>
            </w:r>
            <w:r w:rsidRPr="00231098">
              <w:rPr>
                <w:b w:val="0"/>
                <w:sz w:val="14"/>
                <w:szCs w:val="14"/>
              </w:rPr>
              <w:t xml:space="preserve"> for tax planning purposes you may want to have regard to proposed changes to the caps on concessional and non-concessional contributions proposed </w:t>
            </w:r>
            <w:proofErr w:type="gramStart"/>
            <w:r w:rsidRPr="00231098">
              <w:rPr>
                <w:b w:val="0"/>
                <w:sz w:val="14"/>
                <w:szCs w:val="14"/>
              </w:rPr>
              <w:t>in the 2016-17 Federal Budget especially the $500,000 lifetime cap on non-concessional contributions which is proposed to apply from 3 May 2016</w:t>
            </w:r>
            <w:proofErr w:type="gramEnd"/>
            <w:r w:rsidRPr="00231098">
              <w:rPr>
                <w:b w:val="0"/>
                <w:sz w:val="14"/>
                <w:szCs w:val="14"/>
              </w:rPr>
              <w:t xml:space="preserve">.  </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8976F3"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A51108"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8B4810" w14:textId="77777777" w:rsidR="00231098" w:rsidRPr="00AE2EA6" w:rsidRDefault="00231098" w:rsidP="002252BE">
            <w:pPr>
              <w:pStyle w:val="Tableheading"/>
              <w:jc w:val="center"/>
              <w:rPr>
                <w:color w:val="FFFFFF" w:themeColor="background1"/>
                <w:sz w:val="18"/>
              </w:rPr>
            </w:pPr>
          </w:p>
        </w:tc>
      </w:tr>
      <w:tr w:rsidR="00231098" w:rsidRPr="00B340A7" w14:paraId="76B3B581"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F578A0" w14:textId="0F6DC3A3" w:rsidR="00231098" w:rsidRPr="00231098" w:rsidRDefault="00231098" w:rsidP="002252BE">
            <w:pPr>
              <w:pStyle w:val="Tableheading"/>
              <w:rPr>
                <w:b w:val="0"/>
                <w:color w:val="FFFFFF" w:themeColor="background1"/>
                <w:sz w:val="18"/>
              </w:rPr>
            </w:pPr>
            <w:r w:rsidRPr="00231098">
              <w:rPr>
                <w:b w:val="0"/>
              </w:rPr>
              <w:t>Check whether the taxpayer is entitled to the Federal Government co-contribution for personal after-tax contributions made up to $500.</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216E36"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DF086"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11587" w14:textId="77777777" w:rsidR="00231098" w:rsidRPr="00AE2EA6" w:rsidRDefault="00231098" w:rsidP="002252BE">
            <w:pPr>
              <w:pStyle w:val="Tableheading"/>
              <w:jc w:val="center"/>
              <w:rPr>
                <w:color w:val="FFFFFF" w:themeColor="background1"/>
                <w:sz w:val="18"/>
              </w:rPr>
            </w:pPr>
          </w:p>
        </w:tc>
      </w:tr>
      <w:tr w:rsidR="00231098" w:rsidRPr="00B340A7" w14:paraId="6A8D2349"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613723" w14:textId="5E09C603" w:rsidR="00231098" w:rsidRPr="00AE2EA6" w:rsidRDefault="00231098" w:rsidP="00231098">
            <w:pPr>
              <w:pStyle w:val="Tableheading"/>
              <w:rPr>
                <w:color w:val="FFFFFF" w:themeColor="background1"/>
                <w:sz w:val="18"/>
              </w:rPr>
            </w:pPr>
            <w:r>
              <w:t>Luxury cars</w:t>
            </w:r>
          </w:p>
        </w:tc>
      </w:tr>
      <w:tr w:rsidR="00231098" w:rsidRPr="00B340A7" w14:paraId="0284ECDA"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BA39D1" w14:textId="389E923A" w:rsidR="00231098" w:rsidRPr="00231098" w:rsidRDefault="00231098" w:rsidP="002252BE">
            <w:pPr>
              <w:pStyle w:val="Tableheading"/>
              <w:rPr>
                <w:b w:val="0"/>
                <w:color w:val="FFFFFF" w:themeColor="background1"/>
                <w:sz w:val="18"/>
              </w:rPr>
            </w:pPr>
            <w:r w:rsidRPr="00231098">
              <w:rPr>
                <w:b w:val="0"/>
              </w:rPr>
              <w:t>Check whether the taxpayer is intending to purchase a luxury car (i.e. acquisition cost greater than $57,466). If so, ensure that the depreciation claimed is based on an acquisition cost not exceeding $57,466 rather than its actual cost.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48F18C"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773E8"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D66245" w14:textId="77777777" w:rsidR="00231098" w:rsidRPr="00AE2EA6" w:rsidRDefault="00231098" w:rsidP="002252BE">
            <w:pPr>
              <w:pStyle w:val="Tableheading"/>
              <w:jc w:val="center"/>
              <w:rPr>
                <w:color w:val="FFFFFF" w:themeColor="background1"/>
                <w:sz w:val="18"/>
              </w:rPr>
            </w:pPr>
          </w:p>
        </w:tc>
      </w:tr>
      <w:tr w:rsidR="00231098" w:rsidRPr="00B340A7" w14:paraId="5D3A6ACF"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638ED6" w14:textId="365C86D3" w:rsidR="00231098" w:rsidRPr="00231098" w:rsidRDefault="00231098" w:rsidP="002252BE">
            <w:pPr>
              <w:pStyle w:val="Tableheading"/>
              <w:rPr>
                <w:b w:val="0"/>
                <w:color w:val="FFFFFF" w:themeColor="background1"/>
                <w:sz w:val="18"/>
              </w:rPr>
            </w:pPr>
            <w:r w:rsidRPr="00231098">
              <w:rPr>
                <w:b w:val="0"/>
              </w:rPr>
              <w:t>Check whether the taxpayer is intending to lease a luxury car. If so, ensure that the taxpayer does not claim the lease payment but rather works out a notional interest and depreciation deduction based on the notional acquisition cost.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6B8D1E"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11AEE2" w14:textId="77777777" w:rsidR="00231098" w:rsidRPr="00AE2EA6" w:rsidRDefault="00231098" w:rsidP="002252BE">
            <w:pPr>
              <w:pStyle w:val="Tableheading"/>
              <w:jc w:val="center"/>
              <w:rPr>
                <w:color w:val="FFFFFF" w:themeColor="background1"/>
                <w:sz w:val="18"/>
              </w:rP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EFF07" w14:textId="77777777" w:rsidR="00231098" w:rsidRPr="00AE2EA6" w:rsidRDefault="00231098" w:rsidP="002252BE">
            <w:pPr>
              <w:pStyle w:val="Tableheading"/>
              <w:jc w:val="center"/>
              <w:rPr>
                <w:color w:val="FFFFFF" w:themeColor="background1"/>
                <w:sz w:val="18"/>
              </w:rPr>
            </w:pPr>
          </w:p>
        </w:tc>
      </w:tr>
      <w:tr w:rsidR="00231098" w:rsidRPr="00B340A7" w14:paraId="7E2077A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86F3A68" w14:textId="77777777" w:rsidR="00231098" w:rsidRPr="00B340A7" w:rsidRDefault="00231098" w:rsidP="007C6148">
            <w:pPr>
              <w:pStyle w:val="Tableheading"/>
            </w:pPr>
            <w:r>
              <w:t>Non-commercial losses</w:t>
            </w:r>
          </w:p>
        </w:tc>
      </w:tr>
      <w:tr w:rsidR="00231098" w14:paraId="52C64882" w14:textId="77777777" w:rsidTr="003304B6">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B4AA3" w14:textId="77777777" w:rsidR="00231098" w:rsidRDefault="00231098" w:rsidP="00C53128">
            <w:pPr>
              <w:pStyle w:val="Table"/>
              <w:ind w:right="-57"/>
            </w:pPr>
            <w:r>
              <w:t>I</w:t>
            </w:r>
            <w:r w:rsidRPr="00C53128">
              <w:t xml:space="preserve">f the taxpayer satisfies </w:t>
            </w:r>
            <w:r>
              <w:t>the non-commercial loss</w:t>
            </w:r>
            <w:r w:rsidRPr="00C53128">
              <w:t xml:space="preserve"> tests</w:t>
            </w:r>
            <w:r>
              <w:t xml:space="preserve"> (i.e. t</w:t>
            </w:r>
            <w:r w:rsidRPr="00BA3646">
              <w:t xml:space="preserve">he real property test, </w:t>
            </w:r>
            <w:r>
              <w:t xml:space="preserve">the </w:t>
            </w:r>
            <w:r w:rsidRPr="00BA3646">
              <w:t>profits test, other assets test or the assessable income test</w:t>
            </w:r>
            <w:r>
              <w:t>)</w:t>
            </w:r>
            <w:r w:rsidRPr="00C53128">
              <w:t xml:space="preserve"> losses from conducting certain business activities </w:t>
            </w:r>
            <w:r>
              <w:t>will be able to be</w:t>
            </w:r>
            <w:r w:rsidRPr="00C53128">
              <w:t xml:space="preserve"> offset</w:t>
            </w:r>
            <w:r>
              <w:t xml:space="preserve"> </w:t>
            </w:r>
            <w:r w:rsidRPr="00C53128">
              <w:t>against other income.</w:t>
            </w:r>
            <w:r>
              <w:t xml:space="preserve"> If these tests are failed (and the Commissioner does not exercise a discretion) such losses must be quarantined and carried forward</w:t>
            </w:r>
          </w:p>
          <w:p w14:paraId="3435CC52" w14:textId="77777777" w:rsidR="00231098" w:rsidRDefault="00231098" w:rsidP="008E54EE">
            <w:pPr>
              <w:pStyle w:val="Table"/>
              <w:ind w:right="-57"/>
            </w:pPr>
            <w:r w:rsidRPr="00BA3646">
              <w:t xml:space="preserve">Only </w:t>
            </w:r>
            <w:r w:rsidRPr="00EA6EC3">
              <w:t xml:space="preserve">taxpayers with adjusted taxable income </w:t>
            </w:r>
            <w:r>
              <w:t xml:space="preserve">of </w:t>
            </w:r>
            <w:r w:rsidRPr="00EA6EC3">
              <w:t>less than $250,000</w:t>
            </w:r>
            <w:r>
              <w:t xml:space="preserve"> will be able to apply the non-commercial loss tests against salary and wages income. </w:t>
            </w:r>
            <w:r w:rsidRPr="00BA3646">
              <w:t>Taxpayers with adjusted taxable income</w:t>
            </w:r>
            <w:r w:rsidRPr="00EA6EC3">
              <w:t xml:space="preserve"> greater than $250,000 </w:t>
            </w:r>
            <w:r>
              <w:t>must seek</w:t>
            </w:r>
            <w:r w:rsidRPr="00BA3646">
              <w:t xml:space="preserve"> the Commissioner’s discretion to be able to offset such losses against their other income</w:t>
            </w:r>
            <w:r>
              <w:t>, or must only apply such losses against income derived from the same business activity</w:t>
            </w:r>
            <w:r w:rsidRPr="00BA3646">
              <w:t>.</w:t>
            </w:r>
          </w:p>
          <w:p w14:paraId="668B2A8D" w14:textId="20DE538A" w:rsidR="00231098" w:rsidRDefault="00231098" w:rsidP="00792BE5">
            <w:pPr>
              <w:pStyle w:val="Table"/>
              <w:ind w:right="-57"/>
            </w:pPr>
            <w:r w:rsidRPr="003A1122">
              <w:rPr>
                <w:b/>
                <w:sz w:val="14"/>
                <w:szCs w:val="14"/>
              </w:rPr>
              <w:t>Note</w:t>
            </w:r>
            <w:r w:rsidRPr="003A1122">
              <w:rPr>
                <w:sz w:val="14"/>
                <w:szCs w:val="14"/>
              </w:rPr>
              <w:t>:</w:t>
            </w:r>
            <w:r>
              <w:rPr>
                <w:sz w:val="14"/>
                <w:szCs w:val="14"/>
              </w:rPr>
              <w:t xml:space="preserve"> adjusted taxable income is the total of the taxpayer’s taxable income, total reportable fringe benefits, reportable superannuation contributions and total net investment losses.</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C4D2D" w14:textId="77777777" w:rsidR="00231098" w:rsidRDefault="00231098" w:rsidP="002252BE">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964AF" w14:textId="77777777" w:rsidR="00231098" w:rsidRDefault="00231098" w:rsidP="002252BE">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83CEE" w14:textId="77777777" w:rsidR="00231098" w:rsidRDefault="00231098" w:rsidP="002252BE">
            <w:pPr>
              <w:pStyle w:val="Table"/>
              <w:jc w:val="center"/>
            </w:pPr>
          </w:p>
        </w:tc>
      </w:tr>
      <w:tr w:rsidR="00231098" w:rsidRPr="00AF24CF" w14:paraId="59B7AA05" w14:textId="77777777" w:rsidTr="003304B6">
        <w:tc>
          <w:tcPr>
            <w:tcW w:w="5000" w:type="pct"/>
            <w:gridSpan w:val="4"/>
            <w:tcBorders>
              <w:top w:val="single" w:sz="4" w:space="0" w:color="808080" w:themeColor="background1" w:themeShade="80"/>
              <w:bottom w:val="single" w:sz="4" w:space="0" w:color="939598"/>
            </w:tcBorders>
          </w:tcPr>
          <w:p w14:paraId="1BD87919" w14:textId="77777777" w:rsidR="00231098" w:rsidRDefault="00231098" w:rsidP="002252BE">
            <w:pPr>
              <w:pStyle w:val="Tableheading"/>
            </w:pPr>
            <w:r>
              <w:t>Comments:</w:t>
            </w:r>
          </w:p>
          <w:p w14:paraId="5AAA6DB3" w14:textId="77777777" w:rsidR="00231098" w:rsidRDefault="00231098" w:rsidP="002252BE">
            <w:pPr>
              <w:pStyle w:val="Tableheading"/>
            </w:pPr>
          </w:p>
          <w:p w14:paraId="573F6004" w14:textId="77777777" w:rsidR="00231098" w:rsidRDefault="00231098" w:rsidP="002252BE">
            <w:pPr>
              <w:pStyle w:val="Tableheading"/>
            </w:pPr>
          </w:p>
          <w:p w14:paraId="35535A30" w14:textId="6FC87FE8" w:rsidR="00231098" w:rsidRPr="00AF24CF" w:rsidRDefault="00231098" w:rsidP="002252BE">
            <w:pPr>
              <w:pStyle w:val="Tableheading"/>
            </w:pPr>
          </w:p>
        </w:tc>
      </w:tr>
    </w:tbl>
    <w:p w14:paraId="76025FB3" w14:textId="77777777" w:rsidR="0040635C" w:rsidRDefault="0040635C" w:rsidP="00C53128">
      <w:pPr>
        <w:pStyle w:val="Bet"/>
        <w:spacing w:before="0" w:after="0"/>
        <w:ind w:left="-125" w:right="-119"/>
        <w:rPr>
          <w:sz w:val="6"/>
        </w:rPr>
      </w:pPr>
    </w:p>
    <w:p w14:paraId="541E46B8" w14:textId="77777777" w:rsidR="00D06BF0" w:rsidRDefault="00D06BF0" w:rsidP="00C53128">
      <w:pPr>
        <w:pStyle w:val="Bet"/>
        <w:spacing w:before="0" w:after="0"/>
        <w:ind w:left="-125" w:right="-119"/>
        <w:rPr>
          <w:sz w:val="6"/>
        </w:rPr>
      </w:pPr>
    </w:p>
    <w:p w14:paraId="288BE1E1" w14:textId="00BB4EBB" w:rsidR="00B0353F" w:rsidRDefault="00B0353F">
      <w:pPr>
        <w:rPr>
          <w:i/>
          <w:color w:val="000000"/>
          <w:sz w:val="6"/>
          <w:szCs w:val="17"/>
        </w:rPr>
      </w:pPr>
      <w:r>
        <w:rPr>
          <w:sz w:val="6"/>
        </w:rPr>
        <w:br w:type="page"/>
      </w:r>
    </w:p>
    <w:p w14:paraId="2CC81C39" w14:textId="77777777" w:rsidR="00367616" w:rsidRPr="004816EF" w:rsidRDefault="00367616" w:rsidP="00C53128">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37"/>
        <w:gridCol w:w="705"/>
        <w:gridCol w:w="10"/>
        <w:gridCol w:w="748"/>
      </w:tblGrid>
      <w:tr w:rsidR="00367616" w:rsidRPr="000A401A" w14:paraId="53B90409"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196530D5" w14:textId="77777777" w:rsidR="00367616" w:rsidRPr="00AE2EA6" w:rsidRDefault="00367616" w:rsidP="002252BE">
            <w:pPr>
              <w:pStyle w:val="Tableheading"/>
              <w:rPr>
                <w:color w:val="FFFFFF" w:themeColor="background1"/>
                <w:sz w:val="18"/>
              </w:rPr>
            </w:pPr>
            <w:r w:rsidRPr="00AE2EA6">
              <w:rPr>
                <w:color w:val="FFFFFF" w:themeColor="background1"/>
                <w:sz w:val="18"/>
              </w:rPr>
              <w:t>Trusts</w:t>
            </w:r>
          </w:p>
        </w:tc>
        <w:tc>
          <w:tcPr>
            <w:tcW w:w="367"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5A0F28C7" w14:textId="77777777" w:rsidR="00367616" w:rsidRPr="00AE2EA6" w:rsidRDefault="00367616" w:rsidP="002252BE">
            <w:pPr>
              <w:pStyle w:val="Tableheading"/>
              <w:jc w:val="center"/>
              <w:rPr>
                <w:color w:val="FFFFFF" w:themeColor="background1"/>
                <w:sz w:val="18"/>
              </w:rPr>
            </w:pPr>
            <w:r w:rsidRPr="00AE2EA6">
              <w:rPr>
                <w:color w:val="FFFFFF" w:themeColor="background1"/>
                <w:sz w:val="18"/>
              </w:rPr>
              <w:t>Yes</w:t>
            </w:r>
          </w:p>
        </w:tc>
        <w:tc>
          <w:tcPr>
            <w:tcW w:w="365" w:type="pct"/>
            <w:gridSpan w:val="3"/>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129C4C7D" w14:textId="77777777" w:rsidR="00367616" w:rsidRPr="00AE2EA6" w:rsidRDefault="00367616" w:rsidP="002252BE">
            <w:pPr>
              <w:pStyle w:val="Tableheading"/>
              <w:jc w:val="center"/>
              <w:rPr>
                <w:color w:val="FFFFFF" w:themeColor="background1"/>
                <w:sz w:val="18"/>
              </w:rPr>
            </w:pPr>
            <w:r w:rsidRPr="00AE2EA6">
              <w:rPr>
                <w:color w:val="FFFFFF" w:themeColor="background1"/>
                <w:sz w:val="18"/>
              </w:rPr>
              <w:t>No</w:t>
            </w:r>
          </w:p>
        </w:tc>
        <w:tc>
          <w:tcPr>
            <w:tcW w:w="363" w:type="pct"/>
            <w:tcBorders>
              <w:top w:val="single" w:sz="4" w:space="0" w:color="939598"/>
              <w:left w:val="single" w:sz="4" w:space="0" w:color="939598"/>
              <w:bottom w:val="single" w:sz="4" w:space="0" w:color="808080" w:themeColor="background1" w:themeShade="80"/>
            </w:tcBorders>
            <w:shd w:val="clear" w:color="auto" w:fill="051C3C"/>
          </w:tcPr>
          <w:p w14:paraId="112F03FF" w14:textId="77777777" w:rsidR="00367616" w:rsidRPr="00AE2EA6" w:rsidRDefault="00367616" w:rsidP="002252BE">
            <w:pPr>
              <w:pStyle w:val="Tableheading"/>
              <w:jc w:val="center"/>
              <w:rPr>
                <w:color w:val="FFFFFF" w:themeColor="background1"/>
                <w:sz w:val="18"/>
              </w:rPr>
            </w:pPr>
            <w:r w:rsidRPr="00AE2EA6">
              <w:rPr>
                <w:color w:val="FFFFFF" w:themeColor="background1"/>
                <w:sz w:val="18"/>
              </w:rPr>
              <w:t>N/A</w:t>
            </w:r>
          </w:p>
        </w:tc>
      </w:tr>
      <w:tr w:rsidR="007C6148" w:rsidRPr="00B340A7" w14:paraId="5A45F761"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DCA229" w14:textId="77777777" w:rsidR="007C6148" w:rsidRPr="00B340A7" w:rsidRDefault="007C6148" w:rsidP="007C6148">
            <w:pPr>
              <w:pStyle w:val="Tableheading"/>
            </w:pPr>
            <w:r>
              <w:t>Trust distributions</w:t>
            </w:r>
          </w:p>
        </w:tc>
      </w:tr>
      <w:tr w:rsidR="00367616" w14:paraId="72588FC8"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9302113" w14:textId="77777777" w:rsidR="00367616" w:rsidRDefault="00367616" w:rsidP="002252BE">
            <w:pPr>
              <w:pStyle w:val="Table"/>
              <w:ind w:right="-57"/>
            </w:pPr>
            <w:r w:rsidRPr="00C53128">
              <w:t>Does the trust deed allow the trustee to stream franked dividends and capital gains?</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5671B1C3" w14:textId="77777777" w:rsidR="00367616" w:rsidRDefault="00367616" w:rsidP="002252BE">
            <w:pPr>
              <w:pStyle w:val="Table"/>
              <w:jc w:val="center"/>
            </w:pPr>
          </w:p>
        </w:tc>
        <w:tc>
          <w:tcPr>
            <w:tcW w:w="365" w:type="pct"/>
            <w:gridSpan w:val="3"/>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2BD7A34" w14:textId="77777777" w:rsidR="00367616" w:rsidRDefault="00367616" w:rsidP="002252BE">
            <w:pPr>
              <w:pStyle w:val="Table"/>
              <w:jc w:val="center"/>
            </w:pPr>
          </w:p>
        </w:tc>
        <w:tc>
          <w:tcPr>
            <w:tcW w:w="363" w:type="pct"/>
            <w:tcBorders>
              <w:top w:val="single" w:sz="4" w:space="0" w:color="939598"/>
              <w:left w:val="single" w:sz="4" w:space="0" w:color="808080" w:themeColor="background1" w:themeShade="80"/>
              <w:bottom w:val="single" w:sz="4" w:space="0" w:color="939598"/>
            </w:tcBorders>
          </w:tcPr>
          <w:p w14:paraId="1A05FA1B" w14:textId="77777777" w:rsidR="00367616" w:rsidRDefault="00367616" w:rsidP="002252BE">
            <w:pPr>
              <w:pStyle w:val="Table"/>
              <w:jc w:val="center"/>
            </w:pPr>
          </w:p>
        </w:tc>
      </w:tr>
      <w:tr w:rsidR="00367616" w14:paraId="6B4577DC"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4A90F1C7" w14:textId="1CD7CDC8" w:rsidR="00367616" w:rsidRPr="00C53128" w:rsidRDefault="00367616" w:rsidP="000820B3">
            <w:pPr>
              <w:pStyle w:val="Table"/>
              <w:ind w:right="-57"/>
            </w:pPr>
            <w:r w:rsidRPr="00C53128">
              <w:t xml:space="preserve">Where the trustee has the power to stream </w:t>
            </w:r>
            <w:r w:rsidR="000820B3">
              <w:t xml:space="preserve">franked dividends and </w:t>
            </w:r>
            <w:proofErr w:type="gramStart"/>
            <w:r w:rsidR="000820B3">
              <w:t xml:space="preserve">capital gains </w:t>
            </w:r>
            <w:r w:rsidRPr="00C53128">
              <w:t>has</w:t>
            </w:r>
            <w:proofErr w:type="gramEnd"/>
            <w:r w:rsidRPr="00C53128">
              <w:t xml:space="preserve"> the trustee’s exercise of this power been</w:t>
            </w:r>
            <w:r>
              <w:t xml:space="preserve"> </w:t>
            </w:r>
            <w:r w:rsidRPr="00C53128">
              <w:t>evidenced in a trustee resolution?</w:t>
            </w:r>
            <w:r w:rsidR="000820B3">
              <w:t xml:space="preserv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35983E87" w14:textId="77777777" w:rsidR="00367616" w:rsidRDefault="00367616" w:rsidP="002252BE">
            <w:pPr>
              <w:pStyle w:val="Table"/>
              <w:jc w:val="center"/>
            </w:pPr>
          </w:p>
        </w:tc>
        <w:tc>
          <w:tcPr>
            <w:tcW w:w="365" w:type="pct"/>
            <w:gridSpan w:val="3"/>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2CA395B7" w14:textId="77777777" w:rsidR="00367616" w:rsidRDefault="00367616" w:rsidP="002252BE">
            <w:pPr>
              <w:pStyle w:val="Table"/>
              <w:jc w:val="center"/>
            </w:pPr>
          </w:p>
        </w:tc>
        <w:tc>
          <w:tcPr>
            <w:tcW w:w="363" w:type="pct"/>
            <w:tcBorders>
              <w:top w:val="single" w:sz="4" w:space="0" w:color="939598"/>
              <w:left w:val="single" w:sz="4" w:space="0" w:color="808080" w:themeColor="background1" w:themeShade="80"/>
              <w:bottom w:val="single" w:sz="4" w:space="0" w:color="939598"/>
            </w:tcBorders>
          </w:tcPr>
          <w:p w14:paraId="1AB34AB3" w14:textId="77777777" w:rsidR="00367616" w:rsidRDefault="00367616" w:rsidP="002252BE">
            <w:pPr>
              <w:pStyle w:val="Table"/>
              <w:jc w:val="center"/>
            </w:pPr>
          </w:p>
        </w:tc>
      </w:tr>
      <w:tr w:rsidR="00367616" w14:paraId="5CCC5BAA"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tcPr>
          <w:p w14:paraId="63143406" w14:textId="77777777" w:rsidR="00367616" w:rsidRPr="00C53128" w:rsidRDefault="00367616" w:rsidP="00C53128">
            <w:pPr>
              <w:pStyle w:val="Table"/>
              <w:ind w:right="-57"/>
            </w:pPr>
            <w:r w:rsidRPr="00C53128">
              <w:t>Where the trustee has the power to stream</w:t>
            </w:r>
            <w:r w:rsidR="0026206D">
              <w:t>,</w:t>
            </w:r>
            <w:r w:rsidRPr="00C53128">
              <w:t xml:space="preserve"> and this is evidenced by resolution</w:t>
            </w:r>
            <w:r w:rsidR="0026206D">
              <w:t>,</w:t>
            </w:r>
            <w:r w:rsidRPr="00C53128">
              <w:t xml:space="preserve"> have trust funds been</w:t>
            </w:r>
            <w:r>
              <w:t xml:space="preserve"> </w:t>
            </w:r>
            <w:r w:rsidRPr="00C53128">
              <w:t>distributed optimally? Consider the tax status of the beneficiaries:</w:t>
            </w:r>
          </w:p>
          <w:p w14:paraId="191CA2D3" w14:textId="77777777" w:rsidR="00367616" w:rsidRPr="00C53128" w:rsidRDefault="00367616" w:rsidP="007C2D15">
            <w:pPr>
              <w:pStyle w:val="TableBullet"/>
            </w:pPr>
            <w:r w:rsidRPr="00C53128">
              <w:t>franked dividends should then be distributed to low-taxed Australian residents as the excess</w:t>
            </w:r>
            <w:r>
              <w:t xml:space="preserve"> </w:t>
            </w:r>
            <w:r w:rsidRPr="00C53128">
              <w:t>franking credits (for company tax paid at 30%) are available to reduce tax payable on other</w:t>
            </w:r>
            <w:r>
              <w:t xml:space="preserve"> </w:t>
            </w:r>
            <w:r w:rsidRPr="00C53128">
              <w:t>income derived by individual taxpayers</w:t>
            </w:r>
          </w:p>
          <w:p w14:paraId="7A9F278E" w14:textId="77777777" w:rsidR="00367616" w:rsidRPr="00C53128" w:rsidRDefault="00367616" w:rsidP="007C2D15">
            <w:pPr>
              <w:pStyle w:val="TableBullet"/>
            </w:pPr>
            <w:r w:rsidRPr="00C53128">
              <w:t>foreign income and Australian interest should be distributed to foreign residents who are not</w:t>
            </w:r>
            <w:r>
              <w:t xml:space="preserve"> </w:t>
            </w:r>
            <w:r w:rsidRPr="00C53128">
              <w:t>taxed on foreign income or Australian interest income (Australian</w:t>
            </w:r>
            <w:r w:rsidR="001A499B">
              <w:t xml:space="preserve"> sourced</w:t>
            </w:r>
            <w:r w:rsidRPr="00C53128">
              <w:t xml:space="preserve"> interest </w:t>
            </w:r>
            <w:r w:rsidR="001A499B">
              <w:t xml:space="preserve">income </w:t>
            </w:r>
            <w:r w:rsidRPr="00C53128">
              <w:t>is subject to 10%</w:t>
            </w:r>
            <w:r>
              <w:t xml:space="preserve"> </w:t>
            </w:r>
            <w:r w:rsidRPr="00C53128">
              <w:t xml:space="preserve">withholding </w:t>
            </w:r>
            <w:r w:rsidR="001A499B">
              <w:t>tax</w:t>
            </w:r>
            <w:r w:rsidRPr="00C53128">
              <w:t>)</w:t>
            </w:r>
          </w:p>
          <w:p w14:paraId="46BD678D" w14:textId="77777777" w:rsidR="00367616" w:rsidRPr="00C53128" w:rsidRDefault="00367616" w:rsidP="007C2D15">
            <w:pPr>
              <w:pStyle w:val="TableBullet"/>
            </w:pPr>
            <w:r w:rsidRPr="00C53128">
              <w:t>franked dividends distributed to company beneficiaries will not generally suffer further tax</w:t>
            </w:r>
          </w:p>
          <w:p w14:paraId="6B3A5487" w14:textId="77777777" w:rsidR="00367616" w:rsidRDefault="00367616" w:rsidP="007C2D15">
            <w:pPr>
              <w:pStyle w:val="TableBullet"/>
            </w:pPr>
            <w:r w:rsidRPr="00C53128">
              <w:t>companies</w:t>
            </w:r>
            <w:r w:rsidR="0026206D">
              <w:t xml:space="preserve"> </w:t>
            </w:r>
            <w:r w:rsidRPr="00C53128">
              <w:t>do not have access to the CGT discount and are not an efficient vehicle for capital</w:t>
            </w:r>
            <w:r>
              <w:t xml:space="preserve"> </w:t>
            </w:r>
            <w:r w:rsidR="00D06BF0">
              <w:t>gain distributions</w:t>
            </w:r>
          </w:p>
          <w:p w14:paraId="37C9A3BF" w14:textId="77777777" w:rsidR="00A042D1" w:rsidRDefault="00A042D1" w:rsidP="007C2D15">
            <w:pPr>
              <w:pStyle w:val="TableBullet"/>
            </w:pPr>
            <w:proofErr w:type="gramStart"/>
            <w:r>
              <w:t>foreign</w:t>
            </w:r>
            <w:proofErr w:type="gramEnd"/>
            <w:r>
              <w:t xml:space="preserve"> residents do not have access to the CGT </w:t>
            </w:r>
            <w:r w:rsidR="001A499B">
              <w:t>d</w:t>
            </w:r>
            <w:r>
              <w:t>iscount for capital gains that accrue on or after 8 May 2012</w:t>
            </w:r>
            <w:r w:rsidR="00D06BF0">
              <w:t>.</w:t>
            </w:r>
          </w:p>
          <w:p w14:paraId="4D9BB505" w14:textId="75B5C327" w:rsidR="003F4489" w:rsidRPr="009F0C8F" w:rsidRDefault="00367616" w:rsidP="005C3424">
            <w:pPr>
              <w:spacing w:before="60" w:after="60"/>
              <w:rPr>
                <w:rFonts w:cs="Arial"/>
                <w:sz w:val="14"/>
                <w:szCs w:val="14"/>
              </w:rPr>
            </w:pPr>
            <w:r w:rsidRPr="009F0C8F">
              <w:rPr>
                <w:color w:val="000000"/>
                <w:sz w:val="14"/>
                <w:szCs w:val="14"/>
              </w:rPr>
              <w:t>For further information and guidance in relation to the streaming of capital gains and franked distributions please refer to CPA Australia</w:t>
            </w:r>
            <w:r w:rsidR="004A1198" w:rsidRPr="009F0C8F">
              <w:rPr>
                <w:color w:val="000000"/>
                <w:sz w:val="14"/>
                <w:szCs w:val="14"/>
              </w:rPr>
              <w:t>’s</w:t>
            </w:r>
            <w:r w:rsidRPr="009F0C8F">
              <w:rPr>
                <w:color w:val="000000"/>
                <w:sz w:val="14"/>
                <w:szCs w:val="14"/>
              </w:rPr>
              <w:t xml:space="preserve"> </w:t>
            </w:r>
            <w:r w:rsidRPr="009F0C8F">
              <w:rPr>
                <w:i/>
                <w:color w:val="000000"/>
                <w:sz w:val="14"/>
                <w:szCs w:val="14"/>
              </w:rPr>
              <w:t>Trust</w:t>
            </w:r>
            <w:r w:rsidRPr="009F0C8F">
              <w:rPr>
                <w:color w:val="000000"/>
                <w:sz w:val="14"/>
                <w:szCs w:val="14"/>
              </w:rPr>
              <w:t xml:space="preserve"> </w:t>
            </w:r>
            <w:r w:rsidR="004A1198" w:rsidRPr="009F0C8F">
              <w:rPr>
                <w:i/>
                <w:color w:val="000000"/>
                <w:sz w:val="14"/>
                <w:szCs w:val="14"/>
              </w:rPr>
              <w:t>Streaming Manual</w:t>
            </w:r>
            <w:r w:rsidR="00A47993" w:rsidRPr="009F0C8F">
              <w:rPr>
                <w:color w:val="000000"/>
                <w:sz w:val="14"/>
                <w:szCs w:val="14"/>
              </w:rPr>
              <w:t xml:space="preserve"> </w:t>
            </w:r>
            <w:r w:rsidR="005C3424">
              <w:rPr>
                <w:color w:val="000000"/>
                <w:sz w:val="14"/>
                <w:szCs w:val="14"/>
              </w:rPr>
              <w:t xml:space="preserve">at </w:t>
            </w:r>
            <w:hyperlink r:id="rId13" w:history="1">
              <w:r w:rsidR="005C3424" w:rsidRPr="002A7D58">
                <w:rPr>
                  <w:rStyle w:val="Hyperlink"/>
                  <w:rFonts w:cs="Arial"/>
                  <w:sz w:val="14"/>
                  <w:szCs w:val="14"/>
                </w:rPr>
                <w:t>https://www.cpaaustralia.com.au/professional-resources/taxation/trusts</w:t>
              </w:r>
            </w:hyperlink>
            <w:r w:rsidR="005C3424">
              <w:rPr>
                <w:rFonts w:cs="Arial"/>
                <w:sz w:val="14"/>
                <w:szCs w:val="14"/>
              </w:rPr>
              <w:t xml:space="preserv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tcPr>
          <w:p w14:paraId="697C6A77" w14:textId="77777777" w:rsidR="00367616" w:rsidRDefault="00367616" w:rsidP="002252BE">
            <w:pPr>
              <w:pStyle w:val="Table"/>
              <w:jc w:val="center"/>
            </w:pPr>
          </w:p>
        </w:tc>
        <w:tc>
          <w:tcPr>
            <w:tcW w:w="365" w:type="pct"/>
            <w:gridSpan w:val="3"/>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tcPr>
          <w:p w14:paraId="650D356A" w14:textId="77777777" w:rsidR="00367616" w:rsidRDefault="00367616" w:rsidP="002252BE">
            <w:pPr>
              <w:pStyle w:val="Table"/>
              <w:jc w:val="center"/>
            </w:pPr>
          </w:p>
        </w:tc>
        <w:tc>
          <w:tcPr>
            <w:tcW w:w="363" w:type="pct"/>
            <w:tcBorders>
              <w:top w:val="single" w:sz="4" w:space="0" w:color="939598"/>
              <w:left w:val="single" w:sz="4" w:space="0" w:color="808080" w:themeColor="background1" w:themeShade="80"/>
              <w:bottom w:val="single" w:sz="4" w:space="0" w:color="808080" w:themeColor="background1" w:themeShade="80"/>
            </w:tcBorders>
          </w:tcPr>
          <w:p w14:paraId="46C709B6" w14:textId="77777777" w:rsidR="00367616" w:rsidRDefault="00367616" w:rsidP="002252BE">
            <w:pPr>
              <w:pStyle w:val="Table"/>
              <w:jc w:val="center"/>
            </w:pPr>
          </w:p>
        </w:tc>
      </w:tr>
      <w:tr w:rsidR="007A76B2" w14:paraId="540D97CD"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56CB7" w14:textId="77777777" w:rsidR="007A76B2" w:rsidRDefault="007A76B2" w:rsidP="00C53128">
            <w:pPr>
              <w:pStyle w:val="Table"/>
              <w:ind w:right="-57"/>
            </w:pPr>
            <w:r w:rsidRPr="00C53128">
              <w:t>Review the trust deed of the trust estate to ensure that the relevant beneficiaries are being made entitled</w:t>
            </w:r>
            <w:r>
              <w:t xml:space="preserve"> </w:t>
            </w:r>
            <w:r w:rsidRPr="00C53128">
              <w:t>to the appropriate amount of trust capital and trust income.</w:t>
            </w:r>
          </w:p>
          <w:p w14:paraId="4A8867CB" w14:textId="1DFE311F" w:rsidR="007A76B2" w:rsidRPr="009F0C8F" w:rsidRDefault="007A76B2" w:rsidP="00D06BF0">
            <w:pPr>
              <w:spacing w:before="60" w:after="60"/>
              <w:rPr>
                <w:color w:val="000000"/>
                <w:sz w:val="14"/>
                <w:szCs w:val="14"/>
              </w:rPr>
            </w:pPr>
            <w:r w:rsidRPr="009F0C8F">
              <w:rPr>
                <w:b/>
                <w:color w:val="000000"/>
                <w:sz w:val="14"/>
                <w:szCs w:val="14"/>
              </w:rPr>
              <w:t>Note:</w:t>
            </w:r>
            <w:r w:rsidRPr="009F0C8F">
              <w:rPr>
                <w:sz w:val="14"/>
                <w:szCs w:val="14"/>
              </w:rPr>
              <w:t xml:space="preserve"> </w:t>
            </w:r>
            <w:r w:rsidRPr="009F0C8F">
              <w:rPr>
                <w:color w:val="000000"/>
                <w:sz w:val="14"/>
                <w:szCs w:val="14"/>
              </w:rPr>
              <w:t>the ATO has withdrawn its administrative treatment that previously permitted trustees to make resolutions after 30 June. If the trust deed requires the trustee to make a beneficiary presently entitled to trust income by way of a resolution, this resolution must now be made by the end of the income year (i.e. 30 June). This resolution will determine each beneficiary’s share of the trust income</w:t>
            </w:r>
            <w:r w:rsidR="00792BE5">
              <w:rPr>
                <w:color w:val="000000"/>
                <w:sz w:val="14"/>
                <w:szCs w:val="14"/>
              </w:rPr>
              <w:t xml:space="preserve"> which </w:t>
            </w:r>
            <w:r w:rsidRPr="009F0C8F">
              <w:rPr>
                <w:color w:val="000000"/>
                <w:sz w:val="14"/>
                <w:szCs w:val="14"/>
              </w:rPr>
              <w:t xml:space="preserve">in turn will establish who is to be assessed on </w:t>
            </w:r>
            <w:r w:rsidR="00792BE5">
              <w:rPr>
                <w:color w:val="000000"/>
                <w:sz w:val="14"/>
                <w:szCs w:val="14"/>
              </w:rPr>
              <w:t xml:space="preserve">share of </w:t>
            </w:r>
            <w:r w:rsidRPr="009F0C8F">
              <w:rPr>
                <w:color w:val="000000"/>
                <w:sz w:val="14"/>
                <w:szCs w:val="14"/>
              </w:rPr>
              <w:t xml:space="preserve">the trust's </w:t>
            </w:r>
            <w:r w:rsidR="00792BE5">
              <w:rPr>
                <w:color w:val="000000"/>
                <w:sz w:val="14"/>
                <w:szCs w:val="14"/>
              </w:rPr>
              <w:t xml:space="preserve">net income (i.e. </w:t>
            </w:r>
            <w:r w:rsidRPr="009F0C8F">
              <w:rPr>
                <w:color w:val="000000"/>
                <w:sz w:val="14"/>
                <w:szCs w:val="14"/>
              </w:rPr>
              <w:t>taxable income</w:t>
            </w:r>
            <w:r w:rsidR="00792BE5">
              <w:rPr>
                <w:color w:val="000000"/>
                <w:sz w:val="14"/>
                <w:szCs w:val="14"/>
              </w:rPr>
              <w:t>)</w:t>
            </w:r>
            <w:r w:rsidRPr="009F0C8F">
              <w:rPr>
                <w:color w:val="000000"/>
                <w:sz w:val="14"/>
                <w:szCs w:val="14"/>
              </w:rPr>
              <w:t xml:space="preserve">. If the trust deed requires a resolution to be made at a date before 30 June the trustee should comply with the requirements of the deed.  </w:t>
            </w:r>
          </w:p>
          <w:p w14:paraId="6E02C33D" w14:textId="6196502D" w:rsidR="007A76B2" w:rsidRPr="00EB5FA9" w:rsidRDefault="007A76B2" w:rsidP="005C3424">
            <w:pPr>
              <w:spacing w:after="60"/>
              <w:rPr>
                <w:sz w:val="12"/>
                <w:szCs w:val="12"/>
              </w:rPr>
            </w:pPr>
            <w:r w:rsidRPr="009F0C8F">
              <w:rPr>
                <w:color w:val="000000"/>
                <w:sz w:val="14"/>
                <w:szCs w:val="14"/>
              </w:rPr>
              <w:t xml:space="preserve">For further information and guidance in relation to trust resolutions please refer to CPA Australia’s </w:t>
            </w:r>
            <w:r w:rsidRPr="009F0C8F">
              <w:rPr>
                <w:i/>
                <w:color w:val="000000"/>
                <w:sz w:val="14"/>
                <w:szCs w:val="14"/>
              </w:rPr>
              <w:t xml:space="preserve">Trustee Guidance Resolutions </w:t>
            </w:r>
            <w:r w:rsidRPr="009F0C8F">
              <w:rPr>
                <w:color w:val="000000"/>
                <w:sz w:val="14"/>
                <w:szCs w:val="14"/>
              </w:rPr>
              <w:t>fact sheet</w:t>
            </w:r>
            <w:r w:rsidR="00EB5FA9" w:rsidRPr="009F0C8F">
              <w:rPr>
                <w:color w:val="000000"/>
                <w:sz w:val="14"/>
                <w:szCs w:val="14"/>
              </w:rPr>
              <w:t xml:space="preserve"> </w:t>
            </w:r>
            <w:r w:rsidRPr="009F0C8F">
              <w:rPr>
                <w:color w:val="000000"/>
                <w:sz w:val="14"/>
                <w:szCs w:val="14"/>
              </w:rPr>
              <w:t>at</w:t>
            </w:r>
            <w:r w:rsidR="005C3424">
              <w:rPr>
                <w:sz w:val="14"/>
                <w:szCs w:val="14"/>
              </w:rPr>
              <w:t xml:space="preserve"> </w:t>
            </w:r>
            <w:hyperlink r:id="rId14" w:history="1">
              <w:r w:rsidR="005C3424" w:rsidRPr="002A7D58">
                <w:rPr>
                  <w:rStyle w:val="Hyperlink"/>
                  <w:sz w:val="14"/>
                  <w:szCs w:val="14"/>
                </w:rPr>
                <w:t>https://www.cpaaustralia.com.au/professional-resources/taxation/trusts</w:t>
              </w:r>
            </w:hyperlink>
            <w:r w:rsidR="005C3424">
              <w:rPr>
                <w:sz w:val="14"/>
                <w:szCs w:val="14"/>
              </w:rPr>
              <w:t xml:space="preserve"> </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8FBF5" w14:textId="77777777" w:rsidR="007A76B2" w:rsidRDefault="007A76B2" w:rsidP="002252BE">
            <w:pPr>
              <w:pStyle w:val="Table"/>
              <w:jc w:val="center"/>
            </w:pPr>
          </w:p>
        </w:tc>
        <w:tc>
          <w:tcPr>
            <w:tcW w:w="34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6EF80" w14:textId="77777777" w:rsidR="007A76B2" w:rsidRDefault="007A76B2" w:rsidP="002252BE">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0EC0F6" w14:textId="77777777" w:rsidR="007A76B2" w:rsidRDefault="007A76B2" w:rsidP="002252BE">
            <w:pPr>
              <w:pStyle w:val="Table"/>
              <w:jc w:val="center"/>
            </w:pPr>
          </w:p>
        </w:tc>
      </w:tr>
      <w:tr w:rsidR="007A76B2" w14:paraId="1227ED60"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565AC" w14:textId="77777777" w:rsidR="007A76B2" w:rsidRPr="0026206D" w:rsidRDefault="007A76B2" w:rsidP="008601F9">
            <w:pPr>
              <w:pStyle w:val="Table"/>
              <w:keepNext/>
              <w:ind w:right="-57"/>
            </w:pPr>
            <w:r w:rsidRPr="00C53128">
              <w:t>Where relevant, has the trustee made a determination about what amounts should be treated as income</w:t>
            </w:r>
            <w:r>
              <w:t xml:space="preserve"> of the trust estate </w:t>
            </w:r>
            <w:r w:rsidRPr="00C53128">
              <w:t>e</w:t>
            </w:r>
            <w:r>
              <w:t>.g</w:t>
            </w:r>
            <w:r w:rsidRPr="00C53128">
              <w:t>. capital gains ma</w:t>
            </w:r>
            <w:r w:rsidR="00606BDD">
              <w:t>y</w:t>
            </w:r>
            <w:r w:rsidRPr="00C53128">
              <w:t xml:space="preserve"> be treated as </w:t>
            </w:r>
            <w:r>
              <w:t xml:space="preserve">trust </w:t>
            </w:r>
            <w:r w:rsidRPr="00C53128">
              <w:t>income in certain circumstances if permitted by the trust deed?</w:t>
            </w:r>
            <w:r>
              <w:t xml:space="preserve"> </w:t>
            </w:r>
            <w:r w:rsidRPr="00C53128">
              <w:rPr>
                <w:i/>
              </w:rPr>
              <w:t>(</w:t>
            </w:r>
            <w:proofErr w:type="gramStart"/>
            <w:r w:rsidRPr="0006488A">
              <w:t>refer</w:t>
            </w:r>
            <w:proofErr w:type="gramEnd"/>
            <w:r w:rsidRPr="0006488A">
              <w:t xml:space="preserve"> to</w:t>
            </w:r>
            <w:r w:rsidRPr="00C53128">
              <w:rPr>
                <w:i/>
              </w:rPr>
              <w:t xml:space="preserve"> Commissioner of Taxation v Bamford [2010] HCA 10)</w:t>
            </w:r>
            <w:r>
              <w:t>.</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A34EE" w14:textId="77777777" w:rsidR="007A76B2" w:rsidRDefault="007A76B2">
            <w:pPr>
              <w:pStyle w:val="Table"/>
              <w:keepNext/>
              <w:jc w:val="center"/>
            </w:pPr>
          </w:p>
        </w:tc>
        <w:tc>
          <w:tcPr>
            <w:tcW w:w="34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D3FD6" w14:textId="77777777" w:rsidR="007A76B2" w:rsidRDefault="007A76B2">
            <w:pPr>
              <w:pStyle w:val="Table"/>
              <w:keepNext/>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6E97A" w14:textId="77777777" w:rsidR="007A76B2" w:rsidRDefault="007A76B2">
            <w:pPr>
              <w:pStyle w:val="Table"/>
              <w:keepNext/>
              <w:jc w:val="center"/>
            </w:pPr>
          </w:p>
        </w:tc>
      </w:tr>
      <w:tr w:rsidR="007A76B2" w:rsidRPr="002252BE" w14:paraId="6508BC3F"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A3F9D" w14:textId="7975FA32" w:rsidR="007A76B2" w:rsidRPr="002252BE" w:rsidRDefault="007A76B2" w:rsidP="00B54455">
            <w:pPr>
              <w:pStyle w:val="Table"/>
            </w:pPr>
            <w:r w:rsidRPr="002252BE">
              <w:t xml:space="preserve">Check that trust income has been fully distributed to beneficiaries. If not, section 99A will </w:t>
            </w:r>
            <w:r>
              <w:t xml:space="preserve">usually </w:t>
            </w:r>
            <w:r w:rsidRPr="002252BE">
              <w:t xml:space="preserve">apply to tax the trustee at the </w:t>
            </w:r>
            <w:r w:rsidR="00792BE5">
              <w:t xml:space="preserve">effective </w:t>
            </w:r>
            <w:r w:rsidRPr="002252BE">
              <w:t>highest marginal tax rate</w:t>
            </w:r>
            <w:r w:rsidR="0002678A">
              <w:t>,</w:t>
            </w:r>
            <w:r w:rsidR="00792BE5">
              <w:t xml:space="preserve"> </w:t>
            </w:r>
            <w:r w:rsidR="00B54455">
              <w:t xml:space="preserve">which is currently </w:t>
            </w:r>
            <w:r w:rsidR="00792BE5">
              <w:t xml:space="preserve">49% where no beneficiary is presently entitled to trust income.  </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7254F" w14:textId="77777777" w:rsidR="007A76B2" w:rsidRPr="002252BE" w:rsidRDefault="007A76B2" w:rsidP="00184E12">
            <w:pPr>
              <w:pStyle w:val="Table"/>
              <w:jc w:val="center"/>
            </w:pPr>
          </w:p>
        </w:tc>
        <w:tc>
          <w:tcPr>
            <w:tcW w:w="3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5EEECF" w14:textId="77777777" w:rsidR="007A76B2" w:rsidRPr="002252BE" w:rsidRDefault="007A76B2" w:rsidP="00184E12">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C745B" w14:textId="77777777" w:rsidR="007A76B2" w:rsidRPr="002252BE" w:rsidRDefault="007A76B2" w:rsidP="00184E12">
            <w:pPr>
              <w:pStyle w:val="Table"/>
              <w:jc w:val="center"/>
            </w:pPr>
          </w:p>
        </w:tc>
      </w:tr>
      <w:tr w:rsidR="007A76B2" w:rsidRPr="002252BE" w14:paraId="38A336C9"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3C063" w14:textId="77777777" w:rsidR="007A76B2" w:rsidRDefault="007A76B2" w:rsidP="0002678A">
            <w:pPr>
              <w:pStyle w:val="Table"/>
            </w:pPr>
            <w:r w:rsidRPr="002252BE">
              <w:t>Check whether a beneficiary has been made presently entitled to trust income due to a reimbursement agreement with a third party</w:t>
            </w:r>
            <w:r w:rsidR="0002678A">
              <w:t>.</w:t>
            </w:r>
            <w:r w:rsidRPr="002252BE">
              <w:t xml:space="preserve"> If so, section 100A</w:t>
            </w:r>
            <w:r w:rsidR="00596CD9">
              <w:t xml:space="preserve"> of the ITAA 1936</w:t>
            </w:r>
            <w:r w:rsidRPr="002252BE">
              <w:t xml:space="preserve"> may deem a beneficiary not to be presently entitled.</w:t>
            </w:r>
          </w:p>
          <w:p w14:paraId="363A9C8A" w14:textId="77777777" w:rsidR="0002678A" w:rsidRPr="009F0C8F" w:rsidRDefault="0002678A" w:rsidP="0002678A">
            <w:pPr>
              <w:pStyle w:val="Table"/>
              <w:rPr>
                <w:sz w:val="14"/>
                <w:szCs w:val="14"/>
              </w:rPr>
            </w:pPr>
            <w:r w:rsidRPr="009F0C8F">
              <w:rPr>
                <w:b/>
                <w:sz w:val="14"/>
                <w:szCs w:val="14"/>
              </w:rPr>
              <w:t>Note:</w:t>
            </w:r>
            <w:r w:rsidRPr="009F0C8F">
              <w:rPr>
                <w:sz w:val="14"/>
                <w:szCs w:val="14"/>
              </w:rPr>
              <w:t xml:space="preserve"> if a tax exempt entity is being made presently entitled to a proportion of trust income, the trustee should ensure that a similar proportion of the net income </w:t>
            </w:r>
            <w:r>
              <w:rPr>
                <w:sz w:val="14"/>
                <w:szCs w:val="14"/>
              </w:rPr>
              <w:t xml:space="preserve">(i.e. taxable income) </w:t>
            </w:r>
            <w:r w:rsidRPr="009F0C8F">
              <w:rPr>
                <w:sz w:val="14"/>
                <w:szCs w:val="14"/>
              </w:rPr>
              <w:t>is attributed to the entitlement.</w:t>
            </w:r>
          </w:p>
          <w:p w14:paraId="019428BD" w14:textId="77777777" w:rsidR="0002678A" w:rsidRPr="009F0C8F" w:rsidRDefault="0002678A" w:rsidP="0002678A">
            <w:pPr>
              <w:pStyle w:val="Table"/>
              <w:rPr>
                <w:sz w:val="14"/>
                <w:szCs w:val="14"/>
              </w:rPr>
            </w:pPr>
            <w:r w:rsidRPr="009F0C8F">
              <w:rPr>
                <w:sz w:val="14"/>
                <w:szCs w:val="14"/>
              </w:rPr>
              <w:t>Furthermore, if the tax exempt entity has not received a payment in respect of their entitlement within two months of the end of the year, the trustee should ensure that the tax exempt beneficiary is notified of this entitlement in writing.</w:t>
            </w:r>
          </w:p>
          <w:p w14:paraId="1B2A9A06" w14:textId="041524C9" w:rsidR="0002678A" w:rsidRPr="0002678A" w:rsidRDefault="0002678A" w:rsidP="0002678A">
            <w:pPr>
              <w:pStyle w:val="Table"/>
            </w:pPr>
            <w:r w:rsidRPr="0002678A">
              <w:rPr>
                <w:sz w:val="14"/>
                <w:szCs w:val="14"/>
              </w:rPr>
              <w:t xml:space="preserve">If there is a mismatch between the </w:t>
            </w:r>
            <w:proofErr w:type="gramStart"/>
            <w:r w:rsidRPr="0002678A">
              <w:rPr>
                <w:sz w:val="14"/>
                <w:szCs w:val="14"/>
              </w:rPr>
              <w:t>proportion</w:t>
            </w:r>
            <w:proofErr w:type="gramEnd"/>
            <w:r w:rsidRPr="0002678A">
              <w:rPr>
                <w:sz w:val="14"/>
                <w:szCs w:val="14"/>
              </w:rPr>
              <w:t xml:space="preserve"> of trust income compared to the proportion of net income, or if the trustee fails to notify the exempt entity of their entitlement, then sections 100AA and 100AB of the ITAA 1936 may deem the exempt entity to not be presently entitled to the income of the trust estate. The trustee will therefore pay tax on net income at the effective highest marginal rate being currently 49%.</w:t>
            </w:r>
          </w:p>
        </w:tc>
        <w:tc>
          <w:tcPr>
            <w:tcW w:w="38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3A98D" w14:textId="77777777" w:rsidR="007A76B2" w:rsidRPr="002252BE" w:rsidRDefault="007A76B2" w:rsidP="00184E12">
            <w:pPr>
              <w:pStyle w:val="Table"/>
              <w:jc w:val="center"/>
            </w:pPr>
          </w:p>
        </w:tc>
        <w:tc>
          <w:tcPr>
            <w:tcW w:w="3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6A1B" w14:textId="77777777" w:rsidR="007A76B2" w:rsidRPr="002252BE" w:rsidRDefault="007A76B2" w:rsidP="00184E12">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939598"/>
              <w:right w:val="single" w:sz="4" w:space="0" w:color="808080" w:themeColor="background1" w:themeShade="80"/>
            </w:tcBorders>
          </w:tcPr>
          <w:p w14:paraId="282F4628" w14:textId="77777777" w:rsidR="007A76B2" w:rsidRPr="002252BE" w:rsidRDefault="007A76B2" w:rsidP="00184E12">
            <w:pPr>
              <w:pStyle w:val="Table"/>
              <w:jc w:val="center"/>
            </w:pPr>
          </w:p>
        </w:tc>
      </w:tr>
    </w:tbl>
    <w:p w14:paraId="7E56F6C7" w14:textId="77777777" w:rsidR="0002678A" w:rsidRDefault="0002678A">
      <w:r>
        <w:rPr>
          <w:b/>
        </w:rPr>
        <w:br w:type="page"/>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045"/>
        <w:gridCol w:w="756"/>
        <w:gridCol w:w="97"/>
        <w:gridCol w:w="655"/>
        <w:gridCol w:w="60"/>
        <w:gridCol w:w="688"/>
      </w:tblGrid>
      <w:tr w:rsidR="007C6148" w:rsidRPr="002252BE" w14:paraId="54AD826A" w14:textId="77777777" w:rsidTr="00952FCB">
        <w:tc>
          <w:tcPr>
            <w:tcW w:w="3905" w:type="pct"/>
            <w:tcBorders>
              <w:top w:val="single" w:sz="4" w:space="0" w:color="939598"/>
              <w:bottom w:val="single" w:sz="4" w:space="0" w:color="808080" w:themeColor="background1" w:themeShade="80"/>
            </w:tcBorders>
            <w:shd w:val="clear" w:color="auto" w:fill="17365D" w:themeFill="text2" w:themeFillShade="BF"/>
          </w:tcPr>
          <w:p w14:paraId="68799715" w14:textId="3A30D48D" w:rsidR="007C6148" w:rsidRPr="00732789" w:rsidRDefault="00732789" w:rsidP="00FD2A3A">
            <w:pPr>
              <w:pStyle w:val="Tableheading"/>
              <w:keepNext/>
            </w:pPr>
            <w:r w:rsidRPr="00732789">
              <w:lastRenderedPageBreak/>
              <w:t>Trusts</w:t>
            </w:r>
          </w:p>
        </w:tc>
        <w:tc>
          <w:tcPr>
            <w:tcW w:w="414" w:type="pct"/>
            <w:gridSpan w:val="2"/>
            <w:tcBorders>
              <w:top w:val="single" w:sz="4" w:space="0" w:color="939598"/>
              <w:bottom w:val="single" w:sz="4" w:space="0" w:color="808080" w:themeColor="background1" w:themeShade="80"/>
            </w:tcBorders>
            <w:shd w:val="clear" w:color="auto" w:fill="17365D" w:themeFill="text2" w:themeFillShade="BF"/>
          </w:tcPr>
          <w:p w14:paraId="1BA5E735" w14:textId="77777777" w:rsidR="007C6148" w:rsidRPr="00732789" w:rsidRDefault="007C6148" w:rsidP="00FD2A3A">
            <w:pPr>
              <w:pStyle w:val="Tableheading"/>
              <w:keepNext/>
            </w:pPr>
            <w:r w:rsidRPr="00732789">
              <w:t xml:space="preserve"> </w:t>
            </w:r>
            <w:r w:rsidR="00732789" w:rsidRPr="00732789">
              <w:t>Yes</w:t>
            </w:r>
          </w:p>
        </w:tc>
        <w:tc>
          <w:tcPr>
            <w:tcW w:w="347" w:type="pct"/>
            <w:gridSpan w:val="2"/>
            <w:tcBorders>
              <w:top w:val="single" w:sz="4" w:space="0" w:color="939598"/>
              <w:bottom w:val="single" w:sz="4" w:space="0" w:color="808080" w:themeColor="background1" w:themeShade="80"/>
            </w:tcBorders>
            <w:shd w:val="clear" w:color="auto" w:fill="17365D" w:themeFill="text2" w:themeFillShade="BF"/>
          </w:tcPr>
          <w:p w14:paraId="46A3A948" w14:textId="77777777" w:rsidR="007C6148" w:rsidRPr="00732789" w:rsidRDefault="00732789" w:rsidP="00FD2A3A">
            <w:pPr>
              <w:pStyle w:val="Tableheading"/>
              <w:keepNext/>
            </w:pPr>
            <w:r w:rsidRPr="00732789">
              <w:t>No</w:t>
            </w:r>
          </w:p>
        </w:tc>
        <w:tc>
          <w:tcPr>
            <w:tcW w:w="334" w:type="pct"/>
            <w:tcBorders>
              <w:top w:val="single" w:sz="4" w:space="0" w:color="939598"/>
              <w:bottom w:val="single" w:sz="4" w:space="0" w:color="808080" w:themeColor="background1" w:themeShade="80"/>
            </w:tcBorders>
            <w:shd w:val="clear" w:color="auto" w:fill="17365D" w:themeFill="text2" w:themeFillShade="BF"/>
          </w:tcPr>
          <w:p w14:paraId="0FA1FE82" w14:textId="77777777" w:rsidR="007C6148" w:rsidRPr="00732789" w:rsidRDefault="00732789" w:rsidP="00FD2A3A">
            <w:pPr>
              <w:pStyle w:val="Tableheading"/>
              <w:keepNext/>
            </w:pPr>
            <w:r w:rsidRPr="00732789">
              <w:t>N/A</w:t>
            </w:r>
          </w:p>
        </w:tc>
      </w:tr>
      <w:tr w:rsidR="007A76B2" w:rsidRPr="002252BE" w14:paraId="0B2D2DAE" w14:textId="77777777" w:rsidTr="00952FC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CF34E6" w14:textId="77777777" w:rsidR="007A76B2" w:rsidRPr="002252BE" w:rsidRDefault="007A76B2" w:rsidP="00FD2A3A">
            <w:pPr>
              <w:pStyle w:val="Tableheading"/>
              <w:keepNext/>
            </w:pPr>
            <w:r w:rsidRPr="002252BE">
              <w:t>Trustee unpaid present entitlements owing to companies</w:t>
            </w:r>
          </w:p>
        </w:tc>
      </w:tr>
      <w:tr w:rsidR="007A76B2" w:rsidRPr="002252BE" w14:paraId="1EE3F324"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E22AF" w14:textId="77777777" w:rsidR="007A76B2" w:rsidRPr="002252BE" w:rsidRDefault="007A76B2" w:rsidP="00FD2A3A">
            <w:pPr>
              <w:pStyle w:val="Table"/>
            </w:pPr>
            <w:r w:rsidRPr="002252BE">
              <w:t>Consider whether the trust has a post 16 December 2009 unpaid present entitlement (UPE) owing</w:t>
            </w:r>
            <w:r>
              <w:t xml:space="preserve"> by a trust </w:t>
            </w:r>
            <w:r w:rsidRPr="002252BE">
              <w:t>to</w:t>
            </w:r>
            <w:r>
              <w:t xml:space="preserve"> a </w:t>
            </w:r>
            <w:r w:rsidRPr="002252BE">
              <w:t>company</w:t>
            </w:r>
            <w:r>
              <w:t xml:space="preserve"> which is part of the same family group</w:t>
            </w:r>
            <w:r w:rsidRPr="002252BE">
              <w:t>.</w:t>
            </w:r>
          </w:p>
          <w:p w14:paraId="6DC56F6F" w14:textId="41676CC4" w:rsidR="007A76B2" w:rsidRPr="002252BE" w:rsidRDefault="007A76B2" w:rsidP="00FD2A3A">
            <w:pPr>
              <w:pStyle w:val="Table"/>
            </w:pPr>
            <w:r w:rsidRPr="002252BE">
              <w:t>In relation to 201</w:t>
            </w:r>
            <w:r w:rsidR="00220DF3">
              <w:t>6</w:t>
            </w:r>
            <w:r w:rsidRPr="002252BE">
              <w:t xml:space="preserve"> UPEs has (where the trust deed permits it) the UPE been put on sub-trust for the sole benefit of the private company per the Commissioner’s Practi</w:t>
            </w:r>
            <w:r>
              <w:t>c</w:t>
            </w:r>
            <w:r w:rsidRPr="002252BE">
              <w:t xml:space="preserve">e Statement PS LA 2010/4 </w:t>
            </w:r>
            <w:r>
              <w:t>by the lodgement date of the trust</w:t>
            </w:r>
            <w:r w:rsidR="00220DF3">
              <w:t xml:space="preserve">’s 2016 </w:t>
            </w:r>
            <w:r>
              <w:t>tax return</w:t>
            </w:r>
            <w:r w:rsidRPr="002252BE">
              <w:t>?</w:t>
            </w:r>
          </w:p>
          <w:p w14:paraId="4A50E9B0" w14:textId="6143C395" w:rsidR="007A76B2" w:rsidRDefault="007A76B2" w:rsidP="00B8137A">
            <w:pPr>
              <w:pStyle w:val="Table"/>
            </w:pPr>
            <w:r w:rsidRPr="002252BE">
              <w:t>Where the 201</w:t>
            </w:r>
            <w:r w:rsidR="00220DF3">
              <w:t>6</w:t>
            </w:r>
            <w:r w:rsidRPr="002252BE">
              <w:t xml:space="preserve"> UPE has not been put on a sub trust the Commissioner considers that this </w:t>
            </w:r>
            <w:r>
              <w:t>U</w:t>
            </w:r>
            <w:r w:rsidRPr="002252BE">
              <w:t xml:space="preserve">PE will be </w:t>
            </w:r>
            <w:r>
              <w:t xml:space="preserve">deemed to be </w:t>
            </w:r>
            <w:r w:rsidRPr="002252BE">
              <w:t>a loan made from the company to the trust on</w:t>
            </w:r>
            <w:r>
              <w:t xml:space="preserve"> the trust’s</w:t>
            </w:r>
            <w:r w:rsidRPr="002252BE">
              <w:t xml:space="preserve"> </w:t>
            </w:r>
            <w:proofErr w:type="spellStart"/>
            <w:r>
              <w:t>lodgment</w:t>
            </w:r>
            <w:proofErr w:type="spellEnd"/>
            <w:r>
              <w:t xml:space="preserve"> day (e.g. 15 May 201</w:t>
            </w:r>
            <w:r w:rsidR="00220DF3">
              <w:t>7</w:t>
            </w:r>
            <w:r>
              <w:t>)</w:t>
            </w:r>
            <w:r w:rsidRPr="002252BE">
              <w:t xml:space="preserve">. Subject to the relevant company having distributable surplus, the Division 7A rules need to be considered in relation to this new deemed loan. Refer to </w:t>
            </w:r>
            <w:r>
              <w:t xml:space="preserve">Taxation Ruling </w:t>
            </w:r>
            <w:r w:rsidRPr="002252BE">
              <w:t>TR 2010/3</w:t>
            </w:r>
            <w:r>
              <w:t xml:space="preserve">. </w:t>
            </w:r>
          </w:p>
          <w:p w14:paraId="1D21E23A" w14:textId="77777777" w:rsidR="007A76B2" w:rsidRPr="009F0C8F" w:rsidRDefault="007A76B2" w:rsidP="00B8137A">
            <w:pPr>
              <w:pStyle w:val="Table"/>
              <w:rPr>
                <w:sz w:val="14"/>
                <w:szCs w:val="14"/>
              </w:rPr>
            </w:pPr>
            <w:r w:rsidRPr="009F0C8F">
              <w:rPr>
                <w:b/>
                <w:sz w:val="14"/>
                <w:szCs w:val="14"/>
              </w:rPr>
              <w:t>Note</w:t>
            </w:r>
            <w:r w:rsidRPr="009F0C8F">
              <w:rPr>
                <w:sz w:val="14"/>
                <w:szCs w:val="14"/>
              </w:rPr>
              <w:t>: please refer to CPA Australia’s Division 7A checklist</w:t>
            </w:r>
            <w:r w:rsidR="007C220F" w:rsidRPr="009F0C8F">
              <w:rPr>
                <w:sz w:val="14"/>
                <w:szCs w:val="14"/>
              </w:rPr>
              <w:t>s</w:t>
            </w:r>
            <w:r w:rsidRPr="009F0C8F">
              <w:rPr>
                <w:sz w:val="14"/>
                <w:szCs w:val="14"/>
              </w:rPr>
              <w:t xml:space="preserve"> for further information</w:t>
            </w:r>
            <w:r w:rsidRPr="009F0C8F">
              <w:rPr>
                <w:i/>
                <w:sz w:val="14"/>
                <w:szCs w:val="14"/>
              </w:rPr>
              <w:t>.</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08404" w14:textId="77777777" w:rsidR="007A76B2" w:rsidRPr="002252BE" w:rsidRDefault="007A76B2" w:rsidP="00FD2A3A">
            <w:pPr>
              <w:pStyle w:val="Table"/>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56918" w14:textId="77777777" w:rsidR="007A76B2" w:rsidRPr="002252BE" w:rsidRDefault="007A76B2" w:rsidP="00FD2A3A">
            <w:pPr>
              <w:pStyle w:val="Table"/>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D76D0" w14:textId="77777777" w:rsidR="007A76B2" w:rsidRPr="002252BE" w:rsidRDefault="007A76B2" w:rsidP="00FD2A3A">
            <w:pPr>
              <w:pStyle w:val="Table"/>
            </w:pPr>
          </w:p>
        </w:tc>
      </w:tr>
      <w:tr w:rsidR="007A76B2" w:rsidRPr="002252BE" w14:paraId="6C3FC187"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29F35CEF" w14:textId="77777777" w:rsidR="007A76B2" w:rsidRPr="002252BE" w:rsidRDefault="007A76B2" w:rsidP="00FD2A3A">
            <w:pPr>
              <w:pStyle w:val="Table"/>
            </w:pPr>
            <w:r w:rsidRPr="002252BE">
              <w:t>Consider whether the trust has a pre</w:t>
            </w:r>
            <w:r>
              <w:t>-</w:t>
            </w:r>
            <w:r w:rsidRPr="002252BE">
              <w:t>16 December 2009 UPE owning to a company.  If so, to the extent that these have been properly recorded as a UPE (and not a loan), then ensure that these UPE’s are not disturbed. These UPE’s should not generally be subject to deemed loan treatment.</w:t>
            </w:r>
          </w:p>
        </w:tc>
        <w:tc>
          <w:tcPr>
            <w:tcW w:w="36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84100C8" w14:textId="77777777" w:rsidR="007A76B2" w:rsidRPr="002252BE" w:rsidRDefault="007A76B2" w:rsidP="00FD2A3A">
            <w:pPr>
              <w:pStyle w:val="Table"/>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7EF31" w14:textId="77777777" w:rsidR="007A76B2" w:rsidRPr="002252BE" w:rsidRDefault="007A76B2" w:rsidP="00FD2A3A">
            <w:pPr>
              <w:pStyle w:val="Table"/>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0126D" w14:textId="77777777" w:rsidR="007A76B2" w:rsidRPr="002252BE" w:rsidRDefault="007A76B2" w:rsidP="00FD2A3A">
            <w:pPr>
              <w:pStyle w:val="Table"/>
            </w:pPr>
          </w:p>
        </w:tc>
      </w:tr>
      <w:tr w:rsidR="007A76B2" w:rsidRPr="002252BE" w14:paraId="6C6B7BBB"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64F04164" w14:textId="115855F3" w:rsidR="007A76B2" w:rsidRPr="002252BE" w:rsidRDefault="007A76B2" w:rsidP="00F91E77">
            <w:pPr>
              <w:pStyle w:val="Table"/>
            </w:pPr>
            <w:r w:rsidRPr="002252BE">
              <w:t>Where the trust has a pre</w:t>
            </w:r>
            <w:r>
              <w:t>-</w:t>
            </w:r>
            <w:r w:rsidRPr="002252BE">
              <w:t>16 December UPE, or has put a post 16 December UPE on sub trust terms, you should consider the application of subdivision EA of the ITAA 1936 - where the trustee makes any loans</w:t>
            </w:r>
            <w:r>
              <w:t>,</w:t>
            </w:r>
            <w:r w:rsidRPr="002252BE">
              <w:t xml:space="preserve"> payments</w:t>
            </w:r>
            <w:r>
              <w:t xml:space="preserve"> or forgives a debt in favour of</w:t>
            </w:r>
            <w:r w:rsidRPr="002252BE">
              <w:t xml:space="preserve"> to shareholders or associates</w:t>
            </w:r>
            <w:r w:rsidR="00F91E77">
              <w:t xml:space="preserve"> of the private company</w:t>
            </w:r>
            <w:r w:rsidRPr="002252BE">
              <w:t>.</w:t>
            </w:r>
          </w:p>
        </w:tc>
        <w:tc>
          <w:tcPr>
            <w:tcW w:w="36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0098226" w14:textId="77777777" w:rsidR="007A76B2" w:rsidRPr="002252BE" w:rsidRDefault="007A76B2" w:rsidP="00FD2A3A">
            <w:pPr>
              <w:pStyle w:val="Table"/>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2F06E" w14:textId="77777777" w:rsidR="007A76B2" w:rsidRPr="002252BE" w:rsidRDefault="007A76B2" w:rsidP="00FD2A3A">
            <w:pPr>
              <w:pStyle w:val="Table"/>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E72EB" w14:textId="77777777" w:rsidR="007A76B2" w:rsidRPr="002252BE" w:rsidRDefault="007A76B2" w:rsidP="00FD2A3A">
            <w:pPr>
              <w:pStyle w:val="Table"/>
            </w:pPr>
          </w:p>
        </w:tc>
      </w:tr>
      <w:tr w:rsidR="007A76B2" w:rsidRPr="002252BE" w14:paraId="08FA592D"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tcPr>
          <w:p w14:paraId="7276B762" w14:textId="77777777" w:rsidR="007A76B2" w:rsidRPr="002252BE" w:rsidRDefault="007A76B2" w:rsidP="00FD2A3A">
            <w:pPr>
              <w:pStyle w:val="Table"/>
            </w:pPr>
            <w:r w:rsidRPr="002252BE">
              <w:t>Has the trust used a conduit trust previously in making distributions to a company beneficiary?</w:t>
            </w:r>
          </w:p>
          <w:p w14:paraId="4F660D95" w14:textId="77777777" w:rsidR="007A76B2" w:rsidRPr="002252BE" w:rsidRDefault="007A76B2" w:rsidP="003F2337">
            <w:pPr>
              <w:pStyle w:val="Table"/>
            </w:pPr>
            <w:r w:rsidRPr="002252BE">
              <w:t xml:space="preserve">If so, consider the implication of the interposed entity rules </w:t>
            </w:r>
            <w:r>
              <w:t>in</w:t>
            </w:r>
            <w:r w:rsidRPr="002252BE">
              <w:t xml:space="preserve"> Division 7A from 1 July 2009.</w:t>
            </w:r>
          </w:p>
        </w:tc>
        <w:tc>
          <w:tcPr>
            <w:tcW w:w="367"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1923E506" w14:textId="77777777" w:rsidR="007A76B2" w:rsidRPr="002252BE" w:rsidRDefault="007A76B2" w:rsidP="00FD2A3A">
            <w:pPr>
              <w:pStyle w:val="Table"/>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5CD22" w14:textId="77777777" w:rsidR="007A76B2" w:rsidRPr="002252BE" w:rsidRDefault="007A76B2" w:rsidP="00FD2A3A">
            <w:pPr>
              <w:pStyle w:val="Table"/>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B3C70" w14:textId="77777777" w:rsidR="007A76B2" w:rsidRPr="002252BE" w:rsidRDefault="007A76B2" w:rsidP="00FD2A3A">
            <w:pPr>
              <w:pStyle w:val="Table"/>
            </w:pPr>
          </w:p>
        </w:tc>
      </w:tr>
      <w:tr w:rsidR="00310B6A" w:rsidRPr="00B340A7" w14:paraId="1B641D09" w14:textId="77777777" w:rsidTr="00952FCB">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3BC794" w14:textId="77777777" w:rsidR="00310B6A" w:rsidRPr="00B340A7" w:rsidRDefault="00310B6A" w:rsidP="00310B6A">
            <w:pPr>
              <w:pStyle w:val="Tableheading"/>
            </w:pPr>
            <w:r w:rsidRPr="002252BE">
              <w:t>Closely held and family trusts – TFN withholding tax</w:t>
            </w:r>
            <w:r>
              <w:t xml:space="preserve"> </w:t>
            </w:r>
          </w:p>
        </w:tc>
      </w:tr>
      <w:tr w:rsidR="007A76B2" w:rsidRPr="002252BE" w14:paraId="290CDCF4"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BA9272" w14:textId="22E80F9E" w:rsidR="007A76B2" w:rsidRPr="002252BE" w:rsidRDefault="007A76B2" w:rsidP="00FD2A3A">
            <w:pPr>
              <w:pStyle w:val="Table"/>
              <w:ind w:right="-57"/>
            </w:pPr>
            <w:r w:rsidRPr="002252BE">
              <w:t xml:space="preserve">Have you disclosed the TFNs of all the beneficiaries that have received distributions of ordinary or statutory income or that are made presently entitled to a share of the </w:t>
            </w:r>
            <w:r>
              <w:t>income of the trust</w:t>
            </w:r>
            <w:r w:rsidR="00F91E77">
              <w:t xml:space="preserve"> estate</w:t>
            </w:r>
            <w:r>
              <w:t>.</w:t>
            </w:r>
            <w:r w:rsidRPr="002252BE">
              <w:t xml:space="preserve">(No disclosure is required for beneficiaries that are </w:t>
            </w:r>
            <w:r w:rsidR="00F91E77">
              <w:t xml:space="preserve">under a legal disability (e.g. </w:t>
            </w:r>
            <w:r w:rsidRPr="002252BE">
              <w:t>minors</w:t>
            </w:r>
            <w:r w:rsidR="00F91E77">
              <w:t>)</w:t>
            </w:r>
            <w:r w:rsidRPr="002252BE">
              <w:t xml:space="preserve">, </w:t>
            </w:r>
            <w:r w:rsidR="00F91E77">
              <w:t>non-</w:t>
            </w:r>
            <w:r w:rsidRPr="002252BE">
              <w:t>residents or tax exempt</w:t>
            </w:r>
            <w:r w:rsidR="00F91E77">
              <w:t xml:space="preserve"> entities</w:t>
            </w:r>
            <w:r w:rsidRPr="002252BE">
              <w:t>)</w:t>
            </w:r>
          </w:p>
          <w:p w14:paraId="129117C1" w14:textId="77777777" w:rsidR="007A76B2" w:rsidRPr="009F0C8F" w:rsidRDefault="007A76B2" w:rsidP="00665517">
            <w:pPr>
              <w:spacing w:after="60"/>
              <w:rPr>
                <w:rFonts w:eastAsia="Times New Roman"/>
                <w:sz w:val="14"/>
                <w:szCs w:val="14"/>
                <w:lang w:val="en-US"/>
              </w:rPr>
            </w:pPr>
            <w:r w:rsidRPr="009F0C8F">
              <w:rPr>
                <w:rFonts w:eastAsia="Times New Roman"/>
                <w:b/>
                <w:sz w:val="14"/>
                <w:szCs w:val="14"/>
                <w:lang w:eastAsia="en-AU"/>
              </w:rPr>
              <w:t>Note:</w:t>
            </w:r>
            <w:r w:rsidRPr="009F0C8F">
              <w:rPr>
                <w:rFonts w:eastAsia="Times New Roman"/>
                <w:sz w:val="14"/>
                <w:szCs w:val="14"/>
                <w:lang w:eastAsia="en-AU"/>
              </w:rPr>
              <w:t xml:space="preserve"> where no TFN is quoted before the payment or present entitlement arises the trustee must withhold tax from any future payments unless a TFN is quoted; lodge an annual TFN withholding report containing details of all withheld amounts by 30 September, which </w:t>
            </w:r>
            <w:r w:rsidRPr="009F0C8F">
              <w:rPr>
                <w:rFonts w:eastAsia="Times New Roman"/>
                <w:sz w:val="14"/>
                <w:szCs w:val="14"/>
                <w:lang w:val="en-US"/>
              </w:rPr>
              <w:t>is lodged by:</w:t>
            </w:r>
          </w:p>
          <w:p w14:paraId="6348EFA6" w14:textId="77777777" w:rsidR="007A76B2" w:rsidRPr="009F0C8F" w:rsidRDefault="007A76B2" w:rsidP="00665517">
            <w:pPr>
              <w:pStyle w:val="TableBullet"/>
              <w:rPr>
                <w:rFonts w:eastAsia="Times New Roman"/>
                <w:sz w:val="14"/>
                <w:szCs w:val="14"/>
                <w:lang w:eastAsia="en-AU"/>
              </w:rPr>
            </w:pPr>
            <w:r w:rsidRPr="009F0C8F">
              <w:rPr>
                <w:sz w:val="14"/>
                <w:szCs w:val="14"/>
              </w:rPr>
              <w:t>completing</w:t>
            </w:r>
            <w:r w:rsidRPr="009F0C8F">
              <w:rPr>
                <w:rFonts w:eastAsia="Times New Roman"/>
                <w:sz w:val="14"/>
                <w:szCs w:val="14"/>
                <w:lang w:val="en-US"/>
              </w:rPr>
              <w:t xml:space="preserve"> information on the trust tax return for the relevant income year</w:t>
            </w:r>
          </w:p>
          <w:p w14:paraId="001E976A" w14:textId="77777777" w:rsidR="007A76B2" w:rsidRPr="009F0C8F" w:rsidRDefault="007A76B2" w:rsidP="00665517">
            <w:pPr>
              <w:pStyle w:val="TableBullet"/>
              <w:rPr>
                <w:rFonts w:eastAsia="Times New Roman"/>
                <w:sz w:val="14"/>
                <w:szCs w:val="14"/>
                <w:lang w:eastAsia="en-AU"/>
              </w:rPr>
            </w:pPr>
            <w:r w:rsidRPr="009F0C8F">
              <w:rPr>
                <w:rFonts w:eastAsia="Times New Roman"/>
                <w:sz w:val="14"/>
                <w:szCs w:val="14"/>
                <w:lang w:eastAsia="en-AU"/>
              </w:rPr>
              <w:t>providing an annual payment summary to the beneficiary where tax has been withheld</w:t>
            </w:r>
          </w:p>
          <w:p w14:paraId="30A36466" w14:textId="77777777" w:rsidR="007A76B2" w:rsidRPr="009F0C8F" w:rsidRDefault="007A76B2" w:rsidP="00665517">
            <w:pPr>
              <w:pStyle w:val="TableBullet"/>
              <w:rPr>
                <w:rFonts w:eastAsia="Times New Roman"/>
                <w:sz w:val="14"/>
                <w:szCs w:val="14"/>
                <w:lang w:eastAsia="en-AU"/>
              </w:rPr>
            </w:pPr>
            <w:r w:rsidRPr="009F0C8F">
              <w:rPr>
                <w:rFonts w:eastAsia="Times New Roman"/>
                <w:sz w:val="14"/>
                <w:szCs w:val="14"/>
                <w:lang w:eastAsia="en-AU"/>
              </w:rPr>
              <w:t>registering for pay as you go (PAYG) withholding for closely held trusts</w:t>
            </w:r>
          </w:p>
          <w:p w14:paraId="074F5AF3" w14:textId="77777777" w:rsidR="007A76B2" w:rsidRPr="00665517" w:rsidRDefault="007A76B2" w:rsidP="00665517">
            <w:pPr>
              <w:pStyle w:val="TableBullet"/>
              <w:rPr>
                <w:rFonts w:eastAsia="Times New Roman"/>
                <w:lang w:eastAsia="en-AU"/>
              </w:rPr>
            </w:pPr>
            <w:proofErr w:type="gramStart"/>
            <w:r w:rsidRPr="009F0C8F">
              <w:rPr>
                <w:rFonts w:eastAsia="Times New Roman"/>
                <w:sz w:val="14"/>
                <w:szCs w:val="14"/>
                <w:lang w:eastAsia="en-AU"/>
              </w:rPr>
              <w:t>remitting</w:t>
            </w:r>
            <w:proofErr w:type="gramEnd"/>
            <w:r w:rsidRPr="009F0C8F">
              <w:rPr>
                <w:rFonts w:eastAsia="Times New Roman"/>
                <w:sz w:val="14"/>
                <w:szCs w:val="14"/>
                <w:lang w:eastAsia="en-AU"/>
              </w:rPr>
              <w:t xml:space="preserve"> tax withheld to the ATO.</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0DF7E" w14:textId="77777777" w:rsidR="007A76B2" w:rsidRPr="002252BE" w:rsidRDefault="007A76B2" w:rsidP="00184E12">
            <w:pPr>
              <w:pStyle w:val="Table"/>
              <w:jc w:val="center"/>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A95A0" w14:textId="77777777" w:rsidR="007A76B2" w:rsidRPr="002252BE" w:rsidRDefault="007A76B2" w:rsidP="00184E12">
            <w:pPr>
              <w:pStyle w:val="Table"/>
              <w:jc w:val="center"/>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B0573" w14:textId="77777777" w:rsidR="007A76B2" w:rsidRPr="002252BE" w:rsidRDefault="007A76B2" w:rsidP="00184E12">
            <w:pPr>
              <w:pStyle w:val="Table"/>
              <w:jc w:val="center"/>
            </w:pPr>
          </w:p>
        </w:tc>
      </w:tr>
      <w:tr w:rsidR="00310B6A" w:rsidRPr="00B340A7" w14:paraId="2B9EE909" w14:textId="77777777" w:rsidTr="00952FCB">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853DC0" w14:textId="77777777" w:rsidR="00310B6A" w:rsidRPr="00B340A7" w:rsidRDefault="00310B6A" w:rsidP="00310B6A">
            <w:pPr>
              <w:pStyle w:val="Tableheading"/>
            </w:pPr>
            <w:r w:rsidRPr="002252BE">
              <w:t>Family trust election</w:t>
            </w:r>
            <w:r>
              <w:t xml:space="preserve"> </w:t>
            </w:r>
          </w:p>
        </w:tc>
      </w:tr>
      <w:tr w:rsidR="007A76B2" w:rsidRPr="002252BE" w14:paraId="1769B917"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5EC288" w14:textId="77777777" w:rsidR="007A76B2" w:rsidRDefault="007A76B2" w:rsidP="00FD2A3A">
            <w:pPr>
              <w:pStyle w:val="Table"/>
            </w:pPr>
            <w:r w:rsidRPr="002252BE">
              <w:t>Determine whether any Family Trust Elections are required to be made for the purposes of</w:t>
            </w:r>
            <w:r>
              <w:t>:</w:t>
            </w:r>
          </w:p>
          <w:p w14:paraId="7059A116" w14:textId="77777777" w:rsidR="007A76B2" w:rsidRDefault="007A76B2" w:rsidP="008C241E">
            <w:pPr>
              <w:pStyle w:val="TableBullet"/>
            </w:pPr>
            <w:r w:rsidRPr="002252BE">
              <w:t>loss recoupment</w:t>
            </w:r>
          </w:p>
          <w:p w14:paraId="32CBBE2E" w14:textId="4BD4B410" w:rsidR="00F91E77" w:rsidRDefault="007A76B2" w:rsidP="00F91E77">
            <w:pPr>
              <w:pStyle w:val="TableBullet"/>
            </w:pPr>
            <w:r w:rsidRPr="002252BE">
              <w:t xml:space="preserve">satisfying the 45/90 day holding period rules for franking purposes </w:t>
            </w:r>
          </w:p>
          <w:p w14:paraId="15CD9E99" w14:textId="77777777" w:rsidR="00F91E77" w:rsidRDefault="007A76B2" w:rsidP="00F91E77">
            <w:pPr>
              <w:pStyle w:val="TableBullet"/>
            </w:pPr>
            <w:r>
              <w:t>assisting</w:t>
            </w:r>
            <w:r w:rsidRPr="002252BE">
              <w:t xml:space="preserve"> a loss company (in which the trust holds shares) to satisfy the continuity of ownership test</w:t>
            </w:r>
            <w:r w:rsidR="00F91E77">
              <w:t xml:space="preserve"> or</w:t>
            </w:r>
          </w:p>
          <w:p w14:paraId="5C1719D3" w14:textId="52102C02" w:rsidR="007A76B2" w:rsidRPr="002252BE" w:rsidRDefault="00F91E77" w:rsidP="00F91E77">
            <w:pPr>
              <w:pStyle w:val="TableBullet"/>
            </w:pPr>
            <w:proofErr w:type="gramStart"/>
            <w:r>
              <w:t>being</w:t>
            </w:r>
            <w:proofErr w:type="gramEnd"/>
            <w:r>
              <w:t xml:space="preserve"> excluded from the trustee beneficiary reporting rules</w:t>
            </w:r>
            <w:r w:rsidR="007A76B2" w:rsidRPr="002252BE">
              <w:t>.</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69727" w14:textId="77777777" w:rsidR="007A76B2" w:rsidRPr="002252BE" w:rsidRDefault="007A76B2" w:rsidP="00184E12">
            <w:pPr>
              <w:pStyle w:val="Table"/>
              <w:jc w:val="center"/>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BBC4" w14:textId="77777777" w:rsidR="007A76B2" w:rsidRPr="002252BE" w:rsidRDefault="007A76B2" w:rsidP="00184E12">
            <w:pPr>
              <w:pStyle w:val="Table"/>
              <w:jc w:val="center"/>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D06C6" w14:textId="77777777" w:rsidR="007A76B2" w:rsidRPr="002252BE" w:rsidRDefault="007A76B2" w:rsidP="00184E12">
            <w:pPr>
              <w:pStyle w:val="Table"/>
              <w:jc w:val="center"/>
            </w:pPr>
          </w:p>
        </w:tc>
      </w:tr>
      <w:tr w:rsidR="00310B6A" w:rsidRPr="00B340A7" w14:paraId="500D81C9" w14:textId="77777777" w:rsidTr="00952FCB">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EE750E" w14:textId="77777777" w:rsidR="00310B6A" w:rsidRPr="00B340A7" w:rsidRDefault="00310B6A" w:rsidP="00310B6A">
            <w:pPr>
              <w:pStyle w:val="Tableheading"/>
            </w:pPr>
            <w:r w:rsidRPr="002252BE">
              <w:t xml:space="preserve">Losses </w:t>
            </w:r>
          </w:p>
        </w:tc>
      </w:tr>
      <w:tr w:rsidR="007A76B2" w:rsidRPr="002252BE" w14:paraId="24F18D0E"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B4163" w14:textId="77777777" w:rsidR="007A76B2" w:rsidRDefault="007A76B2" w:rsidP="00B8137A">
            <w:pPr>
              <w:pStyle w:val="Table"/>
            </w:pPr>
            <w:r w:rsidRPr="002252BE">
              <w:t xml:space="preserve">If the trust has tax losses to be recouped ensure that you have considered the </w:t>
            </w:r>
            <w:r>
              <w:t xml:space="preserve">respective </w:t>
            </w:r>
            <w:r w:rsidRPr="002252BE">
              <w:t>trust loss rules</w:t>
            </w:r>
            <w:r>
              <w:t xml:space="preserve"> that apply to fixed and non-fixed trusts</w:t>
            </w:r>
            <w:r w:rsidRPr="002252BE">
              <w:t>.</w:t>
            </w:r>
          </w:p>
          <w:p w14:paraId="3138E4D8" w14:textId="67426156" w:rsidR="00F91E77" w:rsidRPr="002252BE" w:rsidRDefault="00F91E77" w:rsidP="00061533">
            <w:pPr>
              <w:spacing w:after="60"/>
            </w:pPr>
            <w:r w:rsidRPr="00F51F72">
              <w:rPr>
                <w:b/>
                <w:sz w:val="14"/>
                <w:szCs w:val="14"/>
              </w:rPr>
              <w:t>Note</w:t>
            </w:r>
            <w:r w:rsidRPr="00F51F72">
              <w:rPr>
                <w:sz w:val="14"/>
                <w:szCs w:val="14"/>
              </w:rPr>
              <w:t>:</w:t>
            </w:r>
            <w:r w:rsidR="00F7139C">
              <w:rPr>
                <w:sz w:val="14"/>
                <w:szCs w:val="14"/>
              </w:rPr>
              <w:t xml:space="preserve"> </w:t>
            </w:r>
            <w:r>
              <w:rPr>
                <w:sz w:val="14"/>
                <w:szCs w:val="14"/>
              </w:rPr>
              <w:t>t</w:t>
            </w:r>
            <w:r w:rsidRPr="003A1122">
              <w:rPr>
                <w:rFonts w:eastAsia="Calibri"/>
                <w:sz w:val="14"/>
                <w:szCs w:val="14"/>
                <w:lang w:val="en-US"/>
              </w:rPr>
              <w:t xml:space="preserve">he legislative distinction between fixed and non-fixed trusts has become somewhat blurred following the issue of the ATO’s Decision Impact Statement in respect of the Federal Court decision in </w:t>
            </w:r>
            <w:r w:rsidRPr="003A1122">
              <w:rPr>
                <w:rFonts w:eastAsia="Calibri"/>
                <w:i/>
                <w:sz w:val="14"/>
                <w:szCs w:val="14"/>
              </w:rPr>
              <w:t>Colonial First State Investments Ltd v Commissioner of Taxation</w:t>
            </w:r>
            <w:r w:rsidRPr="003A1122">
              <w:rPr>
                <w:rFonts w:eastAsia="Calibri"/>
                <w:sz w:val="14"/>
                <w:szCs w:val="14"/>
                <w:lang w:val="en-US"/>
              </w:rPr>
              <w:t xml:space="preserve"> (2011) FCA 16</w:t>
            </w:r>
            <w:r w:rsidRPr="003A1122">
              <w:rPr>
                <w:iCs/>
                <w:sz w:val="14"/>
                <w:szCs w:val="14"/>
              </w:rPr>
              <w:t>.</w:t>
            </w:r>
            <w:r w:rsidR="00F7139C">
              <w:rPr>
                <w:iCs/>
                <w:sz w:val="14"/>
                <w:szCs w:val="14"/>
              </w:rPr>
              <w:t xml:space="preserve"> T</w:t>
            </w:r>
            <w:r w:rsidR="00F7139C" w:rsidRPr="003A1122">
              <w:rPr>
                <w:rFonts w:eastAsia="Calibri"/>
                <w:sz w:val="14"/>
                <w:szCs w:val="14"/>
                <w:lang w:val="en-US"/>
              </w:rPr>
              <w:t xml:space="preserve">he ATO </w:t>
            </w:r>
            <w:r w:rsidR="00F7139C">
              <w:rPr>
                <w:rFonts w:eastAsia="Calibri"/>
                <w:sz w:val="14"/>
                <w:szCs w:val="14"/>
                <w:lang w:val="en-US"/>
              </w:rPr>
              <w:t xml:space="preserve">takes the </w:t>
            </w:r>
            <w:r w:rsidR="00F7139C" w:rsidRPr="003A1122">
              <w:rPr>
                <w:rFonts w:eastAsia="Calibri"/>
                <w:sz w:val="14"/>
                <w:szCs w:val="14"/>
                <w:lang w:val="en-US"/>
              </w:rPr>
              <w:t xml:space="preserve">view </w:t>
            </w:r>
            <w:r w:rsidR="00F7139C">
              <w:rPr>
                <w:rFonts w:eastAsia="Calibri"/>
                <w:sz w:val="14"/>
                <w:szCs w:val="14"/>
                <w:lang w:val="en-US"/>
              </w:rPr>
              <w:t xml:space="preserve">in that Decision Impact Statement </w:t>
            </w:r>
            <w:r w:rsidR="00F7139C" w:rsidRPr="003A1122">
              <w:rPr>
                <w:rFonts w:eastAsia="Calibri"/>
                <w:sz w:val="14"/>
                <w:szCs w:val="14"/>
                <w:lang w:val="en-US"/>
              </w:rPr>
              <w:t>that very few trusts satisfy the definition of</w:t>
            </w:r>
            <w:r w:rsidR="00F7139C">
              <w:rPr>
                <w:rFonts w:eastAsia="Calibri"/>
                <w:sz w:val="14"/>
                <w:szCs w:val="14"/>
                <w:lang w:val="en-US"/>
              </w:rPr>
              <w:t xml:space="preserve"> a “</w:t>
            </w:r>
            <w:r w:rsidR="00F7139C" w:rsidRPr="003A1122">
              <w:rPr>
                <w:rFonts w:eastAsia="Calibri"/>
                <w:sz w:val="14"/>
                <w:szCs w:val="14"/>
                <w:lang w:val="en-US"/>
              </w:rPr>
              <w:t>fixed trust</w:t>
            </w:r>
            <w:r w:rsidR="00F7139C">
              <w:rPr>
                <w:rFonts w:eastAsia="Calibri"/>
                <w:sz w:val="14"/>
                <w:szCs w:val="14"/>
                <w:lang w:val="en-US"/>
              </w:rPr>
              <w:t xml:space="preserve">’ under the trust loss provisions but that the Commissioner of Taxation may exercise a discretion to treat such a trust as a fixed trust in certain circumstances.   </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010BA" w14:textId="77777777" w:rsidR="007A76B2" w:rsidRPr="002252BE" w:rsidRDefault="007A76B2" w:rsidP="00184E12">
            <w:pPr>
              <w:pStyle w:val="Table"/>
              <w:jc w:val="center"/>
            </w:pPr>
          </w:p>
        </w:tc>
        <w:tc>
          <w:tcPr>
            <w:tcW w:w="36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E9CBD" w14:textId="77777777" w:rsidR="007A76B2" w:rsidRPr="002252BE" w:rsidRDefault="007A76B2" w:rsidP="00184E12">
            <w:pPr>
              <w:pStyle w:val="Table"/>
              <w:jc w:val="center"/>
            </w:pPr>
          </w:p>
        </w:tc>
        <w:tc>
          <w:tcPr>
            <w:tcW w:w="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FF186" w14:textId="77777777" w:rsidR="007A76B2" w:rsidRPr="002252BE" w:rsidRDefault="007A76B2" w:rsidP="00184E12">
            <w:pPr>
              <w:pStyle w:val="Table"/>
              <w:jc w:val="center"/>
            </w:pPr>
          </w:p>
        </w:tc>
      </w:tr>
      <w:tr w:rsidR="007A76B2" w:rsidRPr="00AF24CF" w14:paraId="2C5185A0" w14:textId="77777777" w:rsidTr="00952FCB">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c>
          <w:tcPr>
            <w:tcW w:w="5000" w:type="pct"/>
            <w:gridSpan w:val="6"/>
            <w:tcBorders>
              <w:top w:val="single" w:sz="4" w:space="0" w:color="808080" w:themeColor="background1" w:themeShade="80"/>
              <w:bottom w:val="single" w:sz="4" w:space="0" w:color="939598"/>
            </w:tcBorders>
          </w:tcPr>
          <w:p w14:paraId="61BD10B9" w14:textId="77777777" w:rsidR="007A76B2" w:rsidRDefault="007A76B2" w:rsidP="00621167">
            <w:pPr>
              <w:pStyle w:val="Tableheading"/>
            </w:pPr>
            <w:r>
              <w:t>Comments:</w:t>
            </w:r>
          </w:p>
          <w:p w14:paraId="2D3783B7" w14:textId="77777777" w:rsidR="00732789" w:rsidRDefault="00732789" w:rsidP="00621167">
            <w:pPr>
              <w:pStyle w:val="Tableheading"/>
            </w:pPr>
          </w:p>
          <w:p w14:paraId="45C4DCA5" w14:textId="77777777" w:rsidR="00732789" w:rsidRPr="00AF24CF" w:rsidRDefault="00732789" w:rsidP="00621167">
            <w:pPr>
              <w:pStyle w:val="Tableheading"/>
            </w:pPr>
          </w:p>
        </w:tc>
      </w:tr>
    </w:tbl>
    <w:p w14:paraId="4E80233D" w14:textId="77777777" w:rsidR="0040635C" w:rsidRDefault="0040635C" w:rsidP="002C7914">
      <w:pPr>
        <w:pStyle w:val="Bet"/>
        <w:spacing w:before="0" w:after="0"/>
        <w:ind w:left="-125" w:right="-119"/>
        <w:rPr>
          <w:sz w:val="6"/>
        </w:rPr>
      </w:pPr>
    </w:p>
    <w:p w14:paraId="24D4CC61" w14:textId="77777777" w:rsidR="00F65674" w:rsidRDefault="00F65674" w:rsidP="002C7914">
      <w:pPr>
        <w:pStyle w:val="Bet"/>
        <w:spacing w:before="0" w:after="0"/>
        <w:ind w:left="-125" w:right="-119"/>
        <w:rPr>
          <w:sz w:val="6"/>
        </w:rPr>
      </w:pPr>
    </w:p>
    <w:p w14:paraId="12B16A53" w14:textId="77777777" w:rsidR="00367616" w:rsidRPr="002C7914" w:rsidRDefault="00367616" w:rsidP="00F65674">
      <w:pPr>
        <w:pStyle w:val="Bet"/>
        <w:spacing w:before="0" w:after="0"/>
        <w:ind w:left="0"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31"/>
        <w:gridCol w:w="14"/>
        <w:gridCol w:w="742"/>
        <w:gridCol w:w="14"/>
        <w:gridCol w:w="742"/>
        <w:gridCol w:w="16"/>
        <w:gridCol w:w="742"/>
      </w:tblGrid>
      <w:tr w:rsidR="00367616" w:rsidRPr="000A401A" w14:paraId="21F5C562" w14:textId="77777777" w:rsidTr="00952FCB">
        <w:tc>
          <w:tcPr>
            <w:tcW w:w="3905" w:type="pct"/>
            <w:gridSpan w:val="2"/>
            <w:tcBorders>
              <w:top w:val="single" w:sz="4" w:space="0" w:color="939598"/>
              <w:bottom w:val="single" w:sz="4" w:space="0" w:color="808080" w:themeColor="background1" w:themeShade="80"/>
              <w:right w:val="single" w:sz="4" w:space="0" w:color="939598"/>
            </w:tcBorders>
            <w:shd w:val="clear" w:color="auto" w:fill="051C3C"/>
          </w:tcPr>
          <w:p w14:paraId="3B48B7C3" w14:textId="77777777" w:rsidR="00367616" w:rsidRPr="00AE2EA6" w:rsidRDefault="00367616" w:rsidP="00E73986">
            <w:pPr>
              <w:pStyle w:val="Tableheading"/>
              <w:keepNext/>
              <w:rPr>
                <w:color w:val="FFFFFF" w:themeColor="background1"/>
                <w:sz w:val="18"/>
              </w:rPr>
            </w:pPr>
            <w:r w:rsidRPr="00AE2EA6">
              <w:rPr>
                <w:color w:val="FFFFFF" w:themeColor="background1"/>
                <w:sz w:val="18"/>
              </w:rPr>
              <w:lastRenderedPageBreak/>
              <w:t xml:space="preserve">Companies </w:t>
            </w:r>
          </w:p>
        </w:tc>
        <w:tc>
          <w:tcPr>
            <w:tcW w:w="367"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6FBE83DC" w14:textId="77777777" w:rsidR="00367616" w:rsidRPr="00AE2EA6" w:rsidRDefault="00367616" w:rsidP="00621167">
            <w:pPr>
              <w:pStyle w:val="Tableheading"/>
              <w:keepNext/>
              <w:jc w:val="center"/>
              <w:rPr>
                <w:color w:val="FFFFFF" w:themeColor="background1"/>
                <w:sz w:val="18"/>
              </w:rPr>
            </w:pPr>
            <w:r w:rsidRPr="00AE2EA6">
              <w:rPr>
                <w:color w:val="FFFFFF" w:themeColor="background1"/>
                <w:sz w:val="18"/>
              </w:rPr>
              <w:t>Yes</w:t>
            </w:r>
          </w:p>
        </w:tc>
        <w:tc>
          <w:tcPr>
            <w:tcW w:w="368" w:type="pct"/>
            <w:gridSpan w:val="2"/>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7AD58ED2" w14:textId="77777777" w:rsidR="00367616" w:rsidRPr="00AE2EA6" w:rsidRDefault="00367616" w:rsidP="00621167">
            <w:pPr>
              <w:pStyle w:val="Tableheading"/>
              <w:keepNext/>
              <w:jc w:val="center"/>
              <w:rPr>
                <w:color w:val="FFFFFF" w:themeColor="background1"/>
                <w:sz w:val="18"/>
              </w:rPr>
            </w:pPr>
            <w:r w:rsidRPr="00AE2EA6">
              <w:rPr>
                <w:color w:val="FFFFFF" w:themeColor="background1"/>
                <w:sz w:val="18"/>
              </w:rPr>
              <w:t>No</w:t>
            </w:r>
          </w:p>
        </w:tc>
        <w:tc>
          <w:tcPr>
            <w:tcW w:w="360" w:type="pct"/>
            <w:tcBorders>
              <w:top w:val="single" w:sz="4" w:space="0" w:color="939598"/>
              <w:left w:val="single" w:sz="4" w:space="0" w:color="939598"/>
              <w:bottom w:val="single" w:sz="4" w:space="0" w:color="808080" w:themeColor="background1" w:themeShade="80"/>
            </w:tcBorders>
            <w:shd w:val="clear" w:color="auto" w:fill="051C3C"/>
          </w:tcPr>
          <w:p w14:paraId="6DD510E3" w14:textId="77777777" w:rsidR="00367616" w:rsidRPr="000A401A" w:rsidRDefault="00367616" w:rsidP="00621167">
            <w:pPr>
              <w:pStyle w:val="Tableheading"/>
              <w:keepNext/>
              <w:jc w:val="center"/>
              <w:rPr>
                <w:sz w:val="18"/>
              </w:rPr>
            </w:pPr>
            <w:r w:rsidRPr="00885395">
              <w:rPr>
                <w:color w:val="FFFFFF" w:themeColor="background1"/>
                <w:sz w:val="18"/>
              </w:rPr>
              <w:t>N/A</w:t>
            </w:r>
          </w:p>
        </w:tc>
      </w:tr>
      <w:tr w:rsidR="00061533" w:rsidRPr="000A401A" w14:paraId="24C1BC3B" w14:textId="77777777" w:rsidTr="00952FCB">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9DFF7" w14:textId="5242CBBE" w:rsidR="00061533" w:rsidRPr="00061533" w:rsidRDefault="00061533" w:rsidP="00061533">
            <w:pPr>
              <w:pStyle w:val="Tableheading"/>
              <w:keepNext/>
              <w:rPr>
                <w:b w:val="0"/>
                <w:color w:val="FFFFFF" w:themeColor="background1"/>
                <w:sz w:val="18"/>
              </w:rPr>
            </w:pPr>
            <w:r w:rsidRPr="00061533">
              <w:rPr>
                <w:sz w:val="14"/>
                <w:szCs w:val="14"/>
              </w:rPr>
              <w:t>Note:</w:t>
            </w:r>
            <w:r w:rsidRPr="00061533">
              <w:rPr>
                <w:b w:val="0"/>
                <w:sz w:val="14"/>
                <w:szCs w:val="14"/>
              </w:rPr>
              <w:t xml:space="preserve"> it was proposed in the 2016-17 Federal Budget that the company tax rate would be reduced by 1% from 28.5% to 27.5% from 1 July 2016 for a company which is an SBE, and that the aggregated turnov</w:t>
            </w:r>
            <w:r>
              <w:rPr>
                <w:b w:val="0"/>
                <w:sz w:val="14"/>
                <w:szCs w:val="14"/>
              </w:rPr>
              <w:t xml:space="preserve">er threshold to be such an SBE </w:t>
            </w:r>
            <w:r w:rsidRPr="00061533">
              <w:rPr>
                <w:b w:val="0"/>
                <w:sz w:val="14"/>
                <w:szCs w:val="14"/>
              </w:rPr>
              <w:t xml:space="preserve">would increase from less than $2 million to less than $10 million from 1 July 2016. It was also proposed that the company tax rate for all companies would be progressively reduced to 25% by the year ended 30 June 2027.         </w:t>
            </w:r>
          </w:p>
        </w:tc>
      </w:tr>
      <w:tr w:rsidR="00367616" w:rsidRPr="002252BE" w14:paraId="20564450"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CA2103F" w14:textId="77777777" w:rsidR="00367616" w:rsidRPr="002252BE" w:rsidRDefault="00367616" w:rsidP="00EF7E88">
            <w:pPr>
              <w:pStyle w:val="Tableheading"/>
              <w:keepNext/>
            </w:pPr>
            <w:r w:rsidRPr="002252BE">
              <w:t xml:space="preserve">Dividends </w:t>
            </w:r>
          </w:p>
        </w:tc>
      </w:tr>
      <w:tr w:rsidR="00367616" w:rsidRPr="002252BE" w14:paraId="7016E6F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77B9E" w14:textId="77777777" w:rsidR="00367616" w:rsidRPr="002252BE" w:rsidRDefault="00367616" w:rsidP="00621167">
            <w:pPr>
              <w:pStyle w:val="Table"/>
            </w:pPr>
            <w:r w:rsidRPr="002252BE">
              <w:t>Check whether the taxpayer has a deficit franking account balance at year-end.</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E2BF8"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9C58C"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EC80D3" w14:textId="77777777" w:rsidR="00367616" w:rsidRPr="002252BE" w:rsidRDefault="00367616" w:rsidP="00E73986">
            <w:pPr>
              <w:pStyle w:val="Table"/>
              <w:jc w:val="center"/>
            </w:pPr>
          </w:p>
        </w:tc>
      </w:tr>
      <w:tr w:rsidR="00367616" w:rsidRPr="002252BE" w14:paraId="48760868"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A729B5" w14:textId="77777777" w:rsidR="00367616" w:rsidRPr="002252BE" w:rsidRDefault="00367616" w:rsidP="00621167">
            <w:pPr>
              <w:pStyle w:val="Table"/>
            </w:pPr>
            <w:r w:rsidRPr="002252BE">
              <w:t>If there is a deficit franking account balance:</w:t>
            </w:r>
          </w:p>
          <w:p w14:paraId="5CF7E363" w14:textId="77777777" w:rsidR="00367616" w:rsidRPr="002252BE" w:rsidRDefault="00367616" w:rsidP="007C2D15">
            <w:pPr>
              <w:pStyle w:val="TableBullet"/>
            </w:pPr>
            <w:r w:rsidRPr="002252BE">
              <w:t>consider deferring any franked dividends to the next financial year</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DB369D" w14:textId="77777777" w:rsidR="00367616" w:rsidRPr="002252BE" w:rsidRDefault="00367616"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B0338" w14:textId="77777777" w:rsidR="00367616" w:rsidRPr="002252BE" w:rsidRDefault="00367616" w:rsidP="00E73986">
            <w:pPr>
              <w:pStyle w:val="Body"/>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7618C" w14:textId="77777777" w:rsidR="00367616" w:rsidRPr="002252BE" w:rsidRDefault="00367616" w:rsidP="00E73986">
            <w:pPr>
              <w:pStyle w:val="Body"/>
              <w:jc w:val="center"/>
            </w:pPr>
          </w:p>
        </w:tc>
      </w:tr>
      <w:tr w:rsidR="00367616" w:rsidRPr="002252BE" w14:paraId="7F11CD3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D61BC" w14:textId="32D74687" w:rsidR="00367616" w:rsidRPr="002252BE" w:rsidRDefault="00367616" w:rsidP="00F7139C">
            <w:pPr>
              <w:pStyle w:val="TableBullet"/>
            </w:pPr>
            <w:proofErr w:type="gramStart"/>
            <w:r w:rsidRPr="002252BE">
              <w:t>check</w:t>
            </w:r>
            <w:proofErr w:type="gramEnd"/>
            <w:r w:rsidRPr="002252BE">
              <w:t xml:space="preserve"> the liability for franking deficit tax</w:t>
            </w:r>
            <w:r w:rsidR="00F7139C">
              <w:t xml:space="preserve"> (and the amount of any franking deficit tax offset potentially available)</w:t>
            </w:r>
            <w:r w:rsidRPr="002252BE">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B4EFA" w14:textId="77777777" w:rsidR="00367616" w:rsidRPr="002252BE" w:rsidRDefault="00367616"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19307" w14:textId="77777777" w:rsidR="00367616" w:rsidRPr="002252BE" w:rsidRDefault="00367616" w:rsidP="00E73986">
            <w:pPr>
              <w:pStyle w:val="Body"/>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254F3" w14:textId="77777777" w:rsidR="00367616" w:rsidRPr="002252BE" w:rsidRDefault="00367616" w:rsidP="00E73986">
            <w:pPr>
              <w:pStyle w:val="Body"/>
              <w:jc w:val="center"/>
            </w:pPr>
          </w:p>
        </w:tc>
      </w:tr>
      <w:tr w:rsidR="00367616" w:rsidRPr="002252BE" w14:paraId="77432DF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A6FD9" w14:textId="498292E7" w:rsidR="00367616" w:rsidRPr="002252BE" w:rsidRDefault="00367616" w:rsidP="00061533">
            <w:pPr>
              <w:pStyle w:val="Table"/>
            </w:pPr>
            <w:r w:rsidRPr="002252BE">
              <w:t>Ensure that the 45/90-day rule has been considered in relation</w:t>
            </w:r>
            <w:r w:rsidR="00061533">
              <w:t xml:space="preserve"> to dividends paid/received</w:t>
            </w:r>
            <w:r w:rsidRPr="002252BE">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1D2F0"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62BBC"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8B061" w14:textId="77777777" w:rsidR="00367616" w:rsidRPr="002252BE" w:rsidRDefault="00367616" w:rsidP="00E73986">
            <w:pPr>
              <w:pStyle w:val="Table"/>
              <w:jc w:val="center"/>
            </w:pPr>
          </w:p>
        </w:tc>
      </w:tr>
      <w:tr w:rsidR="00367616" w:rsidRPr="002252BE" w14:paraId="53CBCBC6"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74817F4" w14:textId="77777777" w:rsidR="00367616" w:rsidRPr="002252BE" w:rsidRDefault="00367616" w:rsidP="00EF7E88">
            <w:pPr>
              <w:pStyle w:val="Tableheading"/>
              <w:keepNext/>
            </w:pPr>
            <w:r w:rsidRPr="002252BE">
              <w:t xml:space="preserve">Fringe benefits tax </w:t>
            </w:r>
          </w:p>
        </w:tc>
      </w:tr>
      <w:tr w:rsidR="00367616" w:rsidRPr="002252BE" w14:paraId="4C30100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5467E" w14:textId="77777777" w:rsidR="00367616" w:rsidRPr="002252BE" w:rsidRDefault="00367616" w:rsidP="00621167">
            <w:pPr>
              <w:pStyle w:val="Table"/>
            </w:pPr>
            <w:r w:rsidRPr="002252BE">
              <w:t>Consider if your staff entertainment expenditure will qualify for the minor and infrequent FBT exemption (i.e. less than $300) to minimise FBT liability.</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E2843"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B8009"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B01D" w14:textId="77777777" w:rsidR="00367616" w:rsidRPr="002252BE" w:rsidRDefault="00367616" w:rsidP="00E73986">
            <w:pPr>
              <w:pStyle w:val="Table"/>
              <w:jc w:val="center"/>
            </w:pPr>
          </w:p>
        </w:tc>
      </w:tr>
      <w:tr w:rsidR="00367616" w:rsidRPr="002252BE" w14:paraId="328C3FCE"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E34E3B" w14:textId="77777777" w:rsidR="00367616" w:rsidRPr="002252BE" w:rsidRDefault="00367616" w:rsidP="00621167">
            <w:pPr>
              <w:pStyle w:val="Table"/>
            </w:pPr>
            <w:r w:rsidRPr="002252BE">
              <w:t>Ensure that no GST input tax credit has been claimed on entertainment that qualifies for the minor and infrequent FBT exemption.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D130A"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025CD"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6E1AB" w14:textId="77777777" w:rsidR="00367616" w:rsidRPr="002252BE" w:rsidRDefault="00367616" w:rsidP="00E73986">
            <w:pPr>
              <w:pStyle w:val="Table"/>
              <w:jc w:val="center"/>
            </w:pPr>
          </w:p>
        </w:tc>
      </w:tr>
      <w:tr w:rsidR="00367616" w:rsidRPr="002252BE" w14:paraId="51DE55B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87DC7" w14:textId="77777777" w:rsidR="00367616" w:rsidRPr="002252BE" w:rsidRDefault="00367616" w:rsidP="00621167">
            <w:pPr>
              <w:pStyle w:val="Table"/>
            </w:pPr>
            <w:r w:rsidRPr="002252BE">
              <w:t>Ensure pooled or shared cars which are used by more than one employee for private purposes are not reported on the employee</w:t>
            </w:r>
            <w:r>
              <w:t>’</w:t>
            </w:r>
            <w:r w:rsidRPr="002252BE">
              <w:t>s payment summary.</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E211F"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97655"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D6D13" w14:textId="77777777" w:rsidR="00367616" w:rsidRPr="002252BE" w:rsidRDefault="00367616" w:rsidP="00E73986">
            <w:pPr>
              <w:pStyle w:val="Table"/>
              <w:jc w:val="center"/>
            </w:pPr>
          </w:p>
        </w:tc>
      </w:tr>
      <w:tr w:rsidR="00367616" w:rsidRPr="002252BE" w14:paraId="7E637E9A"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AD87E" w14:textId="6F714765" w:rsidR="00367616" w:rsidRPr="002252BE" w:rsidRDefault="00367616" w:rsidP="00621167">
            <w:pPr>
              <w:pStyle w:val="Table"/>
            </w:pPr>
            <w:r w:rsidRPr="002252BE">
              <w:t>Check for any exempt eligible work items, intended to be used primarily in the employee</w:t>
            </w:r>
            <w:r w:rsidR="00F7139C">
              <w:t>’</w:t>
            </w:r>
            <w:r w:rsidRPr="002252BE">
              <w:t>s employment, including:</w:t>
            </w:r>
          </w:p>
          <w:p w14:paraId="3EA04E83" w14:textId="77777777" w:rsidR="00367616" w:rsidRPr="002252BE" w:rsidRDefault="00367616" w:rsidP="007C2D15">
            <w:pPr>
              <w:pStyle w:val="TableBullet"/>
            </w:pPr>
            <w:r w:rsidRPr="002252BE">
              <w:t>portable electronic devices</w:t>
            </w:r>
          </w:p>
          <w:p w14:paraId="26F0D148" w14:textId="77777777" w:rsidR="00367616" w:rsidRPr="002252BE" w:rsidRDefault="00367616" w:rsidP="007C2D15">
            <w:pPr>
              <w:pStyle w:val="TableBullet"/>
            </w:pPr>
            <w:r w:rsidRPr="002252BE">
              <w:t>computer software</w:t>
            </w:r>
          </w:p>
          <w:p w14:paraId="7F997AE3" w14:textId="77777777" w:rsidR="00367616" w:rsidRPr="002252BE" w:rsidRDefault="00367616" w:rsidP="007C2D15">
            <w:pPr>
              <w:pStyle w:val="TableBullet"/>
            </w:pPr>
            <w:r w:rsidRPr="002252BE">
              <w:t>protective clothing</w:t>
            </w:r>
          </w:p>
          <w:p w14:paraId="3E0C5E76" w14:textId="77777777" w:rsidR="00367616" w:rsidRPr="002252BE" w:rsidRDefault="00367616" w:rsidP="007C2D15">
            <w:pPr>
              <w:pStyle w:val="TableBullet"/>
            </w:pPr>
            <w:r w:rsidRPr="002252BE">
              <w:t>briefcase</w:t>
            </w:r>
          </w:p>
          <w:p w14:paraId="7B90A26A" w14:textId="77777777" w:rsidR="00367616" w:rsidRPr="002252BE" w:rsidRDefault="00367616" w:rsidP="007C2D15">
            <w:pPr>
              <w:pStyle w:val="TableBullet"/>
            </w:pPr>
            <w:proofErr w:type="gramStart"/>
            <w:r w:rsidRPr="002252BE">
              <w:t>tools</w:t>
            </w:r>
            <w:proofErr w:type="gramEnd"/>
            <w:r w:rsidRPr="002252BE">
              <w:t xml:space="preserve"> of trade.</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3BCA2"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88411"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F6BB3" w14:textId="77777777" w:rsidR="00367616" w:rsidRPr="002252BE" w:rsidRDefault="00367616" w:rsidP="00E73986">
            <w:pPr>
              <w:pStyle w:val="Table"/>
              <w:jc w:val="center"/>
            </w:pPr>
          </w:p>
        </w:tc>
      </w:tr>
      <w:tr w:rsidR="00367616" w:rsidRPr="002252BE" w14:paraId="68408553"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CCC36" w14:textId="77777777" w:rsidR="00367616" w:rsidRPr="002252BE" w:rsidRDefault="00367616" w:rsidP="00061533">
            <w:pPr>
              <w:pStyle w:val="Table"/>
            </w:pPr>
            <w:r w:rsidRPr="002252BE">
              <w:t>Is the employer a small business that provides car parking to its employees?</w:t>
            </w:r>
          </w:p>
          <w:p w14:paraId="02330D9C" w14:textId="525E8AE1" w:rsidR="00367616" w:rsidRPr="009F0C8F" w:rsidRDefault="00367616" w:rsidP="00061533">
            <w:pPr>
              <w:pStyle w:val="Source"/>
              <w:tabs>
                <w:tab w:val="clear" w:pos="368"/>
                <w:tab w:val="left" w:pos="0"/>
              </w:tabs>
              <w:spacing w:after="60"/>
              <w:ind w:left="0" w:right="0" w:firstLine="0"/>
              <w:rPr>
                <w:sz w:val="14"/>
                <w:szCs w:val="14"/>
              </w:rPr>
            </w:pPr>
            <w:r w:rsidRPr="009F0C8F">
              <w:rPr>
                <w:b/>
                <w:i w:val="0"/>
                <w:sz w:val="14"/>
                <w:szCs w:val="14"/>
              </w:rPr>
              <w:t>Note</w:t>
            </w:r>
            <w:r w:rsidRPr="009F0C8F">
              <w:rPr>
                <w:i w:val="0"/>
                <w:sz w:val="14"/>
                <w:szCs w:val="14"/>
              </w:rPr>
              <w:t xml:space="preserve">: employers that are not public companies, and which have derived less than $10m in ordinary and statutory income in the previous income year or are small business entities, may </w:t>
            </w:r>
            <w:r w:rsidR="00B54455">
              <w:rPr>
                <w:i w:val="0"/>
                <w:sz w:val="14"/>
                <w:szCs w:val="14"/>
              </w:rPr>
              <w:t xml:space="preserve">currently </w:t>
            </w:r>
            <w:r w:rsidRPr="009F0C8F">
              <w:rPr>
                <w:i w:val="0"/>
                <w:sz w:val="14"/>
                <w:szCs w:val="14"/>
              </w:rPr>
              <w:t>qualify for the small business car parking exemption.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DD2EA"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15285"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79E4B" w14:textId="77777777" w:rsidR="00367616" w:rsidRPr="002252BE" w:rsidRDefault="00367616" w:rsidP="00E73986">
            <w:pPr>
              <w:pStyle w:val="Table"/>
              <w:jc w:val="center"/>
            </w:pPr>
          </w:p>
        </w:tc>
      </w:tr>
      <w:tr w:rsidR="00367616" w:rsidRPr="002252BE" w14:paraId="73D669D2"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7B871" w14:textId="77777777" w:rsidR="00367616" w:rsidRPr="002252BE" w:rsidRDefault="00367616" w:rsidP="00621167">
            <w:pPr>
              <w:pStyle w:val="Table"/>
            </w:pPr>
            <w:r w:rsidRPr="002252BE">
              <w:t>Check for exempt relocation benefits, such as relocation transport travel and removal and storage expenses.</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B811E" w14:textId="77777777" w:rsidR="00367616" w:rsidRPr="002252BE" w:rsidRDefault="00367616" w:rsidP="00E73986">
            <w:pPr>
              <w:pStyle w:val="Table"/>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55355" w14:textId="77777777" w:rsidR="00367616" w:rsidRPr="002252BE" w:rsidRDefault="00367616" w:rsidP="00E73986">
            <w:pPr>
              <w:pStyle w:val="Table"/>
              <w:jc w:val="cente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AD266" w14:textId="77777777" w:rsidR="00367616" w:rsidRPr="002252BE" w:rsidRDefault="00367616" w:rsidP="00E73986">
            <w:pPr>
              <w:pStyle w:val="Table"/>
              <w:jc w:val="center"/>
            </w:pPr>
          </w:p>
        </w:tc>
      </w:tr>
      <w:tr w:rsidR="00CA4EA7" w:rsidRPr="002252BE" w14:paraId="2629283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A6842B" w14:textId="07638745" w:rsidR="00CA4EA7" w:rsidRPr="002252BE" w:rsidRDefault="00CA4EA7" w:rsidP="000F731E">
            <w:pPr>
              <w:pStyle w:val="Tableheading"/>
              <w:keepNext/>
            </w:pPr>
            <w:r w:rsidRPr="002252BE">
              <w:t xml:space="preserve">Losses </w:t>
            </w:r>
          </w:p>
        </w:tc>
      </w:tr>
      <w:tr w:rsidR="00CA4EA7" w:rsidRPr="002252BE" w14:paraId="6885583F"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F32325" w14:textId="57D25C32" w:rsidR="00CA4EA7" w:rsidRDefault="00CA4EA7" w:rsidP="00E73986">
            <w:pPr>
              <w:pStyle w:val="Table"/>
            </w:pPr>
            <w:r w:rsidRPr="002252BE">
              <w:t>If the company has tax losses to be recouped ensure that the continuity of ownership test (COT) or the same business test (SBT) is passed.</w:t>
            </w:r>
          </w:p>
          <w:p w14:paraId="13F94BA2" w14:textId="6116D918" w:rsidR="00F7139C" w:rsidRPr="002252BE" w:rsidRDefault="00F7139C" w:rsidP="00E73986">
            <w:pPr>
              <w:pStyle w:val="Table"/>
            </w:pPr>
            <w:r w:rsidRPr="009F0C8F">
              <w:rPr>
                <w:b/>
                <w:sz w:val="14"/>
                <w:szCs w:val="14"/>
              </w:rPr>
              <w:t>Note</w:t>
            </w:r>
            <w:r w:rsidRPr="009F0C8F">
              <w:rPr>
                <w:sz w:val="14"/>
                <w:szCs w:val="14"/>
              </w:rPr>
              <w:t xml:space="preserve">: </w:t>
            </w:r>
            <w:r w:rsidR="000F731E">
              <w:rPr>
                <w:sz w:val="14"/>
                <w:szCs w:val="14"/>
              </w:rPr>
              <w:t>c</w:t>
            </w:r>
            <w:r w:rsidRPr="00F51F72">
              <w:rPr>
                <w:sz w:val="14"/>
                <w:szCs w:val="14"/>
              </w:rPr>
              <w:t xml:space="preserve">onsider the </w:t>
            </w:r>
            <w:r>
              <w:rPr>
                <w:sz w:val="14"/>
                <w:szCs w:val="14"/>
              </w:rPr>
              <w:t xml:space="preserve">proposed </w:t>
            </w:r>
            <w:r w:rsidRPr="00F51F72">
              <w:rPr>
                <w:sz w:val="14"/>
                <w:szCs w:val="14"/>
              </w:rPr>
              <w:t>“similar business” test for losses incurred from 1 July 2015</w:t>
            </w:r>
            <w:r>
              <w:rPr>
                <w:sz w:val="14"/>
                <w:szCs w:val="14"/>
              </w:rPr>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7446A" w14:textId="77777777" w:rsidR="00CA4EA7" w:rsidRPr="002252BE" w:rsidRDefault="00CA4EA7"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88A0D" w14:textId="77777777" w:rsidR="00CA4EA7" w:rsidRPr="002252BE" w:rsidRDefault="00CA4EA7"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4CBA6" w14:textId="77777777" w:rsidR="00CA4EA7" w:rsidRPr="002252BE" w:rsidRDefault="00CA4EA7" w:rsidP="00E73986">
            <w:pPr>
              <w:pStyle w:val="Body"/>
              <w:jc w:val="center"/>
            </w:pPr>
          </w:p>
        </w:tc>
      </w:tr>
      <w:tr w:rsidR="00CA4EA7" w:rsidRPr="002252BE" w14:paraId="3AB06C34"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976AE3" w14:textId="77777777" w:rsidR="007F0E61" w:rsidRPr="002252BE" w:rsidRDefault="00CA4EA7" w:rsidP="005C4907">
            <w:pPr>
              <w:pStyle w:val="Table"/>
            </w:pPr>
            <w:r w:rsidRPr="002252BE">
              <w:t>Ensure that the company has not entered into transactions in order to inject income into the loss company to absorb its losses.</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C65EC" w14:textId="77777777" w:rsidR="00CA4EA7" w:rsidRPr="002252BE" w:rsidRDefault="00CA4EA7"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EF850" w14:textId="77777777" w:rsidR="00CA4EA7" w:rsidRPr="002252BE" w:rsidRDefault="00CA4EA7"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8C5FD" w14:textId="77777777" w:rsidR="00CA4EA7" w:rsidRPr="002252BE" w:rsidRDefault="00CA4EA7" w:rsidP="00E73986">
            <w:pPr>
              <w:pStyle w:val="Body"/>
              <w:jc w:val="center"/>
            </w:pPr>
          </w:p>
        </w:tc>
      </w:tr>
      <w:tr w:rsidR="005C0F0C" w:rsidRPr="002252BE" w14:paraId="68304F66"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33D2F2" w14:textId="77777777" w:rsidR="005C0F0C" w:rsidRPr="005C0F0C" w:rsidRDefault="005C0F0C" w:rsidP="005C0F0C">
            <w:pPr>
              <w:pStyle w:val="Body"/>
              <w:rPr>
                <w:b/>
                <w:i w:val="0"/>
              </w:rPr>
            </w:pPr>
            <w:r w:rsidRPr="005C0F0C">
              <w:rPr>
                <w:i w:val="0"/>
              </w:rPr>
              <w:t xml:space="preserve">   </w:t>
            </w:r>
            <w:r>
              <w:rPr>
                <w:b/>
                <w:i w:val="0"/>
                <w:shd w:val="clear" w:color="auto" w:fill="D9D9D9" w:themeFill="background1" w:themeFillShade="D9"/>
              </w:rPr>
              <w:t>Division 7A</w:t>
            </w:r>
          </w:p>
        </w:tc>
      </w:tr>
      <w:tr w:rsidR="005C0F0C" w:rsidRPr="002252BE" w14:paraId="7AB8CE15"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2F2D1" w14:textId="3A0C992A" w:rsidR="005C0F0C" w:rsidRPr="002252BE" w:rsidRDefault="005C0F0C" w:rsidP="00450A70">
            <w:pPr>
              <w:pStyle w:val="Table"/>
            </w:pPr>
            <w:r w:rsidRPr="002252BE">
              <w:t>Check whether loans, payments or debt forgiveness by a private company to a shareholder, former shareholder or an associate of such a person would be deemed to be an unfranked dividend. Where such an exposure arises do any of the exemptions under Division 7A apply which could exempt such an amount from Division 7A</w:t>
            </w:r>
            <w:r>
              <w:t>?</w:t>
            </w:r>
            <w:r w:rsidRPr="002252BE">
              <w:t xml:space="preserve"> Alternatively, can such a transaction be structured to be an ‘excluded loan’ before the earlier of the actual or due date of </w:t>
            </w:r>
            <w:proofErr w:type="spellStart"/>
            <w:r w:rsidRPr="002252BE">
              <w:t>lodgment</w:t>
            </w:r>
            <w:proofErr w:type="spellEnd"/>
            <w:r w:rsidRPr="002252BE">
              <w:t xml:space="preserve"> of the company’s income tax return.</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A11F2" w14:textId="77777777" w:rsidR="005C0F0C" w:rsidRPr="002252BE" w:rsidRDefault="005C0F0C"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5F3879" w14:textId="77777777" w:rsidR="005C0F0C" w:rsidRPr="002252BE" w:rsidRDefault="005C0F0C"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63F58" w14:textId="77777777" w:rsidR="005C0F0C" w:rsidRPr="002252BE" w:rsidRDefault="005C0F0C" w:rsidP="00E73986">
            <w:pPr>
              <w:pStyle w:val="Body"/>
              <w:jc w:val="center"/>
            </w:pPr>
          </w:p>
        </w:tc>
      </w:tr>
      <w:tr w:rsidR="005C0F0C" w:rsidRPr="002252BE" w14:paraId="58620D00"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C707E6" w14:textId="77777777" w:rsidR="005C0F0C" w:rsidRDefault="005C0F0C" w:rsidP="005C0F0C">
            <w:pPr>
              <w:pStyle w:val="Table"/>
            </w:pPr>
            <w:r w:rsidRPr="002252BE">
              <w:t>Ensure that pre-</w:t>
            </w:r>
            <w:r>
              <w:t xml:space="preserve">4 </w:t>
            </w:r>
            <w:r w:rsidRPr="002252BE">
              <w:t>December 1997 loans are not refreshed</w:t>
            </w:r>
            <w:r>
              <w:t xml:space="preserve"> and remain undisturbed</w:t>
            </w:r>
            <w:r w:rsidRPr="002252BE">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86B73A" w14:textId="77777777" w:rsidR="005C0F0C" w:rsidRPr="002252BE" w:rsidRDefault="005C0F0C"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02082" w14:textId="77777777" w:rsidR="005C0F0C" w:rsidRPr="002252BE" w:rsidRDefault="005C0F0C"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BFF69" w14:textId="77777777" w:rsidR="005C0F0C" w:rsidRPr="002252BE" w:rsidRDefault="005C0F0C" w:rsidP="00E73986">
            <w:pPr>
              <w:pStyle w:val="Body"/>
              <w:jc w:val="center"/>
            </w:pPr>
          </w:p>
        </w:tc>
      </w:tr>
      <w:tr w:rsidR="005C0F0C" w:rsidRPr="002252BE" w14:paraId="4E0EBE30"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99922" w14:textId="77777777" w:rsidR="005C0F0C" w:rsidRPr="002252BE" w:rsidRDefault="005C0F0C" w:rsidP="005C0F0C">
            <w:pPr>
              <w:pStyle w:val="Table"/>
            </w:pPr>
            <w:r w:rsidRPr="002252BE">
              <w:t>Does the company provide its shareholders or associates with free (or less than market rate) use of the company property e.g. holiday home or boat?</w:t>
            </w:r>
          </w:p>
          <w:p w14:paraId="539488EA" w14:textId="77777777" w:rsidR="005C0F0C" w:rsidRDefault="005C0F0C" w:rsidP="005C0F0C">
            <w:pPr>
              <w:pStyle w:val="Table"/>
            </w:pPr>
            <w:r w:rsidRPr="002252BE">
              <w:t>If so</w:t>
            </w:r>
            <w:r>
              <w:t>,</w:t>
            </w:r>
            <w:r w:rsidRPr="002252BE">
              <w:t xml:space="preserve"> </w:t>
            </w:r>
            <w:r>
              <w:t>such use of assets may</w:t>
            </w:r>
            <w:r w:rsidRPr="002252BE">
              <w:t xml:space="preserve"> deem a dividend to be paid from the company to the shareholder</w:t>
            </w:r>
            <w:r>
              <w:t xml:space="preserve"> (subject to certain conditions being met)</w:t>
            </w:r>
            <w:r w:rsidRPr="002252BE">
              <w:t>.</w:t>
            </w:r>
            <w:r>
              <w:t xml:space="preserve"> </w:t>
            </w:r>
            <w:r w:rsidRPr="0045581E">
              <w:rPr>
                <w:rFonts w:eastAsia="Times New Roman" w:cs="Arial"/>
                <w:color w:val="000000"/>
              </w:rPr>
              <w:t>The amount of the dividend is the market value of such use less any consideration paid. However, the deemed dividend will not arise if the annual value of the benefits received was less than $300, the private usage would otherwise have been allowable as a once-only deduction or where certain dwellings are provided for private use by the company</w:t>
            </w:r>
            <w:r>
              <w:rPr>
                <w:rFonts w:eastAsia="Times New Roman" w:cs="Arial"/>
                <w:color w:val="000000"/>
              </w:rPr>
              <w:t>.</w:t>
            </w: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55181" w14:textId="77777777" w:rsidR="005C0F0C" w:rsidRPr="002252BE" w:rsidRDefault="005C0F0C" w:rsidP="00E73986">
            <w:pPr>
              <w:pStyle w:val="Body"/>
              <w:jc w:val="center"/>
            </w:pPr>
          </w:p>
        </w:tc>
        <w:tc>
          <w:tcPr>
            <w:tcW w:w="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462D5" w14:textId="77777777" w:rsidR="005C0F0C" w:rsidRPr="002252BE" w:rsidRDefault="005C0F0C" w:rsidP="00E73986">
            <w:pPr>
              <w:pStyle w:val="Body"/>
              <w:jc w:val="center"/>
            </w:pPr>
          </w:p>
        </w:tc>
        <w:tc>
          <w:tcPr>
            <w:tcW w:w="36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05C39" w14:textId="77777777" w:rsidR="005C0F0C" w:rsidRPr="002252BE" w:rsidRDefault="005C0F0C" w:rsidP="00E73986">
            <w:pPr>
              <w:pStyle w:val="Body"/>
              <w:jc w:val="center"/>
            </w:pPr>
          </w:p>
        </w:tc>
      </w:tr>
    </w:tbl>
    <w:p w14:paraId="76F3A3B9" w14:textId="77777777" w:rsidR="00367616" w:rsidRPr="002C7914" w:rsidRDefault="00367616" w:rsidP="003F4385">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6"/>
        <w:gridCol w:w="752"/>
        <w:gridCol w:w="748"/>
      </w:tblGrid>
      <w:tr w:rsidR="00875574" w:rsidRPr="00AE2EA6" w14:paraId="1569BDAF"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09055891" w14:textId="6B619E74" w:rsidR="00875574" w:rsidRPr="00AE2EA6" w:rsidRDefault="00875574" w:rsidP="00875574">
            <w:pPr>
              <w:pStyle w:val="Tableheading"/>
              <w:keepNext/>
              <w:rPr>
                <w:color w:val="FFFFFF" w:themeColor="background1"/>
                <w:sz w:val="18"/>
              </w:rPr>
            </w:pPr>
            <w:r>
              <w:rPr>
                <w:color w:val="FFFFFF" w:themeColor="background1"/>
                <w:sz w:val="18"/>
              </w:rPr>
              <w:t>Companies</w:t>
            </w:r>
            <w:r w:rsidRPr="00AE2EA6">
              <w:rPr>
                <w:color w:val="FFFFFF" w:themeColor="background1"/>
                <w:sz w:val="18"/>
              </w:rPr>
              <w:t xml:space="preserve"> </w:t>
            </w:r>
          </w:p>
        </w:tc>
        <w:tc>
          <w:tcPr>
            <w:tcW w:w="367"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D235E83" w14:textId="77777777" w:rsidR="00875574" w:rsidRPr="00AE2EA6" w:rsidRDefault="00875574" w:rsidP="00C81733">
            <w:pPr>
              <w:pStyle w:val="Tableheading"/>
              <w:keepNext/>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40ED8508" w14:textId="77777777" w:rsidR="00875574" w:rsidRPr="00AE2EA6" w:rsidRDefault="00875574" w:rsidP="00C81733">
            <w:pPr>
              <w:pStyle w:val="Tableheading"/>
              <w:keepNext/>
              <w:jc w:val="center"/>
              <w:rPr>
                <w:color w:val="FFFFFF" w:themeColor="background1"/>
                <w:sz w:val="18"/>
              </w:rPr>
            </w:pPr>
            <w:r w:rsidRPr="00AE2EA6">
              <w:rPr>
                <w:color w:val="FFFFFF" w:themeColor="background1"/>
                <w:sz w:val="18"/>
              </w:rPr>
              <w:t>No</w:t>
            </w:r>
          </w:p>
        </w:tc>
        <w:tc>
          <w:tcPr>
            <w:tcW w:w="363" w:type="pct"/>
            <w:tcBorders>
              <w:top w:val="single" w:sz="4" w:space="0" w:color="939598"/>
              <w:left w:val="single" w:sz="4" w:space="0" w:color="939598"/>
              <w:bottom w:val="single" w:sz="4" w:space="0" w:color="808080" w:themeColor="background1" w:themeShade="80"/>
            </w:tcBorders>
            <w:shd w:val="clear" w:color="auto" w:fill="051C3C"/>
          </w:tcPr>
          <w:p w14:paraId="73155BA5" w14:textId="77777777" w:rsidR="00875574" w:rsidRPr="00AE2EA6" w:rsidRDefault="00875574" w:rsidP="00C81733">
            <w:pPr>
              <w:pStyle w:val="Tableheading"/>
              <w:keepNext/>
              <w:jc w:val="center"/>
              <w:rPr>
                <w:color w:val="FFFFFF" w:themeColor="background1"/>
                <w:sz w:val="18"/>
              </w:rPr>
            </w:pPr>
            <w:r w:rsidRPr="00AE2EA6">
              <w:rPr>
                <w:color w:val="FFFFFF" w:themeColor="background1"/>
                <w:sz w:val="18"/>
              </w:rPr>
              <w:t>N/A</w:t>
            </w:r>
          </w:p>
        </w:tc>
      </w:tr>
      <w:tr w:rsidR="00875574" w:rsidRPr="00AE2EA6" w14:paraId="7A1A3F6B"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541D877" w14:textId="7A13258A" w:rsidR="00875574" w:rsidRPr="00AE2EA6" w:rsidRDefault="00875574" w:rsidP="00875574">
            <w:pPr>
              <w:pStyle w:val="Tableheading"/>
              <w:keepNext/>
              <w:rPr>
                <w:color w:val="FFFFFF" w:themeColor="background1"/>
                <w:sz w:val="18"/>
              </w:rPr>
            </w:pPr>
            <w:r w:rsidRPr="002252BE">
              <w:t xml:space="preserve">Division 7A </w:t>
            </w:r>
            <w:r w:rsidRPr="00BE189C">
              <w:rPr>
                <w:b w:val="0"/>
              </w:rPr>
              <w:t>(continued)</w:t>
            </w:r>
          </w:p>
        </w:tc>
      </w:tr>
      <w:tr w:rsidR="00875574" w:rsidRPr="00AE2EA6" w14:paraId="1558A22E"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shd w:val="clear" w:color="auto" w:fill="auto"/>
          </w:tcPr>
          <w:p w14:paraId="75833B0C" w14:textId="77777777" w:rsidR="00875574" w:rsidRPr="002252BE" w:rsidRDefault="00875574" w:rsidP="00875574">
            <w:pPr>
              <w:pStyle w:val="Table"/>
            </w:pPr>
            <w:r w:rsidRPr="002252BE">
              <w:t>Check whether corrective action can be undertaken to eliminate a deemed dividend which arose because of an honest mistake or inadvertent error by applying to the Commissioner to disregard the deemed dividend or allow it to be franked.</w:t>
            </w:r>
          </w:p>
          <w:p w14:paraId="299EB078" w14:textId="467D3784" w:rsidR="00875574" w:rsidRPr="00875574" w:rsidRDefault="00875574" w:rsidP="00875574">
            <w:pPr>
              <w:pStyle w:val="Tableheading"/>
              <w:keepNext/>
              <w:rPr>
                <w:b w:val="0"/>
                <w:color w:val="FFFFFF" w:themeColor="background1"/>
                <w:sz w:val="18"/>
              </w:rPr>
            </w:pPr>
            <w:r w:rsidRPr="00875574">
              <w:rPr>
                <w:sz w:val="14"/>
                <w:szCs w:val="14"/>
              </w:rPr>
              <w:t>Note:</w:t>
            </w:r>
            <w:r w:rsidRPr="00875574">
              <w:rPr>
                <w:b w:val="0"/>
                <w:sz w:val="14"/>
                <w:szCs w:val="14"/>
              </w:rPr>
              <w:t xml:space="preserve"> post 16 December 2009, unpaid present entitlements may be treated as deemed loans for Division 7A purposes. Please refer to CPA Australia’s Division 7A checklist for further information.</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auto"/>
          </w:tcPr>
          <w:p w14:paraId="47E4BADE" w14:textId="77777777" w:rsidR="00875574" w:rsidRPr="00AE2EA6" w:rsidRDefault="00875574" w:rsidP="00C81733">
            <w:pPr>
              <w:pStyle w:val="Tableheading"/>
              <w:keepNext/>
              <w:jc w:val="center"/>
              <w:rPr>
                <w:color w:val="FFFFFF" w:themeColor="background1"/>
                <w:sz w:val="18"/>
              </w:rP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auto"/>
          </w:tcPr>
          <w:p w14:paraId="2CE1B73C" w14:textId="77777777" w:rsidR="00875574" w:rsidRPr="00AE2EA6" w:rsidRDefault="00875574" w:rsidP="00C81733">
            <w:pPr>
              <w:pStyle w:val="Tableheading"/>
              <w:keepNext/>
              <w:jc w:val="center"/>
              <w:rPr>
                <w:color w:val="FFFFFF" w:themeColor="background1"/>
                <w:sz w:val="18"/>
              </w:rPr>
            </w:pPr>
          </w:p>
        </w:tc>
        <w:tc>
          <w:tcPr>
            <w:tcW w:w="363"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shd w:val="clear" w:color="auto" w:fill="auto"/>
          </w:tcPr>
          <w:p w14:paraId="6A3F3171" w14:textId="77777777" w:rsidR="00875574" w:rsidRPr="00AE2EA6" w:rsidRDefault="00875574" w:rsidP="00C81733">
            <w:pPr>
              <w:pStyle w:val="Tableheading"/>
              <w:keepNext/>
              <w:jc w:val="center"/>
              <w:rPr>
                <w:color w:val="FFFFFF" w:themeColor="background1"/>
                <w:sz w:val="18"/>
              </w:rPr>
            </w:pPr>
          </w:p>
        </w:tc>
      </w:tr>
      <w:tr w:rsidR="00875574" w:rsidRPr="00AE2EA6" w14:paraId="4BF9E30C" w14:textId="77777777" w:rsidTr="00952FCB">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939598"/>
            </w:tcBorders>
            <w:shd w:val="clear" w:color="auto" w:fill="auto"/>
          </w:tcPr>
          <w:p w14:paraId="2105645B" w14:textId="77777777" w:rsidR="00875574" w:rsidRDefault="00875574" w:rsidP="00875574">
            <w:pPr>
              <w:pStyle w:val="Tableheading"/>
            </w:pPr>
            <w:r>
              <w:t>Comments:</w:t>
            </w:r>
          </w:p>
          <w:p w14:paraId="66E7C189" w14:textId="77777777" w:rsidR="00875574" w:rsidRDefault="00875574" w:rsidP="00875574">
            <w:pPr>
              <w:pStyle w:val="Tableheading"/>
            </w:pPr>
          </w:p>
          <w:p w14:paraId="54ED05BD" w14:textId="77777777" w:rsidR="00875574" w:rsidRDefault="00875574" w:rsidP="00875574">
            <w:pPr>
              <w:pStyle w:val="Tableheading"/>
              <w:keepNext/>
              <w:rPr>
                <w:color w:val="FFFFFF" w:themeColor="background1"/>
                <w:sz w:val="18"/>
              </w:rPr>
            </w:pP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auto"/>
          </w:tcPr>
          <w:p w14:paraId="240204D8" w14:textId="77777777" w:rsidR="00875574" w:rsidRPr="00AE2EA6" w:rsidRDefault="00875574" w:rsidP="00C81733">
            <w:pPr>
              <w:pStyle w:val="Tableheading"/>
              <w:keepNext/>
              <w:jc w:val="center"/>
              <w:rPr>
                <w:color w:val="FFFFFF" w:themeColor="background1"/>
                <w:sz w:val="18"/>
              </w:rPr>
            </w:pP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auto"/>
          </w:tcPr>
          <w:p w14:paraId="7C809C7F" w14:textId="77777777" w:rsidR="00875574" w:rsidRPr="00AE2EA6" w:rsidRDefault="00875574" w:rsidP="00C81733">
            <w:pPr>
              <w:pStyle w:val="Tableheading"/>
              <w:keepNext/>
              <w:jc w:val="center"/>
              <w:rPr>
                <w:color w:val="FFFFFF" w:themeColor="background1"/>
                <w:sz w:val="18"/>
              </w:rPr>
            </w:pPr>
          </w:p>
        </w:tc>
        <w:tc>
          <w:tcPr>
            <w:tcW w:w="363" w:type="pct"/>
            <w:tcBorders>
              <w:top w:val="single" w:sz="4" w:space="0" w:color="808080" w:themeColor="background1" w:themeShade="80"/>
              <w:left w:val="single" w:sz="4" w:space="0" w:color="939598"/>
              <w:bottom w:val="single" w:sz="4" w:space="0" w:color="808080" w:themeColor="background1" w:themeShade="80"/>
              <w:right w:val="single" w:sz="4" w:space="0" w:color="808080" w:themeColor="background1" w:themeShade="80"/>
            </w:tcBorders>
            <w:shd w:val="clear" w:color="auto" w:fill="auto"/>
          </w:tcPr>
          <w:p w14:paraId="6D009FA8" w14:textId="77777777" w:rsidR="00875574" w:rsidRPr="00AE2EA6" w:rsidRDefault="00875574" w:rsidP="00C81733">
            <w:pPr>
              <w:pStyle w:val="Tableheading"/>
              <w:keepNext/>
              <w:jc w:val="center"/>
              <w:rPr>
                <w:color w:val="FFFFFF" w:themeColor="background1"/>
                <w:sz w:val="18"/>
              </w:rPr>
            </w:pPr>
          </w:p>
        </w:tc>
      </w:tr>
      <w:tr w:rsidR="00367616" w:rsidRPr="000A401A" w14:paraId="2A2F2355" w14:textId="77777777" w:rsidTr="00952FCB">
        <w:tc>
          <w:tcPr>
            <w:tcW w:w="3905" w:type="pct"/>
            <w:tcBorders>
              <w:top w:val="single" w:sz="4" w:space="0" w:color="808080" w:themeColor="background1" w:themeShade="80"/>
              <w:bottom w:val="single" w:sz="4" w:space="0" w:color="808080" w:themeColor="background1" w:themeShade="80"/>
              <w:right w:val="single" w:sz="4" w:space="0" w:color="939598"/>
            </w:tcBorders>
            <w:shd w:val="clear" w:color="auto" w:fill="051C3C"/>
          </w:tcPr>
          <w:p w14:paraId="7BDCE637" w14:textId="77777777" w:rsidR="00367616" w:rsidRPr="00AE2EA6" w:rsidRDefault="00367616" w:rsidP="00EC19BC">
            <w:pPr>
              <w:pStyle w:val="Tableheading"/>
              <w:keepNext/>
              <w:rPr>
                <w:color w:val="FFFFFF" w:themeColor="background1"/>
                <w:sz w:val="18"/>
              </w:rPr>
            </w:pPr>
            <w:r w:rsidRPr="00AE2EA6">
              <w:rPr>
                <w:color w:val="FFFFFF" w:themeColor="background1"/>
                <w:sz w:val="18"/>
              </w:rPr>
              <w:t xml:space="preserve">Tax Compliance </w:t>
            </w:r>
          </w:p>
        </w:tc>
        <w:tc>
          <w:tcPr>
            <w:tcW w:w="367"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6478CF7A"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Yes</w:t>
            </w:r>
          </w:p>
        </w:tc>
        <w:tc>
          <w:tcPr>
            <w:tcW w:w="365" w:type="pct"/>
            <w:tcBorders>
              <w:top w:val="single" w:sz="4" w:space="0" w:color="808080" w:themeColor="background1" w:themeShade="80"/>
              <w:left w:val="single" w:sz="4" w:space="0" w:color="939598"/>
              <w:bottom w:val="single" w:sz="4" w:space="0" w:color="808080" w:themeColor="background1" w:themeShade="80"/>
              <w:right w:val="single" w:sz="4" w:space="0" w:color="939598"/>
            </w:tcBorders>
            <w:shd w:val="clear" w:color="auto" w:fill="051C3C"/>
          </w:tcPr>
          <w:p w14:paraId="09BC7322"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No</w:t>
            </w:r>
          </w:p>
        </w:tc>
        <w:tc>
          <w:tcPr>
            <w:tcW w:w="363" w:type="pct"/>
            <w:tcBorders>
              <w:top w:val="single" w:sz="4" w:space="0" w:color="808080" w:themeColor="background1" w:themeShade="80"/>
              <w:left w:val="single" w:sz="4" w:space="0" w:color="939598"/>
              <w:bottom w:val="single" w:sz="4" w:space="0" w:color="808080" w:themeColor="background1" w:themeShade="80"/>
            </w:tcBorders>
            <w:shd w:val="clear" w:color="auto" w:fill="051C3C"/>
          </w:tcPr>
          <w:p w14:paraId="1D99A3D7"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N/A</w:t>
            </w:r>
          </w:p>
        </w:tc>
      </w:tr>
      <w:tr w:rsidR="00310B6A" w:rsidRPr="00B340A7" w14:paraId="4649D7C5"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6B3E81" w14:textId="77777777" w:rsidR="00310B6A" w:rsidRPr="00B340A7" w:rsidRDefault="00310B6A" w:rsidP="00310B6A">
            <w:pPr>
              <w:pStyle w:val="Tableheading"/>
            </w:pPr>
            <w:r w:rsidRPr="002252BE">
              <w:t xml:space="preserve">Research and development </w:t>
            </w:r>
          </w:p>
        </w:tc>
      </w:tr>
      <w:tr w:rsidR="00367616" w:rsidRPr="002252BE" w14:paraId="07B17905" w14:textId="77777777" w:rsidTr="005D399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50"/>
        </w:trPr>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7729E" w14:textId="47D1AE1D" w:rsidR="00367616" w:rsidRPr="001D0A83" w:rsidRDefault="00C97148" w:rsidP="00D129D9">
            <w:pPr>
              <w:pStyle w:val="Table"/>
            </w:pPr>
            <w:r w:rsidRPr="001D0A83">
              <w:t>Ascertain whether a company may be eligible for the R&amp;D tax incentive for companies whose aggregate turnover is less than $20 million and are not controlled by income tax exempt entities</w:t>
            </w:r>
            <w:r w:rsidR="005D3995">
              <w:t>,</w:t>
            </w:r>
            <w:r w:rsidR="00D162BB">
              <w:t xml:space="preserve"> in which case a</w:t>
            </w:r>
            <w:r w:rsidRPr="001D0A83">
              <w:t xml:space="preserve"> 45% refundable </w:t>
            </w:r>
            <w:r w:rsidR="00D162BB">
              <w:t xml:space="preserve">tax </w:t>
            </w:r>
            <w:r w:rsidRPr="001D0A83">
              <w:t>offset is available. If the company</w:t>
            </w:r>
            <w:r w:rsidR="00D162BB">
              <w:t>’s</w:t>
            </w:r>
            <w:r w:rsidRPr="001D0A83">
              <w:t xml:space="preserve"> aggregate turnover exceeds $20 million, a 40% non-refundable tax offs</w:t>
            </w:r>
            <w:r w:rsidR="00112FC6">
              <w:t xml:space="preserve">et is available. </w:t>
            </w:r>
          </w:p>
          <w:p w14:paraId="7A9187B8" w14:textId="096791F3" w:rsidR="00367616" w:rsidRPr="005D3995" w:rsidRDefault="00112FC6" w:rsidP="00161668">
            <w:pPr>
              <w:pStyle w:val="Source"/>
              <w:tabs>
                <w:tab w:val="clear" w:pos="368"/>
                <w:tab w:val="left" w:pos="0"/>
              </w:tabs>
              <w:spacing w:before="160" w:after="80"/>
              <w:ind w:left="0" w:right="0" w:firstLine="0"/>
              <w:rPr>
                <w:i w:val="0"/>
                <w:color w:val="auto"/>
                <w:sz w:val="14"/>
                <w:szCs w:val="14"/>
              </w:rPr>
            </w:pPr>
            <w:r w:rsidRPr="005D3995">
              <w:rPr>
                <w:b/>
                <w:i w:val="0"/>
                <w:color w:val="auto"/>
                <w:sz w:val="14"/>
                <w:szCs w:val="14"/>
              </w:rPr>
              <w:t>Note:</w:t>
            </w:r>
            <w:r w:rsidR="00D162BB" w:rsidRPr="005D3995">
              <w:rPr>
                <w:b/>
                <w:i w:val="0"/>
                <w:color w:val="auto"/>
                <w:sz w:val="14"/>
                <w:szCs w:val="14"/>
              </w:rPr>
              <w:t xml:space="preserve"> </w:t>
            </w:r>
            <w:r w:rsidR="00161668" w:rsidRPr="005D3995">
              <w:rPr>
                <w:rFonts w:cs="Arial"/>
                <w:i w:val="0"/>
                <w:color w:val="auto"/>
                <w:sz w:val="14"/>
                <w:szCs w:val="14"/>
                <w:shd w:val="clear" w:color="auto" w:fill="FFFFFF"/>
              </w:rPr>
              <w:t>where an entity’s notional R&amp;D deductions exceed $100 million for an income year, the rate of the R&amp;D tax offset is reduced to the company tax rate for that portion exceeding $100 million</w:t>
            </w:r>
            <w:r w:rsidR="009C3F32" w:rsidRPr="005D3995">
              <w:rPr>
                <w:i w:val="0"/>
                <w:color w:val="auto"/>
                <w:sz w:val="14"/>
                <w:szCs w:val="14"/>
              </w:rPr>
              <w:t>.</w:t>
            </w:r>
          </w:p>
          <w:p w14:paraId="5F24C6E7" w14:textId="2EA2CB10" w:rsidR="00B54455" w:rsidRPr="009F0C8F" w:rsidRDefault="00B54455" w:rsidP="00884467">
            <w:pPr>
              <w:pStyle w:val="Source"/>
              <w:tabs>
                <w:tab w:val="clear" w:pos="368"/>
                <w:tab w:val="left" w:pos="0"/>
              </w:tabs>
              <w:spacing w:before="160" w:after="80"/>
              <w:ind w:left="0" w:right="0" w:firstLine="0"/>
              <w:rPr>
                <w:sz w:val="14"/>
                <w:szCs w:val="14"/>
              </w:rPr>
            </w:pPr>
            <w:r>
              <w:rPr>
                <w:i w:val="0"/>
                <w:sz w:val="14"/>
                <w:szCs w:val="14"/>
              </w:rPr>
              <w:t xml:space="preserve">It should also be noted that </w:t>
            </w:r>
            <w:r w:rsidR="00884467">
              <w:rPr>
                <w:i w:val="0"/>
                <w:sz w:val="14"/>
                <w:szCs w:val="14"/>
              </w:rPr>
              <w:t xml:space="preserve">it has been proposed that the refundable R&amp;D tax offset be reduced to 43.5% and the non-refundable tax offset be cut to 38.5% from 1 July 2014 but legislation proposing such changes has not been passed by Parliament, and that the current offset rates therefore continue to apply.     </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F6BE7" w14:textId="77777777" w:rsidR="00367616" w:rsidRPr="002252BE" w:rsidRDefault="00367616"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B4A8C" w14:textId="77777777" w:rsidR="00367616" w:rsidRPr="002252BE" w:rsidRDefault="00367616" w:rsidP="00184E12">
            <w:pPr>
              <w:pStyle w:val="Body"/>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7973A" w14:textId="77777777" w:rsidR="00367616" w:rsidRPr="002252BE" w:rsidRDefault="00367616" w:rsidP="00184E12">
            <w:pPr>
              <w:pStyle w:val="Body"/>
              <w:jc w:val="center"/>
            </w:pPr>
          </w:p>
        </w:tc>
      </w:tr>
      <w:tr w:rsidR="004D257C" w:rsidRPr="00B340A7" w14:paraId="465ACFAD"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7C6C7D" w14:textId="77777777" w:rsidR="004D257C" w:rsidRPr="00B340A7" w:rsidRDefault="004D257C" w:rsidP="004D257C">
            <w:pPr>
              <w:pStyle w:val="Tableheading"/>
            </w:pPr>
            <w:r w:rsidRPr="002252BE">
              <w:t>Superannuation guarantee – ‘ordinary times earnings’</w:t>
            </w:r>
            <w:r>
              <w:t xml:space="preserve"> </w:t>
            </w:r>
          </w:p>
        </w:tc>
      </w:tr>
      <w:tr w:rsidR="007F0E61" w:rsidRPr="002252BE" w14:paraId="3A3A1017" w14:textId="77777777" w:rsidTr="005D399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DF8A4" w14:textId="77777777" w:rsidR="007F0E61" w:rsidRPr="002252BE" w:rsidRDefault="007F0E61" w:rsidP="00C4086E">
            <w:pPr>
              <w:pStyle w:val="Table"/>
            </w:pPr>
            <w:r w:rsidRPr="002252BE">
              <w:t xml:space="preserve">Consider whether all required Superannuation Guarantee (SG) contributions have been made for </w:t>
            </w:r>
            <w:r>
              <w:br/>
            </w:r>
            <w:r w:rsidRPr="002252BE">
              <w:t>the year.</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8686B" w14:textId="77777777" w:rsidR="007F0E61" w:rsidRPr="002252BE" w:rsidRDefault="007F0E61"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ABD97" w14:textId="77777777" w:rsidR="007F0E61" w:rsidRPr="002252BE" w:rsidRDefault="007F0E61"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783946" w14:textId="77777777" w:rsidR="007F0E61" w:rsidRPr="002252BE" w:rsidRDefault="007F0E61" w:rsidP="00184E12">
            <w:pPr>
              <w:pStyle w:val="Table"/>
              <w:jc w:val="center"/>
            </w:pPr>
          </w:p>
        </w:tc>
      </w:tr>
      <w:tr w:rsidR="007F0E61" w:rsidRPr="00606BDD" w14:paraId="667192EF" w14:textId="77777777" w:rsidTr="005D399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81E24" w14:textId="590D2875" w:rsidR="007F0E61" w:rsidRPr="002252BE" w:rsidRDefault="007F0E61" w:rsidP="00C4086E">
            <w:pPr>
              <w:pStyle w:val="Table"/>
            </w:pPr>
            <w:r w:rsidRPr="002252BE">
              <w:t>Consider whether the payroll needs to be reviewed to ensure that Superannuation Guarantee calculation is based on the employees’ ordinary time earnings as opposed to salary and wage</w:t>
            </w:r>
            <w:r w:rsidR="00161668">
              <w:t>s</w:t>
            </w:r>
            <w:r w:rsidRPr="002252BE">
              <w:t>.</w:t>
            </w:r>
          </w:p>
          <w:p w14:paraId="60F93879" w14:textId="7B65F382" w:rsidR="007F0E61" w:rsidRPr="009F0C8F" w:rsidRDefault="007F0E61" w:rsidP="007E027D">
            <w:pPr>
              <w:pStyle w:val="Source"/>
              <w:tabs>
                <w:tab w:val="clear" w:pos="368"/>
                <w:tab w:val="left" w:pos="0"/>
              </w:tabs>
              <w:spacing w:before="120"/>
              <w:ind w:left="0" w:right="-119" w:firstLine="0"/>
              <w:rPr>
                <w:sz w:val="14"/>
                <w:szCs w:val="14"/>
              </w:rPr>
            </w:pPr>
            <w:r w:rsidRPr="009F0C8F">
              <w:rPr>
                <w:b/>
                <w:i w:val="0"/>
                <w:sz w:val="14"/>
                <w:szCs w:val="14"/>
              </w:rPr>
              <w:t>Note</w:t>
            </w:r>
            <w:r w:rsidRPr="009F0C8F">
              <w:rPr>
                <w:i w:val="0"/>
                <w:sz w:val="14"/>
                <w:szCs w:val="14"/>
              </w:rPr>
              <w:t>: for more information about what constitutes ordinary time earnings please refer to Superannuation Guarantee Ruling SGR 2009/2.</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85B4A" w14:textId="77777777" w:rsidR="007F0E61" w:rsidRPr="002252BE" w:rsidRDefault="007F0E61" w:rsidP="00184E12">
            <w:pPr>
              <w:pStyle w:val="Table"/>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2FDD8" w14:textId="77777777" w:rsidR="007F0E61" w:rsidRPr="002252BE" w:rsidRDefault="007F0E61" w:rsidP="00184E12">
            <w:pPr>
              <w:pStyle w:val="Table"/>
              <w:jc w:val="center"/>
            </w:pP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61511D" w14:textId="77777777" w:rsidR="007F0E61" w:rsidRPr="002252BE" w:rsidRDefault="007F0E61" w:rsidP="00184E12">
            <w:pPr>
              <w:pStyle w:val="Table"/>
              <w:jc w:val="center"/>
            </w:pPr>
          </w:p>
        </w:tc>
      </w:tr>
      <w:tr w:rsidR="007F0E61" w:rsidRPr="00AF24CF" w14:paraId="668D5E26" w14:textId="77777777" w:rsidTr="00EC19BC">
        <w:tc>
          <w:tcPr>
            <w:tcW w:w="5000" w:type="pct"/>
            <w:gridSpan w:val="4"/>
            <w:tcBorders>
              <w:top w:val="single" w:sz="4" w:space="0" w:color="939598"/>
              <w:bottom w:val="nil"/>
            </w:tcBorders>
          </w:tcPr>
          <w:p w14:paraId="2E1ECD04" w14:textId="77777777" w:rsidR="007F0E61" w:rsidRDefault="007F0E61" w:rsidP="00EC19BC">
            <w:pPr>
              <w:pStyle w:val="Tableheading"/>
            </w:pPr>
            <w:r>
              <w:t>Comments:</w:t>
            </w:r>
          </w:p>
          <w:p w14:paraId="6EABE565" w14:textId="77777777" w:rsidR="004D257C" w:rsidRDefault="004D257C" w:rsidP="00EC19BC">
            <w:pPr>
              <w:pStyle w:val="Tableheading"/>
            </w:pPr>
          </w:p>
          <w:p w14:paraId="538C56D1" w14:textId="77777777" w:rsidR="004D257C" w:rsidRDefault="004D257C" w:rsidP="00EC19BC">
            <w:pPr>
              <w:pStyle w:val="Tableheading"/>
            </w:pPr>
          </w:p>
          <w:p w14:paraId="49EB64F8" w14:textId="77777777" w:rsidR="004D257C" w:rsidRPr="00AF24CF" w:rsidRDefault="004D257C" w:rsidP="00EC19BC">
            <w:pPr>
              <w:pStyle w:val="Tableheading"/>
            </w:pPr>
          </w:p>
        </w:tc>
      </w:tr>
    </w:tbl>
    <w:p w14:paraId="5861D2C3" w14:textId="77777777" w:rsidR="00367616" w:rsidRPr="002C7914" w:rsidRDefault="00367616" w:rsidP="003A3FE5">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93"/>
        <w:gridCol w:w="719"/>
        <w:gridCol w:w="744"/>
      </w:tblGrid>
      <w:tr w:rsidR="00367616" w:rsidRPr="000A401A" w14:paraId="764035A0"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035DAC1A" w14:textId="77777777" w:rsidR="00367616" w:rsidRPr="005F16DB" w:rsidRDefault="00367616" w:rsidP="00845F4E">
            <w:pPr>
              <w:pStyle w:val="Tableheading"/>
              <w:rPr>
                <w:b w:val="0"/>
                <w:color w:val="FFFFFF" w:themeColor="background1"/>
                <w:sz w:val="18"/>
              </w:rPr>
            </w:pPr>
            <w:r w:rsidRPr="005F16DB">
              <w:rPr>
                <w:b w:val="0"/>
                <w:color w:val="FFFFFF" w:themeColor="background1"/>
                <w:sz w:val="18"/>
              </w:rPr>
              <w:t xml:space="preserve">Tax Consolidation </w:t>
            </w:r>
          </w:p>
        </w:tc>
        <w:tc>
          <w:tcPr>
            <w:tcW w:w="38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3BA01572" w14:textId="77777777" w:rsidR="00367616" w:rsidRPr="00AE2EA6" w:rsidRDefault="00367616" w:rsidP="00845F4E">
            <w:pPr>
              <w:pStyle w:val="Tableheading"/>
              <w:jc w:val="center"/>
              <w:rPr>
                <w:color w:val="FFFFFF" w:themeColor="background1"/>
                <w:sz w:val="18"/>
              </w:rPr>
            </w:pPr>
            <w:r w:rsidRPr="00AE2EA6">
              <w:rPr>
                <w:color w:val="FFFFFF" w:themeColor="background1"/>
                <w:sz w:val="18"/>
              </w:rPr>
              <w:t>Yes</w:t>
            </w:r>
          </w:p>
        </w:tc>
        <w:tc>
          <w:tcPr>
            <w:tcW w:w="349"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7639281" w14:textId="77777777" w:rsidR="00367616" w:rsidRPr="00AE2EA6" w:rsidRDefault="00367616" w:rsidP="00845F4E">
            <w:pPr>
              <w:pStyle w:val="Tableheading"/>
              <w:jc w:val="center"/>
              <w:rPr>
                <w:color w:val="FFFFFF" w:themeColor="background1"/>
                <w:sz w:val="18"/>
              </w:rPr>
            </w:pPr>
            <w:r w:rsidRPr="00AE2EA6">
              <w:rPr>
                <w:color w:val="FFFFFF" w:themeColor="background1"/>
                <w:sz w:val="18"/>
              </w:rPr>
              <w:t>No</w:t>
            </w:r>
          </w:p>
        </w:tc>
        <w:tc>
          <w:tcPr>
            <w:tcW w:w="361" w:type="pct"/>
            <w:tcBorders>
              <w:top w:val="single" w:sz="4" w:space="0" w:color="939598"/>
              <w:left w:val="single" w:sz="4" w:space="0" w:color="939598"/>
              <w:bottom w:val="single" w:sz="4" w:space="0" w:color="808080" w:themeColor="background1" w:themeShade="80"/>
            </w:tcBorders>
            <w:shd w:val="clear" w:color="auto" w:fill="051C3C"/>
          </w:tcPr>
          <w:p w14:paraId="11F81B69" w14:textId="77777777" w:rsidR="00367616" w:rsidRPr="00AE2EA6" w:rsidRDefault="00367616" w:rsidP="00845F4E">
            <w:pPr>
              <w:pStyle w:val="Tableheading"/>
              <w:jc w:val="center"/>
              <w:rPr>
                <w:color w:val="FFFFFF" w:themeColor="background1"/>
                <w:sz w:val="18"/>
              </w:rPr>
            </w:pPr>
            <w:r w:rsidRPr="00AE2EA6">
              <w:rPr>
                <w:color w:val="FFFFFF" w:themeColor="background1"/>
                <w:sz w:val="18"/>
              </w:rPr>
              <w:t>N/A</w:t>
            </w:r>
          </w:p>
        </w:tc>
      </w:tr>
      <w:tr w:rsidR="004D257C" w:rsidRPr="00B340A7" w14:paraId="3F2077FC"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8563AF5" w14:textId="77777777" w:rsidR="004D257C" w:rsidRPr="005F16DB" w:rsidRDefault="004D257C" w:rsidP="004D257C">
            <w:pPr>
              <w:pStyle w:val="Tableheading"/>
              <w:rPr>
                <w:b w:val="0"/>
              </w:rPr>
            </w:pPr>
            <w:r w:rsidRPr="005F16DB">
              <w:rPr>
                <w:b w:val="0"/>
              </w:rPr>
              <w:t xml:space="preserve">General </w:t>
            </w:r>
          </w:p>
        </w:tc>
      </w:tr>
      <w:tr w:rsidR="00367616" w:rsidRPr="002252BE" w14:paraId="087BD87E"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7D41D" w14:textId="77777777" w:rsidR="00367616" w:rsidRPr="005F16DB" w:rsidRDefault="00367616" w:rsidP="003A3FE5">
            <w:pPr>
              <w:pStyle w:val="Table"/>
            </w:pPr>
            <w:r w:rsidRPr="005F16DB">
              <w:t>If the taxpayer is part of a corporate group, consider the best time to consolidate if the taxpayer has not already done so.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14702" w14:textId="77777777" w:rsidR="00367616" w:rsidRPr="002252BE" w:rsidRDefault="00367616" w:rsidP="00184E12">
            <w:pPr>
              <w:pStyle w:val="Table"/>
              <w:jc w:val="center"/>
            </w:pPr>
          </w:p>
        </w:tc>
        <w:tc>
          <w:tcPr>
            <w:tcW w:w="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DF5D7" w14:textId="77777777" w:rsidR="00367616" w:rsidRPr="002252BE" w:rsidRDefault="00367616" w:rsidP="00184E12">
            <w:pPr>
              <w:pStyle w:val="Table"/>
              <w:jc w:val="center"/>
            </w:pPr>
          </w:p>
        </w:tc>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CF1FB" w14:textId="77777777" w:rsidR="00367616" w:rsidRPr="002252BE" w:rsidRDefault="00367616" w:rsidP="00184E12">
            <w:pPr>
              <w:pStyle w:val="Table"/>
              <w:jc w:val="center"/>
            </w:pPr>
          </w:p>
        </w:tc>
      </w:tr>
      <w:tr w:rsidR="00367616" w:rsidRPr="002252BE" w14:paraId="6F031F4F"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D16FF" w14:textId="77777777" w:rsidR="00367616" w:rsidRPr="005F16DB" w:rsidRDefault="00367616" w:rsidP="003A3FE5">
            <w:pPr>
              <w:pStyle w:val="Table"/>
            </w:pPr>
            <w:r w:rsidRPr="005F16DB">
              <w:t>Consider selling shares in certain wholly owned subsidiaries to exclude the entities from consolidation if the taxpayer does not want the entities to be part of the tax consolidation group.</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7E81A" w14:textId="77777777" w:rsidR="00367616" w:rsidRPr="002252BE" w:rsidRDefault="00367616" w:rsidP="00184E12">
            <w:pPr>
              <w:pStyle w:val="Table"/>
              <w:jc w:val="center"/>
            </w:pPr>
          </w:p>
        </w:tc>
        <w:tc>
          <w:tcPr>
            <w:tcW w:w="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0163D" w14:textId="77777777" w:rsidR="00367616" w:rsidRPr="002252BE" w:rsidRDefault="00367616" w:rsidP="00184E12">
            <w:pPr>
              <w:pStyle w:val="Table"/>
              <w:jc w:val="center"/>
            </w:pPr>
          </w:p>
        </w:tc>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1C36E" w14:textId="77777777" w:rsidR="00367616" w:rsidRPr="002252BE" w:rsidRDefault="00367616" w:rsidP="00184E12">
            <w:pPr>
              <w:pStyle w:val="Table"/>
              <w:jc w:val="center"/>
            </w:pPr>
          </w:p>
        </w:tc>
      </w:tr>
      <w:tr w:rsidR="00367616" w:rsidRPr="002252BE" w14:paraId="2DD15848"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8B34" w14:textId="77777777" w:rsidR="00367616" w:rsidRPr="005F16DB" w:rsidRDefault="009C3F32" w:rsidP="0045581E">
            <w:pPr>
              <w:pStyle w:val="Table"/>
            </w:pPr>
            <w:r w:rsidRPr="005F16DB">
              <w:t xml:space="preserve">Consider whether </w:t>
            </w:r>
            <w:r w:rsidR="0045143D" w:rsidRPr="005F16DB">
              <w:t xml:space="preserve">tax sharing </w:t>
            </w:r>
            <w:r w:rsidR="00606BDD" w:rsidRPr="005F16DB">
              <w:t xml:space="preserve">and tax funding </w:t>
            </w:r>
            <w:r w:rsidR="0045143D" w:rsidRPr="005F16DB">
              <w:t>agreement</w:t>
            </w:r>
            <w:r w:rsidR="00606BDD" w:rsidRPr="005F16DB">
              <w:t>s</w:t>
            </w:r>
            <w:r w:rsidR="0045143D" w:rsidRPr="005F16DB">
              <w:t xml:space="preserve"> should be put in place for the existing tax consolidated group</w:t>
            </w:r>
            <w:r w:rsidR="005157C4" w:rsidRPr="005F16DB">
              <w:t>.</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D0CE0" w14:textId="77777777" w:rsidR="00367616" w:rsidRPr="002252BE" w:rsidRDefault="00367616" w:rsidP="0045581E">
            <w:pPr>
              <w:pStyle w:val="Table"/>
            </w:pPr>
          </w:p>
        </w:tc>
        <w:tc>
          <w:tcPr>
            <w:tcW w:w="3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F3D60D" w14:textId="77777777" w:rsidR="00367616" w:rsidRPr="002252BE" w:rsidRDefault="00367616" w:rsidP="0045581E">
            <w:pPr>
              <w:pStyle w:val="Table"/>
            </w:pPr>
          </w:p>
        </w:tc>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7811F" w14:textId="77777777" w:rsidR="00367616" w:rsidRPr="002252BE" w:rsidRDefault="00367616" w:rsidP="0045581E">
            <w:pPr>
              <w:pStyle w:val="Table"/>
            </w:pPr>
          </w:p>
        </w:tc>
      </w:tr>
      <w:tr w:rsidR="00367616" w:rsidRPr="00AF24CF" w14:paraId="4F1DFCD9" w14:textId="77777777" w:rsidTr="00952FCB">
        <w:tc>
          <w:tcPr>
            <w:tcW w:w="5000" w:type="pct"/>
            <w:gridSpan w:val="4"/>
            <w:tcBorders>
              <w:top w:val="single" w:sz="4" w:space="0" w:color="808080" w:themeColor="background1" w:themeShade="80"/>
              <w:bottom w:val="single" w:sz="4" w:space="0" w:color="939598"/>
            </w:tcBorders>
          </w:tcPr>
          <w:p w14:paraId="533489B6" w14:textId="77777777" w:rsidR="00367616" w:rsidRPr="005F16DB" w:rsidRDefault="00367616" w:rsidP="00EC19BC">
            <w:pPr>
              <w:pStyle w:val="Tableheading"/>
              <w:rPr>
                <w:b w:val="0"/>
              </w:rPr>
            </w:pPr>
            <w:r w:rsidRPr="005F16DB">
              <w:rPr>
                <w:b w:val="0"/>
              </w:rPr>
              <w:t>Comments:</w:t>
            </w:r>
          </w:p>
          <w:p w14:paraId="2193F6DE" w14:textId="77777777" w:rsidR="004D257C" w:rsidRPr="005F16DB" w:rsidRDefault="004D257C" w:rsidP="00EC19BC">
            <w:pPr>
              <w:pStyle w:val="Tableheading"/>
              <w:rPr>
                <w:b w:val="0"/>
              </w:rPr>
            </w:pPr>
          </w:p>
          <w:p w14:paraId="44725DC4" w14:textId="77777777" w:rsidR="009C3F32" w:rsidRPr="005F16DB" w:rsidRDefault="009C3F32" w:rsidP="00EC19BC">
            <w:pPr>
              <w:pStyle w:val="Tableheading"/>
              <w:rPr>
                <w:b w:val="0"/>
              </w:rPr>
            </w:pPr>
          </w:p>
          <w:p w14:paraId="72840E1A" w14:textId="77777777" w:rsidR="004D257C" w:rsidRPr="005F16DB" w:rsidRDefault="004D257C" w:rsidP="00EC19BC">
            <w:pPr>
              <w:pStyle w:val="Tableheading"/>
              <w:rPr>
                <w:b w:val="0"/>
              </w:rPr>
            </w:pPr>
          </w:p>
        </w:tc>
      </w:tr>
    </w:tbl>
    <w:p w14:paraId="4C79DEFB" w14:textId="77777777" w:rsidR="00367616" w:rsidRPr="002C7914" w:rsidRDefault="00367616" w:rsidP="00673944">
      <w:pPr>
        <w:pStyle w:val="Bet"/>
        <w:spacing w:before="0" w:after="0"/>
        <w:ind w:left="-125" w:right="-119"/>
        <w:rPr>
          <w:sz w:val="6"/>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8045"/>
        <w:gridCol w:w="752"/>
        <w:gridCol w:w="752"/>
        <w:gridCol w:w="752"/>
      </w:tblGrid>
      <w:tr w:rsidR="00367616" w:rsidRPr="000A401A" w14:paraId="2F6E2ABA" w14:textId="77777777" w:rsidTr="00952FCB">
        <w:tc>
          <w:tcPr>
            <w:tcW w:w="3905" w:type="pct"/>
            <w:tcBorders>
              <w:top w:val="single" w:sz="4" w:space="0" w:color="939598"/>
              <w:bottom w:val="single" w:sz="4" w:space="0" w:color="808080" w:themeColor="background1" w:themeShade="80"/>
              <w:right w:val="single" w:sz="4" w:space="0" w:color="939598"/>
            </w:tcBorders>
            <w:shd w:val="clear" w:color="auto" w:fill="051C3C"/>
          </w:tcPr>
          <w:p w14:paraId="7A6C2E54" w14:textId="77777777" w:rsidR="00367616" w:rsidRPr="00AE2EA6" w:rsidRDefault="00367616" w:rsidP="00673944">
            <w:pPr>
              <w:pStyle w:val="Tableheading"/>
              <w:keepNext/>
              <w:rPr>
                <w:color w:val="FFFFFF" w:themeColor="background1"/>
                <w:sz w:val="18"/>
              </w:rPr>
            </w:pPr>
            <w:r w:rsidRPr="00AE2EA6">
              <w:rPr>
                <w:color w:val="FFFFFF" w:themeColor="background1"/>
                <w:sz w:val="18"/>
              </w:rPr>
              <w:lastRenderedPageBreak/>
              <w:t xml:space="preserve">Taxation of Financial Arrangements – Division 230 </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233A42FB"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Yes</w:t>
            </w:r>
          </w:p>
        </w:tc>
        <w:tc>
          <w:tcPr>
            <w:tcW w:w="365" w:type="pct"/>
            <w:tcBorders>
              <w:top w:val="single" w:sz="4" w:space="0" w:color="939598"/>
              <w:left w:val="single" w:sz="4" w:space="0" w:color="939598"/>
              <w:bottom w:val="single" w:sz="4" w:space="0" w:color="808080" w:themeColor="background1" w:themeShade="80"/>
              <w:right w:val="single" w:sz="4" w:space="0" w:color="939598"/>
            </w:tcBorders>
            <w:shd w:val="clear" w:color="auto" w:fill="051C3C"/>
          </w:tcPr>
          <w:p w14:paraId="0D285168"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No</w:t>
            </w:r>
          </w:p>
        </w:tc>
        <w:tc>
          <w:tcPr>
            <w:tcW w:w="365" w:type="pct"/>
            <w:tcBorders>
              <w:top w:val="single" w:sz="4" w:space="0" w:color="939598"/>
              <w:left w:val="single" w:sz="4" w:space="0" w:color="939598"/>
              <w:bottom w:val="single" w:sz="4" w:space="0" w:color="808080" w:themeColor="background1" w:themeShade="80"/>
            </w:tcBorders>
            <w:shd w:val="clear" w:color="auto" w:fill="051C3C"/>
          </w:tcPr>
          <w:p w14:paraId="5EC7BB6D" w14:textId="77777777" w:rsidR="00367616" w:rsidRPr="00AE2EA6" w:rsidRDefault="00367616" w:rsidP="00EC19BC">
            <w:pPr>
              <w:pStyle w:val="Tableheading"/>
              <w:keepNext/>
              <w:jc w:val="center"/>
              <w:rPr>
                <w:color w:val="FFFFFF" w:themeColor="background1"/>
                <w:sz w:val="18"/>
              </w:rPr>
            </w:pPr>
            <w:r w:rsidRPr="00AE2EA6">
              <w:rPr>
                <w:color w:val="FFFFFF" w:themeColor="background1"/>
                <w:sz w:val="18"/>
              </w:rPr>
              <w:t>N/A</w:t>
            </w:r>
          </w:p>
        </w:tc>
      </w:tr>
      <w:tr w:rsidR="00133F4E" w:rsidRPr="00B340A7" w14:paraId="6A6EF8E1"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069EB27" w14:textId="77777777" w:rsidR="00133F4E" w:rsidRPr="00B340A7" w:rsidRDefault="00133F4E" w:rsidP="00133F4E">
            <w:pPr>
              <w:pStyle w:val="Tableheading"/>
            </w:pPr>
            <w:r w:rsidRPr="002252BE">
              <w:t>What is a financial arrangement?</w:t>
            </w:r>
            <w:r>
              <w:t xml:space="preserve"> </w:t>
            </w:r>
          </w:p>
        </w:tc>
      </w:tr>
      <w:tr w:rsidR="00367616" w:rsidRPr="002252BE" w14:paraId="23660731"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EB50B" w14:textId="77777777" w:rsidR="00367616" w:rsidRPr="002252BE" w:rsidRDefault="00367616" w:rsidP="00673944">
            <w:pPr>
              <w:pStyle w:val="Table"/>
            </w:pPr>
            <w:r w:rsidRPr="002252BE">
              <w:t xml:space="preserve">A financial arrangement is any arrangement under which </w:t>
            </w:r>
            <w:r w:rsidRPr="002252BE">
              <w:rPr>
                <w:b/>
              </w:rPr>
              <w:t>all</w:t>
            </w:r>
            <w:r w:rsidRPr="002252BE">
              <w:t xml:space="preserve"> significant rights and/or obligations can be settled with money or another financial arrangement (i.e. cash </w:t>
            </w:r>
            <w:proofErr w:type="spellStart"/>
            <w:r w:rsidRPr="002252BE">
              <w:t>settlable</w:t>
            </w:r>
            <w:proofErr w:type="spellEnd"/>
            <w:r w:rsidRPr="002252BE">
              <w:t xml:space="preserve"> arrangements).</w:t>
            </w:r>
          </w:p>
          <w:p w14:paraId="6C8430A6" w14:textId="77777777" w:rsidR="00367616" w:rsidRPr="002252BE" w:rsidRDefault="00367616" w:rsidP="00673944">
            <w:pPr>
              <w:pStyle w:val="Table"/>
            </w:pPr>
            <w:r w:rsidRPr="002252BE">
              <w:t>Some common examples of financial arrangements are:</w:t>
            </w:r>
          </w:p>
          <w:p w14:paraId="264B3F5A" w14:textId="77777777" w:rsidR="00367616" w:rsidRPr="002252BE" w:rsidRDefault="00367616" w:rsidP="007C2D15">
            <w:pPr>
              <w:pStyle w:val="TableBullet"/>
            </w:pPr>
            <w:r w:rsidRPr="002252BE">
              <w:t>debt type arrangements including loans, bonds, promissory notes and debentures</w:t>
            </w:r>
          </w:p>
          <w:p w14:paraId="2FCA1AAA" w14:textId="77777777" w:rsidR="00367616" w:rsidRPr="002252BE" w:rsidRDefault="00367616" w:rsidP="007C2D15">
            <w:pPr>
              <w:pStyle w:val="TableBullet"/>
            </w:pPr>
            <w:r w:rsidRPr="002252BE">
              <w:t>risk shifting derivatives including swaps, forwards and options</w:t>
            </w:r>
          </w:p>
          <w:p w14:paraId="776DC3B8" w14:textId="77777777" w:rsidR="00367616" w:rsidRDefault="00367616" w:rsidP="007C2D15">
            <w:pPr>
              <w:pStyle w:val="TableBullet"/>
            </w:pPr>
            <w:proofErr w:type="gramStart"/>
            <w:r w:rsidRPr="002252BE">
              <w:t>deferred</w:t>
            </w:r>
            <w:proofErr w:type="gramEnd"/>
            <w:r w:rsidRPr="002252BE">
              <w:t xml:space="preserve"> settlement arrangements.</w:t>
            </w:r>
          </w:p>
          <w:p w14:paraId="48FA737D" w14:textId="77777777" w:rsidR="00A70E91" w:rsidRPr="00355BC0" w:rsidRDefault="00355BC0" w:rsidP="00975122">
            <w:pPr>
              <w:pStyle w:val="TableBullet"/>
              <w:numPr>
                <w:ilvl w:val="0"/>
                <w:numId w:val="0"/>
              </w:numPr>
              <w:rPr>
                <w:b/>
                <w:color w:val="FFFFFF"/>
                <w:sz w:val="14"/>
                <w:szCs w:val="14"/>
              </w:rPr>
            </w:pPr>
            <w:r w:rsidRPr="00355BC0">
              <w:rPr>
                <w:b/>
                <w:sz w:val="14"/>
                <w:szCs w:val="14"/>
              </w:rPr>
              <w:t>Note:</w:t>
            </w:r>
            <w:r w:rsidRPr="00355BC0">
              <w:rPr>
                <w:sz w:val="14"/>
                <w:szCs w:val="14"/>
              </w:rPr>
              <w:t xml:space="preserve"> </w:t>
            </w:r>
            <w:r w:rsidR="00606BDD" w:rsidRPr="00355BC0">
              <w:rPr>
                <w:sz w:val="14"/>
                <w:szCs w:val="14"/>
              </w:rPr>
              <w:t>the broad effect of the provi</w:t>
            </w:r>
            <w:r w:rsidR="00975122">
              <w:rPr>
                <w:sz w:val="14"/>
                <w:szCs w:val="14"/>
              </w:rPr>
              <w:t>sions may be to bring gains and</w:t>
            </w:r>
            <w:r>
              <w:rPr>
                <w:sz w:val="14"/>
                <w:szCs w:val="14"/>
              </w:rPr>
              <w:t xml:space="preserve"> </w:t>
            </w:r>
            <w:r w:rsidR="00606BDD" w:rsidRPr="00355BC0">
              <w:rPr>
                <w:sz w:val="14"/>
                <w:szCs w:val="14"/>
              </w:rPr>
              <w:t xml:space="preserve">losses to account on </w:t>
            </w:r>
            <w:r w:rsidR="001255B4" w:rsidRPr="00355BC0">
              <w:rPr>
                <w:sz w:val="14"/>
                <w:szCs w:val="14"/>
              </w:rPr>
              <w:t>a mark to market valuation basis rather than on a realisation basis.</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D4FD0" w14:textId="77777777" w:rsidR="00367616" w:rsidRPr="002252BE" w:rsidRDefault="00367616"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BAA64" w14:textId="77777777" w:rsidR="00367616" w:rsidRPr="002252BE" w:rsidRDefault="00367616"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49145" w14:textId="77777777" w:rsidR="00367616" w:rsidRPr="002252BE" w:rsidRDefault="00367616" w:rsidP="00184E12">
            <w:pPr>
              <w:pStyle w:val="Body"/>
              <w:jc w:val="center"/>
            </w:pPr>
          </w:p>
        </w:tc>
      </w:tr>
      <w:tr w:rsidR="00133F4E" w:rsidRPr="00B340A7" w14:paraId="474FB987" w14:textId="77777777" w:rsidTr="00952FCB">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C2EB7D9" w14:textId="77777777" w:rsidR="00133F4E" w:rsidRPr="00B340A7" w:rsidRDefault="00133F4E" w:rsidP="00133F4E">
            <w:pPr>
              <w:pStyle w:val="Tableheading"/>
            </w:pPr>
            <w:r w:rsidRPr="002252BE">
              <w:t>Does Division 230 apply to you?</w:t>
            </w:r>
            <w:r>
              <w:t xml:space="preserve"> </w:t>
            </w:r>
          </w:p>
        </w:tc>
      </w:tr>
      <w:tr w:rsidR="005157C4" w:rsidRPr="002252BE" w14:paraId="681107C7"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D44A3" w14:textId="77777777" w:rsidR="005157C4" w:rsidRPr="002252BE" w:rsidRDefault="005157C4" w:rsidP="00673944">
            <w:pPr>
              <w:pStyle w:val="Table"/>
            </w:pPr>
            <w:r w:rsidRPr="002252BE">
              <w:t>Division 230 may apply to the following taxpayers with financial arrangements:</w:t>
            </w:r>
          </w:p>
          <w:p w14:paraId="3E8EFDD4" w14:textId="77777777" w:rsidR="005157C4" w:rsidRPr="002252BE" w:rsidRDefault="005157C4" w:rsidP="007C2D15">
            <w:pPr>
              <w:pStyle w:val="TableBullet"/>
            </w:pPr>
            <w:r w:rsidRPr="002252BE">
              <w:t>financial institutions whose</w:t>
            </w:r>
            <w:r>
              <w:t xml:space="preserve"> aggregated</w:t>
            </w:r>
            <w:r w:rsidRPr="002252BE">
              <w:t xml:space="preserve"> annual turnover exceeds $20m</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C74FA"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04ED3"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CAA60" w14:textId="77777777" w:rsidR="005157C4" w:rsidRPr="002252BE" w:rsidRDefault="005157C4" w:rsidP="00184E12">
            <w:pPr>
              <w:pStyle w:val="Body"/>
              <w:jc w:val="center"/>
            </w:pPr>
          </w:p>
        </w:tc>
      </w:tr>
      <w:tr w:rsidR="005157C4" w:rsidRPr="002252BE" w14:paraId="5C6A9BE2"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45480" w14:textId="77777777" w:rsidR="005157C4" w:rsidRPr="002252BE" w:rsidRDefault="005157C4" w:rsidP="007C2D15">
            <w:pPr>
              <w:pStyle w:val="TableBullet"/>
            </w:pPr>
            <w:r w:rsidRPr="002252BE">
              <w:t>managed funds and superannuation funds with assets of $100m or more</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0AB254"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815DC"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B6E7D" w14:textId="77777777" w:rsidR="005157C4" w:rsidRPr="002252BE" w:rsidRDefault="005157C4" w:rsidP="00184E12">
            <w:pPr>
              <w:pStyle w:val="Body"/>
              <w:jc w:val="center"/>
            </w:pPr>
          </w:p>
        </w:tc>
      </w:tr>
      <w:tr w:rsidR="005157C4" w:rsidRPr="002252BE" w14:paraId="5A27B0B3" w14:textId="77777777" w:rsidTr="005F16D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B0B37" w14:textId="77777777" w:rsidR="005157C4" w:rsidRPr="002252BE" w:rsidRDefault="005157C4" w:rsidP="007C2D15">
            <w:pPr>
              <w:pStyle w:val="TableBullet"/>
            </w:pPr>
            <w:r w:rsidRPr="002252BE">
              <w:t>other businesses, unless their</w:t>
            </w:r>
            <w:r>
              <w:t xml:space="preserve"> aggregated</w:t>
            </w:r>
            <w:r w:rsidRPr="002252BE">
              <w:t xml:space="preserve"> annual turnover is less than $100m, financial assets are less than $100m and total assets are less than $300m</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9F5DA"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980DF"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18D54" w14:textId="77777777" w:rsidR="005157C4" w:rsidRPr="002252BE" w:rsidRDefault="005157C4" w:rsidP="00184E12">
            <w:pPr>
              <w:pStyle w:val="Body"/>
              <w:jc w:val="center"/>
            </w:pPr>
          </w:p>
        </w:tc>
      </w:tr>
      <w:tr w:rsidR="005157C4" w:rsidRPr="002252BE" w14:paraId="24274D8C" w14:textId="77777777" w:rsidTr="00952FC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2A40F" w14:textId="77777777" w:rsidR="005157C4" w:rsidRPr="002252BE" w:rsidRDefault="005157C4" w:rsidP="007C2D15">
            <w:pPr>
              <w:pStyle w:val="TableBullet"/>
            </w:pPr>
            <w:proofErr w:type="gramStart"/>
            <w:r w:rsidRPr="002252BE">
              <w:t>other</w:t>
            </w:r>
            <w:proofErr w:type="gramEnd"/>
            <w:r w:rsidRPr="002252BE">
              <w:t xml:space="preserve"> taxpayers that hold a qualifying security with a remaining term of more than 12 months at the time that they begin to hold it.</w:t>
            </w:r>
          </w:p>
          <w:p w14:paraId="434CB5E8" w14:textId="77777777" w:rsidR="005157C4" w:rsidRPr="009F0C8F" w:rsidRDefault="005157C4" w:rsidP="00A31A11">
            <w:pPr>
              <w:pStyle w:val="Source"/>
              <w:tabs>
                <w:tab w:val="clear" w:pos="368"/>
                <w:tab w:val="left" w:pos="0"/>
              </w:tabs>
              <w:spacing w:before="160"/>
              <w:ind w:left="0" w:right="0" w:firstLine="0"/>
              <w:rPr>
                <w:sz w:val="14"/>
                <w:szCs w:val="14"/>
              </w:rPr>
            </w:pPr>
            <w:r w:rsidRPr="009F0C8F">
              <w:rPr>
                <w:b/>
                <w:i w:val="0"/>
                <w:sz w:val="14"/>
                <w:szCs w:val="14"/>
              </w:rPr>
              <w:t>Note</w:t>
            </w:r>
            <w:r w:rsidRPr="009F0C8F">
              <w:rPr>
                <w:i w:val="0"/>
                <w:sz w:val="14"/>
                <w:szCs w:val="14"/>
              </w:rPr>
              <w:t xml:space="preserve">: where Division 230 does not apply, a taxpayer can make an irrevocable election to </w:t>
            </w:r>
            <w:r w:rsidR="00786EE8" w:rsidRPr="009F0C8F">
              <w:rPr>
                <w:i w:val="0"/>
                <w:sz w:val="14"/>
                <w:szCs w:val="14"/>
              </w:rPr>
              <w:t>that it will apply</w:t>
            </w:r>
            <w:r w:rsidRPr="009F0C8F">
              <w:rPr>
                <w:i w:val="0"/>
                <w:sz w:val="14"/>
                <w:szCs w:val="14"/>
              </w:rPr>
              <w:t xml:space="preserve"> (</w:t>
            </w:r>
            <w:r w:rsidR="00786EE8" w:rsidRPr="009F0C8F">
              <w:rPr>
                <w:i w:val="0"/>
                <w:sz w:val="14"/>
                <w:szCs w:val="14"/>
              </w:rPr>
              <w:t>t</w:t>
            </w:r>
            <w:r w:rsidRPr="009F0C8F">
              <w:rPr>
                <w:i w:val="0"/>
                <w:sz w:val="14"/>
                <w:szCs w:val="14"/>
              </w:rPr>
              <w:t>his may suit associates of entities that are required to apply Division 230)</w:t>
            </w:r>
            <w:r w:rsidR="00786EE8" w:rsidRPr="009F0C8F">
              <w:rPr>
                <w:i w:val="0"/>
                <w:sz w:val="14"/>
                <w:szCs w:val="14"/>
              </w:rPr>
              <w:t>.</w:t>
            </w: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B52AE"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FCF68" w14:textId="77777777" w:rsidR="005157C4" w:rsidRPr="002252BE" w:rsidRDefault="005157C4" w:rsidP="00184E12">
            <w:pPr>
              <w:pStyle w:val="Body"/>
              <w:jc w:val="center"/>
            </w:pPr>
          </w:p>
        </w:tc>
        <w:tc>
          <w:tcPr>
            <w:tcW w:w="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4755D" w14:textId="77777777" w:rsidR="005157C4" w:rsidRPr="002252BE" w:rsidRDefault="005157C4" w:rsidP="00184E12">
            <w:pPr>
              <w:pStyle w:val="Body"/>
              <w:jc w:val="center"/>
            </w:pPr>
          </w:p>
        </w:tc>
      </w:tr>
      <w:tr w:rsidR="005157C4" w:rsidRPr="00AF24CF" w14:paraId="597EB52A" w14:textId="77777777" w:rsidTr="00952FCB">
        <w:tc>
          <w:tcPr>
            <w:tcW w:w="5000" w:type="pct"/>
            <w:gridSpan w:val="4"/>
            <w:tcBorders>
              <w:top w:val="single" w:sz="4" w:space="0" w:color="808080" w:themeColor="background1" w:themeShade="80"/>
              <w:bottom w:val="single" w:sz="4" w:space="0" w:color="939598"/>
            </w:tcBorders>
          </w:tcPr>
          <w:p w14:paraId="12D6C8C2" w14:textId="77777777" w:rsidR="005157C4" w:rsidRDefault="005157C4" w:rsidP="00EC19BC">
            <w:pPr>
              <w:pStyle w:val="Tableheading"/>
            </w:pPr>
            <w:r>
              <w:t>Comments:</w:t>
            </w:r>
          </w:p>
          <w:p w14:paraId="54E0663C" w14:textId="77777777" w:rsidR="004D257C" w:rsidRDefault="004D257C" w:rsidP="00EC19BC">
            <w:pPr>
              <w:pStyle w:val="Tableheading"/>
            </w:pPr>
          </w:p>
          <w:p w14:paraId="3FBEE8A2" w14:textId="77777777" w:rsidR="004D257C" w:rsidRDefault="004D257C" w:rsidP="00EC19BC">
            <w:pPr>
              <w:pStyle w:val="Tableheading"/>
            </w:pPr>
          </w:p>
          <w:p w14:paraId="19EF6AB7" w14:textId="77777777" w:rsidR="004D257C" w:rsidRDefault="004D257C" w:rsidP="00EC19BC">
            <w:pPr>
              <w:pStyle w:val="Tableheading"/>
            </w:pPr>
          </w:p>
          <w:p w14:paraId="10DDBC7C" w14:textId="77777777" w:rsidR="004D257C" w:rsidRDefault="004D257C" w:rsidP="00EC19BC">
            <w:pPr>
              <w:pStyle w:val="Tableheading"/>
            </w:pPr>
          </w:p>
          <w:p w14:paraId="259497E5" w14:textId="77777777" w:rsidR="004D257C" w:rsidRDefault="004D257C" w:rsidP="00EC19BC">
            <w:pPr>
              <w:pStyle w:val="Tableheading"/>
            </w:pPr>
          </w:p>
          <w:p w14:paraId="50940488" w14:textId="77777777" w:rsidR="004D257C" w:rsidRPr="00AF24CF" w:rsidRDefault="004D257C" w:rsidP="00EC19BC">
            <w:pPr>
              <w:pStyle w:val="Tableheading"/>
            </w:pPr>
          </w:p>
        </w:tc>
      </w:tr>
    </w:tbl>
    <w:p w14:paraId="6CF8EB57" w14:textId="77777777" w:rsidR="00367616" w:rsidRPr="002C7914" w:rsidRDefault="00367616" w:rsidP="00000A6B">
      <w:pPr>
        <w:pStyle w:val="Bet"/>
        <w:spacing w:before="0" w:after="0"/>
        <w:ind w:left="-125" w:right="-119"/>
        <w:rPr>
          <w:sz w:val="6"/>
        </w:rPr>
      </w:pPr>
    </w:p>
    <w:p w14:paraId="246955B4" w14:textId="77777777" w:rsidR="005157C4" w:rsidRDefault="005157C4">
      <w:r>
        <w:rPr>
          <w:b/>
        </w:rP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939598"/>
        </w:tblBorders>
        <w:tblLayout w:type="fixed"/>
        <w:tblLook w:val="00A0" w:firstRow="1" w:lastRow="0" w:firstColumn="1" w:lastColumn="0" w:noHBand="0" w:noVBand="0"/>
      </w:tblPr>
      <w:tblGrid>
        <w:gridCol w:w="1847"/>
        <w:gridCol w:w="5212"/>
        <w:gridCol w:w="1623"/>
        <w:gridCol w:w="1619"/>
      </w:tblGrid>
      <w:tr w:rsidR="00367616" w:rsidRPr="000A401A" w14:paraId="24463049" w14:textId="77777777" w:rsidTr="00952FCB">
        <w:tc>
          <w:tcPr>
            <w:tcW w:w="5000" w:type="pct"/>
            <w:gridSpan w:val="4"/>
            <w:shd w:val="clear" w:color="auto" w:fill="051C3C"/>
          </w:tcPr>
          <w:p w14:paraId="78099FD9" w14:textId="77777777" w:rsidR="00367616" w:rsidRPr="000A401A" w:rsidRDefault="00367616" w:rsidP="008907EB">
            <w:pPr>
              <w:pStyle w:val="Tableheading"/>
              <w:keepNext/>
              <w:rPr>
                <w:sz w:val="18"/>
              </w:rPr>
            </w:pPr>
            <w:r w:rsidRPr="00AE2EA6">
              <w:rPr>
                <w:color w:val="FFFFFF" w:themeColor="background1"/>
                <w:sz w:val="18"/>
              </w:rPr>
              <w:lastRenderedPageBreak/>
              <w:t xml:space="preserve">Transactions At Risk Under ATO Compliance Activities </w:t>
            </w:r>
          </w:p>
        </w:tc>
      </w:tr>
      <w:tr w:rsidR="00786EE8" w:rsidRPr="001255B4" w14:paraId="12BD6158" w14:textId="77777777" w:rsidTr="00952FCB">
        <w:tblPrEx>
          <w:tblLook w:val="01E0" w:firstRow="1" w:lastRow="1" w:firstColumn="1" w:lastColumn="1" w:noHBand="0" w:noVBand="0"/>
        </w:tblPrEx>
        <w:tc>
          <w:tcPr>
            <w:tcW w:w="5000" w:type="pct"/>
            <w:gridSpan w:val="4"/>
          </w:tcPr>
          <w:p w14:paraId="33B71C17" w14:textId="77777777" w:rsidR="00786EE8" w:rsidRPr="0028050E" w:rsidRDefault="00C97148" w:rsidP="00975122">
            <w:pPr>
              <w:pStyle w:val="Table"/>
            </w:pPr>
            <w:r w:rsidRPr="00AC1304">
              <w:t>Arrangements to exploit mismatches between trust and taxable income (Taxpayer Alert 2013/1)</w:t>
            </w:r>
          </w:p>
        </w:tc>
      </w:tr>
      <w:tr w:rsidR="00786EE8" w:rsidRPr="001255B4" w14:paraId="33BEAD7B" w14:textId="77777777" w:rsidTr="00952FCB">
        <w:tblPrEx>
          <w:tblLook w:val="01E0" w:firstRow="1" w:lastRow="1" w:firstColumn="1" w:lastColumn="1" w:noHBand="0" w:noVBand="0"/>
        </w:tblPrEx>
        <w:tc>
          <w:tcPr>
            <w:tcW w:w="5000" w:type="pct"/>
            <w:gridSpan w:val="4"/>
          </w:tcPr>
          <w:p w14:paraId="064C2F49" w14:textId="21DE90C0" w:rsidR="00786EE8" w:rsidRPr="0028050E" w:rsidRDefault="00C97148" w:rsidP="003A30E1">
            <w:pPr>
              <w:pStyle w:val="Table"/>
              <w:keepNext/>
            </w:pPr>
            <w:r w:rsidRPr="00AC1304">
              <w:t xml:space="preserve">The ATO has announced its view </w:t>
            </w:r>
            <w:r w:rsidR="003A30E1">
              <w:t>the application of the general anti-avoidance provisions of Part IVA in relation to</w:t>
            </w:r>
            <w:r w:rsidRPr="00AC1304">
              <w:t xml:space="preserve"> “dividend washing” arrangements in TD 2014/1</w:t>
            </w:r>
            <w:r w:rsidR="00112FC6" w:rsidRPr="0028050E">
              <w:t>0</w:t>
            </w:r>
            <w:r w:rsidR="003A30E1">
              <w:t>,</w:t>
            </w:r>
            <w:r w:rsidRPr="00AC1304">
              <w:t xml:space="preserve"> and will be using data matching techniques to identify taxpayers that a</w:t>
            </w:r>
            <w:r w:rsidR="00975122">
              <w:t xml:space="preserve">re engaged in such arrangements and </w:t>
            </w:r>
            <w:r w:rsidR="00AC1304">
              <w:t xml:space="preserve">new legislation </w:t>
            </w:r>
            <w:r w:rsidR="00975122">
              <w:t xml:space="preserve">has </w:t>
            </w:r>
            <w:r w:rsidR="003A30E1">
              <w:t xml:space="preserve">also </w:t>
            </w:r>
            <w:r w:rsidR="00975122">
              <w:t xml:space="preserve">been </w:t>
            </w:r>
            <w:r w:rsidR="00AC1304">
              <w:t>introduced to counter such activity</w:t>
            </w:r>
            <w:r w:rsidR="003A30E1">
              <w:t xml:space="preserve"> under section 207-157 of the imputation provisions.  </w:t>
            </w:r>
          </w:p>
        </w:tc>
      </w:tr>
      <w:tr w:rsidR="00786EE8" w:rsidRPr="001255B4" w14:paraId="11FEF5FA" w14:textId="77777777" w:rsidTr="00952FCB">
        <w:tblPrEx>
          <w:tblLook w:val="01E0" w:firstRow="1" w:lastRow="1" w:firstColumn="1" w:lastColumn="1" w:noHBand="0" w:noVBand="0"/>
        </w:tblPrEx>
        <w:tc>
          <w:tcPr>
            <w:tcW w:w="5000" w:type="pct"/>
            <w:gridSpan w:val="4"/>
          </w:tcPr>
          <w:p w14:paraId="351216BC" w14:textId="77777777" w:rsidR="00786EE8" w:rsidRPr="0028050E" w:rsidRDefault="00C97148" w:rsidP="00975122">
            <w:pPr>
              <w:pStyle w:val="Table"/>
              <w:keepNext/>
            </w:pPr>
            <w:r w:rsidRPr="00AC1304">
              <w:t>Purported alienation of income through discretionary trust partnerships (Taxpayer Alert TA 2013/3)</w:t>
            </w:r>
          </w:p>
        </w:tc>
      </w:tr>
      <w:tr w:rsidR="0045143D" w:rsidRPr="001255B4" w14:paraId="183D7606" w14:textId="77777777" w:rsidTr="00952FCB">
        <w:tblPrEx>
          <w:tblLook w:val="01E0" w:firstRow="1" w:lastRow="1" w:firstColumn="1" w:lastColumn="1" w:noHBand="0" w:noVBand="0"/>
        </w:tblPrEx>
        <w:tc>
          <w:tcPr>
            <w:tcW w:w="5000" w:type="pct"/>
            <w:gridSpan w:val="4"/>
          </w:tcPr>
          <w:p w14:paraId="7D2F3CD3" w14:textId="77777777" w:rsidR="0045143D" w:rsidRPr="0028050E" w:rsidRDefault="00C97148" w:rsidP="00975122">
            <w:pPr>
              <w:pStyle w:val="Table"/>
              <w:keepNext/>
            </w:pPr>
            <w:r w:rsidRPr="00AC1304">
              <w:t xml:space="preserve">Using data matching the ATO will be increasing its focus on employer </w:t>
            </w:r>
            <w:r w:rsidR="00112FC6">
              <w:t>obligations in relation to superannuation guarantee and PAYG withholding.</w:t>
            </w:r>
          </w:p>
        </w:tc>
      </w:tr>
      <w:tr w:rsidR="0045143D" w:rsidRPr="001255B4" w14:paraId="6551C388" w14:textId="77777777" w:rsidTr="00952FCB">
        <w:tblPrEx>
          <w:tblLook w:val="01E0" w:firstRow="1" w:lastRow="1" w:firstColumn="1" w:lastColumn="1" w:noHBand="0" w:noVBand="0"/>
        </w:tblPrEx>
        <w:tc>
          <w:tcPr>
            <w:tcW w:w="5000" w:type="pct"/>
            <w:gridSpan w:val="4"/>
          </w:tcPr>
          <w:p w14:paraId="08E571F7" w14:textId="77777777" w:rsidR="0045143D" w:rsidRPr="0028050E" w:rsidRDefault="00C97148" w:rsidP="00975122">
            <w:pPr>
              <w:pStyle w:val="Table"/>
              <w:keepNext/>
            </w:pPr>
            <w:r w:rsidRPr="00AC1304">
              <w:t xml:space="preserve">An increased focus on international transactions </w:t>
            </w:r>
            <w:r w:rsidRPr="00AC1304">
              <w:rPr>
                <w:bCs/>
              </w:rPr>
              <w:t>including exploitation of</w:t>
            </w:r>
            <w:r w:rsidRPr="00AC1304">
              <w:t xml:space="preserve"> transfer pricing</w:t>
            </w:r>
            <w:r w:rsidRPr="00AC1304">
              <w:rPr>
                <w:bCs/>
              </w:rPr>
              <w:t xml:space="preserve"> and thin capitalisation.</w:t>
            </w:r>
          </w:p>
        </w:tc>
      </w:tr>
      <w:tr w:rsidR="0045143D" w:rsidRPr="001255B4" w14:paraId="4CF40278" w14:textId="77777777" w:rsidTr="00952FCB">
        <w:tblPrEx>
          <w:tblLook w:val="01E0" w:firstRow="1" w:lastRow="1" w:firstColumn="1" w:lastColumn="1" w:noHBand="0" w:noVBand="0"/>
        </w:tblPrEx>
        <w:tc>
          <w:tcPr>
            <w:tcW w:w="5000" w:type="pct"/>
            <w:gridSpan w:val="4"/>
          </w:tcPr>
          <w:p w14:paraId="0CC71818" w14:textId="77777777" w:rsidR="0045143D" w:rsidRPr="0028050E" w:rsidRDefault="00C97148" w:rsidP="00975122">
            <w:pPr>
              <w:pStyle w:val="Table"/>
              <w:keepNext/>
            </w:pPr>
            <w:r w:rsidRPr="00AC1304">
              <w:t>Using data matching to identify non-disclosure and incorrect reporting of capital gains.</w:t>
            </w:r>
          </w:p>
        </w:tc>
      </w:tr>
      <w:tr w:rsidR="0045143D" w:rsidRPr="001255B4" w14:paraId="1B7F3EA6" w14:textId="77777777" w:rsidTr="00952FCB">
        <w:tblPrEx>
          <w:tblLook w:val="01E0" w:firstRow="1" w:lastRow="1" w:firstColumn="1" w:lastColumn="1" w:noHBand="0" w:noVBand="0"/>
        </w:tblPrEx>
        <w:tc>
          <w:tcPr>
            <w:tcW w:w="5000" w:type="pct"/>
            <w:gridSpan w:val="4"/>
          </w:tcPr>
          <w:p w14:paraId="480FA6CF" w14:textId="77777777" w:rsidR="0045143D" w:rsidRPr="0028050E" w:rsidRDefault="00C97148" w:rsidP="00975122">
            <w:pPr>
              <w:pStyle w:val="Table"/>
              <w:keepNext/>
            </w:pPr>
            <w:r w:rsidRPr="00AC1304">
              <w:t>Self-managed superannuation funds arrangements to acquire property which contravene superannuation law (Taxpayer Alert TA 2012/7.</w:t>
            </w:r>
          </w:p>
        </w:tc>
      </w:tr>
      <w:tr w:rsidR="0045143D" w:rsidRPr="001255B4" w14:paraId="58088008" w14:textId="77777777" w:rsidTr="00952FCB">
        <w:tblPrEx>
          <w:tblLook w:val="01E0" w:firstRow="1" w:lastRow="1" w:firstColumn="1" w:lastColumn="1" w:noHBand="0" w:noVBand="0"/>
        </w:tblPrEx>
        <w:tc>
          <w:tcPr>
            <w:tcW w:w="5000" w:type="pct"/>
            <w:gridSpan w:val="4"/>
          </w:tcPr>
          <w:p w14:paraId="7B932BE9" w14:textId="77777777" w:rsidR="0045143D" w:rsidRPr="0028050E" w:rsidRDefault="00C97148" w:rsidP="00975122">
            <w:pPr>
              <w:pStyle w:val="Table"/>
              <w:keepNext/>
            </w:pPr>
            <w:r w:rsidRPr="00AC1304">
              <w:t xml:space="preserve">Accessing private company profits through a dividend access share arrangement attempting to </w:t>
            </w:r>
            <w:r w:rsidR="00112FC6">
              <w:t>circumvent taxation laws (Taxpayer Alert Tax 2012/4).</w:t>
            </w:r>
          </w:p>
        </w:tc>
      </w:tr>
      <w:tr w:rsidR="00367616" w:rsidRPr="001255B4" w14:paraId="6A2CCD93" w14:textId="77777777" w:rsidTr="00952FCB">
        <w:tblPrEx>
          <w:tblLook w:val="01E0" w:firstRow="1" w:lastRow="1" w:firstColumn="1" w:lastColumn="1" w:noHBand="0" w:noVBand="0"/>
        </w:tblPrEx>
        <w:tc>
          <w:tcPr>
            <w:tcW w:w="5000" w:type="pct"/>
            <w:gridSpan w:val="4"/>
          </w:tcPr>
          <w:p w14:paraId="59248C72" w14:textId="77777777" w:rsidR="00367616" w:rsidRPr="0028050E" w:rsidRDefault="00C97148" w:rsidP="00975122">
            <w:pPr>
              <w:pStyle w:val="Table"/>
              <w:keepNext/>
            </w:pPr>
            <w:r w:rsidRPr="00AC1304">
              <w:t>Non-disclosure of foreign source income by Australian tax residents (Taxpayer Alert TA 2012/1).</w:t>
            </w:r>
          </w:p>
        </w:tc>
      </w:tr>
      <w:tr w:rsidR="00367616" w:rsidRPr="001255B4" w14:paraId="0A14F286" w14:textId="77777777" w:rsidTr="00952FCB">
        <w:tblPrEx>
          <w:tblLook w:val="01E0" w:firstRow="1" w:lastRow="1" w:firstColumn="1" w:lastColumn="1" w:noHBand="0" w:noVBand="0"/>
        </w:tblPrEx>
        <w:tc>
          <w:tcPr>
            <w:tcW w:w="5000" w:type="pct"/>
            <w:gridSpan w:val="4"/>
          </w:tcPr>
          <w:p w14:paraId="53D76A46" w14:textId="77777777" w:rsidR="00367616" w:rsidRPr="0028050E" w:rsidRDefault="00C97148" w:rsidP="00975122">
            <w:pPr>
              <w:pStyle w:val="Table"/>
              <w:keepNext/>
            </w:pPr>
            <w:r w:rsidRPr="00AC1304">
              <w:t xml:space="preserve">Loans to members of companies limited by guarantee in an effort to circumvent the operation of Division </w:t>
            </w:r>
            <w:r w:rsidR="00112FC6">
              <w:t xml:space="preserve">7A </w:t>
            </w:r>
            <w:r w:rsidR="00112FC6">
              <w:br/>
              <w:t>(Taxpayer Alert TA 2011/1).</w:t>
            </w:r>
          </w:p>
        </w:tc>
      </w:tr>
      <w:tr w:rsidR="00367616" w:rsidRPr="001255B4" w14:paraId="42C77A34" w14:textId="77777777" w:rsidTr="00952FCB">
        <w:tblPrEx>
          <w:tblLook w:val="01E0" w:firstRow="1" w:lastRow="1" w:firstColumn="1" w:lastColumn="1" w:noHBand="0" w:noVBand="0"/>
        </w:tblPrEx>
        <w:tc>
          <w:tcPr>
            <w:tcW w:w="5000" w:type="pct"/>
            <w:gridSpan w:val="4"/>
          </w:tcPr>
          <w:p w14:paraId="60A8B227" w14:textId="77777777" w:rsidR="00367616" w:rsidRPr="0028050E" w:rsidRDefault="00C97148" w:rsidP="00975122">
            <w:pPr>
              <w:pStyle w:val="Table"/>
            </w:pPr>
            <w:bookmarkStart w:id="1" w:name="top"/>
            <w:bookmarkEnd w:id="1"/>
            <w:r w:rsidRPr="00AC1304">
              <w:rPr>
                <w:bCs/>
              </w:rPr>
              <w:t xml:space="preserve">The </w:t>
            </w:r>
            <w:proofErr w:type="gramStart"/>
            <w:r w:rsidRPr="00AC1304">
              <w:rPr>
                <w:bCs/>
              </w:rPr>
              <w:t>use of certain labour hire</w:t>
            </w:r>
            <w:proofErr w:type="gramEnd"/>
            <w:r w:rsidRPr="00AC1304">
              <w:rPr>
                <w:bCs/>
              </w:rPr>
              <w:t xml:space="preserve"> arrangements utilising a discretionary trust to split income to avoid the application of the personal services income rules (Taxpayer Alert TA 2011/2).</w:t>
            </w:r>
          </w:p>
        </w:tc>
      </w:tr>
      <w:tr w:rsidR="00367616" w:rsidRPr="001255B4" w14:paraId="3B9FF662" w14:textId="77777777" w:rsidTr="00952FCB">
        <w:tblPrEx>
          <w:tblLook w:val="01E0" w:firstRow="1" w:lastRow="1" w:firstColumn="1" w:lastColumn="1" w:noHBand="0" w:noVBand="0"/>
        </w:tblPrEx>
        <w:tc>
          <w:tcPr>
            <w:tcW w:w="5000" w:type="pct"/>
            <w:gridSpan w:val="4"/>
          </w:tcPr>
          <w:p w14:paraId="79A7F647" w14:textId="77777777" w:rsidR="00367616" w:rsidRPr="0028050E" w:rsidRDefault="00C97148" w:rsidP="00975122">
            <w:pPr>
              <w:pStyle w:val="Table"/>
            </w:pPr>
            <w:r w:rsidRPr="00AC1304">
              <w:rPr>
                <w:bCs/>
              </w:rPr>
              <w:t>Arrangements that involve holiday travel claimed as a work related, investment or self-education expense where there is a private purpose for the travel (Taxpayer Alert TA 2011/3).</w:t>
            </w:r>
          </w:p>
        </w:tc>
      </w:tr>
      <w:tr w:rsidR="00367616" w:rsidRPr="001255B4" w14:paraId="7B8E4408" w14:textId="77777777" w:rsidTr="00952FCB">
        <w:tblPrEx>
          <w:tblLook w:val="01E0" w:firstRow="1" w:lastRow="1" w:firstColumn="1" w:lastColumn="1" w:noHBand="0" w:noVBand="0"/>
        </w:tblPrEx>
        <w:tc>
          <w:tcPr>
            <w:tcW w:w="5000" w:type="pct"/>
            <w:gridSpan w:val="4"/>
          </w:tcPr>
          <w:p w14:paraId="02BBD95C" w14:textId="1DE7D00D" w:rsidR="00367616" w:rsidRPr="0028050E" w:rsidRDefault="00C97148" w:rsidP="00975122">
            <w:pPr>
              <w:pStyle w:val="Table"/>
              <w:rPr>
                <w:bCs/>
              </w:rPr>
            </w:pPr>
            <w:r w:rsidRPr="00AC1304">
              <w:t>Deductibility of unpaid director</w:t>
            </w:r>
            <w:r w:rsidR="003A30E1">
              <w:t>’</w:t>
            </w:r>
            <w:r w:rsidRPr="00AC1304">
              <w:t>s fees (Taxpayer Alert TA 2011/4).</w:t>
            </w:r>
          </w:p>
        </w:tc>
      </w:tr>
      <w:tr w:rsidR="00367616" w:rsidRPr="001255B4" w14:paraId="52C139B0" w14:textId="77777777" w:rsidTr="00952FCB">
        <w:tblPrEx>
          <w:tblLook w:val="01E0" w:firstRow="1" w:lastRow="1" w:firstColumn="1" w:lastColumn="1" w:noHBand="0" w:noVBand="0"/>
        </w:tblPrEx>
        <w:tc>
          <w:tcPr>
            <w:tcW w:w="5000" w:type="pct"/>
            <w:gridSpan w:val="4"/>
          </w:tcPr>
          <w:p w14:paraId="1BD4EE28" w14:textId="77777777" w:rsidR="00367616" w:rsidRPr="0028050E" w:rsidRDefault="00C97148" w:rsidP="00975122">
            <w:pPr>
              <w:pStyle w:val="Table"/>
            </w:pPr>
            <w:r w:rsidRPr="00AC1304">
              <w:t>Offshore income transactions including dividends and interest, royalties and rental income.</w:t>
            </w:r>
          </w:p>
        </w:tc>
      </w:tr>
      <w:tr w:rsidR="00367616" w:rsidRPr="001255B4" w14:paraId="766E0EA3" w14:textId="77777777" w:rsidTr="00952FCB">
        <w:tblPrEx>
          <w:tblLook w:val="01E0" w:firstRow="1" w:lastRow="1" w:firstColumn="1" w:lastColumn="1" w:noHBand="0" w:noVBand="0"/>
        </w:tblPrEx>
        <w:tc>
          <w:tcPr>
            <w:tcW w:w="5000" w:type="pct"/>
            <w:gridSpan w:val="4"/>
          </w:tcPr>
          <w:p w14:paraId="59CF07E0" w14:textId="77777777" w:rsidR="00367616" w:rsidRPr="0028050E" w:rsidRDefault="00C97148" w:rsidP="00975122">
            <w:pPr>
              <w:pStyle w:val="Table"/>
            </w:pPr>
            <w:r w:rsidRPr="00AC1304">
              <w:t>Loans, payments and debt forgiveness by private companies to shareholders or their associates in a form other than dividends.</w:t>
            </w:r>
          </w:p>
        </w:tc>
      </w:tr>
      <w:tr w:rsidR="00367616" w:rsidRPr="001255B4" w14:paraId="34A5516A" w14:textId="77777777" w:rsidTr="00952FCB">
        <w:tblPrEx>
          <w:tblLook w:val="01E0" w:firstRow="1" w:lastRow="1" w:firstColumn="1" w:lastColumn="1" w:noHBand="0" w:noVBand="0"/>
        </w:tblPrEx>
        <w:tc>
          <w:tcPr>
            <w:tcW w:w="5000" w:type="pct"/>
            <w:gridSpan w:val="4"/>
          </w:tcPr>
          <w:p w14:paraId="7734837D" w14:textId="77777777" w:rsidR="00367616" w:rsidRPr="0028050E" w:rsidRDefault="00C97148" w:rsidP="00975122">
            <w:pPr>
              <w:pStyle w:val="Table"/>
            </w:pPr>
            <w:r w:rsidRPr="00AC1304">
              <w:t>International non-arms-length transactions between related Australian and o</w:t>
            </w:r>
            <w:r w:rsidR="00112FC6">
              <w:t>ffshore entities that may be intended to shift profits from Australia to other countries.</w:t>
            </w:r>
          </w:p>
        </w:tc>
      </w:tr>
      <w:tr w:rsidR="00367616" w:rsidRPr="001255B4" w14:paraId="095F94C4" w14:textId="77777777" w:rsidTr="00952FCB">
        <w:tblPrEx>
          <w:tblLook w:val="01E0" w:firstRow="1" w:lastRow="1" w:firstColumn="1" w:lastColumn="1" w:noHBand="0" w:noVBand="0"/>
        </w:tblPrEx>
        <w:tc>
          <w:tcPr>
            <w:tcW w:w="5000" w:type="pct"/>
            <w:gridSpan w:val="4"/>
          </w:tcPr>
          <w:p w14:paraId="453124DA" w14:textId="77777777" w:rsidR="00367616" w:rsidRPr="0028050E" w:rsidRDefault="00C97148" w:rsidP="00975122">
            <w:pPr>
              <w:pStyle w:val="Table"/>
            </w:pPr>
            <w:r w:rsidRPr="00AC1304">
              <w:t>Arrangements which are contrived and artificial in their method of execution.</w:t>
            </w:r>
          </w:p>
        </w:tc>
      </w:tr>
      <w:tr w:rsidR="00367616" w:rsidRPr="001255B4" w14:paraId="12E8C62D" w14:textId="77777777" w:rsidTr="00952FCB">
        <w:tblPrEx>
          <w:tblLook w:val="01E0" w:firstRow="1" w:lastRow="1" w:firstColumn="1" w:lastColumn="1" w:noHBand="0" w:noVBand="0"/>
        </w:tblPrEx>
        <w:tc>
          <w:tcPr>
            <w:tcW w:w="5000" w:type="pct"/>
            <w:gridSpan w:val="4"/>
          </w:tcPr>
          <w:p w14:paraId="32DAE750" w14:textId="77777777" w:rsidR="00367616" w:rsidRPr="0028050E" w:rsidRDefault="00C97148" w:rsidP="00975122">
            <w:pPr>
              <w:pStyle w:val="Table"/>
            </w:pPr>
            <w:r w:rsidRPr="00AC1304">
              <w:t>Arrangements involving limited or non-recourse financing associated with a round-robin flow of funds.</w:t>
            </w:r>
          </w:p>
        </w:tc>
      </w:tr>
      <w:tr w:rsidR="00367616" w:rsidRPr="001255B4" w14:paraId="41C2EA03" w14:textId="77777777" w:rsidTr="00952FCB">
        <w:tblPrEx>
          <w:tblLook w:val="01E0" w:firstRow="1" w:lastRow="1" w:firstColumn="1" w:lastColumn="1" w:noHBand="0" w:noVBand="0"/>
        </w:tblPrEx>
        <w:tc>
          <w:tcPr>
            <w:tcW w:w="5000" w:type="pct"/>
            <w:gridSpan w:val="4"/>
          </w:tcPr>
          <w:p w14:paraId="07076539" w14:textId="77777777" w:rsidR="00367616" w:rsidRPr="0028050E" w:rsidRDefault="00C97148" w:rsidP="00975122">
            <w:pPr>
              <w:pStyle w:val="Table"/>
            </w:pPr>
            <w:r w:rsidRPr="00AC1304">
              <w:t>Arrangements where the taxpayer is not subject to significant risks when the tax benefit is taken into account because of the existence, for example, of a ‘put’ option.</w:t>
            </w:r>
          </w:p>
        </w:tc>
      </w:tr>
      <w:tr w:rsidR="00367616" w:rsidRPr="001255B4" w14:paraId="088E8153" w14:textId="77777777" w:rsidTr="00952FCB">
        <w:tblPrEx>
          <w:tblLook w:val="01E0" w:firstRow="1" w:lastRow="1" w:firstColumn="1" w:lastColumn="1" w:noHBand="0" w:noVBand="0"/>
        </w:tblPrEx>
        <w:tc>
          <w:tcPr>
            <w:tcW w:w="5000" w:type="pct"/>
            <w:gridSpan w:val="4"/>
          </w:tcPr>
          <w:p w14:paraId="6D9858AB" w14:textId="77777777" w:rsidR="00367616" w:rsidRPr="0028050E" w:rsidRDefault="00C97148" w:rsidP="00975122">
            <w:pPr>
              <w:pStyle w:val="Table"/>
            </w:pPr>
            <w:r w:rsidRPr="00AC1304">
              <w:t>Little cash outlay associated with borrowing of funds under a capitalising debt facility.</w:t>
            </w:r>
          </w:p>
        </w:tc>
      </w:tr>
      <w:tr w:rsidR="00367616" w:rsidRPr="001255B4" w14:paraId="5ABB709B" w14:textId="77777777" w:rsidTr="00952FCB">
        <w:tblPrEx>
          <w:tblLook w:val="01E0" w:firstRow="1" w:lastRow="1" w:firstColumn="1" w:lastColumn="1" w:noHBand="0" w:noVBand="0"/>
        </w:tblPrEx>
        <w:tc>
          <w:tcPr>
            <w:tcW w:w="5000" w:type="pct"/>
            <w:gridSpan w:val="4"/>
          </w:tcPr>
          <w:p w14:paraId="5E040187" w14:textId="77777777" w:rsidR="00367616" w:rsidRPr="0028050E" w:rsidRDefault="00C97148" w:rsidP="00975122">
            <w:pPr>
              <w:pStyle w:val="Table"/>
            </w:pPr>
            <w:proofErr w:type="gramStart"/>
            <w:r w:rsidRPr="00AC1304">
              <w:t>Mechanisms for winding up or exiting an arrangement before net income is</w:t>
            </w:r>
            <w:proofErr w:type="gramEnd"/>
            <w:r w:rsidRPr="00AC1304">
              <w:t xml:space="preserve"> generated for an investor.</w:t>
            </w:r>
          </w:p>
        </w:tc>
      </w:tr>
      <w:tr w:rsidR="00367616" w:rsidRPr="001255B4" w14:paraId="0505C92F" w14:textId="77777777" w:rsidTr="00952FCB">
        <w:tblPrEx>
          <w:tblLook w:val="01E0" w:firstRow="1" w:lastRow="1" w:firstColumn="1" w:lastColumn="1" w:noHBand="0" w:noVBand="0"/>
        </w:tblPrEx>
        <w:tc>
          <w:tcPr>
            <w:tcW w:w="5000" w:type="pct"/>
            <w:gridSpan w:val="4"/>
          </w:tcPr>
          <w:p w14:paraId="63DBDEF8" w14:textId="4BDB5D73" w:rsidR="00367616" w:rsidRPr="0028050E" w:rsidRDefault="00D0481F" w:rsidP="00000A6B">
            <w:pPr>
              <w:pStyle w:val="Table"/>
              <w:ind w:left="-68" w:right="5236"/>
            </w:pPr>
            <w:r>
              <w:t xml:space="preserve"> </w:t>
            </w:r>
            <w:r w:rsidR="00C97148" w:rsidRPr="00AC1304">
              <w:t>Use of tax exempt entities, especially charities, to wash income.</w:t>
            </w:r>
          </w:p>
        </w:tc>
      </w:tr>
      <w:tr w:rsidR="00367616" w:rsidRPr="001255B4" w14:paraId="0ABFE8F0" w14:textId="77777777" w:rsidTr="00952FCB">
        <w:tblPrEx>
          <w:tblLook w:val="01E0" w:firstRow="1" w:lastRow="1" w:firstColumn="1" w:lastColumn="1" w:noHBand="0" w:noVBand="0"/>
        </w:tblPrEx>
        <w:tc>
          <w:tcPr>
            <w:tcW w:w="5000" w:type="pct"/>
            <w:gridSpan w:val="4"/>
          </w:tcPr>
          <w:p w14:paraId="4A03B191" w14:textId="77777777" w:rsidR="00367616" w:rsidRPr="0028050E" w:rsidRDefault="00C97148" w:rsidP="00975122">
            <w:pPr>
              <w:pStyle w:val="Table"/>
            </w:pPr>
            <w:r w:rsidRPr="00AC1304">
              <w:t>Transactions involving tax havens and preferential tax regimes.</w:t>
            </w:r>
          </w:p>
        </w:tc>
      </w:tr>
      <w:tr w:rsidR="00367616" w:rsidRPr="001255B4" w14:paraId="6AB204B0" w14:textId="77777777" w:rsidTr="00952FCB">
        <w:tblPrEx>
          <w:tblLook w:val="01E0" w:firstRow="1" w:lastRow="1" w:firstColumn="1" w:lastColumn="1" w:noHBand="0" w:noVBand="0"/>
        </w:tblPrEx>
        <w:tc>
          <w:tcPr>
            <w:tcW w:w="5000" w:type="pct"/>
            <w:gridSpan w:val="4"/>
          </w:tcPr>
          <w:p w14:paraId="7F57E9D1" w14:textId="77777777" w:rsidR="00367616" w:rsidRPr="0028050E" w:rsidRDefault="00C97148" w:rsidP="00975122">
            <w:pPr>
              <w:pStyle w:val="Table"/>
            </w:pPr>
            <w:r w:rsidRPr="00AC1304">
              <w:t>Financial arrangements made on unusual terms e.g. interest rates above or below market rates, security for loans of little value in comparison to the principal amount, repayment of loan substantially deferred until the end of a length repayment period.</w:t>
            </w:r>
          </w:p>
        </w:tc>
      </w:tr>
      <w:tr w:rsidR="00367616" w:rsidRPr="001255B4" w14:paraId="7D6AD0FE" w14:textId="77777777" w:rsidTr="00952FCB">
        <w:tblPrEx>
          <w:tblLook w:val="01E0" w:firstRow="1" w:lastRow="1" w:firstColumn="1" w:lastColumn="1" w:noHBand="0" w:noVBand="0"/>
        </w:tblPrEx>
        <w:tc>
          <w:tcPr>
            <w:tcW w:w="5000" w:type="pct"/>
            <w:gridSpan w:val="4"/>
          </w:tcPr>
          <w:p w14:paraId="4A6AC740" w14:textId="77777777" w:rsidR="00367616" w:rsidRPr="0028050E" w:rsidRDefault="00C97148" w:rsidP="00975122">
            <w:pPr>
              <w:pStyle w:val="Table"/>
            </w:pPr>
            <w:r w:rsidRPr="00AC1304">
              <w:t xml:space="preserve">Arrangements where the transaction or series of transactions produce no economic gain or loss e.g. where the whole scheme is </w:t>
            </w:r>
            <w:r w:rsidRPr="00AC1304">
              <w:br/>
              <w:t>self-cancelling.</w:t>
            </w:r>
          </w:p>
        </w:tc>
      </w:tr>
      <w:tr w:rsidR="00367616" w:rsidRPr="001255B4" w14:paraId="12659D81" w14:textId="77777777" w:rsidTr="00952FCB">
        <w:tblPrEx>
          <w:tblLook w:val="01E0" w:firstRow="1" w:lastRow="1" w:firstColumn="1" w:lastColumn="1" w:noHBand="0" w:noVBand="0"/>
        </w:tblPrEx>
        <w:tc>
          <w:tcPr>
            <w:tcW w:w="5000" w:type="pct"/>
            <w:gridSpan w:val="4"/>
          </w:tcPr>
          <w:p w14:paraId="05E08BF3" w14:textId="77777777" w:rsidR="00367616" w:rsidRPr="0028050E" w:rsidRDefault="00C97148" w:rsidP="00975122">
            <w:pPr>
              <w:pStyle w:val="Table"/>
            </w:pPr>
            <w:r w:rsidRPr="00AC1304">
              <w:t>Arrangements which lack economic substance and are not rationally related to any useful non-tax purposes e.g. inte</w:t>
            </w:r>
            <w:r w:rsidR="00112FC6">
              <w:t xml:space="preserve">r-group or </w:t>
            </w:r>
            <w:r w:rsidR="00112FC6">
              <w:br/>
              <w:t>related party.</w:t>
            </w:r>
          </w:p>
        </w:tc>
      </w:tr>
      <w:tr w:rsidR="00367616" w:rsidRPr="001255B4" w14:paraId="54164051" w14:textId="77777777" w:rsidTr="00952FCB">
        <w:tblPrEx>
          <w:tblLook w:val="01E0" w:firstRow="1" w:lastRow="1" w:firstColumn="1" w:lastColumn="1" w:noHBand="0" w:noVBand="0"/>
        </w:tblPrEx>
        <w:tc>
          <w:tcPr>
            <w:tcW w:w="5000" w:type="pct"/>
            <w:gridSpan w:val="4"/>
          </w:tcPr>
          <w:p w14:paraId="5F58287E" w14:textId="77777777" w:rsidR="00367616" w:rsidRPr="0028050E" w:rsidRDefault="00C97148" w:rsidP="00975122">
            <w:pPr>
              <w:pStyle w:val="Table"/>
            </w:pPr>
            <w:r w:rsidRPr="00AC1304">
              <w:t>Arrangements to shift foreign losses into Australian branches or resident entities and greater deductions for losses are sought in Australia by the Australian resident entity.</w:t>
            </w:r>
          </w:p>
        </w:tc>
      </w:tr>
      <w:tr w:rsidR="00D0481F" w:rsidRPr="001255B4" w14:paraId="5A4358F4" w14:textId="77777777" w:rsidTr="00952FCB">
        <w:tblPrEx>
          <w:tblLook w:val="01E0" w:firstRow="1" w:lastRow="1" w:firstColumn="1" w:lastColumn="1" w:noHBand="0" w:noVBand="0"/>
        </w:tblPrEx>
        <w:tc>
          <w:tcPr>
            <w:tcW w:w="5000" w:type="pct"/>
            <w:gridSpan w:val="4"/>
          </w:tcPr>
          <w:p w14:paraId="74AE3565" w14:textId="77777777" w:rsidR="00D0481F" w:rsidRPr="00AC1304" w:rsidRDefault="00D0481F" w:rsidP="00975122">
            <w:pPr>
              <w:pStyle w:val="Table"/>
            </w:pPr>
            <w:r w:rsidRPr="00AC1304">
              <w:t>Arrangements whereby a shareholder claims to make a repayment of a shareholder loan from a private company via a round robin of endorsed cheques so as to avoid the operation of Division 7A.</w:t>
            </w:r>
          </w:p>
        </w:tc>
      </w:tr>
      <w:tr w:rsidR="00D0481F" w:rsidRPr="001255B4" w14:paraId="12338883" w14:textId="77777777" w:rsidTr="00952FCB">
        <w:tblPrEx>
          <w:tblLook w:val="01E0" w:firstRow="1" w:lastRow="1" w:firstColumn="1" w:lastColumn="1" w:noHBand="0" w:noVBand="0"/>
        </w:tblPrEx>
        <w:tc>
          <w:tcPr>
            <w:tcW w:w="5000" w:type="pct"/>
            <w:gridSpan w:val="4"/>
          </w:tcPr>
          <w:p w14:paraId="64B86CD1" w14:textId="3FB27671" w:rsidR="00D0481F" w:rsidRPr="00AC1304" w:rsidRDefault="00D0481F" w:rsidP="00684EE1">
            <w:pPr>
              <w:pStyle w:val="Table"/>
            </w:pPr>
            <w:r>
              <w:t>Dividend stripping arrangements involving the transfer of private company shares to a self-managed superannuation fund</w:t>
            </w:r>
            <w:r w:rsidR="00952FCB">
              <w:t>.</w:t>
            </w:r>
            <w:r>
              <w:t xml:space="preserve"> (Taxpayer Alert TA 2015/1</w:t>
            </w:r>
            <w:r w:rsidR="00684EE1">
              <w:t xml:space="preserve"> and related addendum TA2015/1A</w:t>
            </w:r>
            <w:r>
              <w:t>)</w:t>
            </w:r>
          </w:p>
        </w:tc>
      </w:tr>
      <w:tr w:rsidR="00952FCB" w:rsidRPr="000A401A" w14:paraId="1E99F783" w14:textId="77777777" w:rsidTr="00C81733">
        <w:tc>
          <w:tcPr>
            <w:tcW w:w="5000" w:type="pct"/>
            <w:gridSpan w:val="4"/>
            <w:shd w:val="clear" w:color="auto" w:fill="051C3C"/>
          </w:tcPr>
          <w:p w14:paraId="1277F260" w14:textId="13B91DA1" w:rsidR="00952FCB" w:rsidRPr="000A401A" w:rsidRDefault="00952FCB" w:rsidP="00C81733">
            <w:pPr>
              <w:pStyle w:val="Tableheading"/>
              <w:keepNext/>
              <w:rPr>
                <w:sz w:val="18"/>
              </w:rPr>
            </w:pPr>
            <w:r w:rsidRPr="00AE2EA6">
              <w:rPr>
                <w:color w:val="FFFFFF" w:themeColor="background1"/>
                <w:sz w:val="18"/>
              </w:rPr>
              <w:lastRenderedPageBreak/>
              <w:t xml:space="preserve">Transactions At Risk Under ATO Compliance Activities </w:t>
            </w:r>
            <w:r>
              <w:rPr>
                <w:color w:val="FFFFFF" w:themeColor="background1"/>
                <w:sz w:val="18"/>
              </w:rPr>
              <w:t>(continued)</w:t>
            </w:r>
          </w:p>
        </w:tc>
      </w:tr>
      <w:tr w:rsidR="00D0481F" w:rsidRPr="001255B4" w14:paraId="113B7BFD" w14:textId="77777777" w:rsidTr="00952FCB">
        <w:tblPrEx>
          <w:tblLook w:val="01E0" w:firstRow="1" w:lastRow="1" w:firstColumn="1" w:lastColumn="1" w:noHBand="0" w:noVBand="0"/>
        </w:tblPrEx>
        <w:tc>
          <w:tcPr>
            <w:tcW w:w="5000" w:type="pct"/>
            <w:gridSpan w:val="4"/>
          </w:tcPr>
          <w:p w14:paraId="5E08C35C" w14:textId="3C76956F" w:rsidR="00D0481F" w:rsidRPr="00AC1304" w:rsidRDefault="00D0481F" w:rsidP="00975122">
            <w:pPr>
              <w:pStyle w:val="Table"/>
            </w:pPr>
            <w:r>
              <w:t>Franked distributions funded by raising capital to release franking credits to shareholders</w:t>
            </w:r>
            <w:r w:rsidR="00952FCB">
              <w:t>.</w:t>
            </w:r>
            <w:r>
              <w:t xml:space="preserve"> (Taxpayer Alert TA 2015/2)</w:t>
            </w:r>
          </w:p>
        </w:tc>
      </w:tr>
      <w:tr w:rsidR="003A30E1" w:rsidRPr="001255B4" w14:paraId="25BA0BAD" w14:textId="77777777" w:rsidTr="00952FCB">
        <w:tblPrEx>
          <w:tblLook w:val="01E0" w:firstRow="1" w:lastRow="1" w:firstColumn="1" w:lastColumn="1" w:noHBand="0" w:noVBand="0"/>
        </w:tblPrEx>
        <w:tc>
          <w:tcPr>
            <w:tcW w:w="5000" w:type="pct"/>
            <w:gridSpan w:val="4"/>
          </w:tcPr>
          <w:p w14:paraId="0FBECC8E" w14:textId="2C4F88A2" w:rsidR="003A30E1" w:rsidRDefault="003A30E1" w:rsidP="00684EE1">
            <w:pPr>
              <w:pStyle w:val="Table"/>
            </w:pPr>
            <w:r>
              <w:t xml:space="preserve">Trusts mischaracterising </w:t>
            </w:r>
            <w:r w:rsidR="00684EE1">
              <w:t>profits on certain property developments as being capital gains rather than as income on revenue account</w:t>
            </w:r>
            <w:r w:rsidR="00952FCB">
              <w:t>.</w:t>
            </w:r>
            <w:r w:rsidR="00684EE1">
              <w:t xml:space="preserve"> (Taxpayer Alert TA 2014/1)  </w:t>
            </w:r>
          </w:p>
        </w:tc>
      </w:tr>
      <w:tr w:rsidR="00684EE1" w:rsidRPr="001255B4" w14:paraId="5FD0CDAA" w14:textId="77777777" w:rsidTr="00952FCB">
        <w:tblPrEx>
          <w:tblLook w:val="01E0" w:firstRow="1" w:lastRow="1" w:firstColumn="1" w:lastColumn="1" w:noHBand="0" w:noVBand="0"/>
        </w:tblPrEx>
        <w:tc>
          <w:tcPr>
            <w:tcW w:w="5000" w:type="pct"/>
            <w:gridSpan w:val="4"/>
          </w:tcPr>
          <w:p w14:paraId="05566E44" w14:textId="0239895E" w:rsidR="00684EE1" w:rsidRDefault="00684EE1" w:rsidP="00684EE1">
            <w:pPr>
              <w:pStyle w:val="Table"/>
            </w:pPr>
            <w:r>
              <w:t>Accessing business profits through an interposed partnership with a private company partner where most of the net income is taxed to a private company partner at the company tax rate but such profits are accessed by individuals without paying any additional top-up tax</w:t>
            </w:r>
            <w:r w:rsidR="00952FCB">
              <w:t>.</w:t>
            </w:r>
            <w:r>
              <w:t xml:space="preserve"> (Taxpayer Alert TA 2015/4)  </w:t>
            </w:r>
          </w:p>
        </w:tc>
      </w:tr>
      <w:tr w:rsidR="00684EE1" w:rsidRPr="001255B4" w14:paraId="0D96E509" w14:textId="77777777" w:rsidTr="00952FCB">
        <w:tblPrEx>
          <w:tblLook w:val="01E0" w:firstRow="1" w:lastRow="1" w:firstColumn="1" w:lastColumn="1" w:noHBand="0" w:noVBand="0"/>
        </w:tblPrEx>
        <w:tc>
          <w:tcPr>
            <w:tcW w:w="5000" w:type="pct"/>
            <w:gridSpan w:val="4"/>
          </w:tcPr>
          <w:p w14:paraId="7D0D9841" w14:textId="6F792504" w:rsidR="00684EE1" w:rsidRDefault="00684EE1" w:rsidP="00684EE1">
            <w:pPr>
              <w:pStyle w:val="Table"/>
            </w:pPr>
            <w:r>
              <w:t>Diverting personal services income to Self-Managed Superannuation Funds. (Taxpayer Alert TA 2016/6)</w:t>
            </w:r>
          </w:p>
        </w:tc>
      </w:tr>
      <w:tr w:rsidR="00367616" w:rsidRPr="008907EB" w14:paraId="1CEF5BE2" w14:textId="77777777" w:rsidTr="00952FCB">
        <w:tblPrEx>
          <w:tblLook w:val="01E0" w:firstRow="1" w:lastRow="1" w:firstColumn="1" w:lastColumn="1" w:noHBand="0" w:noVBand="0"/>
        </w:tblPrEx>
        <w:tc>
          <w:tcPr>
            <w:tcW w:w="896" w:type="pct"/>
            <w:shd w:val="clear" w:color="auto" w:fill="D9D9D9" w:themeFill="background1" w:themeFillShade="D9"/>
          </w:tcPr>
          <w:p w14:paraId="32104B0A" w14:textId="77777777" w:rsidR="00367616" w:rsidRPr="00361F33" w:rsidRDefault="00367616" w:rsidP="00F109BA">
            <w:pPr>
              <w:pStyle w:val="Tableheading"/>
              <w:pageBreakBefore/>
              <w:rPr>
                <w:b w:val="0"/>
                <w:sz w:val="18"/>
                <w:szCs w:val="18"/>
              </w:rPr>
            </w:pPr>
            <w:r w:rsidRPr="00361F33">
              <w:rPr>
                <w:b w:val="0"/>
                <w:sz w:val="18"/>
                <w:szCs w:val="18"/>
              </w:rPr>
              <w:lastRenderedPageBreak/>
              <w:t>Entity’s Name</w:t>
            </w:r>
          </w:p>
        </w:tc>
        <w:tc>
          <w:tcPr>
            <w:tcW w:w="2530" w:type="pct"/>
          </w:tcPr>
          <w:p w14:paraId="361B85F7" w14:textId="77777777" w:rsidR="00367616" w:rsidRPr="008907EB" w:rsidRDefault="00367616" w:rsidP="00F109BA">
            <w:pPr>
              <w:pStyle w:val="Tableheading"/>
              <w:pageBreakBefore/>
              <w:rPr>
                <w:sz w:val="18"/>
                <w:szCs w:val="18"/>
              </w:rPr>
            </w:pPr>
          </w:p>
        </w:tc>
        <w:tc>
          <w:tcPr>
            <w:tcW w:w="788" w:type="pct"/>
            <w:shd w:val="clear" w:color="auto" w:fill="051C3C"/>
          </w:tcPr>
          <w:p w14:paraId="58EF2B92" w14:textId="77777777" w:rsidR="00367616" w:rsidRPr="00AE2EA6" w:rsidRDefault="00367616" w:rsidP="00F109BA">
            <w:pPr>
              <w:pStyle w:val="Tableheading"/>
              <w:keepNext/>
              <w:pageBreakBefore/>
              <w:rPr>
                <w:b w:val="0"/>
                <w:color w:val="FFFFFF" w:themeColor="background1"/>
                <w:sz w:val="18"/>
                <w:szCs w:val="18"/>
              </w:rPr>
            </w:pPr>
            <w:r w:rsidRPr="00AE2EA6">
              <w:rPr>
                <w:b w:val="0"/>
                <w:color w:val="FFFFFF" w:themeColor="background1"/>
                <w:sz w:val="18"/>
                <w:szCs w:val="18"/>
              </w:rPr>
              <w:t xml:space="preserve">Initial </w:t>
            </w:r>
          </w:p>
        </w:tc>
        <w:tc>
          <w:tcPr>
            <w:tcW w:w="787" w:type="pct"/>
            <w:shd w:val="clear" w:color="auto" w:fill="051C3C"/>
          </w:tcPr>
          <w:p w14:paraId="6A676DE2" w14:textId="77777777" w:rsidR="00367616" w:rsidRPr="00AE2EA6" w:rsidRDefault="00367616" w:rsidP="00F109BA">
            <w:pPr>
              <w:pStyle w:val="Tableheading"/>
              <w:keepNext/>
              <w:pageBreakBefore/>
              <w:rPr>
                <w:b w:val="0"/>
                <w:color w:val="FFFFFF" w:themeColor="background1"/>
                <w:sz w:val="18"/>
                <w:szCs w:val="18"/>
              </w:rPr>
            </w:pPr>
            <w:r w:rsidRPr="00AE2EA6">
              <w:rPr>
                <w:b w:val="0"/>
                <w:color w:val="FFFFFF" w:themeColor="background1"/>
                <w:sz w:val="18"/>
                <w:szCs w:val="18"/>
              </w:rPr>
              <w:t>Date</w:t>
            </w:r>
          </w:p>
        </w:tc>
      </w:tr>
      <w:tr w:rsidR="00367616" w:rsidRPr="00CF21FA" w14:paraId="7FA12E52" w14:textId="77777777" w:rsidTr="00952FCB">
        <w:tblPrEx>
          <w:tblLook w:val="01E0" w:firstRow="1" w:lastRow="1" w:firstColumn="1" w:lastColumn="1" w:noHBand="0" w:noVBand="0"/>
        </w:tblPrEx>
        <w:tc>
          <w:tcPr>
            <w:tcW w:w="3425" w:type="pct"/>
            <w:gridSpan w:val="2"/>
          </w:tcPr>
          <w:p w14:paraId="25A4AC58" w14:textId="77777777" w:rsidR="00367616" w:rsidRPr="00361F33" w:rsidRDefault="00367616" w:rsidP="008907EB">
            <w:pPr>
              <w:pStyle w:val="Tableheading"/>
              <w:rPr>
                <w:b w:val="0"/>
              </w:rPr>
            </w:pPr>
            <w:r w:rsidRPr="00361F33">
              <w:rPr>
                <w:b w:val="0"/>
              </w:rPr>
              <w:t>Preparer</w:t>
            </w:r>
          </w:p>
        </w:tc>
        <w:tc>
          <w:tcPr>
            <w:tcW w:w="788" w:type="pct"/>
            <w:vAlign w:val="center"/>
          </w:tcPr>
          <w:p w14:paraId="39746B22" w14:textId="77777777" w:rsidR="00367616" w:rsidRPr="00CF21FA" w:rsidRDefault="00367616" w:rsidP="008907EB">
            <w:pPr>
              <w:pStyle w:val="Table"/>
            </w:pPr>
          </w:p>
        </w:tc>
        <w:tc>
          <w:tcPr>
            <w:tcW w:w="787" w:type="pct"/>
            <w:vAlign w:val="center"/>
          </w:tcPr>
          <w:p w14:paraId="423ED5E9" w14:textId="77777777" w:rsidR="00367616" w:rsidRPr="00CF21FA" w:rsidRDefault="00367616" w:rsidP="008907EB">
            <w:pPr>
              <w:pStyle w:val="Table"/>
            </w:pPr>
          </w:p>
        </w:tc>
      </w:tr>
      <w:tr w:rsidR="00367616" w:rsidRPr="00CF21FA" w14:paraId="449C1279" w14:textId="77777777" w:rsidTr="00952FCB">
        <w:tblPrEx>
          <w:tblLook w:val="01E0" w:firstRow="1" w:lastRow="1" w:firstColumn="1" w:lastColumn="1" w:noHBand="0" w:noVBand="0"/>
        </w:tblPrEx>
        <w:tc>
          <w:tcPr>
            <w:tcW w:w="3425" w:type="pct"/>
            <w:gridSpan w:val="2"/>
          </w:tcPr>
          <w:p w14:paraId="657B0875" w14:textId="77777777" w:rsidR="00367616" w:rsidRPr="00361F33" w:rsidRDefault="00367616" w:rsidP="008907EB">
            <w:pPr>
              <w:pStyle w:val="Tableheading"/>
              <w:rPr>
                <w:b w:val="0"/>
              </w:rPr>
            </w:pPr>
            <w:r w:rsidRPr="00361F33">
              <w:rPr>
                <w:b w:val="0"/>
              </w:rPr>
              <w:t>Reviewer</w:t>
            </w:r>
          </w:p>
        </w:tc>
        <w:tc>
          <w:tcPr>
            <w:tcW w:w="788" w:type="pct"/>
            <w:vAlign w:val="center"/>
          </w:tcPr>
          <w:p w14:paraId="3C005655" w14:textId="77777777" w:rsidR="00367616" w:rsidRPr="00CF21FA" w:rsidRDefault="00367616" w:rsidP="008907EB">
            <w:pPr>
              <w:pStyle w:val="Table"/>
            </w:pPr>
          </w:p>
        </w:tc>
        <w:tc>
          <w:tcPr>
            <w:tcW w:w="787" w:type="pct"/>
            <w:vAlign w:val="center"/>
          </w:tcPr>
          <w:p w14:paraId="73FCCEF2" w14:textId="77777777" w:rsidR="00367616" w:rsidRPr="00CF21FA" w:rsidRDefault="00367616" w:rsidP="008907EB">
            <w:pPr>
              <w:pStyle w:val="Table"/>
            </w:pPr>
          </w:p>
        </w:tc>
      </w:tr>
      <w:tr w:rsidR="00367616" w:rsidRPr="00CF21FA" w14:paraId="743E33C1" w14:textId="77777777" w:rsidTr="00952FCB">
        <w:tblPrEx>
          <w:tblLook w:val="01E0" w:firstRow="1" w:lastRow="1" w:firstColumn="1" w:lastColumn="1" w:noHBand="0" w:noVBand="0"/>
        </w:tblPrEx>
        <w:tc>
          <w:tcPr>
            <w:tcW w:w="3425" w:type="pct"/>
            <w:gridSpan w:val="2"/>
          </w:tcPr>
          <w:p w14:paraId="327D8FD6" w14:textId="77777777" w:rsidR="00367616" w:rsidRPr="00361F33" w:rsidRDefault="00367616" w:rsidP="008907EB">
            <w:pPr>
              <w:pStyle w:val="Tableheading"/>
              <w:rPr>
                <w:b w:val="0"/>
              </w:rPr>
            </w:pPr>
            <w:r w:rsidRPr="00361F33">
              <w:rPr>
                <w:b w:val="0"/>
              </w:rPr>
              <w:t>Partner</w:t>
            </w:r>
          </w:p>
        </w:tc>
        <w:tc>
          <w:tcPr>
            <w:tcW w:w="788" w:type="pct"/>
            <w:vAlign w:val="center"/>
          </w:tcPr>
          <w:p w14:paraId="1603E374" w14:textId="77777777" w:rsidR="00367616" w:rsidRPr="00CF21FA" w:rsidRDefault="00367616" w:rsidP="008907EB">
            <w:pPr>
              <w:pStyle w:val="Table"/>
            </w:pPr>
          </w:p>
        </w:tc>
        <w:tc>
          <w:tcPr>
            <w:tcW w:w="787" w:type="pct"/>
            <w:vAlign w:val="center"/>
          </w:tcPr>
          <w:p w14:paraId="2E39A365" w14:textId="77777777" w:rsidR="00367616" w:rsidRPr="00CF21FA" w:rsidRDefault="00367616" w:rsidP="008907EB">
            <w:pPr>
              <w:pStyle w:val="Table"/>
            </w:pPr>
          </w:p>
        </w:tc>
      </w:tr>
    </w:tbl>
    <w:p w14:paraId="115459B1" w14:textId="77777777" w:rsidR="00367616" w:rsidRDefault="00367616" w:rsidP="00B10F8F">
      <w:pPr>
        <w:pStyle w:val="Body"/>
      </w:pPr>
    </w:p>
    <w:p w14:paraId="6C01A866" w14:textId="77777777" w:rsidR="00367616" w:rsidRPr="00B10F8F" w:rsidRDefault="005A5D43" w:rsidP="00B10F8F">
      <w:pPr>
        <w:pStyle w:val="Body"/>
        <w:spacing w:after="360"/>
        <w:ind w:left="-125" w:right="-119"/>
        <w:rPr>
          <w:b/>
          <w:i w:val="0"/>
        </w:rPr>
      </w:pPr>
      <w:r>
        <w:rPr>
          <w:b/>
          <w:i w:val="0"/>
        </w:rPr>
        <w:t>Year ended 30 June 201</w:t>
      </w:r>
      <w:r w:rsidR="00B55A39">
        <w:rPr>
          <w:b/>
          <w:i w:val="0"/>
        </w:rPr>
        <w:t>6</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1"/>
        <w:gridCol w:w="4472"/>
        <w:gridCol w:w="1610"/>
        <w:gridCol w:w="1792"/>
        <w:gridCol w:w="1546"/>
      </w:tblGrid>
      <w:tr w:rsidR="00367616" w:rsidRPr="008907EB" w14:paraId="050108BB" w14:textId="77777777" w:rsidTr="00B45DAC">
        <w:tc>
          <w:tcPr>
            <w:tcW w:w="10301" w:type="dxa"/>
            <w:gridSpan w:val="5"/>
            <w:tcBorders>
              <w:bottom w:val="single" w:sz="4" w:space="0" w:color="939598"/>
            </w:tcBorders>
            <w:shd w:val="clear" w:color="auto" w:fill="051C3C"/>
          </w:tcPr>
          <w:p w14:paraId="16A64DBD" w14:textId="77777777" w:rsidR="00367616" w:rsidRPr="008907EB" w:rsidRDefault="00367616" w:rsidP="008907EB">
            <w:pPr>
              <w:pStyle w:val="Tableheading"/>
              <w:keepNext/>
              <w:rPr>
                <w:sz w:val="18"/>
              </w:rPr>
            </w:pPr>
            <w:r w:rsidRPr="00AE2EA6">
              <w:rPr>
                <w:color w:val="FFFFFF" w:themeColor="background1"/>
                <w:sz w:val="18"/>
              </w:rPr>
              <w:t>Carry Forward Action Sheet</w:t>
            </w:r>
          </w:p>
        </w:tc>
      </w:tr>
      <w:tr w:rsidR="00367616" w:rsidRPr="00CF21FA" w14:paraId="73C7766E" w14:textId="77777777" w:rsidTr="00133F4E">
        <w:tc>
          <w:tcPr>
            <w:tcW w:w="881"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13B8A2D6" w14:textId="77777777" w:rsidR="00367616" w:rsidRPr="00361F33" w:rsidRDefault="00367616" w:rsidP="00B10F8F">
            <w:pPr>
              <w:pStyle w:val="Tableheading"/>
              <w:spacing w:after="60"/>
              <w:rPr>
                <w:b w:val="0"/>
              </w:rPr>
            </w:pPr>
            <w:r w:rsidRPr="00361F33">
              <w:rPr>
                <w:b w:val="0"/>
              </w:rPr>
              <w:t>Date</w:t>
            </w:r>
          </w:p>
        </w:tc>
        <w:tc>
          <w:tcPr>
            <w:tcW w:w="447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2D4BA85C" w14:textId="77777777" w:rsidR="00367616" w:rsidRPr="00361F33" w:rsidRDefault="00367616" w:rsidP="00B10F8F">
            <w:pPr>
              <w:pStyle w:val="Tableheading"/>
              <w:spacing w:after="60"/>
              <w:rPr>
                <w:b w:val="0"/>
              </w:rPr>
            </w:pPr>
            <w:r w:rsidRPr="00361F33">
              <w:rPr>
                <w:b w:val="0"/>
              </w:rPr>
              <w:t>Item Carried Forward</w:t>
            </w:r>
          </w:p>
        </w:tc>
        <w:tc>
          <w:tcPr>
            <w:tcW w:w="1610"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4A86A93D" w14:textId="77777777" w:rsidR="00367616" w:rsidRPr="00361F33" w:rsidRDefault="00367616" w:rsidP="00B10F8F">
            <w:pPr>
              <w:pStyle w:val="Tableheading"/>
              <w:spacing w:after="60"/>
              <w:jc w:val="center"/>
              <w:rPr>
                <w:b w:val="0"/>
              </w:rPr>
            </w:pPr>
            <w:r w:rsidRPr="00361F33">
              <w:rPr>
                <w:b w:val="0"/>
              </w:rPr>
              <w:t>$</w:t>
            </w:r>
          </w:p>
        </w:tc>
        <w:tc>
          <w:tcPr>
            <w:tcW w:w="179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2B175E81" w14:textId="77777777" w:rsidR="00367616" w:rsidRPr="00361F33" w:rsidRDefault="00367616" w:rsidP="00B10F8F">
            <w:pPr>
              <w:pStyle w:val="Tableheading"/>
              <w:spacing w:after="60"/>
              <w:rPr>
                <w:b w:val="0"/>
              </w:rPr>
            </w:pPr>
            <w:r w:rsidRPr="00361F33">
              <w:rPr>
                <w:b w:val="0"/>
              </w:rPr>
              <w:t>Working Paper Ref</w:t>
            </w:r>
          </w:p>
        </w:tc>
        <w:tc>
          <w:tcPr>
            <w:tcW w:w="154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14:paraId="3A91506F" w14:textId="77777777" w:rsidR="00367616" w:rsidRPr="00361F33" w:rsidRDefault="00367616" w:rsidP="00B10F8F">
            <w:pPr>
              <w:pStyle w:val="Tableheading"/>
              <w:spacing w:after="60"/>
              <w:rPr>
                <w:b w:val="0"/>
              </w:rPr>
            </w:pPr>
            <w:r w:rsidRPr="00361F33">
              <w:rPr>
                <w:b w:val="0"/>
              </w:rPr>
              <w:t>Checked By</w:t>
            </w:r>
          </w:p>
        </w:tc>
      </w:tr>
      <w:tr w:rsidR="00367616" w:rsidRPr="00CF21FA" w14:paraId="78822B8D" w14:textId="77777777" w:rsidTr="00B10F8F">
        <w:tc>
          <w:tcPr>
            <w:tcW w:w="881" w:type="dxa"/>
            <w:tcBorders>
              <w:top w:val="single" w:sz="4" w:space="0" w:color="939598"/>
              <w:left w:val="single" w:sz="4" w:space="0" w:color="939598"/>
              <w:bottom w:val="single" w:sz="4" w:space="0" w:color="939598"/>
              <w:right w:val="single" w:sz="4" w:space="0" w:color="939598"/>
            </w:tcBorders>
          </w:tcPr>
          <w:p w14:paraId="46175E6F"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098EA790"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40BEED9E"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77AEA9FA"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2BBC506" w14:textId="77777777" w:rsidR="00367616" w:rsidRPr="00CF21FA" w:rsidRDefault="00367616" w:rsidP="00B10F8F">
            <w:pPr>
              <w:pStyle w:val="Table"/>
            </w:pPr>
          </w:p>
        </w:tc>
      </w:tr>
      <w:tr w:rsidR="00367616" w:rsidRPr="00CF21FA" w14:paraId="7AF5D227" w14:textId="77777777" w:rsidTr="00B10F8F">
        <w:tc>
          <w:tcPr>
            <w:tcW w:w="881" w:type="dxa"/>
            <w:tcBorders>
              <w:top w:val="single" w:sz="4" w:space="0" w:color="939598"/>
              <w:left w:val="single" w:sz="4" w:space="0" w:color="939598"/>
              <w:bottom w:val="single" w:sz="4" w:space="0" w:color="939598"/>
              <w:right w:val="single" w:sz="4" w:space="0" w:color="939598"/>
            </w:tcBorders>
          </w:tcPr>
          <w:p w14:paraId="34CDBF28"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542B208C"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158C6B7C"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704389B"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7FC73DE" w14:textId="77777777" w:rsidR="00367616" w:rsidRPr="00CF21FA" w:rsidRDefault="00367616" w:rsidP="00B10F8F">
            <w:pPr>
              <w:pStyle w:val="Table"/>
            </w:pPr>
          </w:p>
        </w:tc>
      </w:tr>
      <w:tr w:rsidR="00367616" w:rsidRPr="00CF21FA" w14:paraId="1FE02D63" w14:textId="77777777" w:rsidTr="00B10F8F">
        <w:tc>
          <w:tcPr>
            <w:tcW w:w="881" w:type="dxa"/>
            <w:tcBorders>
              <w:top w:val="single" w:sz="4" w:space="0" w:color="939598"/>
              <w:left w:val="single" w:sz="4" w:space="0" w:color="939598"/>
              <w:bottom w:val="single" w:sz="4" w:space="0" w:color="939598"/>
              <w:right w:val="single" w:sz="4" w:space="0" w:color="939598"/>
            </w:tcBorders>
          </w:tcPr>
          <w:p w14:paraId="438C1F73"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719F4D39"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07628ABB"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6A70E7B2"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875879C" w14:textId="77777777" w:rsidR="00367616" w:rsidRPr="00CF21FA" w:rsidRDefault="00367616" w:rsidP="00B10F8F">
            <w:pPr>
              <w:pStyle w:val="Table"/>
            </w:pPr>
          </w:p>
        </w:tc>
      </w:tr>
      <w:tr w:rsidR="00367616" w:rsidRPr="00CF21FA" w14:paraId="357BA040" w14:textId="77777777" w:rsidTr="00B10F8F">
        <w:tc>
          <w:tcPr>
            <w:tcW w:w="881" w:type="dxa"/>
            <w:tcBorders>
              <w:top w:val="single" w:sz="4" w:space="0" w:color="939598"/>
              <w:left w:val="single" w:sz="4" w:space="0" w:color="939598"/>
              <w:bottom w:val="single" w:sz="4" w:space="0" w:color="939598"/>
              <w:right w:val="single" w:sz="4" w:space="0" w:color="939598"/>
            </w:tcBorders>
          </w:tcPr>
          <w:p w14:paraId="7639EDE7"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2768A6F0"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4D90DF1"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5F8BEB3"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2B8C572" w14:textId="77777777" w:rsidR="00367616" w:rsidRPr="00CF21FA" w:rsidRDefault="00367616" w:rsidP="00B10F8F">
            <w:pPr>
              <w:pStyle w:val="Table"/>
            </w:pPr>
          </w:p>
        </w:tc>
      </w:tr>
      <w:tr w:rsidR="00367616" w:rsidRPr="00CF21FA" w14:paraId="0745665D" w14:textId="77777777" w:rsidTr="00B10F8F">
        <w:tc>
          <w:tcPr>
            <w:tcW w:w="881" w:type="dxa"/>
            <w:tcBorders>
              <w:top w:val="single" w:sz="4" w:space="0" w:color="939598"/>
              <w:left w:val="single" w:sz="4" w:space="0" w:color="939598"/>
              <w:bottom w:val="single" w:sz="4" w:space="0" w:color="939598"/>
              <w:right w:val="single" w:sz="4" w:space="0" w:color="939598"/>
            </w:tcBorders>
          </w:tcPr>
          <w:p w14:paraId="62BF7836"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66739BF6"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C331F3B"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504205BB"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FE2B4F9" w14:textId="77777777" w:rsidR="00367616" w:rsidRPr="00CF21FA" w:rsidRDefault="00367616" w:rsidP="00B10F8F">
            <w:pPr>
              <w:pStyle w:val="Table"/>
            </w:pPr>
          </w:p>
        </w:tc>
      </w:tr>
      <w:tr w:rsidR="00367616" w:rsidRPr="00CF21FA" w14:paraId="0ECA053C" w14:textId="77777777" w:rsidTr="00B10F8F">
        <w:tc>
          <w:tcPr>
            <w:tcW w:w="881" w:type="dxa"/>
            <w:tcBorders>
              <w:top w:val="single" w:sz="4" w:space="0" w:color="939598"/>
              <w:left w:val="single" w:sz="4" w:space="0" w:color="939598"/>
              <w:bottom w:val="single" w:sz="4" w:space="0" w:color="939598"/>
              <w:right w:val="single" w:sz="4" w:space="0" w:color="939598"/>
            </w:tcBorders>
          </w:tcPr>
          <w:p w14:paraId="0C74B037"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7398EAD2"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4C756702"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EFDA725"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4021419" w14:textId="77777777" w:rsidR="00367616" w:rsidRPr="00CF21FA" w:rsidRDefault="00367616" w:rsidP="00B10F8F">
            <w:pPr>
              <w:pStyle w:val="Table"/>
            </w:pPr>
          </w:p>
        </w:tc>
      </w:tr>
      <w:tr w:rsidR="00367616" w:rsidRPr="00CF21FA" w14:paraId="69A7714B" w14:textId="77777777" w:rsidTr="00B10F8F">
        <w:tc>
          <w:tcPr>
            <w:tcW w:w="881" w:type="dxa"/>
            <w:tcBorders>
              <w:top w:val="single" w:sz="4" w:space="0" w:color="939598"/>
              <w:left w:val="single" w:sz="4" w:space="0" w:color="939598"/>
              <w:bottom w:val="single" w:sz="4" w:space="0" w:color="939598"/>
              <w:right w:val="single" w:sz="4" w:space="0" w:color="939598"/>
            </w:tcBorders>
          </w:tcPr>
          <w:p w14:paraId="773795E7"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2A7EA738"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57E1E330"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0FD58C18"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0E6C3E87" w14:textId="77777777" w:rsidR="00367616" w:rsidRPr="00CF21FA" w:rsidRDefault="00367616" w:rsidP="00B10F8F">
            <w:pPr>
              <w:pStyle w:val="Table"/>
            </w:pPr>
          </w:p>
        </w:tc>
      </w:tr>
      <w:tr w:rsidR="00367616" w:rsidRPr="00CF21FA" w14:paraId="52BF7C6D" w14:textId="77777777" w:rsidTr="00B10F8F">
        <w:tc>
          <w:tcPr>
            <w:tcW w:w="881" w:type="dxa"/>
            <w:tcBorders>
              <w:top w:val="single" w:sz="4" w:space="0" w:color="939598"/>
              <w:left w:val="single" w:sz="4" w:space="0" w:color="939598"/>
              <w:bottom w:val="single" w:sz="4" w:space="0" w:color="939598"/>
              <w:right w:val="single" w:sz="4" w:space="0" w:color="939598"/>
            </w:tcBorders>
          </w:tcPr>
          <w:p w14:paraId="57B2498C"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6DBC7100"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147F17A"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7007C57C"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75302319" w14:textId="77777777" w:rsidR="00367616" w:rsidRPr="00CF21FA" w:rsidRDefault="00367616" w:rsidP="00B10F8F">
            <w:pPr>
              <w:pStyle w:val="Table"/>
            </w:pPr>
          </w:p>
        </w:tc>
      </w:tr>
      <w:tr w:rsidR="00367616" w:rsidRPr="00CF21FA" w14:paraId="259F74B1" w14:textId="77777777" w:rsidTr="00B10F8F">
        <w:tc>
          <w:tcPr>
            <w:tcW w:w="881" w:type="dxa"/>
            <w:tcBorders>
              <w:top w:val="single" w:sz="4" w:space="0" w:color="939598"/>
              <w:left w:val="single" w:sz="4" w:space="0" w:color="939598"/>
              <w:bottom w:val="single" w:sz="4" w:space="0" w:color="939598"/>
              <w:right w:val="single" w:sz="4" w:space="0" w:color="939598"/>
            </w:tcBorders>
          </w:tcPr>
          <w:p w14:paraId="171555AA"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28841C19"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6F36AD8A"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1FAC8BC2"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397A586F" w14:textId="77777777" w:rsidR="00367616" w:rsidRPr="00CF21FA" w:rsidRDefault="00367616" w:rsidP="00B10F8F">
            <w:pPr>
              <w:pStyle w:val="Table"/>
            </w:pPr>
          </w:p>
        </w:tc>
      </w:tr>
      <w:tr w:rsidR="00367616" w:rsidRPr="00CF21FA" w14:paraId="1630812C" w14:textId="77777777" w:rsidTr="00B10F8F">
        <w:tc>
          <w:tcPr>
            <w:tcW w:w="881" w:type="dxa"/>
            <w:tcBorders>
              <w:top w:val="single" w:sz="4" w:space="0" w:color="939598"/>
              <w:left w:val="single" w:sz="4" w:space="0" w:color="939598"/>
              <w:bottom w:val="single" w:sz="4" w:space="0" w:color="939598"/>
              <w:right w:val="single" w:sz="4" w:space="0" w:color="939598"/>
            </w:tcBorders>
          </w:tcPr>
          <w:p w14:paraId="714C6006"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1A0CA916"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72BF81D6"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37E4EE92"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64A12C61" w14:textId="77777777" w:rsidR="00367616" w:rsidRPr="00CF21FA" w:rsidRDefault="00367616" w:rsidP="00B10F8F">
            <w:pPr>
              <w:pStyle w:val="Table"/>
            </w:pPr>
          </w:p>
        </w:tc>
      </w:tr>
      <w:tr w:rsidR="00367616" w:rsidRPr="00CF21FA" w14:paraId="3B12177A" w14:textId="77777777" w:rsidTr="00B10F8F">
        <w:tc>
          <w:tcPr>
            <w:tcW w:w="881" w:type="dxa"/>
            <w:tcBorders>
              <w:top w:val="single" w:sz="4" w:space="0" w:color="939598"/>
              <w:left w:val="single" w:sz="4" w:space="0" w:color="939598"/>
              <w:bottom w:val="single" w:sz="4" w:space="0" w:color="939598"/>
              <w:right w:val="single" w:sz="4" w:space="0" w:color="939598"/>
            </w:tcBorders>
          </w:tcPr>
          <w:p w14:paraId="5DD83918"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4B132BD4"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39854340"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871C2EB"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4F4F94F3" w14:textId="77777777" w:rsidR="00367616" w:rsidRPr="00CF21FA" w:rsidRDefault="00367616" w:rsidP="00B10F8F">
            <w:pPr>
              <w:pStyle w:val="Table"/>
            </w:pPr>
          </w:p>
        </w:tc>
      </w:tr>
      <w:tr w:rsidR="00367616" w:rsidRPr="00CF21FA" w14:paraId="34A87CBB" w14:textId="77777777" w:rsidTr="00B10F8F">
        <w:tc>
          <w:tcPr>
            <w:tcW w:w="881" w:type="dxa"/>
            <w:tcBorders>
              <w:top w:val="single" w:sz="4" w:space="0" w:color="939598"/>
              <w:left w:val="single" w:sz="4" w:space="0" w:color="939598"/>
              <w:bottom w:val="single" w:sz="4" w:space="0" w:color="939598"/>
              <w:right w:val="single" w:sz="4" w:space="0" w:color="939598"/>
            </w:tcBorders>
          </w:tcPr>
          <w:p w14:paraId="401B7E0F" w14:textId="77777777" w:rsidR="00367616" w:rsidRPr="00CF21FA" w:rsidRDefault="00367616" w:rsidP="00B10F8F">
            <w:pPr>
              <w:pStyle w:val="Table"/>
            </w:pPr>
          </w:p>
        </w:tc>
        <w:tc>
          <w:tcPr>
            <w:tcW w:w="4472" w:type="dxa"/>
            <w:tcBorders>
              <w:top w:val="single" w:sz="4" w:space="0" w:color="939598"/>
              <w:left w:val="single" w:sz="4" w:space="0" w:color="939598"/>
              <w:bottom w:val="single" w:sz="4" w:space="0" w:color="939598"/>
              <w:right w:val="single" w:sz="4" w:space="0" w:color="939598"/>
            </w:tcBorders>
          </w:tcPr>
          <w:p w14:paraId="79BFDE03" w14:textId="77777777" w:rsidR="00367616" w:rsidRPr="00CF21FA" w:rsidRDefault="00367616" w:rsidP="00B10F8F">
            <w:pPr>
              <w:pStyle w:val="Table"/>
            </w:pPr>
          </w:p>
        </w:tc>
        <w:tc>
          <w:tcPr>
            <w:tcW w:w="1610" w:type="dxa"/>
            <w:tcBorders>
              <w:top w:val="single" w:sz="4" w:space="0" w:color="939598"/>
              <w:left w:val="single" w:sz="4" w:space="0" w:color="939598"/>
              <w:bottom w:val="single" w:sz="4" w:space="0" w:color="939598"/>
              <w:right w:val="single" w:sz="4" w:space="0" w:color="939598"/>
            </w:tcBorders>
          </w:tcPr>
          <w:p w14:paraId="50B50DC1" w14:textId="77777777" w:rsidR="00367616" w:rsidRPr="00CF21FA" w:rsidRDefault="00367616" w:rsidP="00B10F8F">
            <w:pPr>
              <w:pStyle w:val="Table"/>
            </w:pPr>
          </w:p>
        </w:tc>
        <w:tc>
          <w:tcPr>
            <w:tcW w:w="1792" w:type="dxa"/>
            <w:tcBorders>
              <w:top w:val="single" w:sz="4" w:space="0" w:color="939598"/>
              <w:left w:val="single" w:sz="4" w:space="0" w:color="939598"/>
              <w:bottom w:val="single" w:sz="4" w:space="0" w:color="939598"/>
              <w:right w:val="single" w:sz="4" w:space="0" w:color="939598"/>
            </w:tcBorders>
          </w:tcPr>
          <w:p w14:paraId="4CDD77E9" w14:textId="77777777" w:rsidR="00367616" w:rsidRPr="00CF21FA" w:rsidRDefault="00367616" w:rsidP="00B10F8F">
            <w:pPr>
              <w:pStyle w:val="Table"/>
            </w:pPr>
          </w:p>
        </w:tc>
        <w:tc>
          <w:tcPr>
            <w:tcW w:w="1546" w:type="dxa"/>
            <w:tcBorders>
              <w:top w:val="single" w:sz="4" w:space="0" w:color="939598"/>
              <w:left w:val="single" w:sz="4" w:space="0" w:color="939598"/>
              <w:bottom w:val="single" w:sz="4" w:space="0" w:color="939598"/>
              <w:right w:val="single" w:sz="4" w:space="0" w:color="939598"/>
            </w:tcBorders>
          </w:tcPr>
          <w:p w14:paraId="674DF478" w14:textId="77777777" w:rsidR="00367616" w:rsidRPr="00CF21FA" w:rsidRDefault="00367616" w:rsidP="00B10F8F">
            <w:pPr>
              <w:pStyle w:val="Table"/>
            </w:pPr>
          </w:p>
        </w:tc>
      </w:tr>
    </w:tbl>
    <w:p w14:paraId="3EC5E34E" w14:textId="77777777" w:rsidR="00367616" w:rsidRPr="00B10F8F" w:rsidRDefault="00367616" w:rsidP="00B10F8F">
      <w:pPr>
        <w:pStyle w:val="Body"/>
        <w:rPr>
          <w:sz w:val="23"/>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2"/>
        <w:gridCol w:w="7676"/>
        <w:gridCol w:w="1743"/>
      </w:tblGrid>
      <w:tr w:rsidR="00367616" w:rsidRPr="008907EB" w14:paraId="57F11BB0" w14:textId="77777777" w:rsidTr="00B45DAC">
        <w:tc>
          <w:tcPr>
            <w:tcW w:w="10301" w:type="dxa"/>
            <w:gridSpan w:val="3"/>
            <w:tcBorders>
              <w:bottom w:val="single" w:sz="4" w:space="0" w:color="939598"/>
            </w:tcBorders>
            <w:shd w:val="clear" w:color="auto" w:fill="051C3C"/>
          </w:tcPr>
          <w:p w14:paraId="48AE0B37" w14:textId="77777777" w:rsidR="00367616" w:rsidRPr="00AE2EA6" w:rsidRDefault="00367616" w:rsidP="008907EB">
            <w:pPr>
              <w:pStyle w:val="Tableheading"/>
              <w:keepNext/>
              <w:rPr>
                <w:sz w:val="18"/>
              </w:rPr>
            </w:pPr>
            <w:r w:rsidRPr="00AE2EA6">
              <w:rPr>
                <w:color w:val="FFFFFF" w:themeColor="background1"/>
                <w:sz w:val="18"/>
              </w:rPr>
              <w:t>Points for Partner Review</w:t>
            </w:r>
          </w:p>
        </w:tc>
      </w:tr>
      <w:tr w:rsidR="00367616" w:rsidRPr="00CF21FA" w14:paraId="0E6D1D22" w14:textId="77777777" w:rsidTr="00133F4E">
        <w:tc>
          <w:tcPr>
            <w:tcW w:w="882"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7C01F8E" w14:textId="77777777" w:rsidR="00367616" w:rsidRPr="00361F33" w:rsidRDefault="00367616" w:rsidP="00B10F8F">
            <w:pPr>
              <w:pStyle w:val="Tableheading"/>
              <w:spacing w:after="60"/>
              <w:rPr>
                <w:b w:val="0"/>
              </w:rPr>
            </w:pPr>
            <w:r w:rsidRPr="00361F33">
              <w:rPr>
                <w:b w:val="0"/>
              </w:rPr>
              <w:t>Date</w:t>
            </w:r>
          </w:p>
        </w:tc>
        <w:tc>
          <w:tcPr>
            <w:tcW w:w="7676"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08764A7" w14:textId="77777777" w:rsidR="00367616" w:rsidRPr="00361F33" w:rsidRDefault="00367616" w:rsidP="00B10F8F">
            <w:pPr>
              <w:pStyle w:val="Tableheading"/>
              <w:spacing w:after="60"/>
              <w:rPr>
                <w:b w:val="0"/>
              </w:rPr>
            </w:pPr>
            <w:r w:rsidRPr="00361F33">
              <w:rPr>
                <w:b w:val="0"/>
              </w:rPr>
              <w:t>Review Point</w:t>
            </w:r>
          </w:p>
        </w:tc>
        <w:tc>
          <w:tcPr>
            <w:tcW w:w="17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52D1AE1" w14:textId="77777777" w:rsidR="00367616" w:rsidRPr="00361F33" w:rsidRDefault="00367616" w:rsidP="00B10F8F">
            <w:pPr>
              <w:pStyle w:val="Tableheading"/>
              <w:spacing w:after="60"/>
              <w:rPr>
                <w:b w:val="0"/>
              </w:rPr>
            </w:pPr>
            <w:r w:rsidRPr="00361F33">
              <w:rPr>
                <w:b w:val="0"/>
              </w:rPr>
              <w:t>Checked By</w:t>
            </w:r>
          </w:p>
        </w:tc>
      </w:tr>
      <w:tr w:rsidR="00367616" w:rsidRPr="00CF21FA" w14:paraId="2D1F9661" w14:textId="77777777" w:rsidTr="00B10F8F">
        <w:tc>
          <w:tcPr>
            <w:tcW w:w="882" w:type="dxa"/>
            <w:tcBorders>
              <w:top w:val="single" w:sz="4" w:space="0" w:color="939598"/>
            </w:tcBorders>
          </w:tcPr>
          <w:p w14:paraId="0B0355CE" w14:textId="77777777" w:rsidR="00367616" w:rsidRPr="00CF21FA" w:rsidRDefault="00367616" w:rsidP="00B10F8F">
            <w:pPr>
              <w:pStyle w:val="Table"/>
            </w:pPr>
          </w:p>
        </w:tc>
        <w:tc>
          <w:tcPr>
            <w:tcW w:w="7676" w:type="dxa"/>
            <w:tcBorders>
              <w:top w:val="single" w:sz="4" w:space="0" w:color="939598"/>
            </w:tcBorders>
          </w:tcPr>
          <w:p w14:paraId="19FF7902" w14:textId="77777777" w:rsidR="00367616" w:rsidRPr="00CF21FA" w:rsidRDefault="00367616" w:rsidP="00B10F8F">
            <w:pPr>
              <w:pStyle w:val="Table"/>
            </w:pPr>
          </w:p>
        </w:tc>
        <w:tc>
          <w:tcPr>
            <w:tcW w:w="1743" w:type="dxa"/>
            <w:tcBorders>
              <w:top w:val="single" w:sz="4" w:space="0" w:color="939598"/>
            </w:tcBorders>
          </w:tcPr>
          <w:p w14:paraId="78D20BE7" w14:textId="77777777" w:rsidR="00367616" w:rsidRPr="00CF21FA" w:rsidRDefault="00367616" w:rsidP="00B10F8F">
            <w:pPr>
              <w:pStyle w:val="Table"/>
            </w:pPr>
          </w:p>
        </w:tc>
      </w:tr>
      <w:tr w:rsidR="00367616" w:rsidRPr="00CF21FA" w14:paraId="797BA6FF" w14:textId="77777777" w:rsidTr="008907EB">
        <w:tc>
          <w:tcPr>
            <w:tcW w:w="882" w:type="dxa"/>
          </w:tcPr>
          <w:p w14:paraId="2FD8CBA6" w14:textId="77777777" w:rsidR="00367616" w:rsidRPr="00CF21FA" w:rsidRDefault="00367616" w:rsidP="00B10F8F">
            <w:pPr>
              <w:pStyle w:val="Table"/>
            </w:pPr>
          </w:p>
        </w:tc>
        <w:tc>
          <w:tcPr>
            <w:tcW w:w="7676" w:type="dxa"/>
          </w:tcPr>
          <w:p w14:paraId="2B0972ED" w14:textId="77777777" w:rsidR="00367616" w:rsidRPr="00CF21FA" w:rsidRDefault="00367616" w:rsidP="00B10F8F">
            <w:pPr>
              <w:pStyle w:val="Table"/>
            </w:pPr>
          </w:p>
        </w:tc>
        <w:tc>
          <w:tcPr>
            <w:tcW w:w="1743" w:type="dxa"/>
          </w:tcPr>
          <w:p w14:paraId="248ABCD9" w14:textId="77777777" w:rsidR="00367616" w:rsidRPr="00CF21FA" w:rsidRDefault="00367616" w:rsidP="00B10F8F">
            <w:pPr>
              <w:pStyle w:val="Table"/>
            </w:pPr>
          </w:p>
        </w:tc>
      </w:tr>
      <w:tr w:rsidR="00367616" w:rsidRPr="00CF21FA" w14:paraId="04F309EF" w14:textId="77777777" w:rsidTr="008907EB">
        <w:tc>
          <w:tcPr>
            <w:tcW w:w="882" w:type="dxa"/>
          </w:tcPr>
          <w:p w14:paraId="17C2807F" w14:textId="77777777" w:rsidR="00367616" w:rsidRPr="00CF21FA" w:rsidRDefault="00367616" w:rsidP="00B10F8F">
            <w:pPr>
              <w:pStyle w:val="Table"/>
            </w:pPr>
          </w:p>
        </w:tc>
        <w:tc>
          <w:tcPr>
            <w:tcW w:w="7676" w:type="dxa"/>
          </w:tcPr>
          <w:p w14:paraId="1BC8455B" w14:textId="77777777" w:rsidR="00367616" w:rsidRPr="00CF21FA" w:rsidRDefault="00367616" w:rsidP="00B10F8F">
            <w:pPr>
              <w:pStyle w:val="Table"/>
            </w:pPr>
          </w:p>
        </w:tc>
        <w:tc>
          <w:tcPr>
            <w:tcW w:w="1743" w:type="dxa"/>
          </w:tcPr>
          <w:p w14:paraId="6D1976E4" w14:textId="77777777" w:rsidR="00367616" w:rsidRPr="00CF21FA" w:rsidRDefault="00367616" w:rsidP="00B10F8F">
            <w:pPr>
              <w:pStyle w:val="Table"/>
            </w:pPr>
          </w:p>
        </w:tc>
      </w:tr>
      <w:tr w:rsidR="00367616" w:rsidRPr="00CF21FA" w14:paraId="2B3D0E9A" w14:textId="77777777" w:rsidTr="008907EB">
        <w:tc>
          <w:tcPr>
            <w:tcW w:w="882" w:type="dxa"/>
          </w:tcPr>
          <w:p w14:paraId="7AD0C819" w14:textId="77777777" w:rsidR="00367616" w:rsidRPr="00CF21FA" w:rsidRDefault="00367616" w:rsidP="00B10F8F">
            <w:pPr>
              <w:pStyle w:val="Table"/>
            </w:pPr>
          </w:p>
        </w:tc>
        <w:tc>
          <w:tcPr>
            <w:tcW w:w="7676" w:type="dxa"/>
          </w:tcPr>
          <w:p w14:paraId="369962B7" w14:textId="77777777" w:rsidR="00367616" w:rsidRPr="00CF21FA" w:rsidRDefault="00367616" w:rsidP="00B10F8F">
            <w:pPr>
              <w:pStyle w:val="Table"/>
            </w:pPr>
          </w:p>
        </w:tc>
        <w:tc>
          <w:tcPr>
            <w:tcW w:w="1743" w:type="dxa"/>
          </w:tcPr>
          <w:p w14:paraId="356CD53B" w14:textId="77777777" w:rsidR="00367616" w:rsidRPr="00CF21FA" w:rsidRDefault="00367616" w:rsidP="00B10F8F">
            <w:pPr>
              <w:pStyle w:val="Table"/>
            </w:pPr>
          </w:p>
        </w:tc>
      </w:tr>
      <w:tr w:rsidR="00367616" w:rsidRPr="00CF21FA" w14:paraId="36812AC4" w14:textId="77777777" w:rsidTr="008907EB">
        <w:tc>
          <w:tcPr>
            <w:tcW w:w="882" w:type="dxa"/>
          </w:tcPr>
          <w:p w14:paraId="6065FF70" w14:textId="77777777" w:rsidR="00367616" w:rsidRPr="00CF21FA" w:rsidRDefault="00367616" w:rsidP="00B10F8F">
            <w:pPr>
              <w:pStyle w:val="Table"/>
            </w:pPr>
          </w:p>
        </w:tc>
        <w:tc>
          <w:tcPr>
            <w:tcW w:w="7676" w:type="dxa"/>
          </w:tcPr>
          <w:p w14:paraId="44054F31" w14:textId="77777777" w:rsidR="00367616" w:rsidRPr="00CF21FA" w:rsidRDefault="00367616" w:rsidP="00B10F8F">
            <w:pPr>
              <w:pStyle w:val="Table"/>
            </w:pPr>
          </w:p>
        </w:tc>
        <w:tc>
          <w:tcPr>
            <w:tcW w:w="1743" w:type="dxa"/>
          </w:tcPr>
          <w:p w14:paraId="1ABBED09" w14:textId="77777777" w:rsidR="00367616" w:rsidRPr="00CF21FA" w:rsidRDefault="00367616" w:rsidP="00B10F8F">
            <w:pPr>
              <w:pStyle w:val="Table"/>
            </w:pPr>
          </w:p>
        </w:tc>
      </w:tr>
      <w:tr w:rsidR="00367616" w:rsidRPr="00CF21FA" w14:paraId="516C565A" w14:textId="77777777" w:rsidTr="008907EB">
        <w:tc>
          <w:tcPr>
            <w:tcW w:w="882" w:type="dxa"/>
          </w:tcPr>
          <w:p w14:paraId="14527966" w14:textId="77777777" w:rsidR="00367616" w:rsidRPr="00CF21FA" w:rsidRDefault="00367616" w:rsidP="00B10F8F">
            <w:pPr>
              <w:pStyle w:val="Table"/>
            </w:pPr>
          </w:p>
        </w:tc>
        <w:tc>
          <w:tcPr>
            <w:tcW w:w="7676" w:type="dxa"/>
          </w:tcPr>
          <w:p w14:paraId="3B07E984" w14:textId="77777777" w:rsidR="00367616" w:rsidRPr="00CF21FA" w:rsidRDefault="00367616" w:rsidP="00B10F8F">
            <w:pPr>
              <w:pStyle w:val="Table"/>
            </w:pPr>
          </w:p>
        </w:tc>
        <w:tc>
          <w:tcPr>
            <w:tcW w:w="1743" w:type="dxa"/>
          </w:tcPr>
          <w:p w14:paraId="39962DEB" w14:textId="77777777" w:rsidR="00367616" w:rsidRPr="00CF21FA" w:rsidRDefault="00367616" w:rsidP="00B10F8F">
            <w:pPr>
              <w:pStyle w:val="Table"/>
            </w:pPr>
          </w:p>
        </w:tc>
      </w:tr>
      <w:tr w:rsidR="00367616" w:rsidRPr="00CF21FA" w14:paraId="4DD3CE13" w14:textId="77777777" w:rsidTr="008907EB">
        <w:tc>
          <w:tcPr>
            <w:tcW w:w="882" w:type="dxa"/>
          </w:tcPr>
          <w:p w14:paraId="4439AD8F" w14:textId="77777777" w:rsidR="00367616" w:rsidRPr="00CF21FA" w:rsidRDefault="00367616" w:rsidP="00B10F8F">
            <w:pPr>
              <w:pStyle w:val="Table"/>
            </w:pPr>
          </w:p>
        </w:tc>
        <w:tc>
          <w:tcPr>
            <w:tcW w:w="7676" w:type="dxa"/>
          </w:tcPr>
          <w:p w14:paraId="73C4323E" w14:textId="77777777" w:rsidR="00367616" w:rsidRPr="00CF21FA" w:rsidRDefault="00367616" w:rsidP="00B10F8F">
            <w:pPr>
              <w:pStyle w:val="Table"/>
            </w:pPr>
          </w:p>
        </w:tc>
        <w:tc>
          <w:tcPr>
            <w:tcW w:w="1743" w:type="dxa"/>
          </w:tcPr>
          <w:p w14:paraId="48C878EC" w14:textId="77777777" w:rsidR="00367616" w:rsidRPr="00CF21FA" w:rsidRDefault="00367616" w:rsidP="00B10F8F">
            <w:pPr>
              <w:pStyle w:val="Table"/>
            </w:pPr>
          </w:p>
        </w:tc>
      </w:tr>
      <w:tr w:rsidR="00367616" w:rsidRPr="00CF21FA" w14:paraId="62141754" w14:textId="77777777" w:rsidTr="008907EB">
        <w:tc>
          <w:tcPr>
            <w:tcW w:w="882" w:type="dxa"/>
          </w:tcPr>
          <w:p w14:paraId="51958EA9" w14:textId="77777777" w:rsidR="00367616" w:rsidRPr="00CF21FA" w:rsidRDefault="00367616" w:rsidP="00B10F8F">
            <w:pPr>
              <w:pStyle w:val="Table"/>
            </w:pPr>
          </w:p>
        </w:tc>
        <w:tc>
          <w:tcPr>
            <w:tcW w:w="7676" w:type="dxa"/>
          </w:tcPr>
          <w:p w14:paraId="718EC87A" w14:textId="77777777" w:rsidR="00367616" w:rsidRPr="00CF21FA" w:rsidRDefault="00367616" w:rsidP="00B10F8F">
            <w:pPr>
              <w:pStyle w:val="Table"/>
            </w:pPr>
          </w:p>
        </w:tc>
        <w:tc>
          <w:tcPr>
            <w:tcW w:w="1743" w:type="dxa"/>
          </w:tcPr>
          <w:p w14:paraId="0DADDD6B" w14:textId="77777777" w:rsidR="00367616" w:rsidRPr="00CF21FA" w:rsidRDefault="00367616" w:rsidP="00B10F8F">
            <w:pPr>
              <w:pStyle w:val="Table"/>
            </w:pPr>
          </w:p>
        </w:tc>
      </w:tr>
    </w:tbl>
    <w:p w14:paraId="37CFD9F7" w14:textId="77777777" w:rsidR="00367616" w:rsidRPr="00B10F8F" w:rsidRDefault="00367616" w:rsidP="00B10F8F">
      <w:pPr>
        <w:pStyle w:val="Body"/>
        <w:rPr>
          <w:sz w:val="23"/>
        </w:rPr>
      </w:pPr>
    </w:p>
    <w:sectPr w:rsidR="00367616" w:rsidRPr="00B10F8F" w:rsidSect="005F16DB">
      <w:headerReference w:type="default" r:id="rId15"/>
      <w:footerReference w:type="default" r:id="rId16"/>
      <w:pgSz w:w="11899" w:h="16838" w:code="9"/>
      <w:pgMar w:top="947" w:right="907" w:bottom="907" w:left="907" w:header="284" w:footer="102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D87B5" w14:textId="77777777" w:rsidR="00E25073" w:rsidRDefault="00E25073" w:rsidP="007132DC">
      <w:r>
        <w:separator/>
      </w:r>
    </w:p>
  </w:endnote>
  <w:endnote w:type="continuationSeparator" w:id="0">
    <w:p w14:paraId="3AD68524" w14:textId="77777777" w:rsidR="00E25073" w:rsidRDefault="00E25073"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A62C" w14:textId="77777777" w:rsidR="00E25073" w:rsidRDefault="00E25073" w:rsidP="003E71B4">
    <w:pPr>
      <w:pStyle w:val="Header"/>
      <w:jc w:val="right"/>
    </w:pPr>
  </w:p>
  <w:p w14:paraId="2CFC9471" w14:textId="77777777" w:rsidR="00E25073" w:rsidRDefault="00E25073"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740E" w14:textId="77777777" w:rsidR="00E25073" w:rsidRDefault="00E25073"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4CAB" w14:textId="19F06ACE" w:rsidR="00E25073" w:rsidRDefault="00E25073" w:rsidP="00AC6482">
    <w:pPr>
      <w:pStyle w:val="Header"/>
      <w:ind w:right="446"/>
      <w:jc w:val="right"/>
    </w:pPr>
    <w:r>
      <w:fldChar w:fldCharType="begin"/>
    </w:r>
    <w:r>
      <w:instrText xml:space="preserve"> PAGE   \* MERGEFORMAT </w:instrText>
    </w:r>
    <w:r>
      <w:fldChar w:fldCharType="separate"/>
    </w:r>
    <w:r w:rsidR="003304B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2005A" w14:textId="77777777" w:rsidR="00E25073" w:rsidRDefault="00E25073" w:rsidP="007132DC">
      <w:r>
        <w:separator/>
      </w:r>
    </w:p>
  </w:footnote>
  <w:footnote w:type="continuationSeparator" w:id="0">
    <w:p w14:paraId="04565F77" w14:textId="77777777" w:rsidR="00E25073" w:rsidRDefault="00E25073"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B918" w14:textId="77777777" w:rsidR="00E25073" w:rsidRDefault="00E25073" w:rsidP="00CF4387">
    <w:pPr>
      <w:pStyle w:val="Header"/>
    </w:pPr>
    <w:r>
      <w:rPr>
        <w:noProof/>
        <w:lang w:eastAsia="en-AU"/>
      </w:rPr>
      <w:drawing>
        <wp:anchor distT="0" distB="0" distL="114300" distR="114300" simplePos="0" relativeHeight="251657728" behindDoc="0" locked="0" layoutInCell="1" allowOverlap="1" wp14:anchorId="60E51087" wp14:editId="4EB806D3">
          <wp:simplePos x="0" y="0"/>
          <wp:positionH relativeFrom="column">
            <wp:align>center</wp:align>
          </wp:positionH>
          <wp:positionV relativeFrom="paragraph">
            <wp:posOffset>176530</wp:posOffset>
          </wp:positionV>
          <wp:extent cx="7580630" cy="10727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AH0197_Tax planning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71DA" w14:textId="77777777" w:rsidR="00E25073" w:rsidRDefault="00E25073" w:rsidP="007132DC">
    <w:pPr>
      <w:pStyle w:val="Header"/>
      <w:tabs>
        <w:tab w:val="clear" w:pos="4320"/>
        <w:tab w:val="clear" w:pos="8640"/>
        <w:tab w:val="left" w:pos="1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E25073" w:rsidRPr="00A10254" w14:paraId="072B9AFB" w14:textId="77777777" w:rsidTr="00040539">
      <w:tc>
        <w:tcPr>
          <w:tcW w:w="10301" w:type="dxa"/>
        </w:tcPr>
        <w:p w14:paraId="5FA63AD3" w14:textId="77777777" w:rsidR="00E25073" w:rsidRPr="00A10254" w:rsidRDefault="00E25073">
          <w:pPr>
            <w:pStyle w:val="Header"/>
            <w:rPr>
              <w:color w:val="051C3C"/>
            </w:rPr>
          </w:pPr>
        </w:p>
      </w:tc>
    </w:tr>
  </w:tbl>
  <w:p w14:paraId="2EE538FF" w14:textId="77777777" w:rsidR="00E25073" w:rsidRPr="00A10254" w:rsidRDefault="00E25073" w:rsidP="004816EF">
    <w:pPr>
      <w:pStyle w:val="BodyHeading"/>
      <w:spacing w:before="720"/>
      <w:ind w:left="-112"/>
      <w:rPr>
        <w:color w:val="051C3C"/>
        <w:sz w:val="40"/>
      </w:rPr>
    </w:pPr>
    <w:r w:rsidRPr="00A10254">
      <w:rPr>
        <w:color w:val="051C3C"/>
        <w:sz w:val="40"/>
      </w:rPr>
      <w:t>Tax Planning Checklist 201</w:t>
    </w:r>
    <w:r>
      <w:rPr>
        <w:color w:val="051C3C"/>
        <w:sz w:val="4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C00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004CE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5E0FAE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5CC87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136EA0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4C492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33641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3E2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3019D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2C6510"/>
    <w:multiLevelType w:val="multilevel"/>
    <w:tmpl w:val="B9C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4209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AE1593"/>
    <w:multiLevelType w:val="hybridMultilevel"/>
    <w:tmpl w:val="BC0A6D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23E1A40"/>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1CA473EC"/>
    <w:multiLevelType w:val="hybridMultilevel"/>
    <w:tmpl w:val="EE6A0F1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13419DA"/>
    <w:multiLevelType w:val="hybridMultilevel"/>
    <w:tmpl w:val="10107FE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1">
    <w:nsid w:val="4159474A"/>
    <w:multiLevelType w:val="hybridMultilevel"/>
    <w:tmpl w:val="3E92B0C4"/>
    <w:lvl w:ilvl="0" w:tplc="F4169CA6">
      <w:start w:val="1"/>
      <w:numFmt w:val="lowerLetter"/>
      <w:pStyle w:val="Tablealphabullet"/>
      <w:lvlText w:val="%1."/>
      <w:lvlJc w:val="left"/>
      <w:pPr>
        <w:ind w:left="644" w:hanging="360"/>
      </w:pPr>
      <w:rPr>
        <w:rFonts w:cs="Times New Roman" w:hint="default"/>
        <w:color w:val="000000"/>
        <w:sz w:val="17"/>
        <w:u w:val="none"/>
        <w:effect w:val="none"/>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F95DD4"/>
    <w:multiLevelType w:val="hybridMultilevel"/>
    <w:tmpl w:val="6F824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4897308"/>
    <w:multiLevelType w:val="hybridMultilevel"/>
    <w:tmpl w:val="8BCC8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B8A3925"/>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8"/>
  </w:num>
  <w:num w:numId="14">
    <w:abstractNumId w:val="23"/>
  </w:num>
  <w:num w:numId="15">
    <w:abstractNumId w:val="18"/>
  </w:num>
  <w:num w:numId="16">
    <w:abstractNumId w:val="19"/>
  </w:num>
  <w:num w:numId="17">
    <w:abstractNumId w:val="38"/>
  </w:num>
  <w:num w:numId="18">
    <w:abstractNumId w:val="38"/>
  </w:num>
  <w:num w:numId="19">
    <w:abstractNumId w:val="0"/>
  </w:num>
  <w:num w:numId="20">
    <w:abstractNumId w:val="26"/>
  </w:num>
  <w:num w:numId="21">
    <w:abstractNumId w:val="30"/>
  </w:num>
  <w:num w:numId="22">
    <w:abstractNumId w:val="25"/>
  </w:num>
  <w:num w:numId="23">
    <w:abstractNumId w:val="28"/>
  </w:num>
  <w:num w:numId="24">
    <w:abstractNumId w:val="31"/>
  </w:num>
  <w:num w:numId="25">
    <w:abstractNumId w:val="14"/>
  </w:num>
  <w:num w:numId="26">
    <w:abstractNumId w:val="36"/>
  </w:num>
  <w:num w:numId="27">
    <w:abstractNumId w:val="29"/>
  </w:num>
  <w:num w:numId="28">
    <w:abstractNumId w:val="24"/>
  </w:num>
  <w:num w:numId="29">
    <w:abstractNumId w:val="22"/>
  </w:num>
  <w:num w:numId="30">
    <w:abstractNumId w:val="21"/>
  </w:num>
  <w:num w:numId="31">
    <w:abstractNumId w:val="27"/>
  </w:num>
  <w:num w:numId="32">
    <w:abstractNumId w:val="35"/>
  </w:num>
  <w:num w:numId="33">
    <w:abstractNumId w:val="28"/>
  </w:num>
  <w:num w:numId="34">
    <w:abstractNumId w:val="34"/>
  </w:num>
  <w:num w:numId="35">
    <w:abstractNumId w:val="21"/>
    <w:lvlOverride w:ilvl="0">
      <w:startOverride w:val="1"/>
    </w:lvlOverride>
  </w:num>
  <w:num w:numId="36">
    <w:abstractNumId w:val="21"/>
    <w:lvlOverride w:ilvl="0">
      <w:startOverride w:val="1"/>
    </w:lvlOverride>
  </w:num>
  <w:num w:numId="37">
    <w:abstractNumId w:val="21"/>
  </w:num>
  <w:num w:numId="38">
    <w:abstractNumId w:val="21"/>
    <w:lvlOverride w:ilvl="0">
      <w:startOverride w:val="1"/>
    </w:lvlOverride>
  </w:num>
  <w:num w:numId="39">
    <w:abstractNumId w:val="21"/>
  </w:num>
  <w:num w:numId="40">
    <w:abstractNumId w:val="12"/>
  </w:num>
  <w:num w:numId="41">
    <w:abstractNumId w:val="21"/>
  </w:num>
  <w:num w:numId="42">
    <w:abstractNumId w:val="37"/>
  </w:num>
  <w:num w:numId="43">
    <w:abstractNumId w:val="21"/>
  </w:num>
  <w:num w:numId="44">
    <w:abstractNumId w:val="15"/>
  </w:num>
  <w:num w:numId="45">
    <w:abstractNumId w:val="21"/>
  </w:num>
  <w:num w:numId="46">
    <w:abstractNumId w:val="21"/>
  </w:num>
  <w:num w:numId="47">
    <w:abstractNumId w:val="21"/>
    <w:lvlOverride w:ilvl="0">
      <w:startOverride w:val="1"/>
    </w:lvlOverride>
  </w:num>
  <w:num w:numId="48">
    <w:abstractNumId w:val="21"/>
  </w:num>
  <w:num w:numId="49">
    <w:abstractNumId w:val="21"/>
    <w:lvlOverride w:ilvl="0">
      <w:startOverride w:val="1"/>
    </w:lvlOverride>
  </w:num>
  <w:num w:numId="50">
    <w:abstractNumId w:val="13"/>
  </w:num>
  <w:num w:numId="51">
    <w:abstractNumId w:val="20"/>
  </w:num>
  <w:num w:numId="52">
    <w:abstractNumId w:val="17"/>
  </w:num>
  <w:num w:numId="53">
    <w:abstractNumId w:val="11"/>
  </w:num>
  <w:num w:numId="54">
    <w:abstractNumId w:val="28"/>
  </w:num>
  <w:num w:numId="55">
    <w:abstractNumId w:val="28"/>
  </w:num>
  <w:num w:numId="56">
    <w:abstractNumId w:val="33"/>
  </w:num>
  <w:num w:numId="57">
    <w:abstractNumId w:val="32"/>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
    <w15:presenceInfo w15:providerId="None" w15:userId="Mark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143CA"/>
    <w:rsid w:val="0002678A"/>
    <w:rsid w:val="0003419A"/>
    <w:rsid w:val="00040539"/>
    <w:rsid w:val="00042169"/>
    <w:rsid w:val="00050E73"/>
    <w:rsid w:val="00051700"/>
    <w:rsid w:val="00053212"/>
    <w:rsid w:val="00061533"/>
    <w:rsid w:val="00062E63"/>
    <w:rsid w:val="0006488A"/>
    <w:rsid w:val="00070D23"/>
    <w:rsid w:val="000760BB"/>
    <w:rsid w:val="000820B3"/>
    <w:rsid w:val="00087A76"/>
    <w:rsid w:val="00090483"/>
    <w:rsid w:val="000A401A"/>
    <w:rsid w:val="000B4295"/>
    <w:rsid w:val="000C1716"/>
    <w:rsid w:val="000C3EAF"/>
    <w:rsid w:val="000C60D3"/>
    <w:rsid w:val="000D19B8"/>
    <w:rsid w:val="000E40C2"/>
    <w:rsid w:val="000F439E"/>
    <w:rsid w:val="000F731E"/>
    <w:rsid w:val="001016BE"/>
    <w:rsid w:val="001035F8"/>
    <w:rsid w:val="0010450B"/>
    <w:rsid w:val="00110415"/>
    <w:rsid w:val="00112FC6"/>
    <w:rsid w:val="001251BD"/>
    <w:rsid w:val="001255B4"/>
    <w:rsid w:val="00133F4E"/>
    <w:rsid w:val="001528F5"/>
    <w:rsid w:val="00161668"/>
    <w:rsid w:val="00184E12"/>
    <w:rsid w:val="001935D4"/>
    <w:rsid w:val="001A06E0"/>
    <w:rsid w:val="001A083C"/>
    <w:rsid w:val="001A499B"/>
    <w:rsid w:val="001A6D88"/>
    <w:rsid w:val="001B3449"/>
    <w:rsid w:val="001C1143"/>
    <w:rsid w:val="001D0A83"/>
    <w:rsid w:val="001D1019"/>
    <w:rsid w:val="001D32AB"/>
    <w:rsid w:val="001D3D54"/>
    <w:rsid w:val="001D5211"/>
    <w:rsid w:val="001D6845"/>
    <w:rsid w:val="001E5F05"/>
    <w:rsid w:val="001E7F2A"/>
    <w:rsid w:val="001F2E3A"/>
    <w:rsid w:val="001F404B"/>
    <w:rsid w:val="00210651"/>
    <w:rsid w:val="00214673"/>
    <w:rsid w:val="0021595D"/>
    <w:rsid w:val="00220DF3"/>
    <w:rsid w:val="002252BE"/>
    <w:rsid w:val="00225967"/>
    <w:rsid w:val="00231098"/>
    <w:rsid w:val="002417B5"/>
    <w:rsid w:val="0024379B"/>
    <w:rsid w:val="002536F1"/>
    <w:rsid w:val="002537B5"/>
    <w:rsid w:val="0026206D"/>
    <w:rsid w:val="002645F3"/>
    <w:rsid w:val="00265D9F"/>
    <w:rsid w:val="0028050E"/>
    <w:rsid w:val="00281C87"/>
    <w:rsid w:val="00284C6A"/>
    <w:rsid w:val="00294357"/>
    <w:rsid w:val="002A6071"/>
    <w:rsid w:val="002A7E7E"/>
    <w:rsid w:val="002B3EEE"/>
    <w:rsid w:val="002C7914"/>
    <w:rsid w:val="002E7E7E"/>
    <w:rsid w:val="002F20EC"/>
    <w:rsid w:val="002F5A60"/>
    <w:rsid w:val="00303C02"/>
    <w:rsid w:val="00310B6A"/>
    <w:rsid w:val="00315AED"/>
    <w:rsid w:val="00321755"/>
    <w:rsid w:val="00327BAD"/>
    <w:rsid w:val="003304B6"/>
    <w:rsid w:val="003448ED"/>
    <w:rsid w:val="003530BC"/>
    <w:rsid w:val="00355BC0"/>
    <w:rsid w:val="00361F33"/>
    <w:rsid w:val="00363282"/>
    <w:rsid w:val="0036588E"/>
    <w:rsid w:val="00367616"/>
    <w:rsid w:val="003758DC"/>
    <w:rsid w:val="00390F56"/>
    <w:rsid w:val="00392227"/>
    <w:rsid w:val="00395DDC"/>
    <w:rsid w:val="003A1122"/>
    <w:rsid w:val="003A30E1"/>
    <w:rsid w:val="003A3FE5"/>
    <w:rsid w:val="003A5459"/>
    <w:rsid w:val="003A63F1"/>
    <w:rsid w:val="003C4397"/>
    <w:rsid w:val="003D708A"/>
    <w:rsid w:val="003E1185"/>
    <w:rsid w:val="003E71B4"/>
    <w:rsid w:val="003E7696"/>
    <w:rsid w:val="003F1746"/>
    <w:rsid w:val="003F2337"/>
    <w:rsid w:val="003F34A5"/>
    <w:rsid w:val="003F4385"/>
    <w:rsid w:val="003F4489"/>
    <w:rsid w:val="004035D5"/>
    <w:rsid w:val="00405210"/>
    <w:rsid w:val="0040635C"/>
    <w:rsid w:val="004065C5"/>
    <w:rsid w:val="00422929"/>
    <w:rsid w:val="004231EE"/>
    <w:rsid w:val="004346FA"/>
    <w:rsid w:val="00440D33"/>
    <w:rsid w:val="0045082A"/>
    <w:rsid w:val="00450A70"/>
    <w:rsid w:val="0045143D"/>
    <w:rsid w:val="0045496F"/>
    <w:rsid w:val="0045581E"/>
    <w:rsid w:val="00455A37"/>
    <w:rsid w:val="00465085"/>
    <w:rsid w:val="0047046F"/>
    <w:rsid w:val="00474E65"/>
    <w:rsid w:val="004774F0"/>
    <w:rsid w:val="004816EF"/>
    <w:rsid w:val="004851F7"/>
    <w:rsid w:val="00493951"/>
    <w:rsid w:val="004A1198"/>
    <w:rsid w:val="004A3C91"/>
    <w:rsid w:val="004C332A"/>
    <w:rsid w:val="004D257C"/>
    <w:rsid w:val="004D35B2"/>
    <w:rsid w:val="004E6866"/>
    <w:rsid w:val="004F0297"/>
    <w:rsid w:val="00503AE4"/>
    <w:rsid w:val="0050711B"/>
    <w:rsid w:val="0051011A"/>
    <w:rsid w:val="005157C4"/>
    <w:rsid w:val="00527529"/>
    <w:rsid w:val="005328B0"/>
    <w:rsid w:val="00533664"/>
    <w:rsid w:val="00533865"/>
    <w:rsid w:val="005344BB"/>
    <w:rsid w:val="0054402B"/>
    <w:rsid w:val="005549C7"/>
    <w:rsid w:val="00555665"/>
    <w:rsid w:val="005564F8"/>
    <w:rsid w:val="0056149A"/>
    <w:rsid w:val="005641F7"/>
    <w:rsid w:val="00570858"/>
    <w:rsid w:val="0058304B"/>
    <w:rsid w:val="00596CD9"/>
    <w:rsid w:val="005A1539"/>
    <w:rsid w:val="005A1D6C"/>
    <w:rsid w:val="005A3784"/>
    <w:rsid w:val="005A479C"/>
    <w:rsid w:val="005A5D43"/>
    <w:rsid w:val="005B1206"/>
    <w:rsid w:val="005B7704"/>
    <w:rsid w:val="005C073A"/>
    <w:rsid w:val="005C0F0C"/>
    <w:rsid w:val="005C1E49"/>
    <w:rsid w:val="005C3424"/>
    <w:rsid w:val="005C4907"/>
    <w:rsid w:val="005D3995"/>
    <w:rsid w:val="005E6703"/>
    <w:rsid w:val="005F16DB"/>
    <w:rsid w:val="0060462A"/>
    <w:rsid w:val="00606BDD"/>
    <w:rsid w:val="006153F3"/>
    <w:rsid w:val="006159C2"/>
    <w:rsid w:val="00617C7A"/>
    <w:rsid w:val="00621167"/>
    <w:rsid w:val="00626B8C"/>
    <w:rsid w:val="0062708A"/>
    <w:rsid w:val="00642B93"/>
    <w:rsid w:val="00651813"/>
    <w:rsid w:val="00662F71"/>
    <w:rsid w:val="00664F1C"/>
    <w:rsid w:val="00665517"/>
    <w:rsid w:val="00670AA6"/>
    <w:rsid w:val="00673944"/>
    <w:rsid w:val="00683F7C"/>
    <w:rsid w:val="00684EE1"/>
    <w:rsid w:val="006A6762"/>
    <w:rsid w:val="006A6D06"/>
    <w:rsid w:val="006B5FCE"/>
    <w:rsid w:val="006C2AE3"/>
    <w:rsid w:val="006C79D3"/>
    <w:rsid w:val="006D3D80"/>
    <w:rsid w:val="006E5C58"/>
    <w:rsid w:val="006E712E"/>
    <w:rsid w:val="006F1DE8"/>
    <w:rsid w:val="00706804"/>
    <w:rsid w:val="00710EA2"/>
    <w:rsid w:val="007132DC"/>
    <w:rsid w:val="00726A6C"/>
    <w:rsid w:val="00732789"/>
    <w:rsid w:val="00732D2F"/>
    <w:rsid w:val="0073622C"/>
    <w:rsid w:val="007536BB"/>
    <w:rsid w:val="00761E51"/>
    <w:rsid w:val="00764A1A"/>
    <w:rsid w:val="00767636"/>
    <w:rsid w:val="00786EE8"/>
    <w:rsid w:val="0078761B"/>
    <w:rsid w:val="00792839"/>
    <w:rsid w:val="00792BE5"/>
    <w:rsid w:val="007A64B7"/>
    <w:rsid w:val="007A76B2"/>
    <w:rsid w:val="007C220F"/>
    <w:rsid w:val="007C2D15"/>
    <w:rsid w:val="007C6148"/>
    <w:rsid w:val="007D40C6"/>
    <w:rsid w:val="007D6A87"/>
    <w:rsid w:val="007E027D"/>
    <w:rsid w:val="007E14DD"/>
    <w:rsid w:val="007E1AF3"/>
    <w:rsid w:val="007E3738"/>
    <w:rsid w:val="007F0E61"/>
    <w:rsid w:val="007F334A"/>
    <w:rsid w:val="00812C2F"/>
    <w:rsid w:val="00822062"/>
    <w:rsid w:val="0084331E"/>
    <w:rsid w:val="00845F4E"/>
    <w:rsid w:val="00850070"/>
    <w:rsid w:val="00854356"/>
    <w:rsid w:val="008552A1"/>
    <w:rsid w:val="008601F9"/>
    <w:rsid w:val="008637CE"/>
    <w:rsid w:val="00864E5C"/>
    <w:rsid w:val="00875574"/>
    <w:rsid w:val="00883C63"/>
    <w:rsid w:val="00884467"/>
    <w:rsid w:val="00885395"/>
    <w:rsid w:val="008907EB"/>
    <w:rsid w:val="0089437F"/>
    <w:rsid w:val="00896CDF"/>
    <w:rsid w:val="008A3A4C"/>
    <w:rsid w:val="008B1AE3"/>
    <w:rsid w:val="008B461C"/>
    <w:rsid w:val="008B77E4"/>
    <w:rsid w:val="008C241E"/>
    <w:rsid w:val="008C27AE"/>
    <w:rsid w:val="008C5F4C"/>
    <w:rsid w:val="008C651F"/>
    <w:rsid w:val="008D4B62"/>
    <w:rsid w:val="008D7E04"/>
    <w:rsid w:val="008E1AD9"/>
    <w:rsid w:val="008E1DF5"/>
    <w:rsid w:val="008E2328"/>
    <w:rsid w:val="008E520B"/>
    <w:rsid w:val="008E54EE"/>
    <w:rsid w:val="008E5B33"/>
    <w:rsid w:val="008E7044"/>
    <w:rsid w:val="008F16A8"/>
    <w:rsid w:val="008F3F3D"/>
    <w:rsid w:val="008F5DAF"/>
    <w:rsid w:val="00905D3F"/>
    <w:rsid w:val="00910C31"/>
    <w:rsid w:val="00924FA2"/>
    <w:rsid w:val="00940087"/>
    <w:rsid w:val="00952FCB"/>
    <w:rsid w:val="009543A6"/>
    <w:rsid w:val="00957F71"/>
    <w:rsid w:val="00961013"/>
    <w:rsid w:val="00961B8A"/>
    <w:rsid w:val="0096336E"/>
    <w:rsid w:val="0096615A"/>
    <w:rsid w:val="00975122"/>
    <w:rsid w:val="009776CB"/>
    <w:rsid w:val="00983577"/>
    <w:rsid w:val="00984335"/>
    <w:rsid w:val="009853B2"/>
    <w:rsid w:val="009904B1"/>
    <w:rsid w:val="0099437F"/>
    <w:rsid w:val="009A18FE"/>
    <w:rsid w:val="009A4452"/>
    <w:rsid w:val="009B1CDE"/>
    <w:rsid w:val="009B24B4"/>
    <w:rsid w:val="009B455B"/>
    <w:rsid w:val="009B6248"/>
    <w:rsid w:val="009C3F32"/>
    <w:rsid w:val="009C6D2C"/>
    <w:rsid w:val="009F0BB6"/>
    <w:rsid w:val="009F0C8F"/>
    <w:rsid w:val="009F1CBD"/>
    <w:rsid w:val="00A042D1"/>
    <w:rsid w:val="00A10254"/>
    <w:rsid w:val="00A23B6A"/>
    <w:rsid w:val="00A31A11"/>
    <w:rsid w:val="00A40950"/>
    <w:rsid w:val="00A47993"/>
    <w:rsid w:val="00A47E57"/>
    <w:rsid w:val="00A50817"/>
    <w:rsid w:val="00A5689A"/>
    <w:rsid w:val="00A67DF8"/>
    <w:rsid w:val="00A70E91"/>
    <w:rsid w:val="00A745FF"/>
    <w:rsid w:val="00A843FD"/>
    <w:rsid w:val="00AA573E"/>
    <w:rsid w:val="00AB6694"/>
    <w:rsid w:val="00AB71BA"/>
    <w:rsid w:val="00AC1304"/>
    <w:rsid w:val="00AC327F"/>
    <w:rsid w:val="00AC4762"/>
    <w:rsid w:val="00AC6482"/>
    <w:rsid w:val="00AE081E"/>
    <w:rsid w:val="00AE2EA6"/>
    <w:rsid w:val="00AF24CF"/>
    <w:rsid w:val="00B0353F"/>
    <w:rsid w:val="00B10F8F"/>
    <w:rsid w:val="00B1159F"/>
    <w:rsid w:val="00B119BB"/>
    <w:rsid w:val="00B16433"/>
    <w:rsid w:val="00B203DF"/>
    <w:rsid w:val="00B340A7"/>
    <w:rsid w:val="00B34CD9"/>
    <w:rsid w:val="00B37F57"/>
    <w:rsid w:val="00B45DAC"/>
    <w:rsid w:val="00B54455"/>
    <w:rsid w:val="00B55A39"/>
    <w:rsid w:val="00B56B8C"/>
    <w:rsid w:val="00B6399D"/>
    <w:rsid w:val="00B664F1"/>
    <w:rsid w:val="00B72682"/>
    <w:rsid w:val="00B72987"/>
    <w:rsid w:val="00B8137A"/>
    <w:rsid w:val="00B85350"/>
    <w:rsid w:val="00B931DE"/>
    <w:rsid w:val="00B959B1"/>
    <w:rsid w:val="00BA3646"/>
    <w:rsid w:val="00BA45F0"/>
    <w:rsid w:val="00BA7405"/>
    <w:rsid w:val="00BA7880"/>
    <w:rsid w:val="00BB06AB"/>
    <w:rsid w:val="00BC1FC7"/>
    <w:rsid w:val="00BC2838"/>
    <w:rsid w:val="00BC3421"/>
    <w:rsid w:val="00BC5D62"/>
    <w:rsid w:val="00BD0995"/>
    <w:rsid w:val="00BE189C"/>
    <w:rsid w:val="00BE65C6"/>
    <w:rsid w:val="00BF2BE6"/>
    <w:rsid w:val="00C0217B"/>
    <w:rsid w:val="00C02D8A"/>
    <w:rsid w:val="00C15FAD"/>
    <w:rsid w:val="00C4086E"/>
    <w:rsid w:val="00C470CE"/>
    <w:rsid w:val="00C53128"/>
    <w:rsid w:val="00C55758"/>
    <w:rsid w:val="00C57F47"/>
    <w:rsid w:val="00C62FA7"/>
    <w:rsid w:val="00C71BF2"/>
    <w:rsid w:val="00C8377A"/>
    <w:rsid w:val="00C97148"/>
    <w:rsid w:val="00CA105C"/>
    <w:rsid w:val="00CA1A12"/>
    <w:rsid w:val="00CA4EA7"/>
    <w:rsid w:val="00CC2A9E"/>
    <w:rsid w:val="00CD4BBA"/>
    <w:rsid w:val="00CE0E38"/>
    <w:rsid w:val="00CE7240"/>
    <w:rsid w:val="00CE755B"/>
    <w:rsid w:val="00CF023B"/>
    <w:rsid w:val="00CF1B16"/>
    <w:rsid w:val="00CF21FA"/>
    <w:rsid w:val="00CF4339"/>
    <w:rsid w:val="00CF4387"/>
    <w:rsid w:val="00D0481F"/>
    <w:rsid w:val="00D06BF0"/>
    <w:rsid w:val="00D107C9"/>
    <w:rsid w:val="00D12560"/>
    <w:rsid w:val="00D129D9"/>
    <w:rsid w:val="00D12B7C"/>
    <w:rsid w:val="00D13F12"/>
    <w:rsid w:val="00D162BB"/>
    <w:rsid w:val="00D21C86"/>
    <w:rsid w:val="00D2300A"/>
    <w:rsid w:val="00D34F1E"/>
    <w:rsid w:val="00D4031C"/>
    <w:rsid w:val="00D52E23"/>
    <w:rsid w:val="00D55B12"/>
    <w:rsid w:val="00D55E2A"/>
    <w:rsid w:val="00D62C5A"/>
    <w:rsid w:val="00D62D67"/>
    <w:rsid w:val="00D66F4F"/>
    <w:rsid w:val="00D77B86"/>
    <w:rsid w:val="00D80073"/>
    <w:rsid w:val="00D906C2"/>
    <w:rsid w:val="00DA3046"/>
    <w:rsid w:val="00DB2951"/>
    <w:rsid w:val="00DB7E01"/>
    <w:rsid w:val="00DF08A5"/>
    <w:rsid w:val="00DF332C"/>
    <w:rsid w:val="00DF59CA"/>
    <w:rsid w:val="00E07D96"/>
    <w:rsid w:val="00E124AA"/>
    <w:rsid w:val="00E126E1"/>
    <w:rsid w:val="00E173FD"/>
    <w:rsid w:val="00E25073"/>
    <w:rsid w:val="00E47710"/>
    <w:rsid w:val="00E50EE4"/>
    <w:rsid w:val="00E5200C"/>
    <w:rsid w:val="00E558CE"/>
    <w:rsid w:val="00E56F7F"/>
    <w:rsid w:val="00E7041C"/>
    <w:rsid w:val="00E70886"/>
    <w:rsid w:val="00E73986"/>
    <w:rsid w:val="00E9415D"/>
    <w:rsid w:val="00E96904"/>
    <w:rsid w:val="00E96B5B"/>
    <w:rsid w:val="00E96C98"/>
    <w:rsid w:val="00EA6EC3"/>
    <w:rsid w:val="00EB0F2E"/>
    <w:rsid w:val="00EB18DC"/>
    <w:rsid w:val="00EB5FA9"/>
    <w:rsid w:val="00EC19BC"/>
    <w:rsid w:val="00ED1CC2"/>
    <w:rsid w:val="00ED5836"/>
    <w:rsid w:val="00EE7F43"/>
    <w:rsid w:val="00EF3AF5"/>
    <w:rsid w:val="00EF6FAC"/>
    <w:rsid w:val="00EF7120"/>
    <w:rsid w:val="00EF7E88"/>
    <w:rsid w:val="00F1099C"/>
    <w:rsid w:val="00F109BA"/>
    <w:rsid w:val="00F16659"/>
    <w:rsid w:val="00F1749F"/>
    <w:rsid w:val="00F17EF6"/>
    <w:rsid w:val="00F20F6C"/>
    <w:rsid w:val="00F225BF"/>
    <w:rsid w:val="00F65674"/>
    <w:rsid w:val="00F7139C"/>
    <w:rsid w:val="00F72D0F"/>
    <w:rsid w:val="00F90218"/>
    <w:rsid w:val="00F91CDE"/>
    <w:rsid w:val="00F91E77"/>
    <w:rsid w:val="00FA1E0B"/>
    <w:rsid w:val="00FA6368"/>
    <w:rsid w:val="00FB0C80"/>
    <w:rsid w:val="00FB1F0A"/>
    <w:rsid w:val="00FB3F2A"/>
    <w:rsid w:val="00FB476D"/>
    <w:rsid w:val="00FD2A3A"/>
    <w:rsid w:val="00FF0F79"/>
    <w:rsid w:val="00FF18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69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iPriority="22"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1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numPr>
        <w:numId w:val="30"/>
      </w:numPr>
      <w:tabs>
        <w:tab w:val="clear" w:pos="567"/>
        <w:tab w:val="left" w:pos="709"/>
      </w:tabs>
    </w:pPr>
  </w:style>
  <w:style w:type="character" w:customStyle="1" w:styleId="resizable-content">
    <w:name w:val="resizable-content"/>
    <w:rsid w:val="001D1019"/>
    <w:rPr>
      <w:rFonts w:cs="Times New Roman"/>
    </w:rPr>
  </w:style>
  <w:style w:type="character" w:styleId="FollowedHyperlink">
    <w:name w:val="FollowedHyperlink"/>
    <w:basedOn w:val="DefaultParagraphFont"/>
    <w:rsid w:val="0026206D"/>
    <w:rPr>
      <w:color w:val="800080"/>
      <w:u w:val="single"/>
    </w:rPr>
  </w:style>
  <w:style w:type="character" w:styleId="Strong">
    <w:name w:val="Strong"/>
    <w:basedOn w:val="DefaultParagraphFont"/>
    <w:uiPriority w:val="22"/>
    <w:qFormat/>
    <w:locked/>
    <w:rsid w:val="0045143D"/>
    <w:rPr>
      <w:b/>
      <w:bCs/>
    </w:rPr>
  </w:style>
  <w:style w:type="paragraph" w:styleId="ListParagraph">
    <w:name w:val="List Paragraph"/>
    <w:basedOn w:val="Normal"/>
    <w:uiPriority w:val="34"/>
    <w:qFormat/>
    <w:rsid w:val="00D62C5A"/>
    <w:pPr>
      <w:ind w:left="720"/>
      <w:contextualSpacing/>
    </w:pPr>
    <w:rPr>
      <w:rFonts w:eastAsia="Times New Roman"/>
      <w:szCs w:val="20"/>
      <w:lang w:eastAsia="en-AU"/>
    </w:rPr>
  </w:style>
  <w:style w:type="character" w:styleId="CommentReference">
    <w:name w:val="annotation reference"/>
    <w:basedOn w:val="DefaultParagraphFont"/>
    <w:rsid w:val="0024379B"/>
    <w:rPr>
      <w:sz w:val="16"/>
      <w:szCs w:val="16"/>
    </w:rPr>
  </w:style>
  <w:style w:type="paragraph" w:styleId="CommentText">
    <w:name w:val="annotation text"/>
    <w:basedOn w:val="Normal"/>
    <w:link w:val="CommentTextChar"/>
    <w:rsid w:val="0024379B"/>
    <w:rPr>
      <w:sz w:val="20"/>
      <w:szCs w:val="20"/>
    </w:rPr>
  </w:style>
  <w:style w:type="character" w:customStyle="1" w:styleId="CommentTextChar">
    <w:name w:val="Comment Text Char"/>
    <w:basedOn w:val="DefaultParagraphFont"/>
    <w:link w:val="CommentText"/>
    <w:rsid w:val="0024379B"/>
    <w:rPr>
      <w:lang w:eastAsia="en-US"/>
    </w:rPr>
  </w:style>
  <w:style w:type="paragraph" w:styleId="CommentSubject">
    <w:name w:val="annotation subject"/>
    <w:basedOn w:val="CommentText"/>
    <w:next w:val="CommentText"/>
    <w:link w:val="CommentSubjectChar"/>
    <w:rsid w:val="0024379B"/>
    <w:rPr>
      <w:b/>
      <w:bCs/>
    </w:rPr>
  </w:style>
  <w:style w:type="character" w:customStyle="1" w:styleId="CommentSubjectChar">
    <w:name w:val="Comment Subject Char"/>
    <w:basedOn w:val="CommentTextChar"/>
    <w:link w:val="CommentSubject"/>
    <w:rsid w:val="0024379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iPriority="22"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7C2D15"/>
    <w:pPr>
      <w:numPr>
        <w:numId w:val="13"/>
      </w:numPr>
      <w:tabs>
        <w:tab w:val="left" w:pos="567"/>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numPr>
        <w:numId w:val="30"/>
      </w:numPr>
      <w:tabs>
        <w:tab w:val="clear" w:pos="567"/>
        <w:tab w:val="left" w:pos="709"/>
      </w:tabs>
    </w:pPr>
  </w:style>
  <w:style w:type="character" w:customStyle="1" w:styleId="resizable-content">
    <w:name w:val="resizable-content"/>
    <w:rsid w:val="001D1019"/>
    <w:rPr>
      <w:rFonts w:cs="Times New Roman"/>
    </w:rPr>
  </w:style>
  <w:style w:type="character" w:styleId="FollowedHyperlink">
    <w:name w:val="FollowedHyperlink"/>
    <w:basedOn w:val="DefaultParagraphFont"/>
    <w:rsid w:val="0026206D"/>
    <w:rPr>
      <w:color w:val="800080"/>
      <w:u w:val="single"/>
    </w:rPr>
  </w:style>
  <w:style w:type="character" w:styleId="Strong">
    <w:name w:val="Strong"/>
    <w:basedOn w:val="DefaultParagraphFont"/>
    <w:uiPriority w:val="22"/>
    <w:qFormat/>
    <w:locked/>
    <w:rsid w:val="0045143D"/>
    <w:rPr>
      <w:b/>
      <w:bCs/>
    </w:rPr>
  </w:style>
  <w:style w:type="paragraph" w:styleId="ListParagraph">
    <w:name w:val="List Paragraph"/>
    <w:basedOn w:val="Normal"/>
    <w:uiPriority w:val="34"/>
    <w:qFormat/>
    <w:rsid w:val="00D62C5A"/>
    <w:pPr>
      <w:ind w:left="720"/>
      <w:contextualSpacing/>
    </w:pPr>
    <w:rPr>
      <w:rFonts w:eastAsia="Times New Roman"/>
      <w:szCs w:val="20"/>
      <w:lang w:eastAsia="en-AU"/>
    </w:rPr>
  </w:style>
  <w:style w:type="character" w:styleId="CommentReference">
    <w:name w:val="annotation reference"/>
    <w:basedOn w:val="DefaultParagraphFont"/>
    <w:rsid w:val="0024379B"/>
    <w:rPr>
      <w:sz w:val="16"/>
      <w:szCs w:val="16"/>
    </w:rPr>
  </w:style>
  <w:style w:type="paragraph" w:styleId="CommentText">
    <w:name w:val="annotation text"/>
    <w:basedOn w:val="Normal"/>
    <w:link w:val="CommentTextChar"/>
    <w:rsid w:val="0024379B"/>
    <w:rPr>
      <w:sz w:val="20"/>
      <w:szCs w:val="20"/>
    </w:rPr>
  </w:style>
  <w:style w:type="character" w:customStyle="1" w:styleId="CommentTextChar">
    <w:name w:val="Comment Text Char"/>
    <w:basedOn w:val="DefaultParagraphFont"/>
    <w:link w:val="CommentText"/>
    <w:rsid w:val="0024379B"/>
    <w:rPr>
      <w:lang w:eastAsia="en-US"/>
    </w:rPr>
  </w:style>
  <w:style w:type="paragraph" w:styleId="CommentSubject">
    <w:name w:val="annotation subject"/>
    <w:basedOn w:val="CommentText"/>
    <w:next w:val="CommentText"/>
    <w:link w:val="CommentSubjectChar"/>
    <w:rsid w:val="0024379B"/>
    <w:rPr>
      <w:b/>
      <w:bCs/>
    </w:rPr>
  </w:style>
  <w:style w:type="character" w:customStyle="1" w:styleId="CommentSubjectChar">
    <w:name w:val="Comment Subject Char"/>
    <w:basedOn w:val="CommentTextChar"/>
    <w:link w:val="CommentSubject"/>
    <w:rsid w:val="002437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9790">
      <w:bodyDiv w:val="1"/>
      <w:marLeft w:val="0"/>
      <w:marRight w:val="0"/>
      <w:marTop w:val="0"/>
      <w:marBottom w:val="0"/>
      <w:divBdr>
        <w:top w:val="none" w:sz="0" w:space="0" w:color="auto"/>
        <w:left w:val="none" w:sz="0" w:space="0" w:color="auto"/>
        <w:bottom w:val="none" w:sz="0" w:space="0" w:color="auto"/>
        <w:right w:val="none" w:sz="0" w:space="0" w:color="auto"/>
      </w:divBdr>
    </w:div>
    <w:div w:id="687371112">
      <w:bodyDiv w:val="1"/>
      <w:marLeft w:val="0"/>
      <w:marRight w:val="0"/>
      <w:marTop w:val="0"/>
      <w:marBottom w:val="0"/>
      <w:divBdr>
        <w:top w:val="none" w:sz="0" w:space="0" w:color="auto"/>
        <w:left w:val="none" w:sz="0" w:space="0" w:color="auto"/>
        <w:bottom w:val="none" w:sz="0" w:space="0" w:color="auto"/>
        <w:right w:val="none" w:sz="0" w:space="0" w:color="auto"/>
      </w:divBdr>
    </w:div>
    <w:div w:id="16020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aaustralia.com.au/professional-resources/taxation/tru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cpaaustralia.com.au/professional-resources/taxation/tru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9A1C-057D-4B29-8425-C212FD9B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5943</Words>
  <Characters>32259</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Tax Planning Checklist 2015</vt:lpstr>
    </vt:vector>
  </TitlesOfParts>
  <Company>Goldman Sachs &amp; Co</Company>
  <LinksUpToDate>false</LinksUpToDate>
  <CharactersWithSpaces>38126</CharactersWithSpaces>
  <SharedDoc>false</SharedDoc>
  <HLinks>
    <vt:vector size="12" baseType="variant">
      <vt:variant>
        <vt:i4>4390997</vt:i4>
      </vt:variant>
      <vt:variant>
        <vt:i4>6</vt:i4>
      </vt:variant>
      <vt:variant>
        <vt:i4>0</vt:i4>
      </vt:variant>
      <vt:variant>
        <vt:i4>5</vt:i4>
      </vt:variant>
      <vt:variant>
        <vt:lpwstr>www.cpaaustralia.com.au/cps/rde/xbcr/cpa-site/trustee-guidance-resolution-fact-sheet.pdf</vt:lpwstr>
      </vt:variant>
      <vt:variant>
        <vt:lpwstr/>
      </vt:variant>
      <vt:variant>
        <vt:i4>1966108</vt:i4>
      </vt:variant>
      <vt:variant>
        <vt:i4>0</vt:i4>
      </vt:variant>
      <vt:variant>
        <vt:i4>0</vt:i4>
      </vt:variant>
      <vt:variant>
        <vt:i4>5</vt:i4>
      </vt:variant>
      <vt:variant>
        <vt:lpwstr>www.cpaaustralia.com.au/cps/rde/xbcr/cpa-site/trusts-streaming-manual.pdf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Planning Checklist 2015</dc:title>
  <dc:creator>Michelle Webb</dc:creator>
  <cp:keywords>tax returns, checklists</cp:keywords>
  <cp:lastModifiedBy>Michelle Webb</cp:lastModifiedBy>
  <cp:revision>14</cp:revision>
  <cp:lastPrinted>2016-06-10T05:08:00Z</cp:lastPrinted>
  <dcterms:created xsi:type="dcterms:W3CDTF">2016-06-14T01:45:00Z</dcterms:created>
  <dcterms:modified xsi:type="dcterms:W3CDTF">2016-06-14T03:07:00Z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