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999A" w14:textId="47E62EC5" w:rsidR="003E4D00" w:rsidRDefault="006030C1" w:rsidP="00734B65">
      <w:pPr>
        <w:pStyle w:val="Title"/>
      </w:pPr>
      <w:r>
        <w:t>CPA Australia</w:t>
      </w:r>
    </w:p>
    <w:p w14:paraId="78BE2EC9" w14:textId="3D2D818B" w:rsidR="006030C1" w:rsidRPr="00734B65" w:rsidRDefault="006030C1" w:rsidP="00734B65">
      <w:pPr>
        <w:pStyle w:val="Title"/>
      </w:pPr>
      <w:r>
        <w:t>Best Practice Program</w:t>
      </w:r>
    </w:p>
    <w:p w14:paraId="1D36B61D" w14:textId="1FE160EC" w:rsidR="006B0C33" w:rsidRDefault="006030C1" w:rsidP="005446A8">
      <w:pPr>
        <w:pStyle w:val="Subtitle"/>
      </w:pPr>
      <w:r>
        <w:t xml:space="preserve">Annual </w:t>
      </w:r>
      <w:r w:rsidR="00232528">
        <w:t xml:space="preserve">Findings </w:t>
      </w:r>
      <w:r>
        <w:t>Report 2022</w:t>
      </w:r>
    </w:p>
    <w:p w14:paraId="56F5321A" w14:textId="77777777" w:rsidR="005446A8" w:rsidRPr="005446A8" w:rsidRDefault="005446A8" w:rsidP="005446A8"/>
    <w:p w14:paraId="178FF8CC"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66F1CCF6" w14:textId="313AA82A" w:rsidR="00CE55C3" w:rsidRDefault="00CE55C3" w:rsidP="00F0051B">
      <w:pPr>
        <w:pStyle w:val="Heading1"/>
      </w:pPr>
      <w:r>
        <w:lastRenderedPageBreak/>
        <w:t>Overview</w:t>
      </w:r>
    </w:p>
    <w:p w14:paraId="4FA0E001" w14:textId="77777777" w:rsidR="00CE55C3" w:rsidRDefault="00CE55C3" w:rsidP="00387DEF"/>
    <w:p w14:paraId="5E116454" w14:textId="1EC07D48" w:rsidR="00F0051B" w:rsidRDefault="000633AD" w:rsidP="00387DEF">
      <w:r>
        <w:t xml:space="preserve">The </w:t>
      </w:r>
      <w:r w:rsidR="00CE55C3">
        <w:t>CPA Australia Best Practice Program</w:t>
      </w:r>
      <w:r w:rsidR="00F0051B">
        <w:t xml:space="preserve"> (Program)</w:t>
      </w:r>
      <w:r w:rsidR="00713873">
        <w:t xml:space="preserve"> </w:t>
      </w:r>
      <w:r w:rsidR="00F0051B">
        <w:t xml:space="preserve">replaces </w:t>
      </w:r>
      <w:r w:rsidR="00713873">
        <w:t xml:space="preserve">the previous Quality Review Program </w:t>
      </w:r>
      <w:r w:rsidR="00F0051B">
        <w:t>and aims to</w:t>
      </w:r>
      <w:r w:rsidR="0057523D">
        <w:t xml:space="preserve"> support our members in public practice achieve their objectives in practice</w:t>
      </w:r>
      <w:r w:rsidR="00CF110A">
        <w:t>,</w:t>
      </w:r>
      <w:r w:rsidR="0057523D">
        <w:t xml:space="preserve"> while ensuring the highest </w:t>
      </w:r>
      <w:r w:rsidR="00A118C0">
        <w:t>professional and ethical standards</w:t>
      </w:r>
      <w:r w:rsidR="00414927">
        <w:t xml:space="preserve"> are maintained</w:t>
      </w:r>
      <w:r w:rsidR="00A118C0">
        <w:t xml:space="preserve">. </w:t>
      </w:r>
      <w:r w:rsidR="00D925E9">
        <w:t>The Program</w:t>
      </w:r>
      <w:r w:rsidR="00F0051B">
        <w:t xml:space="preserve"> </w:t>
      </w:r>
      <w:r w:rsidR="00D925E9">
        <w:t xml:space="preserve">was implemented in 2022, following its successful pilot in 2021. </w:t>
      </w:r>
    </w:p>
    <w:p w14:paraId="3493AD05" w14:textId="6D394657" w:rsidR="009309D8" w:rsidRDefault="00544487" w:rsidP="009309D8">
      <w:r>
        <w:t xml:space="preserve">The Program’s assessments </w:t>
      </w:r>
      <w:r w:rsidR="00000A39">
        <w:t>are designed to ensure</w:t>
      </w:r>
      <w:r>
        <w:t xml:space="preserve"> CPA Australia</w:t>
      </w:r>
      <w:r w:rsidR="00000A39">
        <w:t>’s</w:t>
      </w:r>
      <w:r>
        <w:t xml:space="preserve"> </w:t>
      </w:r>
      <w:r w:rsidR="00000A39">
        <w:t>Public Practice Certificate (PPC) holders</w:t>
      </w:r>
      <w:r w:rsidR="009E1BFA">
        <w:t xml:space="preserve"> providing public accounting services in Australia and New Zealand</w:t>
      </w:r>
      <w:r w:rsidR="00410E91">
        <w:t>:</w:t>
      </w:r>
    </w:p>
    <w:p w14:paraId="219ADE7F" w14:textId="079685B2" w:rsidR="00410E91" w:rsidRDefault="009309D8" w:rsidP="009309D8">
      <w:pPr>
        <w:pStyle w:val="ListParagraph"/>
        <w:numPr>
          <w:ilvl w:val="0"/>
          <w:numId w:val="34"/>
        </w:numPr>
      </w:pPr>
      <w:r>
        <w:t>H</w:t>
      </w:r>
      <w:r w:rsidR="00410E91">
        <w:t>ave implemented an adequate system of quality and risk management</w:t>
      </w:r>
    </w:p>
    <w:p w14:paraId="083E1380" w14:textId="4452D898" w:rsidR="00F0051B" w:rsidRDefault="00410E91" w:rsidP="009309D8">
      <w:pPr>
        <w:pStyle w:val="ListParagraph"/>
        <w:numPr>
          <w:ilvl w:val="0"/>
          <w:numId w:val="34"/>
        </w:numPr>
      </w:pPr>
      <w:r>
        <w:t xml:space="preserve">Adhere to professional and ethical standards </w:t>
      </w:r>
    </w:p>
    <w:p w14:paraId="3564C818" w14:textId="0AE7F336" w:rsidR="00CA0206" w:rsidRDefault="00CA0206" w:rsidP="009309D8">
      <w:pPr>
        <w:pStyle w:val="ListParagraph"/>
        <w:numPr>
          <w:ilvl w:val="0"/>
          <w:numId w:val="34"/>
        </w:numPr>
      </w:pPr>
      <w:r>
        <w:t>Continue to meet the CPA Australia By-Law requirements relevant to PPC holders</w:t>
      </w:r>
      <w:r w:rsidR="009309D8">
        <w:t xml:space="preserve">. </w:t>
      </w:r>
    </w:p>
    <w:p w14:paraId="48FEAEA9" w14:textId="2A33EB6F" w:rsidR="009309D8" w:rsidRDefault="002A3BF9" w:rsidP="009309D8">
      <w:r>
        <w:t xml:space="preserve">All PPC holders are required to participate in a Program assessment when selected. </w:t>
      </w:r>
    </w:p>
    <w:p w14:paraId="337A2F94" w14:textId="7173CB5C" w:rsidR="00FE590F" w:rsidRDefault="00E3617A" w:rsidP="00F77738">
      <w:pPr>
        <w:pStyle w:val="Heading2"/>
      </w:pPr>
      <w:r>
        <w:t xml:space="preserve">Common </w:t>
      </w:r>
      <w:r w:rsidR="009B0099">
        <w:t>a</w:t>
      </w:r>
      <w:r w:rsidR="00F77738">
        <w:t>ssessment</w:t>
      </w:r>
      <w:r>
        <w:t xml:space="preserve"> </w:t>
      </w:r>
      <w:r w:rsidR="009B0099">
        <w:t>f</w:t>
      </w:r>
      <w:r>
        <w:t>indings</w:t>
      </w:r>
    </w:p>
    <w:p w14:paraId="5E5B83C7" w14:textId="787A9234" w:rsidR="00F77738" w:rsidRDefault="00B445D3" w:rsidP="00387DEF">
      <w:r>
        <w:t xml:space="preserve">The common assessment findings </w:t>
      </w:r>
      <w:r w:rsidR="005D6737">
        <w:t xml:space="preserve">for 2022 are summarised below. </w:t>
      </w:r>
      <w:r w:rsidR="00E52211">
        <w:t xml:space="preserve">We also </w:t>
      </w:r>
      <w:r w:rsidR="00C04B10">
        <w:t>outline our relevant</w:t>
      </w:r>
      <w:r w:rsidR="0039461A">
        <w:t xml:space="preserve"> tools and resources available to </w:t>
      </w:r>
      <w:r w:rsidR="00C04B10">
        <w:t xml:space="preserve">assist </w:t>
      </w:r>
      <w:r w:rsidR="008D3EC8">
        <w:t>all</w:t>
      </w:r>
      <w:r w:rsidR="00C04B10">
        <w:t xml:space="preserve"> members </w:t>
      </w:r>
      <w:r w:rsidR="0039461A">
        <w:t xml:space="preserve">to address </w:t>
      </w:r>
      <w:r w:rsidR="00C04B10">
        <w:t xml:space="preserve">these areas within their </w:t>
      </w:r>
      <w:r w:rsidR="001C73F8">
        <w:t>practices</w:t>
      </w:r>
      <w:r w:rsidR="00C04B10">
        <w:t xml:space="preserve">. </w:t>
      </w:r>
    </w:p>
    <w:p w14:paraId="13CDD923" w14:textId="77777777" w:rsidR="005D6737" w:rsidRDefault="005D6737" w:rsidP="00387DEF"/>
    <w:p w14:paraId="4464D705" w14:textId="45F44195" w:rsidR="00E80D15" w:rsidRDefault="009B0099" w:rsidP="00387DEF">
      <w:r>
        <w:t>Ethics and Professional Standards</w:t>
      </w:r>
    </w:p>
    <w:tbl>
      <w:tblPr>
        <w:tblStyle w:val="RACVTable"/>
        <w:tblW w:w="9923" w:type="dxa"/>
        <w:tblLook w:val="04A0" w:firstRow="1" w:lastRow="0" w:firstColumn="1" w:lastColumn="0" w:noHBand="0" w:noVBand="1"/>
      </w:tblPr>
      <w:tblGrid>
        <w:gridCol w:w="2552"/>
        <w:gridCol w:w="4395"/>
        <w:gridCol w:w="2976"/>
      </w:tblGrid>
      <w:tr w:rsidR="00B3771F" w14:paraId="6EA757FD" w14:textId="77777777" w:rsidTr="001425DA">
        <w:trPr>
          <w:cnfStyle w:val="100000000000" w:firstRow="1" w:lastRow="0" w:firstColumn="0" w:lastColumn="0" w:oddVBand="0" w:evenVBand="0" w:oddHBand="0" w:evenHBand="0" w:firstRowFirstColumn="0" w:firstRowLastColumn="0" w:lastRowFirstColumn="0" w:lastRowLastColumn="0"/>
        </w:trPr>
        <w:tc>
          <w:tcPr>
            <w:tcW w:w="2552" w:type="dxa"/>
          </w:tcPr>
          <w:p w14:paraId="1D352702" w14:textId="19D0AD67" w:rsidR="00B3771F" w:rsidRDefault="00B3771F" w:rsidP="00387DEF">
            <w:r>
              <w:t>Standard</w:t>
            </w:r>
          </w:p>
        </w:tc>
        <w:tc>
          <w:tcPr>
            <w:tcW w:w="4395" w:type="dxa"/>
          </w:tcPr>
          <w:p w14:paraId="1B263C23" w14:textId="1E8B3F23" w:rsidR="00B3771F" w:rsidRDefault="00120B62" w:rsidP="00387DEF">
            <w:r>
              <w:t>Key areas of deficiencies</w:t>
            </w:r>
            <w:r w:rsidR="00584FA6">
              <w:t xml:space="preserve"> </w:t>
            </w:r>
          </w:p>
        </w:tc>
        <w:tc>
          <w:tcPr>
            <w:tcW w:w="2976" w:type="dxa"/>
          </w:tcPr>
          <w:p w14:paraId="24DDDE56" w14:textId="1CD8A434" w:rsidR="00B3771F" w:rsidRDefault="00120B62" w:rsidP="00387DEF">
            <w:r>
              <w:t>CPA Australia Resources</w:t>
            </w:r>
          </w:p>
        </w:tc>
      </w:tr>
      <w:tr w:rsidR="00C80581" w14:paraId="16339C37" w14:textId="77777777" w:rsidTr="001425DA">
        <w:trPr>
          <w:cnfStyle w:val="000000100000" w:firstRow="0" w:lastRow="0" w:firstColumn="0" w:lastColumn="0" w:oddVBand="0" w:evenVBand="0" w:oddHBand="1" w:evenHBand="0" w:firstRowFirstColumn="0" w:firstRowLastColumn="0" w:lastRowFirstColumn="0" w:lastRowLastColumn="0"/>
          <w:trHeight w:val="1893"/>
        </w:trPr>
        <w:tc>
          <w:tcPr>
            <w:tcW w:w="2552" w:type="dxa"/>
          </w:tcPr>
          <w:p w14:paraId="50C13ABA" w14:textId="1EB4D109" w:rsidR="00C80581" w:rsidRDefault="00C80581" w:rsidP="00C80581">
            <w:r>
              <w:t>APES 110 Code of Ethics</w:t>
            </w:r>
          </w:p>
        </w:tc>
        <w:tc>
          <w:tcPr>
            <w:tcW w:w="4395" w:type="dxa"/>
          </w:tcPr>
          <w:p w14:paraId="1FF6D9DF" w14:textId="22193AAA" w:rsidR="00C80581" w:rsidRDefault="00C3493A" w:rsidP="00C80581">
            <w:r>
              <w:t>Non</w:t>
            </w:r>
            <w:r w:rsidR="000E760F">
              <w:t>-compliance with Laws and Regulations (NOCLAR) provisions of the Code - l</w:t>
            </w:r>
            <w:r w:rsidR="000137E2">
              <w:t xml:space="preserve">ack of </w:t>
            </w:r>
            <w:r w:rsidR="00C80581">
              <w:t>policies and procedures</w:t>
            </w:r>
            <w:r w:rsidR="0034350B">
              <w:t xml:space="preserve"> outlining</w:t>
            </w:r>
            <w:r w:rsidR="00C80581">
              <w:t xml:space="preserve"> what personnel should do in the </w:t>
            </w:r>
            <w:r w:rsidR="00BE25E6">
              <w:t>event,</w:t>
            </w:r>
            <w:r w:rsidR="00C80581">
              <w:t xml:space="preserve"> they identify an instance of </w:t>
            </w:r>
            <w:r w:rsidR="0074253A">
              <w:t>NOCLAR</w:t>
            </w:r>
            <w:r w:rsidR="0034350B">
              <w:t>.</w:t>
            </w:r>
            <w:r w:rsidR="00C80581">
              <w:t xml:space="preserve"> </w:t>
            </w:r>
          </w:p>
        </w:tc>
        <w:tc>
          <w:tcPr>
            <w:tcW w:w="2976" w:type="dxa"/>
          </w:tcPr>
          <w:p w14:paraId="117B8198" w14:textId="77777777" w:rsidR="00C80581" w:rsidRDefault="00EC57BE" w:rsidP="00C80581">
            <w:pPr>
              <w:pStyle w:val="ListBullet"/>
            </w:pPr>
            <w:hyperlink r:id="rId12" w:history="1">
              <w:r w:rsidR="00C80581">
                <w:rPr>
                  <w:rStyle w:val="Hyperlink"/>
                  <w:rFonts w:ascii="Arial" w:hAnsi="Arial" w:cs="Arial"/>
                  <w:szCs w:val="18"/>
                </w:rPr>
                <w:t>APES 110 Code of Ethics for Professional Accountants</w:t>
              </w:r>
            </w:hyperlink>
          </w:p>
          <w:p w14:paraId="4A274C01" w14:textId="77777777" w:rsidR="00C80581" w:rsidRDefault="00EC57BE" w:rsidP="00C80581">
            <w:pPr>
              <w:pStyle w:val="ListBullet"/>
            </w:pPr>
            <w:hyperlink r:id="rId13" w:history="1">
              <w:r w:rsidR="00C80581">
                <w:rPr>
                  <w:rStyle w:val="Hyperlink"/>
                  <w:rFonts w:ascii="Arial" w:hAnsi="Arial" w:cs="Arial"/>
                  <w:szCs w:val="18"/>
                </w:rPr>
                <w:t>CPA APES 110 - Overview of the Code</w:t>
              </w:r>
            </w:hyperlink>
          </w:p>
          <w:p w14:paraId="609BAD82" w14:textId="77777777" w:rsidR="00C80581" w:rsidRDefault="00EC57BE" w:rsidP="00C80581">
            <w:pPr>
              <w:pStyle w:val="ListBullet"/>
            </w:pPr>
            <w:hyperlink r:id="rId14" w:history="1">
              <w:r w:rsidR="00C80581">
                <w:rPr>
                  <w:rStyle w:val="Hyperlink"/>
                  <w:rFonts w:ascii="Arial" w:hAnsi="Arial" w:cs="Arial"/>
                  <w:szCs w:val="18"/>
                </w:rPr>
                <w:t>CPA Australia – Responding to NOCLAR</w:t>
              </w:r>
            </w:hyperlink>
          </w:p>
          <w:p w14:paraId="5C1113DB" w14:textId="64A2ADD0" w:rsidR="00C80581" w:rsidRPr="00C80581" w:rsidRDefault="00EC57BE" w:rsidP="00C80581">
            <w:pPr>
              <w:pStyle w:val="ListBullet"/>
            </w:pPr>
            <w:hyperlink r:id="rId15" w:history="1">
              <w:r w:rsidR="00C80581">
                <w:rPr>
                  <w:rStyle w:val="Hyperlink"/>
                  <w:rFonts w:ascii="Arial" w:hAnsi="Arial" w:cs="Arial"/>
                  <w:szCs w:val="18"/>
                </w:rPr>
                <w:t xml:space="preserve">Responding to Non-Compliance with Laws and Regulations (NOCLAR) video </w:t>
              </w:r>
            </w:hyperlink>
          </w:p>
        </w:tc>
      </w:tr>
      <w:tr w:rsidR="00C80581" w14:paraId="03E6318C" w14:textId="77777777" w:rsidTr="001425DA">
        <w:trPr>
          <w:trHeight w:val="1893"/>
        </w:trPr>
        <w:tc>
          <w:tcPr>
            <w:tcW w:w="2552" w:type="dxa"/>
          </w:tcPr>
          <w:p w14:paraId="13A681B0" w14:textId="27BB89CC" w:rsidR="00C80581" w:rsidRDefault="00C80581" w:rsidP="00C80581">
            <w:r>
              <w:t>APES 320 Quality Control</w:t>
            </w:r>
          </w:p>
        </w:tc>
        <w:tc>
          <w:tcPr>
            <w:tcW w:w="4395" w:type="dxa"/>
          </w:tcPr>
          <w:p w14:paraId="02D60117" w14:textId="7F04CC10" w:rsidR="000126D7" w:rsidRDefault="004352A9" w:rsidP="00C80581">
            <w:r>
              <w:t>I</w:t>
            </w:r>
            <w:r w:rsidR="00C80581">
              <w:t xml:space="preserve">nsufficient documentation and </w:t>
            </w:r>
            <w:r w:rsidR="0078059A">
              <w:t xml:space="preserve">inconsistent </w:t>
            </w:r>
            <w:r w:rsidR="000126D7">
              <w:t>application</w:t>
            </w:r>
            <w:r w:rsidR="0074253A">
              <w:t xml:space="preserve"> across engagements</w:t>
            </w:r>
            <w:r w:rsidR="00C80581">
              <w:t xml:space="preserve">.  </w:t>
            </w:r>
          </w:p>
          <w:p w14:paraId="75C9FFEC" w14:textId="470F2823" w:rsidR="00C80581" w:rsidRDefault="000126D7" w:rsidP="00C80581">
            <w:r>
              <w:t>A common example is w</w:t>
            </w:r>
            <w:r w:rsidR="00C80581">
              <w:t xml:space="preserve">here members have long standing </w:t>
            </w:r>
            <w:r>
              <w:t>client’s</w:t>
            </w:r>
            <w:r w:rsidR="00680BEE">
              <w:t>,</w:t>
            </w:r>
            <w:r w:rsidR="00C80581">
              <w:t xml:space="preserve"> acceptance and continuance procedures </w:t>
            </w:r>
            <w:r w:rsidR="00680BEE">
              <w:t>were</w:t>
            </w:r>
            <w:r w:rsidR="00C80581">
              <w:t xml:space="preserve"> not considered on an ongoing basis. </w:t>
            </w:r>
          </w:p>
        </w:tc>
        <w:tc>
          <w:tcPr>
            <w:tcW w:w="2976" w:type="dxa"/>
          </w:tcPr>
          <w:p w14:paraId="458AF67F" w14:textId="77777777" w:rsidR="00C80581" w:rsidRDefault="00EC57BE" w:rsidP="00C80581">
            <w:pPr>
              <w:pStyle w:val="ListBullet"/>
            </w:pPr>
            <w:hyperlink r:id="rId16" w:history="1">
              <w:r w:rsidR="00C80581">
                <w:rPr>
                  <w:rStyle w:val="Hyperlink"/>
                  <w:rFonts w:ascii="Arial" w:hAnsi="Arial" w:cs="Arial"/>
                  <w:szCs w:val="18"/>
                </w:rPr>
                <w:t>APES 320 Quality Management for Firms that provide Non-Assurance Services</w:t>
              </w:r>
            </w:hyperlink>
          </w:p>
          <w:p w14:paraId="616BE968" w14:textId="090CD0AE" w:rsidR="00C80581" w:rsidRPr="00C80581" w:rsidRDefault="00EC57BE" w:rsidP="00C80581">
            <w:pPr>
              <w:pStyle w:val="ListBullet"/>
            </w:pPr>
            <w:hyperlink r:id="rId17" w:history="1">
              <w:r w:rsidR="00C80581">
                <w:rPr>
                  <w:rStyle w:val="Hyperlink"/>
                  <w:rFonts w:ascii="Arial" w:hAnsi="Arial" w:cs="Arial"/>
                  <w:szCs w:val="18"/>
                </w:rPr>
                <w:t>CPA Australia - Quality Control Tool</w:t>
              </w:r>
            </w:hyperlink>
          </w:p>
        </w:tc>
      </w:tr>
      <w:tr w:rsidR="00C80581" w14:paraId="3C89F703" w14:textId="77777777" w:rsidTr="001425DA">
        <w:trPr>
          <w:cnfStyle w:val="000000100000" w:firstRow="0" w:lastRow="0" w:firstColumn="0" w:lastColumn="0" w:oddVBand="0" w:evenVBand="0" w:oddHBand="1" w:evenHBand="0" w:firstRowFirstColumn="0" w:firstRowLastColumn="0" w:lastRowFirstColumn="0" w:lastRowLastColumn="0"/>
          <w:trHeight w:val="1893"/>
        </w:trPr>
        <w:tc>
          <w:tcPr>
            <w:tcW w:w="2552" w:type="dxa"/>
          </w:tcPr>
          <w:p w14:paraId="24E78171" w14:textId="043B4BBB" w:rsidR="00C80581" w:rsidRDefault="00C80581" w:rsidP="00C80581">
            <w:r>
              <w:lastRenderedPageBreak/>
              <w:t>APES 325 Risk Management</w:t>
            </w:r>
          </w:p>
        </w:tc>
        <w:tc>
          <w:tcPr>
            <w:tcW w:w="4395" w:type="dxa"/>
          </w:tcPr>
          <w:p w14:paraId="43017C2A" w14:textId="77777777" w:rsidR="00A970EE" w:rsidRDefault="00BD00AC" w:rsidP="00C80581">
            <w:r>
              <w:t xml:space="preserve">No documented risk management framework </w:t>
            </w:r>
            <w:r w:rsidR="00545690">
              <w:t xml:space="preserve">or failure to maintain </w:t>
            </w:r>
            <w:r w:rsidR="00C80581">
              <w:t xml:space="preserve">a risk management framework that is current and up to date.  </w:t>
            </w:r>
          </w:p>
          <w:p w14:paraId="605DA1B1" w14:textId="06E61006" w:rsidR="00C80581" w:rsidRPr="00A0070B" w:rsidRDefault="00C80581" w:rsidP="00C80581">
            <w:r>
              <w:t xml:space="preserve">Risks relating to changing circumstances, including consideration of succession planning were not reflected in risk management plans reviewed. </w:t>
            </w:r>
          </w:p>
        </w:tc>
        <w:tc>
          <w:tcPr>
            <w:tcW w:w="2976" w:type="dxa"/>
          </w:tcPr>
          <w:p w14:paraId="16F0C691" w14:textId="77777777" w:rsidR="00C80581" w:rsidRDefault="00EC57BE" w:rsidP="00C80581">
            <w:pPr>
              <w:pStyle w:val="ListBullet"/>
            </w:pPr>
            <w:hyperlink r:id="rId18" w:history="1">
              <w:r w:rsidR="00C80581">
                <w:rPr>
                  <w:rStyle w:val="Hyperlink"/>
                  <w:rFonts w:ascii="Arial" w:hAnsi="Arial" w:cs="Arial"/>
                  <w:szCs w:val="18"/>
                </w:rPr>
                <w:t>APES 325 Risk Management for Firms</w:t>
              </w:r>
            </w:hyperlink>
          </w:p>
          <w:p w14:paraId="61B98E34" w14:textId="77777777" w:rsidR="00C80581" w:rsidRDefault="00EC57BE" w:rsidP="00C80581">
            <w:pPr>
              <w:pStyle w:val="ListBullet"/>
            </w:pPr>
            <w:hyperlink r:id="rId19" w:history="1">
              <w:r w:rsidR="00C80581">
                <w:rPr>
                  <w:rStyle w:val="Hyperlink"/>
                  <w:rFonts w:ascii="Arial" w:hAnsi="Arial" w:cs="Arial"/>
                  <w:szCs w:val="18"/>
                </w:rPr>
                <w:t>CPA Australia - Risk Management for Firms</w:t>
              </w:r>
            </w:hyperlink>
          </w:p>
          <w:p w14:paraId="5F889212" w14:textId="77777777" w:rsidR="00C80581" w:rsidRDefault="00EC57BE" w:rsidP="00C80581">
            <w:pPr>
              <w:pStyle w:val="ListBullet"/>
            </w:pPr>
            <w:hyperlink r:id="rId20" w:history="1">
              <w:r w:rsidR="00C80581">
                <w:rPr>
                  <w:rStyle w:val="Hyperlink"/>
                  <w:rFonts w:ascii="Arial" w:hAnsi="Arial" w:cs="Arial"/>
                  <w:szCs w:val="18"/>
                </w:rPr>
                <w:t>CPA Australia - Risk Management Framework Tool</w:t>
              </w:r>
            </w:hyperlink>
          </w:p>
          <w:p w14:paraId="0310F4BF" w14:textId="77777777" w:rsidR="00C80581" w:rsidRPr="00BF435E" w:rsidRDefault="00C80581" w:rsidP="00C80581">
            <w:pPr>
              <w:pStyle w:val="ListParagraph"/>
            </w:pPr>
          </w:p>
        </w:tc>
      </w:tr>
      <w:tr w:rsidR="00C80581" w14:paraId="4C5FD393" w14:textId="77777777" w:rsidTr="001425DA">
        <w:tc>
          <w:tcPr>
            <w:tcW w:w="2552" w:type="dxa"/>
          </w:tcPr>
          <w:p w14:paraId="05BFF76D" w14:textId="60C141F7" w:rsidR="00C80581" w:rsidRDefault="00C80581" w:rsidP="00C80581">
            <w:r>
              <w:t>APES 305 Terms of Engagement</w:t>
            </w:r>
          </w:p>
        </w:tc>
        <w:tc>
          <w:tcPr>
            <w:tcW w:w="4395" w:type="dxa"/>
          </w:tcPr>
          <w:p w14:paraId="3DF33376" w14:textId="17229277" w:rsidR="00C80581" w:rsidRPr="005009C4" w:rsidRDefault="00780CF3" w:rsidP="005009C4">
            <w:pPr>
              <w:ind w:left="24"/>
            </w:pPr>
            <w:r w:rsidRPr="005009C4">
              <w:t xml:space="preserve">Insufficient documentation of the </w:t>
            </w:r>
            <w:r w:rsidR="00C80581" w:rsidRPr="005009C4">
              <w:t>use of outsourced services, including cloud computing, and the location of those services.</w:t>
            </w:r>
          </w:p>
          <w:p w14:paraId="687822A1" w14:textId="51270EA5" w:rsidR="00C80581" w:rsidRPr="005009C4" w:rsidRDefault="00C80581" w:rsidP="005009C4">
            <w:pPr>
              <w:ind w:left="24"/>
            </w:pPr>
            <w:r w:rsidRPr="005009C4">
              <w:t xml:space="preserve">Using outdated terms of engagement templates that do not contain the latest requirements within the professional standards, legislation and other requirements. </w:t>
            </w:r>
          </w:p>
          <w:p w14:paraId="3083C905" w14:textId="6E7D65DB" w:rsidR="00C80581" w:rsidRPr="005009C4" w:rsidRDefault="00C80581" w:rsidP="005009C4">
            <w:pPr>
              <w:ind w:left="24"/>
            </w:pPr>
            <w:r w:rsidRPr="005009C4">
              <w:t>Not having client confirmation of their acceptance of the terms of engagement.</w:t>
            </w:r>
          </w:p>
        </w:tc>
        <w:tc>
          <w:tcPr>
            <w:tcW w:w="2976" w:type="dxa"/>
          </w:tcPr>
          <w:p w14:paraId="62EA9204" w14:textId="77777777" w:rsidR="00C80581" w:rsidRDefault="00EC57BE" w:rsidP="00C80581">
            <w:pPr>
              <w:pStyle w:val="ListBullet"/>
            </w:pPr>
            <w:hyperlink r:id="rId21" w:history="1">
              <w:r w:rsidR="00C80581">
                <w:rPr>
                  <w:rStyle w:val="Hyperlink"/>
                  <w:rFonts w:ascii="Arial" w:hAnsi="Arial" w:cs="Arial"/>
                  <w:szCs w:val="18"/>
                </w:rPr>
                <w:t>APES 305 Terms of Engagement</w:t>
              </w:r>
            </w:hyperlink>
          </w:p>
          <w:p w14:paraId="06B8095E" w14:textId="77777777" w:rsidR="00C80581" w:rsidRDefault="00EC57BE" w:rsidP="00C80581">
            <w:pPr>
              <w:pStyle w:val="ListBullet"/>
            </w:pPr>
            <w:hyperlink r:id="rId22" w:history="1">
              <w:r w:rsidR="00C80581">
                <w:rPr>
                  <w:rStyle w:val="Hyperlink"/>
                  <w:rFonts w:ascii="Arial" w:hAnsi="Arial" w:cs="Arial"/>
                  <w:szCs w:val="18"/>
                </w:rPr>
                <w:t>CPA Australia - Client engagements and relationship</w:t>
              </w:r>
            </w:hyperlink>
          </w:p>
          <w:p w14:paraId="5A9D95D9" w14:textId="77777777" w:rsidR="00C80581" w:rsidRDefault="00EC57BE" w:rsidP="00C80581">
            <w:pPr>
              <w:pStyle w:val="ListBullet"/>
            </w:pPr>
            <w:hyperlink r:id="rId23" w:history="1">
              <w:r w:rsidR="00C80581">
                <w:rPr>
                  <w:rStyle w:val="Hyperlink"/>
                  <w:rFonts w:ascii="Arial" w:hAnsi="Arial" w:cs="Arial"/>
                  <w:szCs w:val="18"/>
                </w:rPr>
                <w:t>CPA Australia - Client engagement templates</w:t>
              </w:r>
            </w:hyperlink>
          </w:p>
          <w:p w14:paraId="21D7484A" w14:textId="77777777" w:rsidR="00C80581" w:rsidRDefault="00EC57BE" w:rsidP="00C80581">
            <w:pPr>
              <w:pStyle w:val="ListBullet"/>
            </w:pPr>
            <w:hyperlink r:id="rId24" w:history="1">
              <w:r w:rsidR="00C80581">
                <w:rPr>
                  <w:rStyle w:val="Hyperlink"/>
                  <w:rFonts w:ascii="Arial" w:hAnsi="Arial" w:cs="Arial"/>
                  <w:szCs w:val="18"/>
                </w:rPr>
                <w:t>CPA Australia - NZ Engagement Letter with AML clause</w:t>
              </w:r>
            </w:hyperlink>
          </w:p>
          <w:p w14:paraId="4AC3960A" w14:textId="77777777" w:rsidR="00C80581" w:rsidRPr="0053625D" w:rsidRDefault="00C80581" w:rsidP="00C80581"/>
        </w:tc>
      </w:tr>
      <w:tr w:rsidR="00C80581" w14:paraId="08812057" w14:textId="77777777" w:rsidTr="001425DA">
        <w:trPr>
          <w:cnfStyle w:val="000000100000" w:firstRow="0" w:lastRow="0" w:firstColumn="0" w:lastColumn="0" w:oddVBand="0" w:evenVBand="0" w:oddHBand="1" w:evenHBand="0" w:firstRowFirstColumn="0" w:firstRowLastColumn="0" w:lastRowFirstColumn="0" w:lastRowLastColumn="0"/>
        </w:trPr>
        <w:tc>
          <w:tcPr>
            <w:tcW w:w="2552" w:type="dxa"/>
          </w:tcPr>
          <w:p w14:paraId="7E4C6CF7" w14:textId="110D32D7" w:rsidR="00C80581" w:rsidRDefault="00C80581" w:rsidP="00C80581">
            <w:r>
              <w:t>APES 310 Audit of Client Monies</w:t>
            </w:r>
          </w:p>
        </w:tc>
        <w:tc>
          <w:tcPr>
            <w:tcW w:w="4395" w:type="dxa"/>
          </w:tcPr>
          <w:p w14:paraId="54FD46D3" w14:textId="0D896792" w:rsidR="00C80581" w:rsidRDefault="00C80581" w:rsidP="00C80581">
            <w:r>
              <w:t>A lack of clarify by some members regarding the standards requirements beyond monies held in trust.  Some members who had disbursement authority to their clients’ accounts were not aware of the requirement to obtain an audit under the standard.</w:t>
            </w:r>
          </w:p>
        </w:tc>
        <w:tc>
          <w:tcPr>
            <w:tcW w:w="2976" w:type="dxa"/>
          </w:tcPr>
          <w:p w14:paraId="1C9727E9" w14:textId="77777777" w:rsidR="00C80581" w:rsidRPr="00206CA0" w:rsidRDefault="00EC57BE" w:rsidP="00C80581">
            <w:pPr>
              <w:pStyle w:val="ListBullet"/>
            </w:pPr>
            <w:hyperlink r:id="rId25" w:history="1">
              <w:r w:rsidR="00C80581" w:rsidRPr="00206CA0">
                <w:rPr>
                  <w:rStyle w:val="Hyperlink"/>
                  <w:rFonts w:ascii="Arial" w:hAnsi="Arial" w:cs="Arial"/>
                  <w:szCs w:val="18"/>
                </w:rPr>
                <w:t>APES 310 Client Monies</w:t>
              </w:r>
            </w:hyperlink>
          </w:p>
          <w:p w14:paraId="18E6002E" w14:textId="77777777" w:rsidR="00C80581" w:rsidRPr="00206CA0" w:rsidRDefault="00EC57BE" w:rsidP="00C80581">
            <w:pPr>
              <w:pStyle w:val="ListBullet"/>
            </w:pPr>
            <w:hyperlink r:id="rId26" w:history="1">
              <w:r w:rsidR="00C80581" w:rsidRPr="00206CA0">
                <w:rPr>
                  <w:rStyle w:val="Hyperlink"/>
                  <w:rFonts w:ascii="Arial" w:hAnsi="Arial" w:cs="Arial"/>
                  <w:szCs w:val="18"/>
                </w:rPr>
                <w:t>CPA Australia - Client Monies</w:t>
              </w:r>
            </w:hyperlink>
          </w:p>
          <w:p w14:paraId="1392F9AD" w14:textId="77777777" w:rsidR="00C80581" w:rsidRPr="003D7246" w:rsidRDefault="00C80581" w:rsidP="00C80581"/>
        </w:tc>
      </w:tr>
    </w:tbl>
    <w:p w14:paraId="69DC6282" w14:textId="77777777" w:rsidR="00A83825" w:rsidRDefault="00A83825" w:rsidP="00387DEF"/>
    <w:p w14:paraId="337700E9" w14:textId="6CE7C8C3" w:rsidR="009B0099" w:rsidRDefault="009B0099" w:rsidP="00387DEF">
      <w:r>
        <w:t xml:space="preserve">Audit and Assurance </w:t>
      </w:r>
      <w:r w:rsidR="00D31570">
        <w:t>Services</w:t>
      </w:r>
    </w:p>
    <w:tbl>
      <w:tblPr>
        <w:tblStyle w:val="RACVTable"/>
        <w:tblW w:w="9923" w:type="dxa"/>
        <w:tblLook w:val="04A0" w:firstRow="1" w:lastRow="0" w:firstColumn="1" w:lastColumn="0" w:noHBand="0" w:noVBand="1"/>
      </w:tblPr>
      <w:tblGrid>
        <w:gridCol w:w="2552"/>
        <w:gridCol w:w="4678"/>
        <w:gridCol w:w="2693"/>
      </w:tblGrid>
      <w:tr w:rsidR="00120B62" w14:paraId="0FE5832C" w14:textId="77777777">
        <w:trPr>
          <w:cnfStyle w:val="100000000000" w:firstRow="1" w:lastRow="0" w:firstColumn="0" w:lastColumn="0" w:oddVBand="0" w:evenVBand="0" w:oddHBand="0" w:evenHBand="0" w:firstRowFirstColumn="0" w:firstRowLastColumn="0" w:lastRowFirstColumn="0" w:lastRowLastColumn="0"/>
        </w:trPr>
        <w:tc>
          <w:tcPr>
            <w:tcW w:w="2552" w:type="dxa"/>
          </w:tcPr>
          <w:p w14:paraId="5079A803" w14:textId="77777777" w:rsidR="00120B62" w:rsidRDefault="00120B62">
            <w:r>
              <w:t>Standard</w:t>
            </w:r>
          </w:p>
        </w:tc>
        <w:tc>
          <w:tcPr>
            <w:tcW w:w="4678" w:type="dxa"/>
          </w:tcPr>
          <w:p w14:paraId="662F5D8B" w14:textId="77777777" w:rsidR="00120B62" w:rsidRDefault="00120B62">
            <w:r>
              <w:t>Key areas of deficiencies</w:t>
            </w:r>
          </w:p>
        </w:tc>
        <w:tc>
          <w:tcPr>
            <w:tcW w:w="2693" w:type="dxa"/>
          </w:tcPr>
          <w:p w14:paraId="42249143" w14:textId="77777777" w:rsidR="00120B62" w:rsidRDefault="00120B62">
            <w:r>
              <w:t>CPA Australia Resources</w:t>
            </w:r>
          </w:p>
        </w:tc>
      </w:tr>
      <w:tr w:rsidR="00120B62" w14:paraId="2D71C511" w14:textId="77777777">
        <w:trPr>
          <w:cnfStyle w:val="000000100000" w:firstRow="0" w:lastRow="0" w:firstColumn="0" w:lastColumn="0" w:oddVBand="0" w:evenVBand="0" w:oddHBand="1" w:evenHBand="0" w:firstRowFirstColumn="0" w:firstRowLastColumn="0" w:lastRowFirstColumn="0" w:lastRowLastColumn="0"/>
        </w:trPr>
        <w:tc>
          <w:tcPr>
            <w:tcW w:w="2552" w:type="dxa"/>
          </w:tcPr>
          <w:p w14:paraId="72E5DB90" w14:textId="48707310" w:rsidR="00120B62" w:rsidRDefault="0050634A">
            <w:r>
              <w:t>ASA / ASQC 1</w:t>
            </w:r>
          </w:p>
        </w:tc>
        <w:tc>
          <w:tcPr>
            <w:tcW w:w="4678" w:type="dxa"/>
          </w:tcPr>
          <w:p w14:paraId="7725266F" w14:textId="72B89B6D" w:rsidR="00120B62" w:rsidRDefault="006D00FE">
            <w:r>
              <w:t xml:space="preserve">For members </w:t>
            </w:r>
            <w:r w:rsidR="00DE55D1">
              <w:t xml:space="preserve">that provide </w:t>
            </w:r>
            <w:r w:rsidR="00802B02">
              <w:t xml:space="preserve">audit and assurance services </w:t>
            </w:r>
            <w:r w:rsidR="001E728E">
              <w:t>infrequently or on a pro bono</w:t>
            </w:r>
            <w:r w:rsidR="00753852">
              <w:t xml:space="preserve"> basis</w:t>
            </w:r>
            <w:r w:rsidR="001E728E">
              <w:t xml:space="preserve"> there was frequently a </w:t>
            </w:r>
            <w:r w:rsidR="007644C5">
              <w:t>lack of documentation available for review to demonstrate compliance with the standards</w:t>
            </w:r>
            <w:r w:rsidR="00753852">
              <w:t xml:space="preserve">. </w:t>
            </w:r>
          </w:p>
        </w:tc>
        <w:tc>
          <w:tcPr>
            <w:tcW w:w="2693" w:type="dxa"/>
          </w:tcPr>
          <w:p w14:paraId="0DED93AF" w14:textId="77777777" w:rsidR="00F97D25" w:rsidRDefault="00EC57BE" w:rsidP="00206CA0">
            <w:pPr>
              <w:pStyle w:val="ListBullet"/>
            </w:pPr>
            <w:hyperlink r:id="rId27" w:history="1">
              <w:r w:rsidR="00F97D25">
                <w:rPr>
                  <w:rStyle w:val="Hyperlink"/>
                  <w:rFonts w:ascii="Arial" w:hAnsi="Arial" w:cs="Arial"/>
                  <w:szCs w:val="18"/>
                </w:rPr>
                <w:t>AUASB Assurance Standards</w:t>
              </w:r>
            </w:hyperlink>
          </w:p>
          <w:p w14:paraId="4039216E" w14:textId="77777777" w:rsidR="005B6F18" w:rsidRDefault="00EC57BE" w:rsidP="00206CA0">
            <w:pPr>
              <w:pStyle w:val="ListBullet"/>
            </w:pPr>
            <w:hyperlink r:id="rId28" w:history="1">
              <w:r w:rsidR="005B6F18">
                <w:rPr>
                  <w:rStyle w:val="Hyperlink"/>
                  <w:rFonts w:ascii="Arial" w:hAnsi="Arial" w:cs="Arial"/>
                  <w:szCs w:val="18"/>
                </w:rPr>
                <w:t>Small Entities Audit Manual (SEAM)</w:t>
              </w:r>
            </w:hyperlink>
          </w:p>
          <w:p w14:paraId="67406BBB" w14:textId="6083DFF7" w:rsidR="00120B62" w:rsidRPr="005B6F18" w:rsidRDefault="00EC57BE" w:rsidP="00206CA0">
            <w:pPr>
              <w:pStyle w:val="ListBullet"/>
            </w:pPr>
            <w:hyperlink r:id="rId29" w:history="1">
              <w:r w:rsidR="005B6F18">
                <w:rPr>
                  <w:rStyle w:val="Hyperlink"/>
                  <w:rFonts w:ascii="Arial" w:hAnsi="Arial" w:cs="Arial"/>
                  <w:szCs w:val="18"/>
                </w:rPr>
                <w:t>Audit &amp; Assurance Tools &amp; Resources</w:t>
              </w:r>
            </w:hyperlink>
          </w:p>
        </w:tc>
      </w:tr>
      <w:tr w:rsidR="00120B62" w14:paraId="76796ECE" w14:textId="77777777">
        <w:tc>
          <w:tcPr>
            <w:tcW w:w="2552" w:type="dxa"/>
          </w:tcPr>
          <w:p w14:paraId="00A1F8BE" w14:textId="5D7F5646" w:rsidR="00120B62" w:rsidRDefault="0049156C">
            <w:r>
              <w:t>SISA / SISR</w:t>
            </w:r>
          </w:p>
        </w:tc>
        <w:tc>
          <w:tcPr>
            <w:tcW w:w="4678" w:type="dxa"/>
          </w:tcPr>
          <w:p w14:paraId="60D04326" w14:textId="45AE45BC" w:rsidR="00120B62" w:rsidRDefault="00FA51B0">
            <w:r>
              <w:t xml:space="preserve">Insufficient documentation </w:t>
            </w:r>
            <w:r w:rsidR="0066477C">
              <w:t xml:space="preserve">to evidence </w:t>
            </w:r>
            <w:r w:rsidR="00C65FA4">
              <w:t xml:space="preserve">the ATO requirements to complete the SMSF </w:t>
            </w:r>
            <w:r w:rsidR="0066477C">
              <w:t>c</w:t>
            </w:r>
            <w:r w:rsidR="00C65FA4">
              <w:t xml:space="preserve">ompliance </w:t>
            </w:r>
            <w:r w:rsidR="0066477C">
              <w:t>a</w:t>
            </w:r>
            <w:r w:rsidR="00C65FA4">
              <w:t>udit engagement.</w:t>
            </w:r>
            <w:r w:rsidR="0012430A">
              <w:t xml:space="preserve"> </w:t>
            </w:r>
          </w:p>
        </w:tc>
        <w:tc>
          <w:tcPr>
            <w:tcW w:w="2693" w:type="dxa"/>
          </w:tcPr>
          <w:p w14:paraId="2D570C53" w14:textId="77777777" w:rsidR="005B6F18" w:rsidRDefault="00EC57BE" w:rsidP="00206CA0">
            <w:pPr>
              <w:pStyle w:val="ListBullet"/>
            </w:pPr>
            <w:hyperlink r:id="rId30" w:history="1">
              <w:r w:rsidR="005B6F18">
                <w:rPr>
                  <w:rStyle w:val="Hyperlink"/>
                  <w:rFonts w:ascii="Arial" w:hAnsi="Arial" w:cs="Arial"/>
                  <w:szCs w:val="18"/>
                </w:rPr>
                <w:t>CPA SMSF Tools &amp; Resources</w:t>
              </w:r>
            </w:hyperlink>
          </w:p>
          <w:p w14:paraId="725F2147" w14:textId="77777777" w:rsidR="00E92A64" w:rsidRDefault="00EC57BE" w:rsidP="00206CA0">
            <w:pPr>
              <w:pStyle w:val="ListBullet"/>
            </w:pPr>
            <w:hyperlink r:id="rId31" w:history="1">
              <w:r w:rsidR="00E92A64">
                <w:rPr>
                  <w:rStyle w:val="Hyperlink"/>
                  <w:rFonts w:ascii="Arial" w:hAnsi="Arial" w:cs="Arial"/>
                  <w:szCs w:val="18"/>
                </w:rPr>
                <w:t>Small Entities Audit Manual (SEAM)</w:t>
              </w:r>
            </w:hyperlink>
          </w:p>
          <w:p w14:paraId="30ACF681" w14:textId="77777777" w:rsidR="00120B62" w:rsidRDefault="00120B62" w:rsidP="00206CA0">
            <w:pPr>
              <w:pStyle w:val="ListBullet"/>
              <w:numPr>
                <w:ilvl w:val="0"/>
                <w:numId w:val="0"/>
              </w:numPr>
            </w:pPr>
          </w:p>
        </w:tc>
      </w:tr>
      <w:tr w:rsidR="00120B62" w14:paraId="2B435750" w14:textId="77777777">
        <w:trPr>
          <w:cnfStyle w:val="000000100000" w:firstRow="0" w:lastRow="0" w:firstColumn="0" w:lastColumn="0" w:oddVBand="0" w:evenVBand="0" w:oddHBand="1" w:evenHBand="0" w:firstRowFirstColumn="0" w:firstRowLastColumn="0" w:lastRowFirstColumn="0" w:lastRowLastColumn="0"/>
        </w:trPr>
        <w:tc>
          <w:tcPr>
            <w:tcW w:w="2552" w:type="dxa"/>
          </w:tcPr>
          <w:p w14:paraId="2B9CBAAA" w14:textId="77777777" w:rsidR="00120B62" w:rsidRDefault="00120B62"/>
        </w:tc>
        <w:tc>
          <w:tcPr>
            <w:tcW w:w="4678" w:type="dxa"/>
          </w:tcPr>
          <w:p w14:paraId="36B1DFE7" w14:textId="77777777" w:rsidR="00120B62" w:rsidRDefault="00120B62"/>
        </w:tc>
        <w:tc>
          <w:tcPr>
            <w:tcW w:w="2693" w:type="dxa"/>
          </w:tcPr>
          <w:p w14:paraId="60E77A15" w14:textId="77777777" w:rsidR="00120B62" w:rsidRDefault="00120B62"/>
        </w:tc>
      </w:tr>
    </w:tbl>
    <w:p w14:paraId="2B030AA4" w14:textId="77777777" w:rsidR="00D31570" w:rsidRDefault="00D31570" w:rsidP="00387DEF"/>
    <w:p w14:paraId="5D32FCD5" w14:textId="77777777" w:rsidR="00A83825" w:rsidRDefault="00A83825" w:rsidP="00387DEF"/>
    <w:p w14:paraId="24DC76A0" w14:textId="77777777" w:rsidR="00AF1306" w:rsidRDefault="00AF1306" w:rsidP="00387DEF"/>
    <w:p w14:paraId="1E931CC5" w14:textId="2CFB68CF" w:rsidR="00D31570" w:rsidRDefault="00D31570" w:rsidP="00387DEF">
      <w:r>
        <w:lastRenderedPageBreak/>
        <w:t>Tax and compilation services</w:t>
      </w:r>
    </w:p>
    <w:tbl>
      <w:tblPr>
        <w:tblStyle w:val="RACVTable"/>
        <w:tblW w:w="9923" w:type="dxa"/>
        <w:tblLook w:val="04A0" w:firstRow="1" w:lastRow="0" w:firstColumn="1" w:lastColumn="0" w:noHBand="0" w:noVBand="1"/>
      </w:tblPr>
      <w:tblGrid>
        <w:gridCol w:w="2552"/>
        <w:gridCol w:w="4678"/>
        <w:gridCol w:w="2693"/>
      </w:tblGrid>
      <w:tr w:rsidR="00120B62" w14:paraId="46169FEC" w14:textId="77777777" w:rsidTr="72C6016F">
        <w:trPr>
          <w:cnfStyle w:val="100000000000" w:firstRow="1" w:lastRow="0" w:firstColumn="0" w:lastColumn="0" w:oddVBand="0" w:evenVBand="0" w:oddHBand="0" w:evenHBand="0" w:firstRowFirstColumn="0" w:firstRowLastColumn="0" w:lastRowFirstColumn="0" w:lastRowLastColumn="0"/>
        </w:trPr>
        <w:tc>
          <w:tcPr>
            <w:tcW w:w="2552" w:type="dxa"/>
          </w:tcPr>
          <w:p w14:paraId="60A40F83" w14:textId="77777777" w:rsidR="00120B62" w:rsidRDefault="00120B62">
            <w:r>
              <w:t>Standard</w:t>
            </w:r>
          </w:p>
        </w:tc>
        <w:tc>
          <w:tcPr>
            <w:tcW w:w="4678" w:type="dxa"/>
          </w:tcPr>
          <w:p w14:paraId="10F3FD0B" w14:textId="77777777" w:rsidR="00120B62" w:rsidRDefault="00120B62">
            <w:r>
              <w:t>Key areas of deficiencies</w:t>
            </w:r>
          </w:p>
        </w:tc>
        <w:tc>
          <w:tcPr>
            <w:tcW w:w="2693" w:type="dxa"/>
          </w:tcPr>
          <w:p w14:paraId="7B3F4A69" w14:textId="77777777" w:rsidR="00120B62" w:rsidRDefault="00120B62">
            <w:r>
              <w:t>CPA Australia Resources</w:t>
            </w:r>
          </w:p>
        </w:tc>
      </w:tr>
      <w:tr w:rsidR="00120B62" w14:paraId="4D58CEEC" w14:textId="77777777" w:rsidTr="72C6016F">
        <w:trPr>
          <w:cnfStyle w:val="000000100000" w:firstRow="0" w:lastRow="0" w:firstColumn="0" w:lastColumn="0" w:oddVBand="0" w:evenVBand="0" w:oddHBand="1" w:evenHBand="0" w:firstRowFirstColumn="0" w:firstRowLastColumn="0" w:lastRowFirstColumn="0" w:lastRowLastColumn="0"/>
        </w:trPr>
        <w:tc>
          <w:tcPr>
            <w:tcW w:w="2552" w:type="dxa"/>
          </w:tcPr>
          <w:p w14:paraId="6D01EB49" w14:textId="12525B82" w:rsidR="00120B62" w:rsidRDefault="00F257B0">
            <w:r>
              <w:t>APES 220 Taxation Services</w:t>
            </w:r>
          </w:p>
        </w:tc>
        <w:tc>
          <w:tcPr>
            <w:tcW w:w="4678" w:type="dxa"/>
          </w:tcPr>
          <w:p w14:paraId="7DAC4574" w14:textId="04EF1B30" w:rsidR="00120B62" w:rsidRDefault="00915F5E">
            <w:r>
              <w:t>No documentation evidencing</w:t>
            </w:r>
            <w:r w:rsidR="003C203D">
              <w:t xml:space="preserve"> communication to clients of their rights and obligations and possible penalties and consequences regarding their taxation </w:t>
            </w:r>
            <w:r w:rsidR="00F22F79">
              <w:t xml:space="preserve">engagement, as well as the client’s responsibility over information as a written statement.  </w:t>
            </w:r>
          </w:p>
        </w:tc>
        <w:tc>
          <w:tcPr>
            <w:tcW w:w="2693" w:type="dxa"/>
          </w:tcPr>
          <w:p w14:paraId="0905D39E" w14:textId="77777777" w:rsidR="00E400C1" w:rsidRDefault="00EC57BE" w:rsidP="00E400C1">
            <w:pPr>
              <w:pStyle w:val="ListBullet"/>
            </w:pPr>
            <w:hyperlink r:id="rId32" w:history="1">
              <w:r w:rsidR="00E400C1">
                <w:rPr>
                  <w:rStyle w:val="Hyperlink"/>
                  <w:rFonts w:ascii="Arial" w:hAnsi="Arial" w:cs="Arial"/>
                  <w:szCs w:val="18"/>
                </w:rPr>
                <w:t>APES 220 Taxation Services</w:t>
              </w:r>
            </w:hyperlink>
          </w:p>
          <w:p w14:paraId="024D0731" w14:textId="77777777" w:rsidR="00E400C1" w:rsidRDefault="00EC57BE" w:rsidP="00E400C1">
            <w:pPr>
              <w:pStyle w:val="ListBullet"/>
            </w:pPr>
            <w:hyperlink r:id="rId33" w:history="1">
              <w:r w:rsidR="00E400C1">
                <w:rPr>
                  <w:rStyle w:val="Hyperlink"/>
                  <w:rFonts w:ascii="Arial" w:hAnsi="Arial" w:cs="Arial"/>
                  <w:szCs w:val="18"/>
                </w:rPr>
                <w:t>CPA Australia - Engagement Letter Taxation Services</w:t>
              </w:r>
            </w:hyperlink>
          </w:p>
          <w:p w14:paraId="2FBA6B02" w14:textId="77777777" w:rsidR="00E400C1" w:rsidRDefault="00EC57BE" w:rsidP="00E400C1">
            <w:pPr>
              <w:pStyle w:val="ListBullet"/>
            </w:pPr>
            <w:hyperlink r:id="rId34" w:history="1">
              <w:r w:rsidR="00E400C1">
                <w:rPr>
                  <w:rStyle w:val="Hyperlink"/>
                  <w:rFonts w:ascii="Arial" w:hAnsi="Arial" w:cs="Arial"/>
                  <w:szCs w:val="18"/>
                </w:rPr>
                <w:t>CPA Australia - Tax checklists, letters &amp; workpapers</w:t>
              </w:r>
            </w:hyperlink>
          </w:p>
          <w:p w14:paraId="54F16FBF" w14:textId="77777777" w:rsidR="00120B62" w:rsidRDefault="00120B62"/>
        </w:tc>
      </w:tr>
      <w:tr w:rsidR="00120B62" w14:paraId="02DCA956" w14:textId="77777777" w:rsidTr="72C6016F">
        <w:tc>
          <w:tcPr>
            <w:tcW w:w="2552" w:type="dxa"/>
          </w:tcPr>
          <w:p w14:paraId="63071A16" w14:textId="374CDD6A" w:rsidR="00120B62" w:rsidRDefault="00D74335">
            <w:r>
              <w:t xml:space="preserve">APES </w:t>
            </w:r>
            <w:r w:rsidR="00444592">
              <w:t>315 Compilation of Financial Statements</w:t>
            </w:r>
          </w:p>
        </w:tc>
        <w:tc>
          <w:tcPr>
            <w:tcW w:w="4678" w:type="dxa"/>
          </w:tcPr>
          <w:p w14:paraId="6881A58D" w14:textId="791B8DB8" w:rsidR="00120B62" w:rsidRPr="005009C4" w:rsidRDefault="000E0AA6" w:rsidP="005009C4">
            <w:pPr>
              <w:ind w:left="24"/>
            </w:pPr>
            <w:r w:rsidRPr="005009C4">
              <w:t xml:space="preserve">Insufficient or </w:t>
            </w:r>
            <w:r w:rsidR="00915F5E" w:rsidRPr="005009C4">
              <w:t>missing documentation</w:t>
            </w:r>
            <w:r w:rsidRPr="005009C4">
              <w:t xml:space="preserve"> to support the </w:t>
            </w:r>
            <w:r w:rsidR="4DFA1AEA" w:rsidRPr="005009C4">
              <w:t>compilation</w:t>
            </w:r>
            <w:r w:rsidRPr="005009C4">
              <w:t xml:space="preserve"> report</w:t>
            </w:r>
            <w:r w:rsidR="00EC57BE">
              <w:t>.</w:t>
            </w:r>
          </w:p>
          <w:p w14:paraId="4FD67CD8" w14:textId="357AB4AF" w:rsidR="000E0AA6" w:rsidRPr="005009C4" w:rsidRDefault="000E0AA6" w:rsidP="005009C4">
            <w:pPr>
              <w:ind w:left="24"/>
            </w:pPr>
            <w:r w:rsidRPr="005009C4">
              <w:t xml:space="preserve">Incorrect or </w:t>
            </w:r>
            <w:r w:rsidR="00E617C2" w:rsidRPr="005009C4">
              <w:t>insufficient details as required by APES 315 10.10</w:t>
            </w:r>
            <w:r w:rsidRPr="005009C4">
              <w:t xml:space="preserve"> </w:t>
            </w:r>
            <w:r w:rsidR="00E617C2" w:rsidRPr="005009C4">
              <w:t>(e.g. member’s name and address etc)</w:t>
            </w:r>
            <w:r w:rsidR="00EC57BE">
              <w:t>.</w:t>
            </w:r>
          </w:p>
          <w:p w14:paraId="22809C7B" w14:textId="70C0F23B" w:rsidR="00E617C2" w:rsidRPr="005009C4" w:rsidRDefault="00E617C2" w:rsidP="005009C4">
            <w:pPr>
              <w:ind w:left="24"/>
            </w:pPr>
            <w:r w:rsidRPr="005009C4">
              <w:t>Insufficient or incorrect disclosure</w:t>
            </w:r>
            <w:r w:rsidR="00E256A7" w:rsidRPr="005009C4">
              <w:t xml:space="preserve">s </w:t>
            </w:r>
            <w:r w:rsidR="004A4359" w:rsidRPr="005009C4">
              <w:t xml:space="preserve">including </w:t>
            </w:r>
            <w:r w:rsidR="00E256A7" w:rsidRPr="005009C4">
              <w:t>accounting policies disclosure</w:t>
            </w:r>
            <w:r w:rsidR="00132E67" w:rsidRPr="005009C4">
              <w:t>.</w:t>
            </w:r>
          </w:p>
        </w:tc>
        <w:tc>
          <w:tcPr>
            <w:tcW w:w="2693" w:type="dxa"/>
          </w:tcPr>
          <w:p w14:paraId="65FBE942" w14:textId="77777777" w:rsidR="002D5033" w:rsidRDefault="00EC57BE" w:rsidP="00992463">
            <w:pPr>
              <w:pStyle w:val="ListBullet"/>
            </w:pPr>
            <w:hyperlink r:id="rId35" w:history="1">
              <w:r w:rsidR="002D5033">
                <w:rPr>
                  <w:rStyle w:val="Hyperlink"/>
                  <w:rFonts w:ascii="Arial" w:hAnsi="Arial" w:cs="Arial"/>
                  <w:szCs w:val="18"/>
                </w:rPr>
                <w:t>APES 315 Compilation of Financial Information</w:t>
              </w:r>
            </w:hyperlink>
          </w:p>
          <w:p w14:paraId="70252685" w14:textId="77777777" w:rsidR="0073332C" w:rsidRDefault="00EC57BE" w:rsidP="00992463">
            <w:pPr>
              <w:pStyle w:val="ListBullet"/>
            </w:pPr>
            <w:hyperlink r:id="rId36" w:history="1">
              <w:r w:rsidR="0073332C">
                <w:rPr>
                  <w:rStyle w:val="Hyperlink"/>
                  <w:rFonts w:ascii="Arial" w:hAnsi="Arial" w:cs="Arial"/>
                  <w:szCs w:val="18"/>
                </w:rPr>
                <w:t>CPA Australia - Overview APES 315 Compilation of Financial Information</w:t>
              </w:r>
            </w:hyperlink>
          </w:p>
          <w:p w14:paraId="11AD416C" w14:textId="77777777" w:rsidR="00992463" w:rsidRDefault="00EC57BE" w:rsidP="00992463">
            <w:pPr>
              <w:pStyle w:val="ListBullet"/>
            </w:pPr>
            <w:hyperlink r:id="rId37" w:history="1">
              <w:r w:rsidR="00992463">
                <w:rPr>
                  <w:rStyle w:val="Hyperlink"/>
                  <w:rFonts w:ascii="Arial" w:hAnsi="Arial" w:cs="Arial"/>
                  <w:szCs w:val="18"/>
                </w:rPr>
                <w:t>CPA Australia - Sample special purpose compilation report</w:t>
              </w:r>
            </w:hyperlink>
          </w:p>
          <w:p w14:paraId="3AFFD008" w14:textId="77777777" w:rsidR="00120B62" w:rsidRDefault="00120B62"/>
        </w:tc>
      </w:tr>
    </w:tbl>
    <w:p w14:paraId="47A11F9C" w14:textId="77777777" w:rsidR="00D31570" w:rsidRDefault="00D31570" w:rsidP="00387DEF"/>
    <w:p w14:paraId="1C2A4068" w14:textId="7A410D86" w:rsidR="005208BF" w:rsidRDefault="005208BF" w:rsidP="005208BF">
      <w:r w:rsidRPr="005208BF">
        <w:t xml:space="preserve"> </w:t>
      </w:r>
      <w:r>
        <w:t xml:space="preserve">Professional Standards Scheme </w:t>
      </w:r>
    </w:p>
    <w:tbl>
      <w:tblPr>
        <w:tblStyle w:val="RACVTable"/>
        <w:tblW w:w="9923" w:type="dxa"/>
        <w:tblLook w:val="04A0" w:firstRow="1" w:lastRow="0" w:firstColumn="1" w:lastColumn="0" w:noHBand="0" w:noVBand="1"/>
      </w:tblPr>
      <w:tblGrid>
        <w:gridCol w:w="2552"/>
        <w:gridCol w:w="4678"/>
        <w:gridCol w:w="2693"/>
      </w:tblGrid>
      <w:tr w:rsidR="005208BF" w14:paraId="1D3BDBFA" w14:textId="77777777">
        <w:trPr>
          <w:cnfStyle w:val="100000000000" w:firstRow="1" w:lastRow="0" w:firstColumn="0" w:lastColumn="0" w:oddVBand="0" w:evenVBand="0" w:oddHBand="0" w:evenHBand="0" w:firstRowFirstColumn="0" w:firstRowLastColumn="0" w:lastRowFirstColumn="0" w:lastRowLastColumn="0"/>
        </w:trPr>
        <w:tc>
          <w:tcPr>
            <w:tcW w:w="2552" w:type="dxa"/>
          </w:tcPr>
          <w:p w14:paraId="1BF59BC4" w14:textId="77777777" w:rsidR="005208BF" w:rsidRDefault="005208BF">
            <w:r>
              <w:t>Standard</w:t>
            </w:r>
          </w:p>
        </w:tc>
        <w:tc>
          <w:tcPr>
            <w:tcW w:w="4678" w:type="dxa"/>
          </w:tcPr>
          <w:p w14:paraId="38657AB5" w14:textId="77777777" w:rsidR="005208BF" w:rsidRDefault="005208BF">
            <w:r>
              <w:t>Key areas of deficiencies</w:t>
            </w:r>
          </w:p>
        </w:tc>
        <w:tc>
          <w:tcPr>
            <w:tcW w:w="2693" w:type="dxa"/>
          </w:tcPr>
          <w:p w14:paraId="282136B1" w14:textId="77777777" w:rsidR="005208BF" w:rsidRDefault="005208BF">
            <w:r>
              <w:t>CPA Australia Resources</w:t>
            </w:r>
          </w:p>
        </w:tc>
      </w:tr>
      <w:tr w:rsidR="005208BF" w14:paraId="655D1D6C" w14:textId="77777777">
        <w:trPr>
          <w:cnfStyle w:val="000000100000" w:firstRow="0" w:lastRow="0" w:firstColumn="0" w:lastColumn="0" w:oddVBand="0" w:evenVBand="0" w:oddHBand="1" w:evenHBand="0" w:firstRowFirstColumn="0" w:firstRowLastColumn="0" w:lastRowFirstColumn="0" w:lastRowLastColumn="0"/>
        </w:trPr>
        <w:tc>
          <w:tcPr>
            <w:tcW w:w="2552" w:type="dxa"/>
          </w:tcPr>
          <w:p w14:paraId="1C72B7BA" w14:textId="1A38B4BF" w:rsidR="005208BF" w:rsidRDefault="00567DDF">
            <w:r>
              <w:t>Professional Standard</w:t>
            </w:r>
            <w:r w:rsidR="00873153">
              <w:t>s Legislation</w:t>
            </w:r>
          </w:p>
        </w:tc>
        <w:tc>
          <w:tcPr>
            <w:tcW w:w="4678" w:type="dxa"/>
          </w:tcPr>
          <w:p w14:paraId="77FF0CFE" w14:textId="5B749EF6" w:rsidR="005208BF" w:rsidRDefault="008F3770">
            <w:r>
              <w:t>Non-disclosure</w:t>
            </w:r>
            <w:r w:rsidR="00915F5E">
              <w:t xml:space="preserve"> or incomplete </w:t>
            </w:r>
            <w:r w:rsidR="00A719E4">
              <w:t>disclosure</w:t>
            </w:r>
            <w:r>
              <w:t xml:space="preserve"> of </w:t>
            </w:r>
            <w:r w:rsidR="00873153">
              <w:t>participation in a limited liability scheme</w:t>
            </w:r>
            <w:r w:rsidR="00A719E4">
              <w:t>.</w:t>
            </w:r>
            <w:r w:rsidR="00873153">
              <w:t xml:space="preserve"> </w:t>
            </w:r>
          </w:p>
        </w:tc>
        <w:tc>
          <w:tcPr>
            <w:tcW w:w="2693" w:type="dxa"/>
          </w:tcPr>
          <w:p w14:paraId="048317F4" w14:textId="77777777" w:rsidR="00EC5ED7" w:rsidRPr="00EC5ED7" w:rsidRDefault="00EC57BE" w:rsidP="00EC5ED7">
            <w:pPr>
              <w:pStyle w:val="ListBullet"/>
              <w:numPr>
                <w:ilvl w:val="0"/>
                <w:numId w:val="7"/>
              </w:numPr>
              <w:rPr>
                <w:rStyle w:val="Hyperlink"/>
                <w:color w:val="090D46" w:themeColor="text1"/>
                <w:u w:val="none"/>
              </w:rPr>
            </w:pPr>
            <w:hyperlink r:id="rId38" w:history="1">
              <w:r w:rsidR="00EC5ED7" w:rsidRPr="00D355B8">
                <w:rPr>
                  <w:rStyle w:val="Hyperlink"/>
                  <w:rFonts w:ascii="Arial" w:hAnsi="Arial" w:cs="Arial"/>
                  <w:szCs w:val="18"/>
                </w:rPr>
                <w:t>CPA Australia Professional Standards Scheme</w:t>
              </w:r>
            </w:hyperlink>
          </w:p>
          <w:p w14:paraId="40E9D354" w14:textId="216A0930" w:rsidR="005208BF" w:rsidRDefault="00EC57BE" w:rsidP="00EC5ED7">
            <w:pPr>
              <w:pStyle w:val="ListBullet"/>
            </w:pPr>
            <w:hyperlink r:id="rId39" w:history="1">
              <w:r w:rsidR="00EC5ED7" w:rsidRPr="00D355B8">
                <w:rPr>
                  <w:rStyle w:val="Hyperlink"/>
                  <w:rFonts w:ascii="Arial" w:hAnsi="Arial" w:cs="Arial"/>
                  <w:szCs w:val="18"/>
                </w:rPr>
                <w:t>Professional Standards Council - Disclosing Your Limited Liability</w:t>
              </w:r>
            </w:hyperlink>
          </w:p>
        </w:tc>
      </w:tr>
    </w:tbl>
    <w:p w14:paraId="3AB61EB3" w14:textId="403EA541" w:rsidR="00D31570" w:rsidRDefault="00D31570" w:rsidP="00387DEF"/>
    <w:p w14:paraId="4EF7F106" w14:textId="6DAF1061" w:rsidR="00EE0A65" w:rsidRDefault="00EE0A65" w:rsidP="00387DEF"/>
    <w:sectPr w:rsidR="00EE0A65" w:rsidSect="00A16FBB">
      <w:headerReference w:type="default" r:id="rId40"/>
      <w:footerReference w:type="default" r:id="rId41"/>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466C" w14:textId="77777777" w:rsidR="00C14190" w:rsidRDefault="00C14190" w:rsidP="001D0AFC">
      <w:r>
        <w:separator/>
      </w:r>
    </w:p>
    <w:p w14:paraId="656576D9" w14:textId="77777777" w:rsidR="00C14190" w:rsidRDefault="00C14190"/>
    <w:p w14:paraId="008D45F7" w14:textId="77777777" w:rsidR="00C14190" w:rsidRDefault="00C14190"/>
  </w:endnote>
  <w:endnote w:type="continuationSeparator" w:id="0">
    <w:p w14:paraId="14F3765E" w14:textId="77777777" w:rsidR="00C14190" w:rsidRDefault="00C14190" w:rsidP="001D0AFC">
      <w:r>
        <w:continuationSeparator/>
      </w:r>
    </w:p>
    <w:p w14:paraId="5B10AF91" w14:textId="77777777" w:rsidR="00C14190" w:rsidRDefault="00C14190"/>
    <w:p w14:paraId="2A2C2917" w14:textId="77777777" w:rsidR="00C14190" w:rsidRDefault="00C14190"/>
  </w:endnote>
  <w:endnote w:type="continuationNotice" w:id="1">
    <w:p w14:paraId="26EEB738" w14:textId="77777777" w:rsidR="00C14190" w:rsidRDefault="00C141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565F" w14:textId="77777777" w:rsidR="003B7348" w:rsidRDefault="003B7348" w:rsidP="00A16FBB">
    <w:pPr>
      <w:pStyle w:val="Footer"/>
    </w:pPr>
    <w:r>
      <w:rPr>
        <w:noProof/>
      </w:rPr>
      <w:drawing>
        <wp:anchor distT="0" distB="0" distL="114300" distR="114300" simplePos="0" relativeHeight="251658241" behindDoc="1" locked="0" layoutInCell="1" allowOverlap="1" wp14:anchorId="38BE4E3B" wp14:editId="77CBF86F">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EBD3" w14:textId="77777777" w:rsidR="00C14190" w:rsidRDefault="00C14190" w:rsidP="001D0AFC"/>
  </w:footnote>
  <w:footnote w:type="continuationSeparator" w:id="0">
    <w:p w14:paraId="0D6A2146" w14:textId="77777777" w:rsidR="00C14190" w:rsidRDefault="00C14190" w:rsidP="001D0AFC"/>
  </w:footnote>
  <w:footnote w:type="continuationNotice" w:id="1">
    <w:p w14:paraId="669AC15F" w14:textId="77777777" w:rsidR="00C14190" w:rsidRDefault="00C1419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ED98"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06418528" wp14:editId="1A9DF4A0">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767D" w14:textId="3EE60A4F" w:rsidR="003B7348" w:rsidRPr="00693244" w:rsidRDefault="00EE0A65" w:rsidP="00693244">
    <w:pPr>
      <w:pStyle w:val="Header"/>
    </w:pPr>
    <w:r>
      <w:t xml:space="preserve">CPA Australia </w:t>
    </w:r>
    <w:r w:rsidR="00EC57BE">
      <w:fldChar w:fldCharType="begin"/>
    </w:r>
    <w:r w:rsidR="00EC57BE">
      <w:instrText>STYLEREF  Title  \* MERGEFORMAT</w:instrText>
    </w:r>
    <w:r w:rsidR="00EC57BE">
      <w:fldChar w:fldCharType="separate"/>
    </w:r>
    <w:r w:rsidR="00EC57BE">
      <w:rPr>
        <w:noProof/>
      </w:rPr>
      <w:t>Best Practice Program</w:t>
    </w:r>
    <w:r w:rsidR="00EC57B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526B83"/>
    <w:multiLevelType w:val="hybridMultilevel"/>
    <w:tmpl w:val="15BE872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31DD3433"/>
    <w:multiLevelType w:val="hybridMultilevel"/>
    <w:tmpl w:val="90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421AF"/>
    <w:multiLevelType w:val="hybridMultilevel"/>
    <w:tmpl w:val="CD9A214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9" w15:restartNumberingAfterBreak="0">
    <w:nsid w:val="79B449A0"/>
    <w:multiLevelType w:val="hybridMultilevel"/>
    <w:tmpl w:val="650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769675">
    <w:abstractNumId w:val="9"/>
  </w:num>
  <w:num w:numId="2" w16cid:durableId="1306543812">
    <w:abstractNumId w:val="9"/>
  </w:num>
  <w:num w:numId="3" w16cid:durableId="1673413323">
    <w:abstractNumId w:val="8"/>
  </w:num>
  <w:num w:numId="4" w16cid:durableId="1877812984">
    <w:abstractNumId w:val="8"/>
  </w:num>
  <w:num w:numId="5" w16cid:durableId="778791669">
    <w:abstractNumId w:val="9"/>
  </w:num>
  <w:num w:numId="6" w16cid:durableId="1799299366">
    <w:abstractNumId w:val="8"/>
  </w:num>
  <w:num w:numId="7" w16cid:durableId="283733126">
    <w:abstractNumId w:val="18"/>
  </w:num>
  <w:num w:numId="8" w16cid:durableId="150757033">
    <w:abstractNumId w:val="7"/>
  </w:num>
  <w:num w:numId="9" w16cid:durableId="651908378">
    <w:abstractNumId w:val="18"/>
  </w:num>
  <w:num w:numId="10" w16cid:durableId="136993722">
    <w:abstractNumId w:val="6"/>
  </w:num>
  <w:num w:numId="11" w16cid:durableId="802503536">
    <w:abstractNumId w:val="18"/>
  </w:num>
  <w:num w:numId="12" w16cid:durableId="1054544896">
    <w:abstractNumId w:val="5"/>
  </w:num>
  <w:num w:numId="13" w16cid:durableId="2042970989">
    <w:abstractNumId w:val="18"/>
  </w:num>
  <w:num w:numId="14" w16cid:durableId="511839291">
    <w:abstractNumId w:val="4"/>
  </w:num>
  <w:num w:numId="15" w16cid:durableId="552304412">
    <w:abstractNumId w:val="18"/>
  </w:num>
  <w:num w:numId="16" w16cid:durableId="1295718399">
    <w:abstractNumId w:val="16"/>
  </w:num>
  <w:num w:numId="17" w16cid:durableId="704673269">
    <w:abstractNumId w:val="3"/>
  </w:num>
  <w:num w:numId="18" w16cid:durableId="728312020">
    <w:abstractNumId w:val="16"/>
  </w:num>
  <w:num w:numId="19" w16cid:durableId="25255050">
    <w:abstractNumId w:val="2"/>
  </w:num>
  <w:num w:numId="20" w16cid:durableId="1223828416">
    <w:abstractNumId w:val="16"/>
  </w:num>
  <w:num w:numId="21" w16cid:durableId="758328644">
    <w:abstractNumId w:val="1"/>
  </w:num>
  <w:num w:numId="22" w16cid:durableId="1605193125">
    <w:abstractNumId w:val="16"/>
  </w:num>
  <w:num w:numId="23" w16cid:durableId="443887452">
    <w:abstractNumId w:val="0"/>
  </w:num>
  <w:num w:numId="24" w16cid:durableId="845024769">
    <w:abstractNumId w:val="16"/>
  </w:num>
  <w:num w:numId="25" w16cid:durableId="1781139505">
    <w:abstractNumId w:val="12"/>
  </w:num>
  <w:num w:numId="26" w16cid:durableId="99686993">
    <w:abstractNumId w:val="10"/>
  </w:num>
  <w:num w:numId="27" w16cid:durableId="42368356">
    <w:abstractNumId w:val="17"/>
  </w:num>
  <w:num w:numId="28" w16cid:durableId="1960262006">
    <w:abstractNumId w:val="18"/>
  </w:num>
  <w:num w:numId="29" w16cid:durableId="1334142692">
    <w:abstractNumId w:val="18"/>
  </w:num>
  <w:num w:numId="30" w16cid:durableId="1968583684">
    <w:abstractNumId w:val="18"/>
  </w:num>
  <w:num w:numId="31" w16cid:durableId="1884827179">
    <w:abstractNumId w:val="18"/>
  </w:num>
  <w:num w:numId="32" w16cid:durableId="132334528">
    <w:abstractNumId w:val="18"/>
  </w:num>
  <w:num w:numId="33" w16cid:durableId="103697024">
    <w:abstractNumId w:val="15"/>
  </w:num>
  <w:num w:numId="34" w16cid:durableId="222525129">
    <w:abstractNumId w:val="13"/>
  </w:num>
  <w:num w:numId="35" w16cid:durableId="737284982">
    <w:abstractNumId w:val="14"/>
  </w:num>
  <w:num w:numId="36" w16cid:durableId="155149101">
    <w:abstractNumId w:val="11"/>
  </w:num>
  <w:num w:numId="37" w16cid:durableId="4132869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3C216B"/>
    <w:rsid w:val="00000A39"/>
    <w:rsid w:val="000126D7"/>
    <w:rsid w:val="000136A5"/>
    <w:rsid w:val="000137E2"/>
    <w:rsid w:val="00013E33"/>
    <w:rsid w:val="00015555"/>
    <w:rsid w:val="000203CE"/>
    <w:rsid w:val="0002234B"/>
    <w:rsid w:val="00022A2E"/>
    <w:rsid w:val="00024813"/>
    <w:rsid w:val="000369EA"/>
    <w:rsid w:val="00036FE5"/>
    <w:rsid w:val="00037DE5"/>
    <w:rsid w:val="00041055"/>
    <w:rsid w:val="00042DA2"/>
    <w:rsid w:val="00045AB6"/>
    <w:rsid w:val="00053EBC"/>
    <w:rsid w:val="00054781"/>
    <w:rsid w:val="00056BC0"/>
    <w:rsid w:val="00057877"/>
    <w:rsid w:val="00061B61"/>
    <w:rsid w:val="000633AD"/>
    <w:rsid w:val="000635BC"/>
    <w:rsid w:val="000671C4"/>
    <w:rsid w:val="00074231"/>
    <w:rsid w:val="000760F4"/>
    <w:rsid w:val="00083EE0"/>
    <w:rsid w:val="00084B2F"/>
    <w:rsid w:val="000861C4"/>
    <w:rsid w:val="00086BC4"/>
    <w:rsid w:val="00091423"/>
    <w:rsid w:val="000949C8"/>
    <w:rsid w:val="000A0674"/>
    <w:rsid w:val="000A1EF9"/>
    <w:rsid w:val="000A230C"/>
    <w:rsid w:val="000A2A29"/>
    <w:rsid w:val="000A2E7B"/>
    <w:rsid w:val="000A72A7"/>
    <w:rsid w:val="000B5598"/>
    <w:rsid w:val="000B5729"/>
    <w:rsid w:val="000C088B"/>
    <w:rsid w:val="000C7AB0"/>
    <w:rsid w:val="000D35C6"/>
    <w:rsid w:val="000D37A6"/>
    <w:rsid w:val="000D3A3F"/>
    <w:rsid w:val="000D43A9"/>
    <w:rsid w:val="000D5770"/>
    <w:rsid w:val="000D71C3"/>
    <w:rsid w:val="000D7D92"/>
    <w:rsid w:val="000E0AA6"/>
    <w:rsid w:val="000E4E04"/>
    <w:rsid w:val="000E760F"/>
    <w:rsid w:val="000F2EDC"/>
    <w:rsid w:val="000F6579"/>
    <w:rsid w:val="000F6589"/>
    <w:rsid w:val="00100A2F"/>
    <w:rsid w:val="001049F6"/>
    <w:rsid w:val="00106F60"/>
    <w:rsid w:val="001141D0"/>
    <w:rsid w:val="00117894"/>
    <w:rsid w:val="0012062F"/>
    <w:rsid w:val="00120B62"/>
    <w:rsid w:val="0012430A"/>
    <w:rsid w:val="00130E63"/>
    <w:rsid w:val="00132167"/>
    <w:rsid w:val="00132E67"/>
    <w:rsid w:val="00136B50"/>
    <w:rsid w:val="00141033"/>
    <w:rsid w:val="0014136A"/>
    <w:rsid w:val="001425A7"/>
    <w:rsid w:val="001425DA"/>
    <w:rsid w:val="00143D18"/>
    <w:rsid w:val="00143DC7"/>
    <w:rsid w:val="00147784"/>
    <w:rsid w:val="00150DFA"/>
    <w:rsid w:val="00152AC1"/>
    <w:rsid w:val="00153AEF"/>
    <w:rsid w:val="00154C1A"/>
    <w:rsid w:val="00156042"/>
    <w:rsid w:val="001562D0"/>
    <w:rsid w:val="00157110"/>
    <w:rsid w:val="00157CE7"/>
    <w:rsid w:val="00176A5E"/>
    <w:rsid w:val="00181648"/>
    <w:rsid w:val="00191178"/>
    <w:rsid w:val="00192329"/>
    <w:rsid w:val="00193699"/>
    <w:rsid w:val="0019443B"/>
    <w:rsid w:val="00197E66"/>
    <w:rsid w:val="001A03FE"/>
    <w:rsid w:val="001A1669"/>
    <w:rsid w:val="001B026B"/>
    <w:rsid w:val="001B3928"/>
    <w:rsid w:val="001B7FA1"/>
    <w:rsid w:val="001C118F"/>
    <w:rsid w:val="001C485C"/>
    <w:rsid w:val="001C48D8"/>
    <w:rsid w:val="001C5149"/>
    <w:rsid w:val="001C52C2"/>
    <w:rsid w:val="001C73F8"/>
    <w:rsid w:val="001D0AFC"/>
    <w:rsid w:val="001D6F21"/>
    <w:rsid w:val="001E0ADE"/>
    <w:rsid w:val="001E3A54"/>
    <w:rsid w:val="001E49C9"/>
    <w:rsid w:val="001E563E"/>
    <w:rsid w:val="001E5F8E"/>
    <w:rsid w:val="001E728E"/>
    <w:rsid w:val="00202C71"/>
    <w:rsid w:val="00206CA0"/>
    <w:rsid w:val="002072F4"/>
    <w:rsid w:val="00210409"/>
    <w:rsid w:val="00217A7C"/>
    <w:rsid w:val="0022078E"/>
    <w:rsid w:val="00226249"/>
    <w:rsid w:val="002320CE"/>
    <w:rsid w:val="00232528"/>
    <w:rsid w:val="00233385"/>
    <w:rsid w:val="00242034"/>
    <w:rsid w:val="00245755"/>
    <w:rsid w:val="0025134E"/>
    <w:rsid w:val="00252741"/>
    <w:rsid w:val="0025657A"/>
    <w:rsid w:val="0025759E"/>
    <w:rsid w:val="00262769"/>
    <w:rsid w:val="002632B7"/>
    <w:rsid w:val="0027222D"/>
    <w:rsid w:val="00272AAC"/>
    <w:rsid w:val="00291082"/>
    <w:rsid w:val="002958CD"/>
    <w:rsid w:val="00296ADC"/>
    <w:rsid w:val="00297CB5"/>
    <w:rsid w:val="002A1211"/>
    <w:rsid w:val="002A12DA"/>
    <w:rsid w:val="002A1929"/>
    <w:rsid w:val="002A3BF9"/>
    <w:rsid w:val="002A4903"/>
    <w:rsid w:val="002A4C97"/>
    <w:rsid w:val="002B16A7"/>
    <w:rsid w:val="002B1DFE"/>
    <w:rsid w:val="002C2485"/>
    <w:rsid w:val="002C2769"/>
    <w:rsid w:val="002C2E1B"/>
    <w:rsid w:val="002D5033"/>
    <w:rsid w:val="002D55DD"/>
    <w:rsid w:val="002D62CE"/>
    <w:rsid w:val="002D7462"/>
    <w:rsid w:val="002D7B04"/>
    <w:rsid w:val="002E038B"/>
    <w:rsid w:val="002E1998"/>
    <w:rsid w:val="002E41A9"/>
    <w:rsid w:val="002E5ACA"/>
    <w:rsid w:val="002E76B8"/>
    <w:rsid w:val="002E7DDC"/>
    <w:rsid w:val="002F2993"/>
    <w:rsid w:val="002F3404"/>
    <w:rsid w:val="002F6357"/>
    <w:rsid w:val="002F6F32"/>
    <w:rsid w:val="003004FA"/>
    <w:rsid w:val="003127AD"/>
    <w:rsid w:val="003233EA"/>
    <w:rsid w:val="00327D69"/>
    <w:rsid w:val="003300BD"/>
    <w:rsid w:val="00337255"/>
    <w:rsid w:val="00337769"/>
    <w:rsid w:val="00337791"/>
    <w:rsid w:val="0034350B"/>
    <w:rsid w:val="003450AC"/>
    <w:rsid w:val="003454FB"/>
    <w:rsid w:val="00350D15"/>
    <w:rsid w:val="003577C5"/>
    <w:rsid w:val="0036434E"/>
    <w:rsid w:val="00371E33"/>
    <w:rsid w:val="00371F4C"/>
    <w:rsid w:val="003727A8"/>
    <w:rsid w:val="00380050"/>
    <w:rsid w:val="00387CBA"/>
    <w:rsid w:val="00387DEF"/>
    <w:rsid w:val="00393930"/>
    <w:rsid w:val="0039461A"/>
    <w:rsid w:val="003A0ACF"/>
    <w:rsid w:val="003A68CB"/>
    <w:rsid w:val="003B075A"/>
    <w:rsid w:val="003B4271"/>
    <w:rsid w:val="003B551F"/>
    <w:rsid w:val="003B5FE6"/>
    <w:rsid w:val="003B7348"/>
    <w:rsid w:val="003C203D"/>
    <w:rsid w:val="003C216B"/>
    <w:rsid w:val="003C4FB3"/>
    <w:rsid w:val="003D091D"/>
    <w:rsid w:val="003D4622"/>
    <w:rsid w:val="003D4BB0"/>
    <w:rsid w:val="003D5D9E"/>
    <w:rsid w:val="003D7246"/>
    <w:rsid w:val="003E1AC6"/>
    <w:rsid w:val="003E4D00"/>
    <w:rsid w:val="003F4678"/>
    <w:rsid w:val="003F4A7B"/>
    <w:rsid w:val="003F6533"/>
    <w:rsid w:val="004003DB"/>
    <w:rsid w:val="00401788"/>
    <w:rsid w:val="00410E91"/>
    <w:rsid w:val="00411591"/>
    <w:rsid w:val="00411636"/>
    <w:rsid w:val="00412319"/>
    <w:rsid w:val="00414927"/>
    <w:rsid w:val="00416267"/>
    <w:rsid w:val="00420AB3"/>
    <w:rsid w:val="00423AB8"/>
    <w:rsid w:val="00424589"/>
    <w:rsid w:val="004265BE"/>
    <w:rsid w:val="00431975"/>
    <w:rsid w:val="004332DC"/>
    <w:rsid w:val="004352A9"/>
    <w:rsid w:val="00437B1C"/>
    <w:rsid w:val="00441883"/>
    <w:rsid w:val="0044217F"/>
    <w:rsid w:val="00442A73"/>
    <w:rsid w:val="00444592"/>
    <w:rsid w:val="00446D50"/>
    <w:rsid w:val="004624F7"/>
    <w:rsid w:val="004642D9"/>
    <w:rsid w:val="00466FF8"/>
    <w:rsid w:val="00467CE7"/>
    <w:rsid w:val="004869E5"/>
    <w:rsid w:val="0049156C"/>
    <w:rsid w:val="00493C7F"/>
    <w:rsid w:val="00497959"/>
    <w:rsid w:val="004A0ED4"/>
    <w:rsid w:val="004A191F"/>
    <w:rsid w:val="004A35C8"/>
    <w:rsid w:val="004A4359"/>
    <w:rsid w:val="004A58E5"/>
    <w:rsid w:val="004A6A7C"/>
    <w:rsid w:val="004B1A48"/>
    <w:rsid w:val="004C6084"/>
    <w:rsid w:val="004C768A"/>
    <w:rsid w:val="004E1DA0"/>
    <w:rsid w:val="004E3248"/>
    <w:rsid w:val="004E691F"/>
    <w:rsid w:val="004F0EA6"/>
    <w:rsid w:val="004F16FA"/>
    <w:rsid w:val="005009C4"/>
    <w:rsid w:val="00500A1E"/>
    <w:rsid w:val="00504D5C"/>
    <w:rsid w:val="005060FF"/>
    <w:rsid w:val="0050634A"/>
    <w:rsid w:val="00507DED"/>
    <w:rsid w:val="0051024D"/>
    <w:rsid w:val="00512BE7"/>
    <w:rsid w:val="00513603"/>
    <w:rsid w:val="005138A5"/>
    <w:rsid w:val="00516AA3"/>
    <w:rsid w:val="005208BF"/>
    <w:rsid w:val="00530AB2"/>
    <w:rsid w:val="005316C5"/>
    <w:rsid w:val="00531DB6"/>
    <w:rsid w:val="00532BCB"/>
    <w:rsid w:val="0053625D"/>
    <w:rsid w:val="005410C1"/>
    <w:rsid w:val="00544487"/>
    <w:rsid w:val="005446A8"/>
    <w:rsid w:val="005447DF"/>
    <w:rsid w:val="00545690"/>
    <w:rsid w:val="00546C82"/>
    <w:rsid w:val="005504AA"/>
    <w:rsid w:val="005559C1"/>
    <w:rsid w:val="0056463F"/>
    <w:rsid w:val="005646CD"/>
    <w:rsid w:val="0056489B"/>
    <w:rsid w:val="00567DDF"/>
    <w:rsid w:val="00574287"/>
    <w:rsid w:val="0057523D"/>
    <w:rsid w:val="00581A5E"/>
    <w:rsid w:val="00582037"/>
    <w:rsid w:val="00584AB9"/>
    <w:rsid w:val="00584EA0"/>
    <w:rsid w:val="00584FA6"/>
    <w:rsid w:val="00585F02"/>
    <w:rsid w:val="005860A3"/>
    <w:rsid w:val="00586756"/>
    <w:rsid w:val="00592D3D"/>
    <w:rsid w:val="00593C4E"/>
    <w:rsid w:val="00594996"/>
    <w:rsid w:val="00595909"/>
    <w:rsid w:val="00596E3F"/>
    <w:rsid w:val="005A0440"/>
    <w:rsid w:val="005A22A5"/>
    <w:rsid w:val="005A647D"/>
    <w:rsid w:val="005B158F"/>
    <w:rsid w:val="005B17A5"/>
    <w:rsid w:val="005B1BD1"/>
    <w:rsid w:val="005B1EAF"/>
    <w:rsid w:val="005B2E62"/>
    <w:rsid w:val="005B3A1A"/>
    <w:rsid w:val="005B3A42"/>
    <w:rsid w:val="005B5231"/>
    <w:rsid w:val="005B6F18"/>
    <w:rsid w:val="005C317B"/>
    <w:rsid w:val="005C3C53"/>
    <w:rsid w:val="005C3D26"/>
    <w:rsid w:val="005C76E3"/>
    <w:rsid w:val="005D02BC"/>
    <w:rsid w:val="005D6737"/>
    <w:rsid w:val="005E0056"/>
    <w:rsid w:val="005F4740"/>
    <w:rsid w:val="005F59AA"/>
    <w:rsid w:val="006030C1"/>
    <w:rsid w:val="0060327D"/>
    <w:rsid w:val="0060453C"/>
    <w:rsid w:val="00605A91"/>
    <w:rsid w:val="0060777F"/>
    <w:rsid w:val="00607D8E"/>
    <w:rsid w:val="00610149"/>
    <w:rsid w:val="0062348C"/>
    <w:rsid w:val="00632601"/>
    <w:rsid w:val="006367D6"/>
    <w:rsid w:val="00640006"/>
    <w:rsid w:val="0064041E"/>
    <w:rsid w:val="00640A93"/>
    <w:rsid w:val="00640B02"/>
    <w:rsid w:val="00642BB9"/>
    <w:rsid w:val="0064638E"/>
    <w:rsid w:val="0065754D"/>
    <w:rsid w:val="00664625"/>
    <w:rsid w:val="0066477C"/>
    <w:rsid w:val="0067422A"/>
    <w:rsid w:val="00680BEE"/>
    <w:rsid w:val="006818CB"/>
    <w:rsid w:val="00687FC3"/>
    <w:rsid w:val="006909B3"/>
    <w:rsid w:val="00691B1E"/>
    <w:rsid w:val="00693244"/>
    <w:rsid w:val="00693793"/>
    <w:rsid w:val="00693A71"/>
    <w:rsid w:val="006A3CDA"/>
    <w:rsid w:val="006A502B"/>
    <w:rsid w:val="006A6EF7"/>
    <w:rsid w:val="006B0C33"/>
    <w:rsid w:val="006B1F0B"/>
    <w:rsid w:val="006C2EEC"/>
    <w:rsid w:val="006C3EE5"/>
    <w:rsid w:val="006C43F3"/>
    <w:rsid w:val="006C4497"/>
    <w:rsid w:val="006C5BC4"/>
    <w:rsid w:val="006C643E"/>
    <w:rsid w:val="006D00FE"/>
    <w:rsid w:val="006D118B"/>
    <w:rsid w:val="006D2526"/>
    <w:rsid w:val="006D6392"/>
    <w:rsid w:val="006E4968"/>
    <w:rsid w:val="006E546F"/>
    <w:rsid w:val="006E5981"/>
    <w:rsid w:val="006E72F1"/>
    <w:rsid w:val="006F0D69"/>
    <w:rsid w:val="006F2B41"/>
    <w:rsid w:val="006F39AB"/>
    <w:rsid w:val="006F7CB3"/>
    <w:rsid w:val="007023B2"/>
    <w:rsid w:val="007039A8"/>
    <w:rsid w:val="0070784B"/>
    <w:rsid w:val="00710947"/>
    <w:rsid w:val="00711370"/>
    <w:rsid w:val="00713873"/>
    <w:rsid w:val="007169BC"/>
    <w:rsid w:val="0071744F"/>
    <w:rsid w:val="007206CB"/>
    <w:rsid w:val="00731E79"/>
    <w:rsid w:val="00732F33"/>
    <w:rsid w:val="00733215"/>
    <w:rsid w:val="0073332C"/>
    <w:rsid w:val="00734B65"/>
    <w:rsid w:val="00735B82"/>
    <w:rsid w:val="0074253A"/>
    <w:rsid w:val="00751590"/>
    <w:rsid w:val="007531C4"/>
    <w:rsid w:val="00753852"/>
    <w:rsid w:val="00754945"/>
    <w:rsid w:val="007577DB"/>
    <w:rsid w:val="00760E66"/>
    <w:rsid w:val="007644C5"/>
    <w:rsid w:val="00766841"/>
    <w:rsid w:val="00772F78"/>
    <w:rsid w:val="00773AE8"/>
    <w:rsid w:val="0077668B"/>
    <w:rsid w:val="007776CE"/>
    <w:rsid w:val="00780046"/>
    <w:rsid w:val="00780354"/>
    <w:rsid w:val="0078059A"/>
    <w:rsid w:val="00780CF3"/>
    <w:rsid w:val="007819DD"/>
    <w:rsid w:val="00782C75"/>
    <w:rsid w:val="00783B88"/>
    <w:rsid w:val="007868DC"/>
    <w:rsid w:val="0079323F"/>
    <w:rsid w:val="00797721"/>
    <w:rsid w:val="007A4AB4"/>
    <w:rsid w:val="007A63DD"/>
    <w:rsid w:val="007B5FB6"/>
    <w:rsid w:val="007B730B"/>
    <w:rsid w:val="007C68A4"/>
    <w:rsid w:val="007D0908"/>
    <w:rsid w:val="007D1CC1"/>
    <w:rsid w:val="007D2303"/>
    <w:rsid w:val="007D287B"/>
    <w:rsid w:val="007D3D5E"/>
    <w:rsid w:val="007D4414"/>
    <w:rsid w:val="007D4660"/>
    <w:rsid w:val="007D7746"/>
    <w:rsid w:val="007E3882"/>
    <w:rsid w:val="007E5E09"/>
    <w:rsid w:val="007F11CC"/>
    <w:rsid w:val="007F1387"/>
    <w:rsid w:val="00802B02"/>
    <w:rsid w:val="00803042"/>
    <w:rsid w:val="008038AA"/>
    <w:rsid w:val="00805838"/>
    <w:rsid w:val="008067CF"/>
    <w:rsid w:val="00806A1D"/>
    <w:rsid w:val="00813059"/>
    <w:rsid w:val="00813D71"/>
    <w:rsid w:val="00814EB6"/>
    <w:rsid w:val="00814EEE"/>
    <w:rsid w:val="00816198"/>
    <w:rsid w:val="008223EF"/>
    <w:rsid w:val="00822E32"/>
    <w:rsid w:val="00823B41"/>
    <w:rsid w:val="0082615A"/>
    <w:rsid w:val="00826D89"/>
    <w:rsid w:val="0083418F"/>
    <w:rsid w:val="00834459"/>
    <w:rsid w:val="00834B0C"/>
    <w:rsid w:val="008352B1"/>
    <w:rsid w:val="00835736"/>
    <w:rsid w:val="00835D56"/>
    <w:rsid w:val="008404A5"/>
    <w:rsid w:val="008405A9"/>
    <w:rsid w:val="00850FF3"/>
    <w:rsid w:val="008520E2"/>
    <w:rsid w:val="00853537"/>
    <w:rsid w:val="00854E9A"/>
    <w:rsid w:val="008603FF"/>
    <w:rsid w:val="008609BF"/>
    <w:rsid w:val="00862D9B"/>
    <w:rsid w:val="00873153"/>
    <w:rsid w:val="008756E9"/>
    <w:rsid w:val="008806CE"/>
    <w:rsid w:val="0088797B"/>
    <w:rsid w:val="00896BFF"/>
    <w:rsid w:val="00896DBB"/>
    <w:rsid w:val="0089772F"/>
    <w:rsid w:val="008A1F47"/>
    <w:rsid w:val="008A791E"/>
    <w:rsid w:val="008B2D3F"/>
    <w:rsid w:val="008B354D"/>
    <w:rsid w:val="008C20AC"/>
    <w:rsid w:val="008C21A4"/>
    <w:rsid w:val="008C3EF5"/>
    <w:rsid w:val="008D1C45"/>
    <w:rsid w:val="008D3EC8"/>
    <w:rsid w:val="008D7966"/>
    <w:rsid w:val="008E0BDC"/>
    <w:rsid w:val="008E2748"/>
    <w:rsid w:val="008E3B5C"/>
    <w:rsid w:val="008F3770"/>
    <w:rsid w:val="009042B2"/>
    <w:rsid w:val="00915F5E"/>
    <w:rsid w:val="009173AC"/>
    <w:rsid w:val="00927C63"/>
    <w:rsid w:val="009309D8"/>
    <w:rsid w:val="009322DD"/>
    <w:rsid w:val="00932857"/>
    <w:rsid w:val="0093688A"/>
    <w:rsid w:val="00950E8B"/>
    <w:rsid w:val="0095480D"/>
    <w:rsid w:val="0096415D"/>
    <w:rsid w:val="00971499"/>
    <w:rsid w:val="00982861"/>
    <w:rsid w:val="00987F2B"/>
    <w:rsid w:val="00992463"/>
    <w:rsid w:val="009939C2"/>
    <w:rsid w:val="009A0A7A"/>
    <w:rsid w:val="009A570A"/>
    <w:rsid w:val="009A7E7C"/>
    <w:rsid w:val="009B0099"/>
    <w:rsid w:val="009B08C9"/>
    <w:rsid w:val="009B1256"/>
    <w:rsid w:val="009B4023"/>
    <w:rsid w:val="009C1276"/>
    <w:rsid w:val="009D18FC"/>
    <w:rsid w:val="009D27F9"/>
    <w:rsid w:val="009D6654"/>
    <w:rsid w:val="009D6BAB"/>
    <w:rsid w:val="009D73DA"/>
    <w:rsid w:val="009E0D5D"/>
    <w:rsid w:val="009E1BFA"/>
    <w:rsid w:val="009E3ABE"/>
    <w:rsid w:val="009E54FF"/>
    <w:rsid w:val="009E7197"/>
    <w:rsid w:val="009F1238"/>
    <w:rsid w:val="009F4403"/>
    <w:rsid w:val="00A002B2"/>
    <w:rsid w:val="00A0070B"/>
    <w:rsid w:val="00A01089"/>
    <w:rsid w:val="00A05877"/>
    <w:rsid w:val="00A11010"/>
    <w:rsid w:val="00A11263"/>
    <w:rsid w:val="00A118C0"/>
    <w:rsid w:val="00A124BD"/>
    <w:rsid w:val="00A12FB3"/>
    <w:rsid w:val="00A14750"/>
    <w:rsid w:val="00A16FBB"/>
    <w:rsid w:val="00A21F61"/>
    <w:rsid w:val="00A237CC"/>
    <w:rsid w:val="00A23B4C"/>
    <w:rsid w:val="00A274A3"/>
    <w:rsid w:val="00A30CA2"/>
    <w:rsid w:val="00A3324F"/>
    <w:rsid w:val="00A379D0"/>
    <w:rsid w:val="00A40702"/>
    <w:rsid w:val="00A41D2C"/>
    <w:rsid w:val="00A438DA"/>
    <w:rsid w:val="00A45CA9"/>
    <w:rsid w:val="00A474EB"/>
    <w:rsid w:val="00A554CC"/>
    <w:rsid w:val="00A60798"/>
    <w:rsid w:val="00A61353"/>
    <w:rsid w:val="00A637AD"/>
    <w:rsid w:val="00A640ED"/>
    <w:rsid w:val="00A719E4"/>
    <w:rsid w:val="00A72917"/>
    <w:rsid w:val="00A738DB"/>
    <w:rsid w:val="00A76331"/>
    <w:rsid w:val="00A8041D"/>
    <w:rsid w:val="00A80C22"/>
    <w:rsid w:val="00A83619"/>
    <w:rsid w:val="00A83825"/>
    <w:rsid w:val="00A852B5"/>
    <w:rsid w:val="00A856E6"/>
    <w:rsid w:val="00A91389"/>
    <w:rsid w:val="00A96F4F"/>
    <w:rsid w:val="00A970EE"/>
    <w:rsid w:val="00A97EE7"/>
    <w:rsid w:val="00AB0D0F"/>
    <w:rsid w:val="00AB1690"/>
    <w:rsid w:val="00AB3114"/>
    <w:rsid w:val="00AB3E03"/>
    <w:rsid w:val="00AC2041"/>
    <w:rsid w:val="00AD16EE"/>
    <w:rsid w:val="00AD374F"/>
    <w:rsid w:val="00AD7A6B"/>
    <w:rsid w:val="00AE5EDF"/>
    <w:rsid w:val="00AE6670"/>
    <w:rsid w:val="00AF1306"/>
    <w:rsid w:val="00AF6A5F"/>
    <w:rsid w:val="00AF74B0"/>
    <w:rsid w:val="00B0201E"/>
    <w:rsid w:val="00B0751F"/>
    <w:rsid w:val="00B17487"/>
    <w:rsid w:val="00B21CF0"/>
    <w:rsid w:val="00B23442"/>
    <w:rsid w:val="00B272CA"/>
    <w:rsid w:val="00B36484"/>
    <w:rsid w:val="00B3771F"/>
    <w:rsid w:val="00B445D3"/>
    <w:rsid w:val="00B561B6"/>
    <w:rsid w:val="00B61A76"/>
    <w:rsid w:val="00B65C90"/>
    <w:rsid w:val="00B6707F"/>
    <w:rsid w:val="00B67DE1"/>
    <w:rsid w:val="00B74B45"/>
    <w:rsid w:val="00B770FE"/>
    <w:rsid w:val="00B81FB3"/>
    <w:rsid w:val="00B8669D"/>
    <w:rsid w:val="00B86C42"/>
    <w:rsid w:val="00B93D2E"/>
    <w:rsid w:val="00BA1D0B"/>
    <w:rsid w:val="00BA2410"/>
    <w:rsid w:val="00BB04D2"/>
    <w:rsid w:val="00BB1DCF"/>
    <w:rsid w:val="00BB3BE8"/>
    <w:rsid w:val="00BB3E60"/>
    <w:rsid w:val="00BB4210"/>
    <w:rsid w:val="00BB7373"/>
    <w:rsid w:val="00BC488E"/>
    <w:rsid w:val="00BC6F42"/>
    <w:rsid w:val="00BD00AC"/>
    <w:rsid w:val="00BD45D9"/>
    <w:rsid w:val="00BD5AC8"/>
    <w:rsid w:val="00BD5D57"/>
    <w:rsid w:val="00BE25E6"/>
    <w:rsid w:val="00BE29D9"/>
    <w:rsid w:val="00BE2DF2"/>
    <w:rsid w:val="00BE6AD3"/>
    <w:rsid w:val="00BF2A1B"/>
    <w:rsid w:val="00BF34A4"/>
    <w:rsid w:val="00BF435E"/>
    <w:rsid w:val="00BF4A9C"/>
    <w:rsid w:val="00C042AF"/>
    <w:rsid w:val="00C04B10"/>
    <w:rsid w:val="00C10D9D"/>
    <w:rsid w:val="00C115C2"/>
    <w:rsid w:val="00C1257C"/>
    <w:rsid w:val="00C14190"/>
    <w:rsid w:val="00C213C2"/>
    <w:rsid w:val="00C24FE9"/>
    <w:rsid w:val="00C328CC"/>
    <w:rsid w:val="00C33F20"/>
    <w:rsid w:val="00C3493A"/>
    <w:rsid w:val="00C409A5"/>
    <w:rsid w:val="00C45B5E"/>
    <w:rsid w:val="00C46294"/>
    <w:rsid w:val="00C46F97"/>
    <w:rsid w:val="00C52D32"/>
    <w:rsid w:val="00C52F89"/>
    <w:rsid w:val="00C53054"/>
    <w:rsid w:val="00C563B6"/>
    <w:rsid w:val="00C5647F"/>
    <w:rsid w:val="00C56A46"/>
    <w:rsid w:val="00C57E87"/>
    <w:rsid w:val="00C610D7"/>
    <w:rsid w:val="00C646A8"/>
    <w:rsid w:val="00C6547C"/>
    <w:rsid w:val="00C65FA4"/>
    <w:rsid w:val="00C665D5"/>
    <w:rsid w:val="00C73C0F"/>
    <w:rsid w:val="00C76B8E"/>
    <w:rsid w:val="00C80581"/>
    <w:rsid w:val="00C84E10"/>
    <w:rsid w:val="00C84F8D"/>
    <w:rsid w:val="00C92E87"/>
    <w:rsid w:val="00C96C49"/>
    <w:rsid w:val="00CA0206"/>
    <w:rsid w:val="00CA4C94"/>
    <w:rsid w:val="00CA7572"/>
    <w:rsid w:val="00CA7F74"/>
    <w:rsid w:val="00CB6246"/>
    <w:rsid w:val="00CB65D3"/>
    <w:rsid w:val="00CC3160"/>
    <w:rsid w:val="00CD29C2"/>
    <w:rsid w:val="00CD3247"/>
    <w:rsid w:val="00CD6207"/>
    <w:rsid w:val="00CE0219"/>
    <w:rsid w:val="00CE39B8"/>
    <w:rsid w:val="00CE55C3"/>
    <w:rsid w:val="00CF110A"/>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1570"/>
    <w:rsid w:val="00D32927"/>
    <w:rsid w:val="00D34BC5"/>
    <w:rsid w:val="00D36973"/>
    <w:rsid w:val="00D36BA1"/>
    <w:rsid w:val="00D37F07"/>
    <w:rsid w:val="00D41BB8"/>
    <w:rsid w:val="00D476F6"/>
    <w:rsid w:val="00D56DE4"/>
    <w:rsid w:val="00D63855"/>
    <w:rsid w:val="00D67892"/>
    <w:rsid w:val="00D7119E"/>
    <w:rsid w:val="00D74335"/>
    <w:rsid w:val="00D76340"/>
    <w:rsid w:val="00D85656"/>
    <w:rsid w:val="00D925E9"/>
    <w:rsid w:val="00D97F78"/>
    <w:rsid w:val="00DA0378"/>
    <w:rsid w:val="00DA33AC"/>
    <w:rsid w:val="00DA4D73"/>
    <w:rsid w:val="00DA74BB"/>
    <w:rsid w:val="00DB0C0B"/>
    <w:rsid w:val="00DB62E8"/>
    <w:rsid w:val="00DB65A3"/>
    <w:rsid w:val="00DB78FC"/>
    <w:rsid w:val="00DC473D"/>
    <w:rsid w:val="00DC48F1"/>
    <w:rsid w:val="00DC58F4"/>
    <w:rsid w:val="00DC5BFB"/>
    <w:rsid w:val="00DC7B0C"/>
    <w:rsid w:val="00DD0C0F"/>
    <w:rsid w:val="00DD180F"/>
    <w:rsid w:val="00DD3EA6"/>
    <w:rsid w:val="00DD6D98"/>
    <w:rsid w:val="00DE1D8B"/>
    <w:rsid w:val="00DE2ECF"/>
    <w:rsid w:val="00DE49E1"/>
    <w:rsid w:val="00DE55D1"/>
    <w:rsid w:val="00DF172C"/>
    <w:rsid w:val="00DF5286"/>
    <w:rsid w:val="00E01D1F"/>
    <w:rsid w:val="00E06A9D"/>
    <w:rsid w:val="00E06EDF"/>
    <w:rsid w:val="00E07146"/>
    <w:rsid w:val="00E0783E"/>
    <w:rsid w:val="00E12971"/>
    <w:rsid w:val="00E13809"/>
    <w:rsid w:val="00E150C3"/>
    <w:rsid w:val="00E154CE"/>
    <w:rsid w:val="00E15725"/>
    <w:rsid w:val="00E15F80"/>
    <w:rsid w:val="00E2067D"/>
    <w:rsid w:val="00E20A41"/>
    <w:rsid w:val="00E256A7"/>
    <w:rsid w:val="00E30ECE"/>
    <w:rsid w:val="00E315FC"/>
    <w:rsid w:val="00E32DDC"/>
    <w:rsid w:val="00E352A5"/>
    <w:rsid w:val="00E3617A"/>
    <w:rsid w:val="00E36B78"/>
    <w:rsid w:val="00E400C1"/>
    <w:rsid w:val="00E410F8"/>
    <w:rsid w:val="00E45872"/>
    <w:rsid w:val="00E45966"/>
    <w:rsid w:val="00E52211"/>
    <w:rsid w:val="00E617C2"/>
    <w:rsid w:val="00E62A4B"/>
    <w:rsid w:val="00E63092"/>
    <w:rsid w:val="00E63BD8"/>
    <w:rsid w:val="00E65AC2"/>
    <w:rsid w:val="00E72913"/>
    <w:rsid w:val="00E753E2"/>
    <w:rsid w:val="00E75C04"/>
    <w:rsid w:val="00E768ED"/>
    <w:rsid w:val="00E773FF"/>
    <w:rsid w:val="00E80627"/>
    <w:rsid w:val="00E80D15"/>
    <w:rsid w:val="00E81A69"/>
    <w:rsid w:val="00E85ACA"/>
    <w:rsid w:val="00E913E8"/>
    <w:rsid w:val="00E92A64"/>
    <w:rsid w:val="00E9354B"/>
    <w:rsid w:val="00E94326"/>
    <w:rsid w:val="00EB62F3"/>
    <w:rsid w:val="00EC16FE"/>
    <w:rsid w:val="00EC21BE"/>
    <w:rsid w:val="00EC3938"/>
    <w:rsid w:val="00EC4F17"/>
    <w:rsid w:val="00EC51C3"/>
    <w:rsid w:val="00EC57BE"/>
    <w:rsid w:val="00EC5ED7"/>
    <w:rsid w:val="00EC643A"/>
    <w:rsid w:val="00EC6506"/>
    <w:rsid w:val="00ED1D2C"/>
    <w:rsid w:val="00ED2242"/>
    <w:rsid w:val="00ED3441"/>
    <w:rsid w:val="00ED4643"/>
    <w:rsid w:val="00ED6D7B"/>
    <w:rsid w:val="00EE0A65"/>
    <w:rsid w:val="00EE36E8"/>
    <w:rsid w:val="00EE4746"/>
    <w:rsid w:val="00EE49E7"/>
    <w:rsid w:val="00EE54B9"/>
    <w:rsid w:val="00EF1698"/>
    <w:rsid w:val="00F0051B"/>
    <w:rsid w:val="00F07E01"/>
    <w:rsid w:val="00F12B0C"/>
    <w:rsid w:val="00F135E4"/>
    <w:rsid w:val="00F15375"/>
    <w:rsid w:val="00F15CD5"/>
    <w:rsid w:val="00F16393"/>
    <w:rsid w:val="00F20C42"/>
    <w:rsid w:val="00F21764"/>
    <w:rsid w:val="00F22F79"/>
    <w:rsid w:val="00F257B0"/>
    <w:rsid w:val="00F35AA4"/>
    <w:rsid w:val="00F36D7A"/>
    <w:rsid w:val="00F41E7A"/>
    <w:rsid w:val="00F41EF2"/>
    <w:rsid w:val="00F45ABD"/>
    <w:rsid w:val="00F47F82"/>
    <w:rsid w:val="00F51473"/>
    <w:rsid w:val="00F52BFF"/>
    <w:rsid w:val="00F53E64"/>
    <w:rsid w:val="00F56218"/>
    <w:rsid w:val="00F56615"/>
    <w:rsid w:val="00F57377"/>
    <w:rsid w:val="00F73511"/>
    <w:rsid w:val="00F76366"/>
    <w:rsid w:val="00F77738"/>
    <w:rsid w:val="00F82439"/>
    <w:rsid w:val="00F97D25"/>
    <w:rsid w:val="00FA1ED8"/>
    <w:rsid w:val="00FA51B0"/>
    <w:rsid w:val="00FB67B6"/>
    <w:rsid w:val="00FC3883"/>
    <w:rsid w:val="00FC46CC"/>
    <w:rsid w:val="00FC6061"/>
    <w:rsid w:val="00FD7254"/>
    <w:rsid w:val="00FE0D43"/>
    <w:rsid w:val="00FE1E79"/>
    <w:rsid w:val="00FE4493"/>
    <w:rsid w:val="00FE590F"/>
    <w:rsid w:val="00FE5BFC"/>
    <w:rsid w:val="00FF2F1F"/>
    <w:rsid w:val="00FF4A25"/>
    <w:rsid w:val="00FF4D6B"/>
    <w:rsid w:val="00FF67A0"/>
    <w:rsid w:val="4DFA1AEA"/>
    <w:rsid w:val="72C60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90A7D"/>
  <w15:docId w15:val="{E0999378-5EBD-47AA-A585-96FE745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rsid w:val="009309D8"/>
    <w:pPr>
      <w:ind w:left="720"/>
      <w:contextualSpacing/>
    </w:pPr>
  </w:style>
  <w:style w:type="character" w:styleId="CommentReference">
    <w:name w:val="annotation reference"/>
    <w:basedOn w:val="DefaultParagraphFont"/>
    <w:uiPriority w:val="99"/>
    <w:semiHidden/>
    <w:unhideWhenUsed/>
    <w:rsid w:val="00ED6D7B"/>
    <w:rPr>
      <w:sz w:val="16"/>
      <w:szCs w:val="16"/>
    </w:rPr>
  </w:style>
  <w:style w:type="paragraph" w:styleId="CommentText">
    <w:name w:val="annotation text"/>
    <w:basedOn w:val="Normal"/>
    <w:link w:val="CommentTextChar"/>
    <w:uiPriority w:val="99"/>
    <w:semiHidden/>
    <w:unhideWhenUsed/>
    <w:rsid w:val="00ED6D7B"/>
    <w:rPr>
      <w:sz w:val="20"/>
      <w:szCs w:val="20"/>
    </w:rPr>
  </w:style>
  <w:style w:type="character" w:customStyle="1" w:styleId="CommentTextChar">
    <w:name w:val="Comment Text Char"/>
    <w:basedOn w:val="DefaultParagraphFont"/>
    <w:link w:val="CommentText"/>
    <w:uiPriority w:val="99"/>
    <w:semiHidden/>
    <w:rsid w:val="00ED6D7B"/>
    <w:rPr>
      <w:sz w:val="20"/>
      <w:szCs w:val="20"/>
    </w:rPr>
  </w:style>
  <w:style w:type="paragraph" w:styleId="CommentSubject">
    <w:name w:val="annotation subject"/>
    <w:basedOn w:val="CommentText"/>
    <w:next w:val="CommentText"/>
    <w:link w:val="CommentSubjectChar"/>
    <w:uiPriority w:val="99"/>
    <w:semiHidden/>
    <w:unhideWhenUsed/>
    <w:rsid w:val="00ED6D7B"/>
    <w:rPr>
      <w:b/>
      <w:bCs/>
    </w:rPr>
  </w:style>
  <w:style w:type="character" w:customStyle="1" w:styleId="CommentSubjectChar">
    <w:name w:val="Comment Subject Char"/>
    <w:basedOn w:val="CommentTextChar"/>
    <w:link w:val="CommentSubject"/>
    <w:uiPriority w:val="99"/>
    <w:semiHidden/>
    <w:rsid w:val="00ED6D7B"/>
    <w:rPr>
      <w:b/>
      <w:bCs/>
      <w:sz w:val="20"/>
      <w:szCs w:val="20"/>
    </w:rPr>
  </w:style>
  <w:style w:type="paragraph" w:styleId="Revision">
    <w:name w:val="Revision"/>
    <w:hidden/>
    <w:uiPriority w:val="99"/>
    <w:semiHidden/>
    <w:rsid w:val="003D4BB0"/>
    <w:pPr>
      <w:spacing w:before="0" w:after="0"/>
    </w:pPr>
  </w:style>
  <w:style w:type="character" w:styleId="UnresolvedMention">
    <w:name w:val="Unresolved Mention"/>
    <w:basedOn w:val="DefaultParagraphFont"/>
    <w:uiPriority w:val="99"/>
    <w:unhideWhenUsed/>
    <w:rsid w:val="003D4BB0"/>
    <w:rPr>
      <w:color w:val="605E5C"/>
      <w:shd w:val="clear" w:color="auto" w:fill="E1DFDD"/>
    </w:rPr>
  </w:style>
  <w:style w:type="character" w:styleId="Mention">
    <w:name w:val="Mention"/>
    <w:basedOn w:val="DefaultParagraphFont"/>
    <w:uiPriority w:val="99"/>
    <w:unhideWhenUsed/>
    <w:rsid w:val="003D4B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29">
      <w:bodyDiv w:val="1"/>
      <w:marLeft w:val="0"/>
      <w:marRight w:val="0"/>
      <w:marTop w:val="0"/>
      <w:marBottom w:val="0"/>
      <w:divBdr>
        <w:top w:val="none" w:sz="0" w:space="0" w:color="auto"/>
        <w:left w:val="none" w:sz="0" w:space="0" w:color="auto"/>
        <w:bottom w:val="none" w:sz="0" w:space="0" w:color="auto"/>
        <w:right w:val="none" w:sz="0" w:space="0" w:color="auto"/>
      </w:divBdr>
    </w:div>
    <w:div w:id="114444845">
      <w:bodyDiv w:val="1"/>
      <w:marLeft w:val="0"/>
      <w:marRight w:val="0"/>
      <w:marTop w:val="0"/>
      <w:marBottom w:val="0"/>
      <w:divBdr>
        <w:top w:val="none" w:sz="0" w:space="0" w:color="auto"/>
        <w:left w:val="none" w:sz="0" w:space="0" w:color="auto"/>
        <w:bottom w:val="none" w:sz="0" w:space="0" w:color="auto"/>
        <w:right w:val="none" w:sz="0" w:space="0" w:color="auto"/>
      </w:divBdr>
    </w:div>
    <w:div w:id="266427972">
      <w:bodyDiv w:val="1"/>
      <w:marLeft w:val="0"/>
      <w:marRight w:val="0"/>
      <w:marTop w:val="0"/>
      <w:marBottom w:val="0"/>
      <w:divBdr>
        <w:top w:val="none" w:sz="0" w:space="0" w:color="auto"/>
        <w:left w:val="none" w:sz="0" w:space="0" w:color="auto"/>
        <w:bottom w:val="none" w:sz="0" w:space="0" w:color="auto"/>
        <w:right w:val="none" w:sz="0" w:space="0" w:color="auto"/>
      </w:divBdr>
    </w:div>
    <w:div w:id="281766122">
      <w:bodyDiv w:val="1"/>
      <w:marLeft w:val="0"/>
      <w:marRight w:val="0"/>
      <w:marTop w:val="0"/>
      <w:marBottom w:val="0"/>
      <w:divBdr>
        <w:top w:val="none" w:sz="0" w:space="0" w:color="auto"/>
        <w:left w:val="none" w:sz="0" w:space="0" w:color="auto"/>
        <w:bottom w:val="none" w:sz="0" w:space="0" w:color="auto"/>
        <w:right w:val="none" w:sz="0" w:space="0" w:color="auto"/>
      </w:divBdr>
    </w:div>
    <w:div w:id="331763437">
      <w:bodyDiv w:val="1"/>
      <w:marLeft w:val="0"/>
      <w:marRight w:val="0"/>
      <w:marTop w:val="0"/>
      <w:marBottom w:val="0"/>
      <w:divBdr>
        <w:top w:val="none" w:sz="0" w:space="0" w:color="auto"/>
        <w:left w:val="none" w:sz="0" w:space="0" w:color="auto"/>
        <w:bottom w:val="none" w:sz="0" w:space="0" w:color="auto"/>
        <w:right w:val="none" w:sz="0" w:space="0" w:color="auto"/>
      </w:divBdr>
    </w:div>
    <w:div w:id="351880546">
      <w:bodyDiv w:val="1"/>
      <w:marLeft w:val="0"/>
      <w:marRight w:val="0"/>
      <w:marTop w:val="0"/>
      <w:marBottom w:val="0"/>
      <w:divBdr>
        <w:top w:val="none" w:sz="0" w:space="0" w:color="auto"/>
        <w:left w:val="none" w:sz="0" w:space="0" w:color="auto"/>
        <w:bottom w:val="none" w:sz="0" w:space="0" w:color="auto"/>
        <w:right w:val="none" w:sz="0" w:space="0" w:color="auto"/>
      </w:divBdr>
    </w:div>
    <w:div w:id="375205841">
      <w:bodyDiv w:val="1"/>
      <w:marLeft w:val="0"/>
      <w:marRight w:val="0"/>
      <w:marTop w:val="0"/>
      <w:marBottom w:val="0"/>
      <w:divBdr>
        <w:top w:val="none" w:sz="0" w:space="0" w:color="auto"/>
        <w:left w:val="none" w:sz="0" w:space="0" w:color="auto"/>
        <w:bottom w:val="none" w:sz="0" w:space="0" w:color="auto"/>
        <w:right w:val="none" w:sz="0" w:space="0" w:color="auto"/>
      </w:divBdr>
    </w:div>
    <w:div w:id="605163970">
      <w:bodyDiv w:val="1"/>
      <w:marLeft w:val="0"/>
      <w:marRight w:val="0"/>
      <w:marTop w:val="0"/>
      <w:marBottom w:val="0"/>
      <w:divBdr>
        <w:top w:val="none" w:sz="0" w:space="0" w:color="auto"/>
        <w:left w:val="none" w:sz="0" w:space="0" w:color="auto"/>
        <w:bottom w:val="none" w:sz="0" w:space="0" w:color="auto"/>
        <w:right w:val="none" w:sz="0" w:space="0" w:color="auto"/>
      </w:divBdr>
    </w:div>
    <w:div w:id="635375820">
      <w:bodyDiv w:val="1"/>
      <w:marLeft w:val="0"/>
      <w:marRight w:val="0"/>
      <w:marTop w:val="0"/>
      <w:marBottom w:val="0"/>
      <w:divBdr>
        <w:top w:val="none" w:sz="0" w:space="0" w:color="auto"/>
        <w:left w:val="none" w:sz="0" w:space="0" w:color="auto"/>
        <w:bottom w:val="none" w:sz="0" w:space="0" w:color="auto"/>
        <w:right w:val="none" w:sz="0" w:space="0" w:color="auto"/>
      </w:divBdr>
    </w:div>
    <w:div w:id="737823284">
      <w:bodyDiv w:val="1"/>
      <w:marLeft w:val="0"/>
      <w:marRight w:val="0"/>
      <w:marTop w:val="0"/>
      <w:marBottom w:val="0"/>
      <w:divBdr>
        <w:top w:val="none" w:sz="0" w:space="0" w:color="auto"/>
        <w:left w:val="none" w:sz="0" w:space="0" w:color="auto"/>
        <w:bottom w:val="none" w:sz="0" w:space="0" w:color="auto"/>
        <w:right w:val="none" w:sz="0" w:space="0" w:color="auto"/>
      </w:divBdr>
    </w:div>
    <w:div w:id="845947642">
      <w:bodyDiv w:val="1"/>
      <w:marLeft w:val="0"/>
      <w:marRight w:val="0"/>
      <w:marTop w:val="0"/>
      <w:marBottom w:val="0"/>
      <w:divBdr>
        <w:top w:val="none" w:sz="0" w:space="0" w:color="auto"/>
        <w:left w:val="none" w:sz="0" w:space="0" w:color="auto"/>
        <w:bottom w:val="none" w:sz="0" w:space="0" w:color="auto"/>
        <w:right w:val="none" w:sz="0" w:space="0" w:color="auto"/>
      </w:divBdr>
    </w:div>
    <w:div w:id="941568952">
      <w:bodyDiv w:val="1"/>
      <w:marLeft w:val="0"/>
      <w:marRight w:val="0"/>
      <w:marTop w:val="0"/>
      <w:marBottom w:val="0"/>
      <w:divBdr>
        <w:top w:val="none" w:sz="0" w:space="0" w:color="auto"/>
        <w:left w:val="none" w:sz="0" w:space="0" w:color="auto"/>
        <w:bottom w:val="none" w:sz="0" w:space="0" w:color="auto"/>
        <w:right w:val="none" w:sz="0" w:space="0" w:color="auto"/>
      </w:divBdr>
    </w:div>
    <w:div w:id="1091199708">
      <w:bodyDiv w:val="1"/>
      <w:marLeft w:val="0"/>
      <w:marRight w:val="0"/>
      <w:marTop w:val="0"/>
      <w:marBottom w:val="0"/>
      <w:divBdr>
        <w:top w:val="none" w:sz="0" w:space="0" w:color="auto"/>
        <w:left w:val="none" w:sz="0" w:space="0" w:color="auto"/>
        <w:bottom w:val="none" w:sz="0" w:space="0" w:color="auto"/>
        <w:right w:val="none" w:sz="0" w:space="0" w:color="auto"/>
      </w:divBdr>
    </w:div>
    <w:div w:id="1119304548">
      <w:bodyDiv w:val="1"/>
      <w:marLeft w:val="0"/>
      <w:marRight w:val="0"/>
      <w:marTop w:val="0"/>
      <w:marBottom w:val="0"/>
      <w:divBdr>
        <w:top w:val="none" w:sz="0" w:space="0" w:color="auto"/>
        <w:left w:val="none" w:sz="0" w:space="0" w:color="auto"/>
        <w:bottom w:val="none" w:sz="0" w:space="0" w:color="auto"/>
        <w:right w:val="none" w:sz="0" w:space="0" w:color="auto"/>
      </w:divBdr>
    </w:div>
    <w:div w:id="1261572116">
      <w:bodyDiv w:val="1"/>
      <w:marLeft w:val="0"/>
      <w:marRight w:val="0"/>
      <w:marTop w:val="0"/>
      <w:marBottom w:val="0"/>
      <w:divBdr>
        <w:top w:val="none" w:sz="0" w:space="0" w:color="auto"/>
        <w:left w:val="none" w:sz="0" w:space="0" w:color="auto"/>
        <w:bottom w:val="none" w:sz="0" w:space="0" w:color="auto"/>
        <w:right w:val="none" w:sz="0" w:space="0" w:color="auto"/>
      </w:divBdr>
    </w:div>
    <w:div w:id="1307587388">
      <w:bodyDiv w:val="1"/>
      <w:marLeft w:val="0"/>
      <w:marRight w:val="0"/>
      <w:marTop w:val="0"/>
      <w:marBottom w:val="0"/>
      <w:divBdr>
        <w:top w:val="none" w:sz="0" w:space="0" w:color="auto"/>
        <w:left w:val="none" w:sz="0" w:space="0" w:color="auto"/>
        <w:bottom w:val="none" w:sz="0" w:space="0" w:color="auto"/>
        <w:right w:val="none" w:sz="0" w:space="0" w:color="auto"/>
      </w:divBdr>
    </w:div>
    <w:div w:id="1322613907">
      <w:bodyDiv w:val="1"/>
      <w:marLeft w:val="0"/>
      <w:marRight w:val="0"/>
      <w:marTop w:val="0"/>
      <w:marBottom w:val="0"/>
      <w:divBdr>
        <w:top w:val="none" w:sz="0" w:space="0" w:color="auto"/>
        <w:left w:val="none" w:sz="0" w:space="0" w:color="auto"/>
        <w:bottom w:val="none" w:sz="0" w:space="0" w:color="auto"/>
        <w:right w:val="none" w:sz="0" w:space="0" w:color="auto"/>
      </w:divBdr>
    </w:div>
    <w:div w:id="1343774480">
      <w:bodyDiv w:val="1"/>
      <w:marLeft w:val="0"/>
      <w:marRight w:val="0"/>
      <w:marTop w:val="0"/>
      <w:marBottom w:val="0"/>
      <w:divBdr>
        <w:top w:val="none" w:sz="0" w:space="0" w:color="auto"/>
        <w:left w:val="none" w:sz="0" w:space="0" w:color="auto"/>
        <w:bottom w:val="none" w:sz="0" w:space="0" w:color="auto"/>
        <w:right w:val="none" w:sz="0" w:space="0" w:color="auto"/>
      </w:divBdr>
    </w:div>
    <w:div w:id="1354454386">
      <w:bodyDiv w:val="1"/>
      <w:marLeft w:val="0"/>
      <w:marRight w:val="0"/>
      <w:marTop w:val="0"/>
      <w:marBottom w:val="0"/>
      <w:divBdr>
        <w:top w:val="none" w:sz="0" w:space="0" w:color="auto"/>
        <w:left w:val="none" w:sz="0" w:space="0" w:color="auto"/>
        <w:bottom w:val="none" w:sz="0" w:space="0" w:color="auto"/>
        <w:right w:val="none" w:sz="0" w:space="0" w:color="auto"/>
      </w:divBdr>
    </w:div>
    <w:div w:id="1386680159">
      <w:bodyDiv w:val="1"/>
      <w:marLeft w:val="0"/>
      <w:marRight w:val="0"/>
      <w:marTop w:val="0"/>
      <w:marBottom w:val="0"/>
      <w:divBdr>
        <w:top w:val="none" w:sz="0" w:space="0" w:color="auto"/>
        <w:left w:val="none" w:sz="0" w:space="0" w:color="auto"/>
        <w:bottom w:val="none" w:sz="0" w:space="0" w:color="auto"/>
        <w:right w:val="none" w:sz="0" w:space="0" w:color="auto"/>
      </w:divBdr>
    </w:div>
    <w:div w:id="1401058754">
      <w:bodyDiv w:val="1"/>
      <w:marLeft w:val="0"/>
      <w:marRight w:val="0"/>
      <w:marTop w:val="0"/>
      <w:marBottom w:val="0"/>
      <w:divBdr>
        <w:top w:val="none" w:sz="0" w:space="0" w:color="auto"/>
        <w:left w:val="none" w:sz="0" w:space="0" w:color="auto"/>
        <w:bottom w:val="none" w:sz="0" w:space="0" w:color="auto"/>
        <w:right w:val="none" w:sz="0" w:space="0" w:color="auto"/>
      </w:divBdr>
    </w:div>
    <w:div w:id="1440952893">
      <w:bodyDiv w:val="1"/>
      <w:marLeft w:val="0"/>
      <w:marRight w:val="0"/>
      <w:marTop w:val="0"/>
      <w:marBottom w:val="0"/>
      <w:divBdr>
        <w:top w:val="none" w:sz="0" w:space="0" w:color="auto"/>
        <w:left w:val="none" w:sz="0" w:space="0" w:color="auto"/>
        <w:bottom w:val="none" w:sz="0" w:space="0" w:color="auto"/>
        <w:right w:val="none" w:sz="0" w:space="0" w:color="auto"/>
      </w:divBdr>
    </w:div>
    <w:div w:id="1492674375">
      <w:bodyDiv w:val="1"/>
      <w:marLeft w:val="0"/>
      <w:marRight w:val="0"/>
      <w:marTop w:val="0"/>
      <w:marBottom w:val="0"/>
      <w:divBdr>
        <w:top w:val="none" w:sz="0" w:space="0" w:color="auto"/>
        <w:left w:val="none" w:sz="0" w:space="0" w:color="auto"/>
        <w:bottom w:val="none" w:sz="0" w:space="0" w:color="auto"/>
        <w:right w:val="none" w:sz="0" w:space="0" w:color="auto"/>
      </w:divBdr>
    </w:div>
    <w:div w:id="1649894506">
      <w:bodyDiv w:val="1"/>
      <w:marLeft w:val="0"/>
      <w:marRight w:val="0"/>
      <w:marTop w:val="0"/>
      <w:marBottom w:val="0"/>
      <w:divBdr>
        <w:top w:val="none" w:sz="0" w:space="0" w:color="auto"/>
        <w:left w:val="none" w:sz="0" w:space="0" w:color="auto"/>
        <w:bottom w:val="none" w:sz="0" w:space="0" w:color="auto"/>
        <w:right w:val="none" w:sz="0" w:space="0" w:color="auto"/>
      </w:divBdr>
    </w:div>
    <w:div w:id="1654144502">
      <w:bodyDiv w:val="1"/>
      <w:marLeft w:val="0"/>
      <w:marRight w:val="0"/>
      <w:marTop w:val="0"/>
      <w:marBottom w:val="0"/>
      <w:divBdr>
        <w:top w:val="none" w:sz="0" w:space="0" w:color="auto"/>
        <w:left w:val="none" w:sz="0" w:space="0" w:color="auto"/>
        <w:bottom w:val="none" w:sz="0" w:space="0" w:color="auto"/>
        <w:right w:val="none" w:sz="0" w:space="0" w:color="auto"/>
      </w:divBdr>
    </w:div>
    <w:div w:id="1825311899">
      <w:bodyDiv w:val="1"/>
      <w:marLeft w:val="0"/>
      <w:marRight w:val="0"/>
      <w:marTop w:val="0"/>
      <w:marBottom w:val="0"/>
      <w:divBdr>
        <w:top w:val="none" w:sz="0" w:space="0" w:color="auto"/>
        <w:left w:val="none" w:sz="0" w:space="0" w:color="auto"/>
        <w:bottom w:val="none" w:sz="0" w:space="0" w:color="auto"/>
        <w:right w:val="none" w:sz="0" w:space="0" w:color="auto"/>
      </w:divBdr>
    </w:div>
    <w:div w:id="20265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aaustralia.com.au/tools-and-resources/accounting-professional-and-ethical-standards/apes-110-code-of-ethics-for-professional-accountants" TargetMode="External"/><Relationship Id="rId18" Type="http://schemas.openxmlformats.org/officeDocument/2006/relationships/hyperlink" Target="https://apesb.org.au/standards-guidance/risk-management-for-firms-apes-325/" TargetMode="External"/><Relationship Id="rId26" Type="http://schemas.openxmlformats.org/officeDocument/2006/relationships/hyperlink" Target="https://www.cpaaustralia.com.au/tools-and-resources/accounting-professional-and-ethical-standards/apes-310-client-monies" TargetMode="External"/><Relationship Id="rId39" Type="http://schemas.openxmlformats.org/officeDocument/2006/relationships/hyperlink" Target="https://www.psc.gov.au/advice-for-scheme-associations/disclosing-your-liability" TargetMode="External"/><Relationship Id="rId21" Type="http://schemas.openxmlformats.org/officeDocument/2006/relationships/hyperlink" Target="https://apesb.org.au/standards-guidance/terms-of-engagement/" TargetMode="External"/><Relationship Id="rId34" Type="http://schemas.openxmlformats.org/officeDocument/2006/relationships/hyperlink" Target="https://www.cpaaustralia.com.au/tools-and-resources/taxation/2021-year-end-tax-resourc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esb.org.au/standards-guidance/quality-management-for-firms-that-provide-non-assurance-services/" TargetMode="External"/><Relationship Id="rId20" Type="http://schemas.openxmlformats.org/officeDocument/2006/relationships/hyperlink" Target="https://www.cpaaustralia.com.au/public-practice/my-firm-my-future/compliance-and-governance/risk-management-framework-tool" TargetMode="External"/><Relationship Id="rId29" Type="http://schemas.openxmlformats.org/officeDocument/2006/relationships/hyperlink" Target="https://www.cpaaustralia.com.au/tools-and-resources/audit-and-assuran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paaustralia.com.au/public-practice/my-firm-my-future/compliance-and-governance/anti-money-laundering-reforms-in-au-and-nz" TargetMode="External"/><Relationship Id="rId32" Type="http://schemas.openxmlformats.org/officeDocument/2006/relationships/hyperlink" Target="https://apesb.org.au/standards-guidance/taxation-services/" TargetMode="External"/><Relationship Id="rId37" Type="http://schemas.openxmlformats.org/officeDocument/2006/relationships/hyperlink" Target="https://www.cpaaustralia.com.au/-/media/project/cpa/corporate/documents/public-practice/my-firm-my-future/compliance-and-governance/special-purpose-compilation-report.docx?rev=c194c219015c4eeb8abfab9e24022a44"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utube.com/watch?v=blcrQPLHJAU" TargetMode="External"/><Relationship Id="rId23" Type="http://schemas.openxmlformats.org/officeDocument/2006/relationships/hyperlink" Target="https://www.cpaaustralia.com.au/public-practice/my-firm-my-future/service-offering/client-engagement-and-relationships" TargetMode="External"/><Relationship Id="rId28" Type="http://schemas.openxmlformats.org/officeDocument/2006/relationships/hyperlink" Target="https://learn.cpaaustralia.com.au/lmt/clmsCatalogDetails.prMain?site=cpapd&amp;in_region=au&amp;in_offeringId=112506402&amp;in_from_module=CLMSCATALOGV2.PRMAIN&amp;utm_source=google&amp;utm_medium=g&amp;utm_campaign=Generic+%7C+Small+Entities+Audit+Manual+(SEAM)+SKAG+2022+%7C+Australia+%7C+Broad+%7C+Search&amp;utm_term=%2Bsmall%20%2Bentities%20%2Baudit%20%2Bmanual&amp;gclid=EAIaIQobChMIlpia5JKQ9wIVYYJLBR0q9gZaEAAYASAAEgKkOPD_BwE&amp;gclsrc=aw.ds" TargetMode="External"/><Relationship Id="rId36" Type="http://schemas.openxmlformats.org/officeDocument/2006/relationships/hyperlink" Target="https://www.cpaaustralia.com.au/tools-and-resources/accounting-professional-and-ethical-standards/apes-315-compilation-of-financial-information" TargetMode="External"/><Relationship Id="rId10" Type="http://schemas.openxmlformats.org/officeDocument/2006/relationships/endnotes" Target="endnotes.xml"/><Relationship Id="rId19" Type="http://schemas.openxmlformats.org/officeDocument/2006/relationships/hyperlink" Target="https://www.cpaaustralia.com.au/tools-and-resources/accounting-professional-and-ethical-standards/apes-325-risk-management-for-firms" TargetMode="External"/><Relationship Id="rId31" Type="http://schemas.openxmlformats.org/officeDocument/2006/relationships/hyperlink" Target="https://learn.cpaaustralia.com.au/lmt/clmsCatalogDetails.prMain?site=cpapd&amp;in_region=au&amp;in_offeringId=112506402&amp;in_from_module=CLMSCATALOGV2.PRMAIN&amp;utm_source=google&amp;utm_medium=g&amp;utm_campaign=Generic+%7C+Small+Entities+Audit+Manual+(SEAM)+SKAG+2022+%7C+Australia+%7C+Broad+%7C+Search&amp;utm_term=%2Bsmall%20%2Bentities%20%2Baudit%20%2Bmanual&amp;gclid=EAIaIQobChMIlpia5JKQ9wIVYYJLBR0q9gZaEAAYASAAEgKkOPD_BwE&amp;gclsrc=aw.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tools-and-resources/accounting-professional-and-ethical-standards/apes-110-code-of-ethics-for-professional-accountants/noclar" TargetMode="External"/><Relationship Id="rId22" Type="http://schemas.openxmlformats.org/officeDocument/2006/relationships/hyperlink" Target="https://www.cpaaustralia.com.au/public-practice/my-firm-my-future/service-offering/client-engagement-and-relationships" TargetMode="External"/><Relationship Id="rId27" Type="http://schemas.openxmlformats.org/officeDocument/2006/relationships/hyperlink" Target="https://auasb.gov.au/standards-guidance/auasb-standards/other-assurance/" TargetMode="External"/><Relationship Id="rId30" Type="http://schemas.openxmlformats.org/officeDocument/2006/relationships/hyperlink" Target="https://www.cpaaustralia.com.au/tools-and-resources/audit-and-assurance/smsf-auditors" TargetMode="External"/><Relationship Id="rId35" Type="http://schemas.openxmlformats.org/officeDocument/2006/relationships/hyperlink" Target="https://apesb.org.au/standards-guidance/business-service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pesb.org.au/standards-guidance/apes-110-code-of-ethics/" TargetMode="External"/><Relationship Id="rId17" Type="http://schemas.openxmlformats.org/officeDocument/2006/relationships/hyperlink" Target="https://www.cpaaustralia.com.au/public-practice/my-firm-my-future/compliance-and-governance/quality-control-manual" TargetMode="External"/><Relationship Id="rId25" Type="http://schemas.openxmlformats.org/officeDocument/2006/relationships/hyperlink" Target="https://apesb.org.au/standards-guidance/client-monies-apes-310/" TargetMode="External"/><Relationship Id="rId33" Type="http://schemas.openxmlformats.org/officeDocument/2006/relationships/hyperlink" Target="https://www.cpaaustralia.com.au/-/media/project/cpa/corporate/documents/public-practice/my-firm-my-future/service-offering/terms-of-engagement-templates/terms-of-engagement-template-taxation-services.docx?rev=17aa555d29e147e8be5fa75a0c091589&amp;download=true" TargetMode="External"/><Relationship Id="rId38" Type="http://schemas.openxmlformats.org/officeDocument/2006/relationships/hyperlink" Target="https://www.cpaaustralia.com.au/public-practice/your-public-practice-firm/professional-standards-sch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AWordTemplates\CPA%20Australia%20Templates\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23293E0024EA48BE76C37A05A075FD" ma:contentTypeVersion="17" ma:contentTypeDescription="Create a new document." ma:contentTypeScope="" ma:versionID="586adddcf446ee832ad94ae29ea51687">
  <xsd:schema xmlns:xsd="http://www.w3.org/2001/XMLSchema" xmlns:xs="http://www.w3.org/2001/XMLSchema" xmlns:p="http://schemas.microsoft.com/office/2006/metadata/properties" xmlns:ns2="5549b47e-de31-4fa2-96ef-db913cd289e5" xmlns:ns3="1e832628-7952-4559-8cf8-69b00856561e" targetNamespace="http://schemas.microsoft.com/office/2006/metadata/properties" ma:root="true" ma:fieldsID="1e1a3cb2ff52745ee28523e6bb1af57e" ns2:_="" ns3:_="">
    <xsd:import namespace="5549b47e-de31-4fa2-96ef-db913cd289e5"/>
    <xsd:import namespace="1e832628-7952-4559-8cf8-69b0085656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b47e-de31-4fa2-96ef-db913cd28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832628-7952-4559-8cf8-69b0085656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18d5bc2-5e4d-4bc3-bc26-4b517426125d}" ma:internalName="TaxCatchAll" ma:showField="CatchAllData" ma:web="1e832628-7952-4559-8cf8-69b0085656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49b47e-de31-4fa2-96ef-db913cd289e5">
      <Terms xmlns="http://schemas.microsoft.com/office/infopath/2007/PartnerControls"/>
    </lcf76f155ced4ddcb4097134ff3c332f>
    <SharedWithUsers xmlns="1e832628-7952-4559-8cf8-69b00856561e">
      <UserInfo>
        <DisplayName>Cheryl Lam</DisplayName>
        <AccountId>6</AccountId>
        <AccountType/>
      </UserInfo>
      <UserInfo>
        <DisplayName>Jodie Smith</DisplayName>
        <AccountId>32</AccountId>
        <AccountType/>
      </UserInfo>
    </SharedWithUsers>
    <_Flow_SignoffStatus xmlns="5549b47e-de31-4fa2-96ef-db913cd289e5" xsi:nil="true"/>
    <TaxCatchAll xmlns="1e832628-7952-4559-8cf8-69b00856561e" xsi:nil="true"/>
  </documentManagement>
</p:properties>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724D0B0E-6051-480E-B244-8C2631DFBB1C}"/>
</file>

<file path=customXml/itemProps3.xml><?xml version="1.0" encoding="utf-8"?>
<ds:datastoreItem xmlns:ds="http://schemas.openxmlformats.org/officeDocument/2006/customXml" ds:itemID="{36770A7D-FFE9-4671-9361-1BFB13C840F3}">
  <ds:schemaRefs>
    <ds:schemaRef ds:uri="http://schemas.microsoft.com/sharepoint/v3/contenttype/forms"/>
  </ds:schemaRefs>
</ds:datastoreItem>
</file>

<file path=customXml/itemProps4.xml><?xml version="1.0" encoding="utf-8"?>
<ds:datastoreItem xmlns:ds="http://schemas.openxmlformats.org/officeDocument/2006/customXml" ds:itemID="{E4A3E21A-D549-4F3D-B591-A67C0190AF3A}">
  <ds:schemaRefs>
    <ds:schemaRef ds:uri="http://schemas.microsoft.com/office/2006/metadata/properties"/>
    <ds:schemaRef ds:uri="http://schemas.microsoft.com/office/infopath/2007/PartnerControls"/>
    <ds:schemaRef ds:uri="ded195a3-5f79-4737-8409-86b36e217df0"/>
    <ds:schemaRef ds:uri="82e0b5a9-47e8-4cba-9a4c-14fa3c4fe165"/>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2</TotalTime>
  <Pages>4</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Links>
    <vt:vector size="168" baseType="variant">
      <vt:variant>
        <vt:i4>3670125</vt:i4>
      </vt:variant>
      <vt:variant>
        <vt:i4>81</vt:i4>
      </vt:variant>
      <vt:variant>
        <vt:i4>0</vt:i4>
      </vt:variant>
      <vt:variant>
        <vt:i4>5</vt:i4>
      </vt:variant>
      <vt:variant>
        <vt:lpwstr>https://www.psc.gov.au/advice-for-scheme-associations/disclosing-your-liability</vt:lpwstr>
      </vt:variant>
      <vt:variant>
        <vt:lpwstr/>
      </vt:variant>
      <vt:variant>
        <vt:i4>2490480</vt:i4>
      </vt:variant>
      <vt:variant>
        <vt:i4>78</vt:i4>
      </vt:variant>
      <vt:variant>
        <vt:i4>0</vt:i4>
      </vt:variant>
      <vt:variant>
        <vt:i4>5</vt:i4>
      </vt:variant>
      <vt:variant>
        <vt:lpwstr>https://www.cpaaustralia.com.au/public-practice/your-public-practice-firm/professional-standards-scheme</vt:lpwstr>
      </vt:variant>
      <vt:variant>
        <vt:lpwstr/>
      </vt:variant>
      <vt:variant>
        <vt:i4>4456531</vt:i4>
      </vt:variant>
      <vt:variant>
        <vt:i4>75</vt:i4>
      </vt:variant>
      <vt:variant>
        <vt:i4>0</vt:i4>
      </vt:variant>
      <vt:variant>
        <vt:i4>5</vt:i4>
      </vt:variant>
      <vt:variant>
        <vt:lpwstr>https://www.cpaaustralia.com.au/-/media/project/cpa/corporate/documents/public-practice/my-firm-my-future/compliance-and-governance/special-purpose-compilation-report.docx?rev=c194c219015c4eeb8abfab9e24022a44</vt:lpwstr>
      </vt:variant>
      <vt:variant>
        <vt:lpwstr/>
      </vt:variant>
      <vt:variant>
        <vt:i4>3670116</vt:i4>
      </vt:variant>
      <vt:variant>
        <vt:i4>72</vt:i4>
      </vt:variant>
      <vt:variant>
        <vt:i4>0</vt:i4>
      </vt:variant>
      <vt:variant>
        <vt:i4>5</vt:i4>
      </vt:variant>
      <vt:variant>
        <vt:lpwstr>https://www.cpaaustralia.com.au/tools-and-resources/accounting-professional-and-ethical-standards/apes-315-compilation-of-financial-information</vt:lpwstr>
      </vt:variant>
      <vt:variant>
        <vt:lpwstr/>
      </vt:variant>
      <vt:variant>
        <vt:i4>6881386</vt:i4>
      </vt:variant>
      <vt:variant>
        <vt:i4>69</vt:i4>
      </vt:variant>
      <vt:variant>
        <vt:i4>0</vt:i4>
      </vt:variant>
      <vt:variant>
        <vt:i4>5</vt:i4>
      </vt:variant>
      <vt:variant>
        <vt:lpwstr>https://apesb.org.au/standards-guidance/business-services/</vt:lpwstr>
      </vt:variant>
      <vt:variant>
        <vt:lpwstr/>
      </vt:variant>
      <vt:variant>
        <vt:i4>1966150</vt:i4>
      </vt:variant>
      <vt:variant>
        <vt:i4>66</vt:i4>
      </vt:variant>
      <vt:variant>
        <vt:i4>0</vt:i4>
      </vt:variant>
      <vt:variant>
        <vt:i4>5</vt:i4>
      </vt:variant>
      <vt:variant>
        <vt:lpwstr>https://www.cpaaustralia.com.au/tools-and-resources/taxation/2021-year-end-tax-resources</vt:lpwstr>
      </vt:variant>
      <vt:variant>
        <vt:lpwstr/>
      </vt:variant>
      <vt:variant>
        <vt:i4>7143468</vt:i4>
      </vt:variant>
      <vt:variant>
        <vt:i4>63</vt:i4>
      </vt:variant>
      <vt:variant>
        <vt:i4>0</vt:i4>
      </vt:variant>
      <vt:variant>
        <vt:i4>5</vt:i4>
      </vt:variant>
      <vt:variant>
        <vt:lpwstr>https://www.cpaaustralia.com.au/-/media/project/cpa/corporate/documents/public-practice/my-firm-my-future/service-offering/terms-of-engagement-templates/terms-of-engagement-template-taxation-services.docx?rev=17aa555d29e147e8be5fa75a0c091589&amp;download=true</vt:lpwstr>
      </vt:variant>
      <vt:variant>
        <vt:lpwstr/>
      </vt:variant>
      <vt:variant>
        <vt:i4>6553713</vt:i4>
      </vt:variant>
      <vt:variant>
        <vt:i4>60</vt:i4>
      </vt:variant>
      <vt:variant>
        <vt:i4>0</vt:i4>
      </vt:variant>
      <vt:variant>
        <vt:i4>5</vt:i4>
      </vt:variant>
      <vt:variant>
        <vt:lpwstr>https://apesb.org.au/standards-guidance/taxation-services/</vt:lpwstr>
      </vt:variant>
      <vt:variant>
        <vt:lpwstr/>
      </vt:variant>
      <vt:variant>
        <vt:i4>2490390</vt:i4>
      </vt:variant>
      <vt:variant>
        <vt:i4>57</vt:i4>
      </vt:variant>
      <vt:variant>
        <vt:i4>0</vt:i4>
      </vt:variant>
      <vt:variant>
        <vt:i4>5</vt:i4>
      </vt:variant>
      <vt:variant>
        <vt:lpwstr>https://learn.cpaaustralia.com.au/lmt/clmsCatalogDetails.prMain?site=cpapd&amp;in_region=au&amp;in_offeringId=112506402&amp;in_from_module=CLMSCATALOGV2.PRMAIN&amp;utm_source=google&amp;utm_medium=g&amp;utm_campaign=Generic+%7C+Small+Entities+Audit+Manual+(SEAM)+SKAG+2022+%7C+Australia+%7C+Broad+%7C+Search&amp;utm_term=%2Bsmall%20%2Bentities%20%2Baudit%20%2Bmanual&amp;gclid=EAIaIQobChMIlpia5JKQ9wIVYYJLBR0q9gZaEAAYASAAEgKkOPD_BwE&amp;gclsrc=aw.ds</vt:lpwstr>
      </vt:variant>
      <vt:variant>
        <vt:lpwstr/>
      </vt:variant>
      <vt:variant>
        <vt:i4>1769497</vt:i4>
      </vt:variant>
      <vt:variant>
        <vt:i4>54</vt:i4>
      </vt:variant>
      <vt:variant>
        <vt:i4>0</vt:i4>
      </vt:variant>
      <vt:variant>
        <vt:i4>5</vt:i4>
      </vt:variant>
      <vt:variant>
        <vt:lpwstr>https://www.cpaaustralia.com.au/tools-and-resources/audit-and-assurance/smsf-auditors</vt:lpwstr>
      </vt:variant>
      <vt:variant>
        <vt:lpwstr/>
      </vt:variant>
      <vt:variant>
        <vt:i4>3932194</vt:i4>
      </vt:variant>
      <vt:variant>
        <vt:i4>51</vt:i4>
      </vt:variant>
      <vt:variant>
        <vt:i4>0</vt:i4>
      </vt:variant>
      <vt:variant>
        <vt:i4>5</vt:i4>
      </vt:variant>
      <vt:variant>
        <vt:lpwstr>https://www.cpaaustralia.com.au/tools-and-resources/audit-and-assurance</vt:lpwstr>
      </vt:variant>
      <vt:variant>
        <vt:lpwstr/>
      </vt:variant>
      <vt:variant>
        <vt:i4>2490390</vt:i4>
      </vt:variant>
      <vt:variant>
        <vt:i4>48</vt:i4>
      </vt:variant>
      <vt:variant>
        <vt:i4>0</vt:i4>
      </vt:variant>
      <vt:variant>
        <vt:i4>5</vt:i4>
      </vt:variant>
      <vt:variant>
        <vt:lpwstr>https://learn.cpaaustralia.com.au/lmt/clmsCatalogDetails.prMain?site=cpapd&amp;in_region=au&amp;in_offeringId=112506402&amp;in_from_module=CLMSCATALOGV2.PRMAIN&amp;utm_source=google&amp;utm_medium=g&amp;utm_campaign=Generic+%7C+Small+Entities+Audit+Manual+(SEAM)+SKAG+2022+%7C+Australia+%7C+Broad+%7C+Search&amp;utm_term=%2Bsmall%20%2Bentities%20%2Baudit%20%2Bmanual&amp;gclid=EAIaIQobChMIlpia5JKQ9wIVYYJLBR0q9gZaEAAYASAAEgKkOPD_BwE&amp;gclsrc=aw.ds</vt:lpwstr>
      </vt:variant>
      <vt:variant>
        <vt:lpwstr/>
      </vt:variant>
      <vt:variant>
        <vt:i4>5570654</vt:i4>
      </vt:variant>
      <vt:variant>
        <vt:i4>45</vt:i4>
      </vt:variant>
      <vt:variant>
        <vt:i4>0</vt:i4>
      </vt:variant>
      <vt:variant>
        <vt:i4>5</vt:i4>
      </vt:variant>
      <vt:variant>
        <vt:lpwstr>https://auasb.gov.au/standards-guidance/auasb-standards/other-assurance/</vt:lpwstr>
      </vt:variant>
      <vt:variant>
        <vt:lpwstr/>
      </vt:variant>
      <vt:variant>
        <vt:i4>1179722</vt:i4>
      </vt:variant>
      <vt:variant>
        <vt:i4>42</vt:i4>
      </vt:variant>
      <vt:variant>
        <vt:i4>0</vt:i4>
      </vt:variant>
      <vt:variant>
        <vt:i4>5</vt:i4>
      </vt:variant>
      <vt:variant>
        <vt:lpwstr>https://www.cpaaustralia.com.au/tools-and-resources/accounting-professional-and-ethical-standards/apes-310-client-monies</vt:lpwstr>
      </vt:variant>
      <vt:variant>
        <vt:lpwstr/>
      </vt:variant>
      <vt:variant>
        <vt:i4>7798892</vt:i4>
      </vt:variant>
      <vt:variant>
        <vt:i4>39</vt:i4>
      </vt:variant>
      <vt:variant>
        <vt:i4>0</vt:i4>
      </vt:variant>
      <vt:variant>
        <vt:i4>5</vt:i4>
      </vt:variant>
      <vt:variant>
        <vt:lpwstr>https://apesb.org.au/standards-guidance/client-monies-apes-310/</vt:lpwstr>
      </vt:variant>
      <vt:variant>
        <vt:lpwstr/>
      </vt:variant>
      <vt:variant>
        <vt:i4>6684718</vt:i4>
      </vt:variant>
      <vt:variant>
        <vt:i4>36</vt:i4>
      </vt:variant>
      <vt:variant>
        <vt:i4>0</vt:i4>
      </vt:variant>
      <vt:variant>
        <vt:i4>5</vt:i4>
      </vt:variant>
      <vt:variant>
        <vt:lpwstr>https://www.cpaaustralia.com.au/public-practice/my-firm-my-future/compliance-and-governance/anti-money-laundering-reforms-in-au-and-nz</vt:lpwstr>
      </vt:variant>
      <vt:variant>
        <vt:lpwstr/>
      </vt:variant>
      <vt:variant>
        <vt:i4>3866658</vt:i4>
      </vt:variant>
      <vt:variant>
        <vt:i4>33</vt:i4>
      </vt:variant>
      <vt:variant>
        <vt:i4>0</vt:i4>
      </vt:variant>
      <vt:variant>
        <vt:i4>5</vt:i4>
      </vt:variant>
      <vt:variant>
        <vt:lpwstr>https://www.cpaaustralia.com.au/public-practice/my-firm-my-future/service-offering/client-engagement-and-relationships</vt:lpwstr>
      </vt:variant>
      <vt:variant>
        <vt:lpwstr/>
      </vt:variant>
      <vt:variant>
        <vt:i4>3866658</vt:i4>
      </vt:variant>
      <vt:variant>
        <vt:i4>30</vt:i4>
      </vt:variant>
      <vt:variant>
        <vt:i4>0</vt:i4>
      </vt:variant>
      <vt:variant>
        <vt:i4>5</vt:i4>
      </vt:variant>
      <vt:variant>
        <vt:lpwstr>https://www.cpaaustralia.com.au/public-practice/my-firm-my-future/service-offering/client-engagement-and-relationships</vt:lpwstr>
      </vt:variant>
      <vt:variant>
        <vt:lpwstr/>
      </vt:variant>
      <vt:variant>
        <vt:i4>4915204</vt:i4>
      </vt:variant>
      <vt:variant>
        <vt:i4>27</vt:i4>
      </vt:variant>
      <vt:variant>
        <vt:i4>0</vt:i4>
      </vt:variant>
      <vt:variant>
        <vt:i4>5</vt:i4>
      </vt:variant>
      <vt:variant>
        <vt:lpwstr>https://apesb.org.au/standards-guidance/terms-of-engagement/</vt:lpwstr>
      </vt:variant>
      <vt:variant>
        <vt:lpwstr/>
      </vt:variant>
      <vt:variant>
        <vt:i4>7995455</vt:i4>
      </vt:variant>
      <vt:variant>
        <vt:i4>24</vt:i4>
      </vt:variant>
      <vt:variant>
        <vt:i4>0</vt:i4>
      </vt:variant>
      <vt:variant>
        <vt:i4>5</vt:i4>
      </vt:variant>
      <vt:variant>
        <vt:lpwstr>https://www.cpaaustralia.com.au/public-practice/my-firm-my-future/compliance-and-governance/risk-management-framework-tool</vt:lpwstr>
      </vt:variant>
      <vt:variant>
        <vt:lpwstr/>
      </vt:variant>
      <vt:variant>
        <vt:i4>92</vt:i4>
      </vt:variant>
      <vt:variant>
        <vt:i4>21</vt:i4>
      </vt:variant>
      <vt:variant>
        <vt:i4>0</vt:i4>
      </vt:variant>
      <vt:variant>
        <vt:i4>5</vt:i4>
      </vt:variant>
      <vt:variant>
        <vt:lpwstr>https://www.cpaaustralia.com.au/tools-and-resources/accounting-professional-and-ethical-standards/apes-325-risk-management-for-firms</vt:lpwstr>
      </vt:variant>
      <vt:variant>
        <vt:lpwstr/>
      </vt:variant>
      <vt:variant>
        <vt:i4>6750328</vt:i4>
      </vt:variant>
      <vt:variant>
        <vt:i4>18</vt:i4>
      </vt:variant>
      <vt:variant>
        <vt:i4>0</vt:i4>
      </vt:variant>
      <vt:variant>
        <vt:i4>5</vt:i4>
      </vt:variant>
      <vt:variant>
        <vt:lpwstr>https://apesb.org.au/standards-guidance/risk-management-for-firms-apes-325/</vt:lpwstr>
      </vt:variant>
      <vt:variant>
        <vt:lpwstr/>
      </vt:variant>
      <vt:variant>
        <vt:i4>6750315</vt:i4>
      </vt:variant>
      <vt:variant>
        <vt:i4>15</vt:i4>
      </vt:variant>
      <vt:variant>
        <vt:i4>0</vt:i4>
      </vt:variant>
      <vt:variant>
        <vt:i4>5</vt:i4>
      </vt:variant>
      <vt:variant>
        <vt:lpwstr>https://www.cpaaustralia.com.au/public-practice/my-firm-my-future/compliance-and-governance/quality-control-manual</vt:lpwstr>
      </vt:variant>
      <vt:variant>
        <vt:lpwstr/>
      </vt:variant>
      <vt:variant>
        <vt:i4>1769472</vt:i4>
      </vt:variant>
      <vt:variant>
        <vt:i4>12</vt:i4>
      </vt:variant>
      <vt:variant>
        <vt:i4>0</vt:i4>
      </vt:variant>
      <vt:variant>
        <vt:i4>5</vt:i4>
      </vt:variant>
      <vt:variant>
        <vt:lpwstr>https://apesb.org.au/standards-guidance/quality-management-for-firms-that-provide-non-assurance-services/</vt:lpwstr>
      </vt:variant>
      <vt:variant>
        <vt:lpwstr/>
      </vt:variant>
      <vt:variant>
        <vt:i4>3670073</vt:i4>
      </vt:variant>
      <vt:variant>
        <vt:i4>9</vt:i4>
      </vt:variant>
      <vt:variant>
        <vt:i4>0</vt:i4>
      </vt:variant>
      <vt:variant>
        <vt:i4>5</vt:i4>
      </vt:variant>
      <vt:variant>
        <vt:lpwstr>https://www.youtube.com/watch?v=blcrQPLHJAU</vt:lpwstr>
      </vt:variant>
      <vt:variant>
        <vt:lpwstr/>
      </vt:variant>
      <vt:variant>
        <vt:i4>2031634</vt:i4>
      </vt:variant>
      <vt:variant>
        <vt:i4>6</vt:i4>
      </vt:variant>
      <vt:variant>
        <vt:i4>0</vt:i4>
      </vt:variant>
      <vt:variant>
        <vt:i4>5</vt:i4>
      </vt:variant>
      <vt:variant>
        <vt:lpwstr>https://www.cpaaustralia.com.au/tools-and-resources/accounting-professional-and-ethical-standards/apes-110-code-of-ethics-for-professional-accountants/noclar</vt:lpwstr>
      </vt:variant>
      <vt:variant>
        <vt:lpwstr/>
      </vt:variant>
      <vt:variant>
        <vt:i4>7536702</vt:i4>
      </vt:variant>
      <vt:variant>
        <vt:i4>3</vt:i4>
      </vt:variant>
      <vt:variant>
        <vt:i4>0</vt:i4>
      </vt:variant>
      <vt:variant>
        <vt:i4>5</vt:i4>
      </vt:variant>
      <vt:variant>
        <vt:lpwstr>https://www.cpaaustralia.com.au/tools-and-resources/accounting-professional-and-ethical-standards/apes-110-code-of-ethics-for-professional-accountants</vt:lpwstr>
      </vt:variant>
      <vt:variant>
        <vt:lpwstr/>
      </vt:variant>
      <vt:variant>
        <vt:i4>5111899</vt:i4>
      </vt:variant>
      <vt:variant>
        <vt:i4>0</vt:i4>
      </vt:variant>
      <vt:variant>
        <vt:i4>0</vt:i4>
      </vt:variant>
      <vt:variant>
        <vt:i4>5</vt:i4>
      </vt:variant>
      <vt:variant>
        <vt:lpwstr>https://apesb.org.au/standards-guidance/apes-110-code-of-ethics/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Read</dc:creator>
  <cp:keywords/>
  <cp:lastModifiedBy>Melissa Read</cp:lastModifiedBy>
  <cp:revision>6</cp:revision>
  <dcterms:created xsi:type="dcterms:W3CDTF">2023-05-30T00:54:00Z</dcterms:created>
  <dcterms:modified xsi:type="dcterms:W3CDTF">2023-05-31T01:18:00Z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0x010100D517EE069CEFD642806BEF49ABE2BD25</vt:lpwstr>
  </property>
  <property fmtid="{D5CDD505-2E9C-101B-9397-08002B2CF9AE}" pid="3" name="MediaServiceImageTags">
    <vt:lpwstr/>
  </property>
</Properties>
</file>